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345440</wp:posOffset>
            </wp:positionH>
            <wp:positionV relativeFrom="page">
              <wp:posOffset>266700</wp:posOffset>
            </wp:positionV>
            <wp:extent cx="7848600" cy="10217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848600" cy="102171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7220"/>
        <w:spacing w:after="0"/>
        <w:rPr>
          <w:sz w:val="20"/>
          <w:szCs w:val="20"/>
          <w:color w:val="auto"/>
        </w:rPr>
      </w:pPr>
      <w:r>
        <w:rPr>
          <w:rFonts w:ascii="Arial" w:cs="Arial" w:eastAsia="Arial" w:hAnsi="Arial"/>
          <w:sz w:val="81"/>
          <w:szCs w:val="81"/>
          <w:b w:val="1"/>
          <w:bCs w:val="1"/>
          <w:color w:val="000904"/>
        </w:rPr>
        <w:t>2024</w:t>
      </w:r>
    </w:p>
    <w:p>
      <w:pPr>
        <w:ind w:left="7160"/>
        <w:spacing w:after="0" w:line="191" w:lineRule="auto"/>
        <w:rPr>
          <w:sz w:val="20"/>
          <w:szCs w:val="20"/>
          <w:color w:val="auto"/>
        </w:rPr>
      </w:pPr>
      <w:r>
        <w:rPr>
          <w:rFonts w:ascii="Arial" w:cs="Arial" w:eastAsia="Arial" w:hAnsi="Arial"/>
          <w:sz w:val="67"/>
          <w:szCs w:val="67"/>
          <w:color w:val="FFFFFF"/>
        </w:rPr>
        <w:t>Annual</w:t>
      </w:r>
    </w:p>
    <w:p>
      <w:pPr>
        <w:spacing w:after="0" w:line="1" w:lineRule="exact"/>
        <w:rPr>
          <w:sz w:val="24"/>
          <w:szCs w:val="24"/>
          <w:color w:val="auto"/>
        </w:rPr>
      </w:pPr>
    </w:p>
    <w:p>
      <w:pPr>
        <w:ind w:left="7160"/>
        <w:spacing w:after="0"/>
        <w:rPr>
          <w:sz w:val="20"/>
          <w:szCs w:val="20"/>
          <w:color w:val="auto"/>
        </w:rPr>
      </w:pPr>
      <w:r>
        <w:rPr>
          <w:rFonts w:ascii="Arial" w:cs="Arial" w:eastAsia="Arial" w:hAnsi="Arial"/>
          <w:sz w:val="68"/>
          <w:szCs w:val="68"/>
          <w:color w:val="FFFFFF"/>
        </w:rPr>
        <w:t>Report</w:t>
      </w:r>
    </w:p>
    <w:p>
      <w:pPr>
        <w:sectPr>
          <w:pgSz w:w="13320" w:h="16920" w:orient="portrait"/>
          <w:cols w:equalWidth="0" w:num="1">
            <w:col w:w="10440"/>
          </w:cols>
          <w:pgMar w:left="1440" w:top="1440" w:right="1440" w:bottom="1440" w:gutter="0" w:footer="0" w:header="0"/>
        </w:sectPr>
      </w:pPr>
    </w:p>
    <w:bookmarkStart w:id="1" w:name="page2"/>
    <w:bookmarkEnd w:id="1"/>
    <w:p>
      <w:pPr>
        <w:spacing w:after="0"/>
        <w:rPr>
          <w:sz w:val="20"/>
          <w:szCs w:val="20"/>
          <w:color w:val="auto"/>
        </w:rPr>
      </w:pPr>
    </w:p>
    <w:p>
      <w:pPr>
        <w:sectPr>
          <w:pgSz w:w="13320" w:h="1692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1424305</wp:posOffset>
            </wp:positionH>
            <wp:positionV relativeFrom="page">
              <wp:posOffset>228600</wp:posOffset>
            </wp:positionV>
            <wp:extent cx="6805295" cy="1028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295" cy="1028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980"/>
        <w:spacing w:after="0"/>
        <w:rPr>
          <w:sz w:val="20"/>
          <w:szCs w:val="20"/>
          <w:color w:val="auto"/>
        </w:rPr>
      </w:pPr>
      <w:r>
        <w:rPr>
          <w:rFonts w:ascii="Arial" w:cs="Arial" w:eastAsia="Arial" w:hAnsi="Arial"/>
          <w:sz w:val="48"/>
          <w:szCs w:val="48"/>
          <w:color w:val="FFFFF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4251325</wp:posOffset>
            </wp:positionV>
            <wp:extent cx="1157605" cy="327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7605" cy="327025"/>
                    </a:xfrm>
                    <a:prstGeom prst="rect">
                      <a:avLst/>
                    </a:prstGeom>
                    <a:noFill/>
                  </pic:spPr>
                </pic:pic>
              </a:graphicData>
            </a:graphic>
          </wp:anchor>
        </w:drawing>
      </w:r>
    </w:p>
    <w:p>
      <w:pPr>
        <w:sectPr>
          <w:pgSz w:w="13320" w:h="16920" w:orient="portrait"/>
          <w:cols w:equalWidth="0" w:num="1">
            <w:col w:w="10440"/>
          </w:cols>
          <w:pgMar w:left="1440" w:top="1440" w:right="1440" w:bottom="1440" w:gutter="0" w:footer="0" w:header="0"/>
        </w:sectPr>
      </w:pPr>
    </w:p>
    <w:bookmarkStart w:id="3" w:name="page4"/>
    <w:bookmarkEnd w:id="3"/>
    <w:p>
      <w:pPr>
        <w:spacing w:after="0" w:line="20" w:lineRule="exact"/>
        <w:rPr>
          <w:sz w:val="20"/>
          <w:szCs w:val="20"/>
          <w:color w:val="auto"/>
        </w:rPr>
      </w:pPr>
    </w:p>
    <w:p>
      <w:pPr>
        <w:sectPr>
          <w:pgSz w:w="13320" w:h="16920"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1014730</wp:posOffset>
            </wp:positionH>
            <wp:positionV relativeFrom="page">
              <wp:posOffset>786765</wp:posOffset>
            </wp:positionV>
            <wp:extent cx="2311400"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11400" cy="63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spacing w:after="0"/>
        <w:rPr>
          <w:sz w:val="20"/>
          <w:szCs w:val="20"/>
          <w:color w:val="auto"/>
        </w:rPr>
      </w:pPr>
      <w:r>
        <w:rPr>
          <w:rFonts w:ascii="Arial" w:cs="Arial" w:eastAsia="Arial" w:hAnsi="Arial"/>
          <w:sz w:val="34"/>
          <w:szCs w:val="34"/>
          <w:color w:val="0E3C23"/>
        </w:rPr>
        <w:t>NOTICE OF ANNUAL MEETING OF STOCKHOLDERS</w:t>
      </w:r>
    </w:p>
    <w:p>
      <w:pPr>
        <w:sectPr>
          <w:pgSz w:w="13320" w:h="16920" w:orient="portrait"/>
          <w:cols w:equalWidth="0" w:num="1">
            <w:col w:w="10440"/>
          </w:cols>
          <w:pgMar w:left="1440" w:top="1440" w:right="1440" w:bottom="1440" w:gutter="0" w:footer="0" w:header="0"/>
        </w:sectPr>
      </w:pPr>
    </w:p>
    <w:p>
      <w:pPr>
        <w:spacing w:after="0" w:line="392"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0E3C23"/>
        </w:rPr>
        <w:t>Date and Time:</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Tuesday, May 13, 2025 at 11:00 a.m. Central Time</w:t>
      </w:r>
    </w:p>
    <w:p>
      <w:pPr>
        <w:spacing w:after="0" w:line="234"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0E3C23"/>
        </w:rPr>
        <w:t>Place:</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20"/>
          <w:szCs w:val="20"/>
          <w:color w:val="auto"/>
        </w:rPr>
        <w:t>Waste Management, Inc.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800 Capitol Street, Suite 3000</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Houston, Texas 77002</w:t>
      </w:r>
    </w:p>
    <w:p>
      <w:pPr>
        <w:spacing w:after="0" w:line="234"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0E3C23"/>
        </w:rPr>
        <w:t>Record Date:</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20"/>
          <w:szCs w:val="20"/>
          <w:color w:val="auto"/>
        </w:rPr>
        <w:t>March 18, 2025</w:t>
      </w:r>
    </w:p>
    <w:p>
      <w:pPr>
        <w:spacing w:after="0" w:line="234" w:lineRule="exact"/>
        <w:rPr>
          <w:sz w:val="20"/>
          <w:szCs w:val="20"/>
          <w:color w:val="auto"/>
        </w:rPr>
      </w:pPr>
    </w:p>
    <w:p>
      <w:pPr>
        <w:ind w:left="180"/>
        <w:spacing w:after="0" w:line="248" w:lineRule="auto"/>
        <w:rPr>
          <w:sz w:val="20"/>
          <w:szCs w:val="20"/>
          <w:color w:val="auto"/>
        </w:rPr>
      </w:pPr>
      <w:r>
        <w:rPr>
          <w:rFonts w:ascii="Arial" w:cs="Arial" w:eastAsia="Arial" w:hAnsi="Arial"/>
          <w:sz w:val="22"/>
          <w:szCs w:val="22"/>
          <w:b w:val="1"/>
          <w:bCs w:val="1"/>
          <w:color w:val="0E3C23"/>
        </w:rPr>
        <w:t>Agenda for the Annual Meeting (or any adjournment or postponement thereof):</w:t>
      </w:r>
    </w:p>
    <w:p>
      <w:pPr>
        <w:spacing w:after="0" w:line="136" w:lineRule="exact"/>
        <w:rPr>
          <w:sz w:val="20"/>
          <w:szCs w:val="20"/>
          <w:color w:val="auto"/>
        </w:rPr>
      </w:pPr>
    </w:p>
    <w:p>
      <w:pPr>
        <w:ind w:left="380" w:hanging="202"/>
        <w:spacing w:after="0" w:line="244" w:lineRule="auto"/>
        <w:tabs>
          <w:tab w:leader="none" w:pos="380" w:val="left"/>
        </w:tabs>
        <w:numPr>
          <w:ilvl w:val="0"/>
          <w:numId w:val="1"/>
        </w:numPr>
        <w:rPr>
          <w:rFonts w:ascii="Arial" w:cs="Arial" w:eastAsia="Arial" w:hAnsi="Arial"/>
          <w:sz w:val="20"/>
          <w:szCs w:val="20"/>
          <w:color w:val="0E3C23"/>
        </w:rPr>
      </w:pPr>
      <w:r>
        <w:rPr>
          <w:rFonts w:ascii="Arial" w:cs="Arial" w:eastAsia="Arial" w:hAnsi="Arial"/>
          <w:sz w:val="20"/>
          <w:szCs w:val="20"/>
          <w:color w:val="auto"/>
        </w:rPr>
        <w:t>To elect the nine nominees named in the attached proxy statement to our Board of Directors;</w:t>
      </w:r>
    </w:p>
    <w:p>
      <w:pPr>
        <w:spacing w:after="0" w:line="131" w:lineRule="exact"/>
        <w:rPr>
          <w:rFonts w:ascii="Arial" w:cs="Arial" w:eastAsia="Arial" w:hAnsi="Arial"/>
          <w:sz w:val="20"/>
          <w:szCs w:val="20"/>
          <w:color w:val="0E3C23"/>
        </w:rPr>
      </w:pPr>
    </w:p>
    <w:p>
      <w:pPr>
        <w:jc w:val="both"/>
        <w:ind w:left="380" w:hanging="202"/>
        <w:spacing w:after="0" w:line="247" w:lineRule="auto"/>
        <w:tabs>
          <w:tab w:leader="none" w:pos="380" w:val="left"/>
        </w:tabs>
        <w:numPr>
          <w:ilvl w:val="0"/>
          <w:numId w:val="1"/>
        </w:numPr>
        <w:rPr>
          <w:rFonts w:ascii="Arial" w:cs="Arial" w:eastAsia="Arial" w:hAnsi="Arial"/>
          <w:sz w:val="20"/>
          <w:szCs w:val="20"/>
          <w:color w:val="0E3C23"/>
        </w:rPr>
      </w:pPr>
      <w:r>
        <w:rPr>
          <w:rFonts w:ascii="Arial" w:cs="Arial" w:eastAsia="Arial" w:hAnsi="Arial"/>
          <w:sz w:val="20"/>
          <w:szCs w:val="20"/>
          <w:color w:val="auto"/>
        </w:rPr>
        <w:t>To vote on a proposal to ratify the appointment of Ernst &amp; Young LLP as our independent registered public accounting firm for the fiscal year ending December 31, 2025;</w:t>
      </w:r>
    </w:p>
    <w:p>
      <w:pPr>
        <w:spacing w:after="0" w:line="130" w:lineRule="exact"/>
        <w:rPr>
          <w:rFonts w:ascii="Arial" w:cs="Arial" w:eastAsia="Arial" w:hAnsi="Arial"/>
          <w:sz w:val="20"/>
          <w:szCs w:val="20"/>
          <w:color w:val="0E3C23"/>
        </w:rPr>
      </w:pPr>
    </w:p>
    <w:p>
      <w:pPr>
        <w:ind w:left="380" w:hanging="202"/>
        <w:spacing w:after="0" w:line="244" w:lineRule="auto"/>
        <w:tabs>
          <w:tab w:leader="none" w:pos="380" w:val="left"/>
        </w:tabs>
        <w:numPr>
          <w:ilvl w:val="0"/>
          <w:numId w:val="1"/>
        </w:numPr>
        <w:rPr>
          <w:rFonts w:ascii="Arial" w:cs="Arial" w:eastAsia="Arial" w:hAnsi="Arial"/>
          <w:sz w:val="20"/>
          <w:szCs w:val="20"/>
          <w:color w:val="0E3C23"/>
        </w:rPr>
      </w:pPr>
      <w:r>
        <w:rPr>
          <w:rFonts w:ascii="Arial" w:cs="Arial" w:eastAsia="Arial" w:hAnsi="Arial"/>
          <w:sz w:val="20"/>
          <w:szCs w:val="20"/>
          <w:color w:val="auto"/>
        </w:rPr>
        <w:t>To vote on a non-binding, advisory proposal to approve our executive compensation; and</w:t>
      </w:r>
    </w:p>
    <w:p>
      <w:pPr>
        <w:spacing w:after="0" w:line="131" w:lineRule="exact"/>
        <w:rPr>
          <w:rFonts w:ascii="Arial" w:cs="Arial" w:eastAsia="Arial" w:hAnsi="Arial"/>
          <w:sz w:val="20"/>
          <w:szCs w:val="20"/>
          <w:color w:val="0E3C23"/>
        </w:rPr>
      </w:pPr>
    </w:p>
    <w:p>
      <w:pPr>
        <w:ind w:left="380" w:hanging="202"/>
        <w:spacing w:after="0" w:line="244" w:lineRule="auto"/>
        <w:tabs>
          <w:tab w:leader="none" w:pos="380" w:val="left"/>
        </w:tabs>
        <w:numPr>
          <w:ilvl w:val="0"/>
          <w:numId w:val="1"/>
        </w:numPr>
        <w:rPr>
          <w:rFonts w:ascii="Arial" w:cs="Arial" w:eastAsia="Arial" w:hAnsi="Arial"/>
          <w:sz w:val="20"/>
          <w:szCs w:val="20"/>
          <w:color w:val="0E3C23"/>
        </w:rPr>
      </w:pPr>
      <w:r>
        <w:rPr>
          <w:rFonts w:ascii="Arial" w:cs="Arial" w:eastAsia="Arial" w:hAnsi="Arial"/>
          <w:sz w:val="20"/>
          <w:szCs w:val="20"/>
          <w:color w:val="auto"/>
        </w:rPr>
        <w:t>To conduct other business that is properly raised at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jc w:val="center"/>
        <w:ind w:left="280" w:right="340"/>
        <w:spacing w:after="0" w:line="250" w:lineRule="auto"/>
        <w:rPr>
          <w:sz w:val="20"/>
          <w:szCs w:val="20"/>
          <w:color w:val="auto"/>
        </w:rPr>
      </w:pPr>
      <w:r>
        <w:rPr>
          <w:rFonts w:ascii="Arial" w:cs="Arial" w:eastAsia="Arial" w:hAnsi="Arial"/>
          <w:sz w:val="20"/>
          <w:szCs w:val="20"/>
          <w:b w:val="1"/>
          <w:bCs w:val="1"/>
          <w:color w:val="0E3C23"/>
        </w:rPr>
        <w:t>IMPORTANT NOTICE REGARDING THE AVAILABILITY OF PROXY MATERIALS FOR THE STOCKHOLDER MEETING TO BE HELD MAY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-668020</wp:posOffset>
            </wp:positionV>
            <wp:extent cx="3117215" cy="5018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7215" cy="5018405"/>
                    </a:xfrm>
                    <a:prstGeom prst="rect">
                      <a:avLst/>
                    </a:prstGeom>
                    <a:noFill/>
                  </pic:spPr>
                </pic:pic>
              </a:graphicData>
            </a:graphic>
          </wp:anchor>
        </w:drawing>
      </w:r>
    </w:p>
    <w:p>
      <w:pPr>
        <w:spacing w:after="0" w:line="40" w:lineRule="exact"/>
        <w:rPr>
          <w:sz w:val="20"/>
          <w:szCs w:val="20"/>
          <w:color w:val="auto"/>
        </w:rPr>
      </w:pPr>
    </w:p>
    <w:p>
      <w:pPr>
        <w:jc w:val="both"/>
        <w:ind w:right="340"/>
        <w:spacing w:after="0" w:line="250" w:lineRule="auto"/>
        <w:rPr>
          <w:sz w:val="20"/>
          <w:szCs w:val="20"/>
          <w:color w:val="auto"/>
        </w:rPr>
      </w:pPr>
      <w:r>
        <w:rPr>
          <w:rFonts w:ascii="Arial" w:cs="Arial" w:eastAsia="Arial" w:hAnsi="Arial"/>
          <w:sz w:val="20"/>
          <w:szCs w:val="20"/>
          <w:b w:val="1"/>
          <w:bCs w:val="1"/>
          <w:color w:val="auto"/>
        </w:rPr>
        <w:t>This Notice of Annual Meeting and Proxy Statement and the Company’s Annual Report on Form 10-K for the year ended December 31, 2024 are available at investors.wm.com.</w:t>
      </w:r>
    </w:p>
    <w:p>
      <w:pPr>
        <w:spacing w:after="0" w:line="62" w:lineRule="exact"/>
        <w:rPr>
          <w:sz w:val="20"/>
          <w:szCs w:val="20"/>
          <w:color w:val="auto"/>
        </w:rPr>
      </w:pPr>
    </w:p>
    <w:p>
      <w:pPr>
        <w:jc w:val="right"/>
        <w:ind w:left="1080" w:right="340"/>
        <w:spacing w:after="0" w:line="284" w:lineRule="auto"/>
        <w:rPr>
          <w:sz w:val="20"/>
          <w:szCs w:val="20"/>
          <w:color w:val="auto"/>
        </w:rPr>
      </w:pPr>
      <w:r>
        <w:rPr>
          <w:rFonts w:ascii="Arial" w:cs="Arial" w:eastAsia="Arial" w:hAnsi="Arial"/>
          <w:sz w:val="18"/>
          <w:szCs w:val="18"/>
          <w:color w:val="auto"/>
        </w:rPr>
        <w:t>You may submit your proxy via the Internet by following the instructions provided in the Notice or, if you received printed copies of the proxy materials, on your proxy card.</w:t>
      </w:r>
    </w:p>
    <w:p>
      <w:pPr>
        <w:spacing w:after="0" w:line="38" w:lineRule="exact"/>
        <w:rPr>
          <w:sz w:val="20"/>
          <w:szCs w:val="20"/>
          <w:color w:val="auto"/>
        </w:rPr>
      </w:pPr>
    </w:p>
    <w:p>
      <w:pPr>
        <w:jc w:val="both"/>
        <w:ind w:left="1080" w:right="340"/>
        <w:spacing w:after="0" w:line="280" w:lineRule="auto"/>
        <w:rPr>
          <w:sz w:val="20"/>
          <w:szCs w:val="20"/>
          <w:color w:val="auto"/>
        </w:rPr>
      </w:pPr>
      <w:r>
        <w:rPr>
          <w:rFonts w:ascii="Arial" w:cs="Arial" w:eastAsia="Arial" w:hAnsi="Arial"/>
          <w:sz w:val="18"/>
          <w:szCs w:val="18"/>
          <w:color w:val="auto"/>
        </w:rPr>
        <w:t>If you received printed copies of the materials in accordance with the instructions in the Notice, you also have the option to submit your proxy by telephone by calling the toll-free number listed on your proxy card. Telephone voting is available 24 hours per day until 11:59 p.m., Eastern Time, on May 12, 2025.</w:t>
      </w:r>
    </w:p>
    <w:p>
      <w:pPr>
        <w:spacing w:after="0" w:line="44" w:lineRule="exact"/>
        <w:rPr>
          <w:sz w:val="20"/>
          <w:szCs w:val="20"/>
          <w:color w:val="auto"/>
        </w:rPr>
      </w:pPr>
    </w:p>
    <w:p>
      <w:pPr>
        <w:jc w:val="both"/>
        <w:ind w:left="1080" w:right="340"/>
        <w:spacing w:after="0" w:line="248" w:lineRule="auto"/>
        <w:rPr>
          <w:sz w:val="20"/>
          <w:szCs w:val="20"/>
          <w:color w:val="auto"/>
        </w:rPr>
      </w:pPr>
      <w:r>
        <w:rPr>
          <w:rFonts w:ascii="Arial" w:cs="Arial" w:eastAsia="Arial" w:hAnsi="Arial"/>
          <w:sz w:val="20"/>
          <w:szCs w:val="20"/>
          <w:color w:val="auto"/>
        </w:rPr>
        <w:t>If you received printed copies of the proxy materials in accordance with the instructions in the Notice and would like to submit your proxy by mail, please mark, sign and date your proxy card and return it promptly in the postage-paid envelope provided.</w:t>
      </w:r>
    </w:p>
    <w:p>
      <w:pPr>
        <w:spacing w:after="0" w:line="73" w:lineRule="exact"/>
        <w:rPr>
          <w:sz w:val="20"/>
          <w:szCs w:val="20"/>
          <w:color w:val="auto"/>
        </w:rPr>
      </w:pPr>
    </w:p>
    <w:p>
      <w:pPr>
        <w:jc w:val="both"/>
        <w:ind w:right="340"/>
        <w:spacing w:after="0" w:line="284" w:lineRule="auto"/>
        <w:rPr>
          <w:sz w:val="20"/>
          <w:szCs w:val="20"/>
          <w:color w:val="auto"/>
        </w:rPr>
      </w:pPr>
      <w:r>
        <w:rPr>
          <w:rFonts w:ascii="Arial" w:cs="Arial" w:eastAsia="Arial" w:hAnsi="Arial"/>
          <w:sz w:val="18"/>
          <w:szCs w:val="18"/>
          <w:color w:val="auto"/>
        </w:rPr>
        <w:t>If your shares of Common Stock are held in street name, you will receive instructions from your broker, bank or nominee that you must follow in order to have your shares of Common Stock voted at the Annual Meeting.</w:t>
      </w:r>
    </w:p>
    <w:p>
      <w:pPr>
        <w:spacing w:after="0" w:line="200" w:lineRule="exact"/>
        <w:rPr>
          <w:sz w:val="20"/>
          <w:szCs w:val="20"/>
          <w:color w:val="auto"/>
        </w:rPr>
      </w:pPr>
    </w:p>
    <w:p>
      <w:pPr>
        <w:sectPr>
          <w:pgSz w:w="13320" w:h="16920" w:orient="portrait"/>
          <w:cols w:equalWidth="0" w:num="2">
            <w:col w:w="5080" w:space="380"/>
            <w:col w:w="4980"/>
          </w:cols>
          <w:pgMar w:left="1440" w:top="1440" w:right="1440" w:bottom="1440" w:gutter="0" w:footer="0" w:header="0"/>
          <w:type w:val="continuous"/>
        </w:sectPr>
      </w:pPr>
    </w:p>
    <w:p>
      <w:pPr>
        <w:spacing w:after="0" w:line="155" w:lineRule="exact"/>
        <w:rPr>
          <w:sz w:val="20"/>
          <w:szCs w:val="20"/>
          <w:color w:val="auto"/>
        </w:rPr>
      </w:pPr>
    </w:p>
    <w:p>
      <w:pPr>
        <w:ind w:left="180" w:right="200"/>
        <w:spacing w:after="0" w:line="250" w:lineRule="auto"/>
        <w:rPr>
          <w:sz w:val="20"/>
          <w:szCs w:val="20"/>
          <w:color w:val="auto"/>
        </w:rPr>
      </w:pPr>
      <w:r>
        <w:rPr>
          <w:rFonts w:ascii="Arial" w:cs="Arial" w:eastAsia="Arial" w:hAnsi="Arial"/>
          <w:sz w:val="20"/>
          <w:szCs w:val="20"/>
          <w:color w:val="auto"/>
        </w:rPr>
        <w:t xml:space="preserve">Your vote is important. </w:t>
      </w:r>
      <w:r>
        <w:rPr>
          <w:rFonts w:ascii="Arial" w:cs="Arial" w:eastAsia="Arial" w:hAnsi="Arial"/>
          <w:sz w:val="20"/>
          <w:szCs w:val="20"/>
          <w:b w:val="1"/>
          <w:bCs w:val="1"/>
          <w:color w:val="auto"/>
        </w:rPr>
        <w:t>We urge all stockholders to vote and submit their proxies as soon as possible using one of the</w:t>
      </w:r>
      <w:r>
        <w:rPr>
          <w:rFonts w:ascii="Arial" w:cs="Arial" w:eastAsia="Arial" w:hAnsi="Arial"/>
          <w:sz w:val="20"/>
          <w:szCs w:val="20"/>
          <w:color w:val="auto"/>
        </w:rPr>
        <w:t xml:space="preserve"> </w:t>
      </w:r>
      <w:r>
        <w:rPr>
          <w:rFonts w:ascii="Arial" w:cs="Arial" w:eastAsia="Arial" w:hAnsi="Arial"/>
          <w:sz w:val="20"/>
          <w:szCs w:val="20"/>
          <w:b w:val="1"/>
          <w:bCs w:val="1"/>
          <w:color w:val="auto"/>
        </w:rPr>
        <w:t>methods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105410</wp:posOffset>
            </wp:positionV>
            <wp:extent cx="1180465" cy="404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80465" cy="404495"/>
                    </a:xfrm>
                    <a:prstGeom prst="rect">
                      <a:avLst/>
                    </a:prstGeom>
                    <a:noFill/>
                  </pic:spPr>
                </pic:pic>
              </a:graphicData>
            </a:graphic>
          </wp:anchor>
        </w:drawing>
      </w:r>
    </w:p>
    <w:p>
      <w:pPr>
        <w:sectPr>
          <w:pgSz w:w="13320" w:h="16920" w:orient="portrait"/>
          <w:cols w:equalWidth="0" w:num="1">
            <w:col w:w="10440"/>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40" w:right="280"/>
        <w:spacing w:after="0" w:line="297" w:lineRule="auto"/>
        <w:rPr>
          <w:sz w:val="20"/>
          <w:szCs w:val="20"/>
          <w:color w:val="auto"/>
        </w:rPr>
      </w:pPr>
      <w:r>
        <w:rPr>
          <w:rFonts w:ascii="Arial" w:cs="Arial" w:eastAsia="Arial" w:hAnsi="Arial"/>
          <w:sz w:val="18"/>
          <w:szCs w:val="18"/>
          <w:color w:val="auto"/>
        </w:rPr>
        <w:t xml:space="preserve">Courtney A. Tippy </w:t>
      </w:r>
      <w:r>
        <w:rPr>
          <w:rFonts w:ascii="Arial" w:cs="Arial" w:eastAsia="Arial" w:hAnsi="Arial"/>
          <w:sz w:val="18"/>
          <w:szCs w:val="18"/>
          <w:i w:val="1"/>
          <w:iCs w:val="1"/>
          <w:color w:val="auto"/>
        </w:rPr>
        <w:t>Corporate Secretary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20"/>
          <w:szCs w:val="20"/>
          <w:color w:val="auto"/>
        </w:rPr>
        <w:t>April 1, 2025</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right="340"/>
        <w:spacing w:after="0" w:line="248" w:lineRule="auto"/>
        <w:rPr>
          <w:sz w:val="20"/>
          <w:szCs w:val="20"/>
          <w:color w:val="auto"/>
        </w:rPr>
      </w:pPr>
      <w:r>
        <w:rPr>
          <w:rFonts w:ascii="Arial" w:cs="Arial" w:eastAsia="Arial" w:hAnsi="Arial"/>
          <w:sz w:val="20"/>
          <w:szCs w:val="20"/>
          <w:b w:val="1"/>
          <w:bCs w:val="1"/>
          <w:i w:val="1"/>
          <w:iCs w:val="1"/>
          <w:color w:val="auto"/>
        </w:rPr>
        <w:t xml:space="preserve">Enroll in Electronic Delivery Today. </w:t>
      </w:r>
      <w:r>
        <w:rPr>
          <w:rFonts w:ascii="Arial" w:cs="Arial" w:eastAsia="Arial" w:hAnsi="Arial"/>
          <w:sz w:val="20"/>
          <w:szCs w:val="20"/>
          <w:color w:val="auto"/>
        </w:rPr>
        <w:t>Help us save paper, time and money! If your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shares are held in street name through a bank or broker, visit www.proxyvote.com or follow the instructions on the Notice, proxy card or voting instructions. All stockholders may enroll at enroll.icsdelivery.com/wmi.</w:t>
      </w:r>
    </w:p>
    <w:p>
      <w:pPr>
        <w:sectPr>
          <w:pgSz w:w="13320" w:h="16920" w:orient="portrait"/>
          <w:cols w:equalWidth="0" w:num="2">
            <w:col w:w="2160" w:space="720"/>
            <w:col w:w="7560"/>
          </w:cols>
          <w:pgMar w:left="1440" w:top="1440" w:right="1440" w:bottom="1440" w:gutter="0" w:footer="0" w:header="0"/>
          <w:type w:val="continuous"/>
        </w:sectPr>
      </w:pPr>
    </w:p>
    <w:bookmarkStart w:id="5" w:name="page6"/>
    <w:bookmarkEnd w:id="5"/>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Arial" w:cs="Arial" w:eastAsia="Arial" w:hAnsi="Arial"/>
          <w:sz w:val="40"/>
          <w:szCs w:val="40"/>
          <w:color w:val="0E3C23"/>
        </w:rPr>
        <w:t>PROXY STATEMENT</w:t>
      </w: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40"/>
          <w:szCs w:val="40"/>
          <w:color w:val="0E3C23"/>
        </w:rPr>
        <w:t>TABLE OF CONTENTS</w:t>
      </w:r>
    </w:p>
    <w:p>
      <w:pPr>
        <w:spacing w:after="0" w:line="341" w:lineRule="exact"/>
        <w:rPr>
          <w:sz w:val="20"/>
          <w:szCs w:val="20"/>
          <w:color w:val="auto"/>
        </w:rPr>
      </w:pPr>
    </w:p>
    <w:p>
      <w:pPr>
        <w:ind w:left="462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2930525</wp:posOffset>
                </wp:positionH>
                <wp:positionV relativeFrom="paragraph">
                  <wp:posOffset>38735</wp:posOffset>
                </wp:positionV>
                <wp:extent cx="22352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52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75pt,3.05pt" to="248.35pt,3.05pt" o:allowincell="f" strokecolor="#000000" strokeweight="0.499pt"/>
            </w:pict>
          </mc:Fallback>
        </mc:AlternateContent>
      </w:r>
    </w:p>
    <w:p>
      <w:pPr>
        <w:spacing w:after="0" w:line="71" w:lineRule="exact"/>
        <w:rPr>
          <w:sz w:val="20"/>
          <w:szCs w:val="20"/>
          <w:color w:val="auto"/>
        </w:rPr>
      </w:pPr>
    </w:p>
    <w:p>
      <w:pPr>
        <w:ind w:left="180"/>
        <w:spacing w:after="0"/>
        <w:tabs>
          <w:tab w:leader="none" w:pos="4840" w:val="left"/>
        </w:tabs>
        <w:rPr>
          <w:sz w:val="20"/>
          <w:szCs w:val="20"/>
          <w:color w:val="auto"/>
        </w:rPr>
      </w:pPr>
      <w:r>
        <w:rPr>
          <w:rFonts w:ascii="Arial" w:cs="Arial" w:eastAsia="Arial" w:hAnsi="Arial"/>
          <w:sz w:val="20"/>
          <w:szCs w:val="20"/>
          <w:b w:val="1"/>
          <w:bCs w:val="1"/>
          <w:color w:val="0E3C23"/>
        </w:rPr>
        <w:t xml:space="preserve">GENERAL INFORMATION </w:t>
      </w:r>
      <w:r>
        <w:rPr>
          <w:rFonts w:ascii="Arial" w:cs="Arial" w:eastAsia="Arial" w:hAnsi="Arial"/>
          <w:sz w:val="20"/>
          <w:szCs w:val="20"/>
          <w:color w:val="000000"/>
        </w:rPr>
        <w:t>. . . . . . . . . . . . . . . . .</w:t>
      </w:r>
      <w:r>
        <w:rPr>
          <w:sz w:val="20"/>
          <w:szCs w:val="20"/>
          <w:color w:val="auto"/>
        </w:rPr>
        <w:tab/>
      </w:r>
      <w:r>
        <w:rPr>
          <w:rFonts w:ascii="Arial" w:cs="Arial" w:eastAsia="Arial" w:hAnsi="Arial"/>
          <w:sz w:val="17"/>
          <w:szCs w:val="17"/>
          <w:color w:val="auto"/>
        </w:rPr>
        <w:t>1</w:t>
      </w:r>
    </w:p>
    <w:p>
      <w:pPr>
        <w:spacing w:after="0" w:line="49" w:lineRule="exact"/>
        <w:rPr>
          <w:sz w:val="20"/>
          <w:szCs w:val="20"/>
          <w:color w:val="auto"/>
        </w:rPr>
      </w:pPr>
    </w:p>
    <w:p>
      <w:pPr>
        <w:ind w:left="180"/>
        <w:spacing w:after="0"/>
        <w:tabs>
          <w:tab w:leader="none" w:pos="4840" w:val="left"/>
        </w:tabs>
        <w:rPr>
          <w:sz w:val="20"/>
          <w:szCs w:val="20"/>
          <w:color w:val="auto"/>
        </w:rPr>
      </w:pPr>
      <w:r>
        <w:rPr>
          <w:rFonts w:ascii="Arial" w:cs="Arial" w:eastAsia="Arial" w:hAnsi="Arial"/>
          <w:sz w:val="20"/>
          <w:szCs w:val="20"/>
          <w:b w:val="1"/>
          <w:bCs w:val="1"/>
          <w:color w:val="0E3C23"/>
        </w:rPr>
        <w:t xml:space="preserve">BOARD OF DIRECTORS  </w:t>
      </w:r>
      <w:r>
        <w:rPr>
          <w:rFonts w:ascii="Arial" w:cs="Arial" w:eastAsia="Arial" w:hAnsi="Arial"/>
          <w:sz w:val="20"/>
          <w:szCs w:val="20"/>
          <w:color w:val="000000"/>
        </w:rPr>
        <w:t>. . . . . . . . . . . . . . . . . .</w:t>
      </w:r>
      <w:r>
        <w:rPr>
          <w:sz w:val="20"/>
          <w:szCs w:val="20"/>
          <w:color w:val="auto"/>
        </w:rPr>
        <w:tab/>
      </w:r>
      <w:r>
        <w:rPr>
          <w:rFonts w:ascii="Arial" w:cs="Arial" w:eastAsia="Arial" w:hAnsi="Arial"/>
          <w:sz w:val="17"/>
          <w:szCs w:val="17"/>
          <w:color w:val="auto"/>
        </w:rPr>
        <w:t>4</w:t>
      </w:r>
    </w:p>
    <w:p>
      <w:pPr>
        <w:spacing w:after="0" w:line="46" w:lineRule="exact"/>
        <w:rPr>
          <w:sz w:val="20"/>
          <w:szCs w:val="20"/>
          <w:color w:val="auto"/>
        </w:rPr>
      </w:pPr>
    </w:p>
    <w:p>
      <w:pPr>
        <w:ind w:left="380"/>
        <w:spacing w:after="0"/>
        <w:tabs>
          <w:tab w:leader="none" w:pos="2400" w:val="left"/>
          <w:tab w:leader="none" w:pos="4840" w:val="left"/>
        </w:tabs>
        <w:rPr>
          <w:sz w:val="20"/>
          <w:szCs w:val="20"/>
          <w:color w:val="auto"/>
        </w:rPr>
      </w:pPr>
      <w:r>
        <w:rPr>
          <w:rFonts w:ascii="Arial" w:cs="Arial" w:eastAsia="Arial" w:hAnsi="Arial"/>
          <w:sz w:val="20"/>
          <w:szCs w:val="20"/>
          <w:color w:val="auto"/>
        </w:rPr>
        <w:t>Nominees for Director</w:t>
        <w:tab/>
        <w:t>. . . . . . . . . . . . . . . . .</w:t>
      </w:r>
      <w:r>
        <w:rPr>
          <w:sz w:val="20"/>
          <w:szCs w:val="20"/>
          <w:color w:val="auto"/>
        </w:rPr>
        <w:tab/>
      </w:r>
      <w:r>
        <w:rPr>
          <w:rFonts w:ascii="Arial" w:cs="Arial" w:eastAsia="Arial" w:hAnsi="Arial"/>
          <w:sz w:val="17"/>
          <w:szCs w:val="17"/>
          <w:color w:val="auto"/>
        </w:rPr>
        <w:t>4</w:t>
      </w:r>
    </w:p>
    <w:p>
      <w:pPr>
        <w:spacing w:after="0" w:line="49" w:lineRule="exact"/>
        <w:rPr>
          <w:sz w:val="20"/>
          <w:szCs w:val="20"/>
          <w:color w:val="auto"/>
        </w:rPr>
      </w:pPr>
    </w:p>
    <w:p>
      <w:pPr>
        <w:ind w:left="380"/>
        <w:spacing w:after="0"/>
        <w:tabs>
          <w:tab w:leader="none" w:pos="4840" w:val="left"/>
        </w:tabs>
        <w:rPr>
          <w:sz w:val="20"/>
          <w:szCs w:val="20"/>
          <w:color w:val="auto"/>
        </w:rPr>
      </w:pPr>
      <w:r>
        <w:rPr>
          <w:rFonts w:ascii="Arial" w:cs="Arial" w:eastAsia="Arial" w:hAnsi="Arial"/>
          <w:sz w:val="20"/>
          <w:szCs w:val="20"/>
          <w:color w:val="auto"/>
        </w:rPr>
        <w:t>Leadership Structure . . . . . . . . . . . . . . . . . .</w:t>
      </w:r>
      <w:r>
        <w:rPr>
          <w:sz w:val="20"/>
          <w:szCs w:val="20"/>
          <w:color w:val="auto"/>
        </w:rPr>
        <w:tab/>
      </w:r>
      <w:r>
        <w:rPr>
          <w:rFonts w:ascii="Arial" w:cs="Arial" w:eastAsia="Arial" w:hAnsi="Arial"/>
          <w:sz w:val="17"/>
          <w:szCs w:val="17"/>
          <w:color w:val="auto"/>
        </w:rPr>
        <w:t>4</w:t>
      </w:r>
    </w:p>
    <w:p>
      <w:pPr>
        <w:spacing w:after="0" w:line="49" w:lineRule="exact"/>
        <w:rPr>
          <w:sz w:val="20"/>
          <w:szCs w:val="20"/>
          <w:color w:val="auto"/>
        </w:rPr>
      </w:pPr>
    </w:p>
    <w:p>
      <w:pPr>
        <w:ind w:left="380"/>
        <w:spacing w:after="0"/>
        <w:tabs>
          <w:tab w:leader="none" w:pos="4840" w:val="left"/>
        </w:tabs>
        <w:rPr>
          <w:sz w:val="20"/>
          <w:szCs w:val="20"/>
          <w:color w:val="auto"/>
        </w:rPr>
      </w:pPr>
      <w:r>
        <w:rPr>
          <w:rFonts w:ascii="Arial" w:cs="Arial" w:eastAsia="Arial" w:hAnsi="Arial"/>
          <w:sz w:val="20"/>
          <w:szCs w:val="20"/>
          <w:color w:val="auto"/>
        </w:rPr>
        <w:t>Independence of Board Members . . . . . . . . . .</w:t>
      </w:r>
      <w:r>
        <w:rPr>
          <w:sz w:val="20"/>
          <w:szCs w:val="20"/>
          <w:color w:val="auto"/>
        </w:rPr>
        <w:tab/>
      </w:r>
      <w:r>
        <w:rPr>
          <w:rFonts w:ascii="Arial" w:cs="Arial" w:eastAsia="Arial" w:hAnsi="Arial"/>
          <w:sz w:val="17"/>
          <w:szCs w:val="17"/>
          <w:color w:val="auto"/>
        </w:rPr>
        <w:t>5</w:t>
      </w:r>
    </w:p>
    <w:p>
      <w:pPr>
        <w:spacing w:after="0" w:line="49" w:lineRule="exact"/>
        <w:rPr>
          <w:sz w:val="20"/>
          <w:szCs w:val="20"/>
          <w:color w:val="auto"/>
        </w:rPr>
      </w:pPr>
    </w:p>
    <w:p>
      <w:pPr>
        <w:ind w:left="380"/>
        <w:spacing w:after="0"/>
        <w:tabs>
          <w:tab w:leader="none" w:pos="4840" w:val="left"/>
        </w:tabs>
        <w:rPr>
          <w:sz w:val="20"/>
          <w:szCs w:val="20"/>
          <w:color w:val="auto"/>
        </w:rPr>
      </w:pPr>
      <w:r>
        <w:rPr>
          <w:rFonts w:ascii="Arial" w:cs="Arial" w:eastAsia="Arial" w:hAnsi="Arial"/>
          <w:sz w:val="20"/>
          <w:szCs w:val="20"/>
          <w:color w:val="auto"/>
        </w:rPr>
        <w:t>Meetings and Board Committees . . . . . . . . . .</w:t>
      </w:r>
      <w:r>
        <w:rPr>
          <w:sz w:val="20"/>
          <w:szCs w:val="20"/>
          <w:color w:val="auto"/>
        </w:rPr>
        <w:tab/>
      </w:r>
      <w:r>
        <w:rPr>
          <w:rFonts w:ascii="Arial" w:cs="Arial" w:eastAsia="Arial" w:hAnsi="Arial"/>
          <w:sz w:val="17"/>
          <w:szCs w:val="17"/>
          <w:color w:val="auto"/>
        </w:rPr>
        <w:t>5</w:t>
      </w:r>
    </w:p>
    <w:p>
      <w:pPr>
        <w:spacing w:after="0" w:line="49" w:lineRule="exact"/>
        <w:rPr>
          <w:sz w:val="20"/>
          <w:szCs w:val="20"/>
          <w:color w:val="auto"/>
        </w:rPr>
      </w:pPr>
    </w:p>
    <w:p>
      <w:pPr>
        <w:ind w:left="380"/>
        <w:spacing w:after="0"/>
        <w:tabs>
          <w:tab w:leader="none" w:pos="4840" w:val="left"/>
        </w:tabs>
        <w:rPr>
          <w:sz w:val="20"/>
          <w:szCs w:val="20"/>
          <w:color w:val="auto"/>
        </w:rPr>
      </w:pPr>
      <w:r>
        <w:rPr>
          <w:rFonts w:ascii="Arial" w:cs="Arial" w:eastAsia="Arial" w:hAnsi="Arial"/>
          <w:sz w:val="20"/>
          <w:szCs w:val="20"/>
          <w:color w:val="auto"/>
        </w:rPr>
        <w:t>Role in Risk Oversight . . . . . . . . . . . . . . . . . .</w:t>
      </w:r>
      <w:r>
        <w:rPr>
          <w:sz w:val="20"/>
          <w:szCs w:val="20"/>
          <w:color w:val="auto"/>
        </w:rPr>
        <w:tab/>
      </w:r>
      <w:r>
        <w:rPr>
          <w:rFonts w:ascii="Arial" w:cs="Arial" w:eastAsia="Arial" w:hAnsi="Arial"/>
          <w:sz w:val="17"/>
          <w:szCs w:val="17"/>
          <w:color w:val="auto"/>
        </w:rPr>
        <w:t>5</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Oversight of Sustainability Risk and</w:t>
      </w:r>
    </w:p>
    <w:p>
      <w:pPr>
        <w:spacing w:after="0" w:line="9" w:lineRule="exact"/>
        <w:rPr>
          <w:sz w:val="20"/>
          <w:szCs w:val="20"/>
          <w:color w:val="auto"/>
        </w:rPr>
      </w:pPr>
    </w:p>
    <w:p>
      <w:pPr>
        <w:ind w:left="580"/>
        <w:spacing w:after="0"/>
        <w:tabs>
          <w:tab w:leader="none" w:pos="4840" w:val="left"/>
        </w:tabs>
        <w:rPr>
          <w:sz w:val="20"/>
          <w:szCs w:val="20"/>
          <w:color w:val="auto"/>
        </w:rPr>
      </w:pPr>
      <w:r>
        <w:rPr>
          <w:rFonts w:ascii="Arial" w:cs="Arial" w:eastAsia="Arial" w:hAnsi="Arial"/>
          <w:sz w:val="20"/>
          <w:szCs w:val="20"/>
          <w:color w:val="auto"/>
        </w:rPr>
        <w:t>Performance  . . . . . . . . . . . . . . . . . . . . . .</w:t>
      </w:r>
      <w:r>
        <w:rPr>
          <w:sz w:val="20"/>
          <w:szCs w:val="20"/>
          <w:color w:val="auto"/>
        </w:rPr>
        <w:tab/>
      </w:r>
      <w:r>
        <w:rPr>
          <w:rFonts w:ascii="Arial" w:cs="Arial" w:eastAsia="Arial" w:hAnsi="Arial"/>
          <w:sz w:val="17"/>
          <w:szCs w:val="17"/>
          <w:color w:val="auto"/>
        </w:rPr>
        <w:t>6</w:t>
      </w:r>
    </w:p>
    <w:p>
      <w:pPr>
        <w:spacing w:after="0" w:line="49" w:lineRule="exact"/>
        <w:rPr>
          <w:sz w:val="20"/>
          <w:szCs w:val="20"/>
          <w:color w:val="auto"/>
        </w:rPr>
      </w:pPr>
    </w:p>
    <w:p>
      <w:pPr>
        <w:ind w:left="380"/>
        <w:spacing w:after="0"/>
        <w:tabs>
          <w:tab w:leader="none" w:pos="4840" w:val="left"/>
        </w:tabs>
        <w:rPr>
          <w:sz w:val="20"/>
          <w:szCs w:val="20"/>
          <w:color w:val="auto"/>
        </w:rPr>
      </w:pPr>
      <w:r>
        <w:rPr>
          <w:rFonts w:ascii="Arial" w:cs="Arial" w:eastAsia="Arial" w:hAnsi="Arial"/>
          <w:sz w:val="20"/>
          <w:szCs w:val="20"/>
          <w:color w:val="auto"/>
        </w:rPr>
        <w:t>Audit Committee  . . . . . . . . . . . . . . . . . . . . .</w:t>
      </w:r>
      <w:r>
        <w:rPr>
          <w:sz w:val="20"/>
          <w:szCs w:val="20"/>
          <w:color w:val="auto"/>
        </w:rPr>
        <w:tab/>
      </w:r>
      <w:r>
        <w:rPr>
          <w:rFonts w:ascii="Arial" w:cs="Arial" w:eastAsia="Arial" w:hAnsi="Arial"/>
          <w:sz w:val="17"/>
          <w:szCs w:val="17"/>
          <w:color w:val="auto"/>
        </w:rPr>
        <w:t>8</w:t>
      </w:r>
    </w:p>
    <w:p>
      <w:pPr>
        <w:spacing w:after="0" w:line="49" w:lineRule="exact"/>
        <w:rPr>
          <w:sz w:val="20"/>
          <w:szCs w:val="20"/>
          <w:color w:val="auto"/>
        </w:rPr>
      </w:pPr>
    </w:p>
    <w:p>
      <w:pPr>
        <w:ind w:left="380"/>
        <w:spacing w:after="0"/>
        <w:tabs>
          <w:tab w:leader="none" w:pos="4840" w:val="left"/>
        </w:tabs>
        <w:rPr>
          <w:sz w:val="20"/>
          <w:szCs w:val="20"/>
          <w:color w:val="auto"/>
        </w:rPr>
      </w:pPr>
      <w:r>
        <w:rPr>
          <w:rFonts w:ascii="Arial" w:cs="Arial" w:eastAsia="Arial" w:hAnsi="Arial"/>
          <w:sz w:val="20"/>
          <w:szCs w:val="20"/>
          <w:color w:val="auto"/>
        </w:rPr>
        <w:t>Audit Committee Report . . . . . . . . . . . . . . . .</w:t>
      </w:r>
      <w:r>
        <w:rPr>
          <w:sz w:val="20"/>
          <w:szCs w:val="20"/>
          <w:color w:val="auto"/>
        </w:rPr>
        <w:tab/>
      </w:r>
      <w:r>
        <w:rPr>
          <w:rFonts w:ascii="Arial" w:cs="Arial" w:eastAsia="Arial" w:hAnsi="Arial"/>
          <w:sz w:val="17"/>
          <w:szCs w:val="17"/>
          <w:color w:val="auto"/>
        </w:rPr>
        <w:t>9</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Management Development and Compensation</w:t>
      </w:r>
    </w:p>
    <w:p>
      <w:pPr>
        <w:spacing w:after="0" w:line="9" w:lineRule="exact"/>
        <w:rPr>
          <w:sz w:val="20"/>
          <w:szCs w:val="20"/>
          <w:color w:val="auto"/>
        </w:rPr>
      </w:pPr>
    </w:p>
    <w:p>
      <w:pPr>
        <w:ind w:left="580"/>
        <w:spacing w:after="0"/>
        <w:tabs>
          <w:tab w:leader="none" w:pos="4740" w:val="left"/>
        </w:tabs>
        <w:rPr>
          <w:sz w:val="20"/>
          <w:szCs w:val="20"/>
          <w:color w:val="auto"/>
        </w:rPr>
      </w:pPr>
      <w:r>
        <w:rPr>
          <w:rFonts w:ascii="Arial" w:cs="Arial" w:eastAsia="Arial" w:hAnsi="Arial"/>
          <w:sz w:val="20"/>
          <w:szCs w:val="20"/>
          <w:color w:val="auto"/>
        </w:rPr>
        <w:t>Committee . . . . . . . . . . . . . . . . . . . . . . . .</w:t>
      </w:r>
      <w:r>
        <w:rPr>
          <w:sz w:val="20"/>
          <w:szCs w:val="20"/>
          <w:color w:val="auto"/>
        </w:rPr>
        <w:tab/>
      </w:r>
      <w:r>
        <w:rPr>
          <w:rFonts w:ascii="Arial" w:cs="Arial" w:eastAsia="Arial" w:hAnsi="Arial"/>
          <w:sz w:val="17"/>
          <w:szCs w:val="17"/>
          <w:color w:val="auto"/>
        </w:rPr>
        <w:t>10</w:t>
      </w:r>
    </w:p>
    <w:p>
      <w:pPr>
        <w:spacing w:after="0" w:line="49" w:lineRule="exact"/>
        <w:rPr>
          <w:sz w:val="20"/>
          <w:szCs w:val="20"/>
          <w:color w:val="auto"/>
        </w:rPr>
      </w:pPr>
    </w:p>
    <w:p>
      <w:pPr>
        <w:ind w:left="380"/>
        <w:spacing w:after="0"/>
        <w:tabs>
          <w:tab w:leader="none" w:pos="4740" w:val="left"/>
        </w:tabs>
        <w:rPr>
          <w:sz w:val="20"/>
          <w:szCs w:val="20"/>
          <w:color w:val="auto"/>
        </w:rPr>
      </w:pPr>
      <w:r>
        <w:rPr>
          <w:rFonts w:ascii="Arial" w:cs="Arial" w:eastAsia="Arial" w:hAnsi="Arial"/>
          <w:sz w:val="20"/>
          <w:szCs w:val="20"/>
          <w:color w:val="auto"/>
        </w:rPr>
        <w:t>Compensation Committee Report . . . . . . . . . .</w:t>
      </w:r>
      <w:r>
        <w:rPr>
          <w:sz w:val="20"/>
          <w:szCs w:val="20"/>
          <w:color w:val="auto"/>
        </w:rPr>
        <w:tab/>
      </w:r>
      <w:r>
        <w:rPr>
          <w:rFonts w:ascii="Arial" w:cs="Arial" w:eastAsia="Arial" w:hAnsi="Arial"/>
          <w:sz w:val="17"/>
          <w:szCs w:val="17"/>
          <w:color w:val="auto"/>
        </w:rPr>
        <w:t>10</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Compensation Committee Interlocks and</w:t>
      </w:r>
    </w:p>
    <w:p>
      <w:pPr>
        <w:spacing w:after="0" w:line="9" w:lineRule="exact"/>
        <w:rPr>
          <w:sz w:val="20"/>
          <w:szCs w:val="20"/>
          <w:color w:val="auto"/>
        </w:rPr>
      </w:pPr>
    </w:p>
    <w:p>
      <w:pPr>
        <w:ind w:left="580"/>
        <w:spacing w:after="0"/>
        <w:tabs>
          <w:tab w:leader="none" w:pos="4740" w:val="left"/>
        </w:tabs>
        <w:rPr>
          <w:sz w:val="20"/>
          <w:szCs w:val="20"/>
          <w:color w:val="auto"/>
        </w:rPr>
      </w:pPr>
      <w:r>
        <w:rPr>
          <w:rFonts w:ascii="Arial" w:cs="Arial" w:eastAsia="Arial" w:hAnsi="Arial"/>
          <w:sz w:val="20"/>
          <w:szCs w:val="20"/>
          <w:color w:val="auto"/>
        </w:rPr>
        <w:t>Insider Participation  . . . . . . . . . . . . . . . . .</w:t>
      </w:r>
      <w:r>
        <w:rPr>
          <w:sz w:val="20"/>
          <w:szCs w:val="20"/>
          <w:color w:val="auto"/>
        </w:rPr>
        <w:tab/>
      </w:r>
      <w:r>
        <w:rPr>
          <w:rFonts w:ascii="Arial" w:cs="Arial" w:eastAsia="Arial" w:hAnsi="Arial"/>
          <w:sz w:val="17"/>
          <w:szCs w:val="17"/>
          <w:color w:val="auto"/>
        </w:rPr>
        <w:t>11</w:t>
      </w:r>
    </w:p>
    <w:p>
      <w:pPr>
        <w:spacing w:after="0" w:line="49" w:lineRule="exact"/>
        <w:rPr>
          <w:sz w:val="20"/>
          <w:szCs w:val="20"/>
          <w:color w:val="auto"/>
        </w:rPr>
      </w:pPr>
    </w:p>
    <w:p>
      <w:pPr>
        <w:ind w:left="380"/>
        <w:spacing w:after="0"/>
        <w:tabs>
          <w:tab w:leader="none" w:pos="4740" w:val="left"/>
        </w:tabs>
        <w:rPr>
          <w:sz w:val="20"/>
          <w:szCs w:val="20"/>
          <w:color w:val="auto"/>
        </w:rPr>
      </w:pPr>
      <w:r>
        <w:rPr>
          <w:rFonts w:ascii="Arial" w:cs="Arial" w:eastAsia="Arial" w:hAnsi="Arial"/>
          <w:sz w:val="20"/>
          <w:szCs w:val="20"/>
          <w:color w:val="auto"/>
        </w:rPr>
        <w:t>Nominating and Governance Committee . . . . .</w:t>
      </w:r>
      <w:r>
        <w:rPr>
          <w:sz w:val="20"/>
          <w:szCs w:val="20"/>
          <w:color w:val="auto"/>
        </w:rPr>
        <w:tab/>
      </w:r>
      <w:r>
        <w:rPr>
          <w:rFonts w:ascii="Arial" w:cs="Arial" w:eastAsia="Arial" w:hAnsi="Arial"/>
          <w:sz w:val="17"/>
          <w:szCs w:val="17"/>
          <w:color w:val="auto"/>
        </w:rPr>
        <w:t>11</w:t>
      </w:r>
    </w:p>
    <w:p>
      <w:pPr>
        <w:spacing w:after="0" w:line="49" w:lineRule="exact"/>
        <w:rPr>
          <w:sz w:val="20"/>
          <w:szCs w:val="20"/>
          <w:color w:val="auto"/>
        </w:rPr>
      </w:pPr>
    </w:p>
    <w:p>
      <w:pPr>
        <w:ind w:left="380"/>
        <w:spacing w:after="0"/>
        <w:tabs>
          <w:tab w:leader="none" w:pos="4740" w:val="left"/>
        </w:tabs>
        <w:rPr>
          <w:sz w:val="20"/>
          <w:szCs w:val="20"/>
          <w:color w:val="auto"/>
        </w:rPr>
      </w:pPr>
      <w:r>
        <w:rPr>
          <w:rFonts w:ascii="Arial" w:cs="Arial" w:eastAsia="Arial" w:hAnsi="Arial"/>
          <w:sz w:val="20"/>
          <w:szCs w:val="20"/>
          <w:color w:val="auto"/>
        </w:rPr>
        <w:t>Related Party Transactions . . . . . . . . . . . . . .</w:t>
      </w:r>
      <w:r>
        <w:rPr>
          <w:sz w:val="20"/>
          <w:szCs w:val="20"/>
          <w:color w:val="auto"/>
        </w:rPr>
        <w:tab/>
      </w:r>
      <w:r>
        <w:rPr>
          <w:rFonts w:ascii="Arial" w:cs="Arial" w:eastAsia="Arial" w:hAnsi="Arial"/>
          <w:sz w:val="17"/>
          <w:szCs w:val="17"/>
          <w:color w:val="auto"/>
        </w:rPr>
        <w:t>12</w:t>
      </w:r>
    </w:p>
    <w:p>
      <w:pPr>
        <w:spacing w:after="0" w:line="49" w:lineRule="exact"/>
        <w:rPr>
          <w:sz w:val="20"/>
          <w:szCs w:val="20"/>
          <w:color w:val="auto"/>
        </w:rPr>
      </w:pPr>
    </w:p>
    <w:p>
      <w:pPr>
        <w:ind w:left="380"/>
        <w:spacing w:after="0"/>
        <w:tabs>
          <w:tab w:leader="none" w:pos="4740" w:val="left"/>
        </w:tabs>
        <w:rPr>
          <w:sz w:val="20"/>
          <w:szCs w:val="20"/>
          <w:color w:val="auto"/>
        </w:rPr>
      </w:pPr>
      <w:r>
        <w:rPr>
          <w:rFonts w:ascii="Arial" w:cs="Arial" w:eastAsia="Arial" w:hAnsi="Arial"/>
          <w:sz w:val="20"/>
          <w:szCs w:val="20"/>
          <w:color w:val="auto"/>
        </w:rPr>
        <w:t>Board of Directors Governing Documents . . . .</w:t>
      </w:r>
      <w:r>
        <w:rPr>
          <w:sz w:val="20"/>
          <w:szCs w:val="20"/>
          <w:color w:val="auto"/>
        </w:rPr>
        <w:tab/>
      </w:r>
      <w:r>
        <w:rPr>
          <w:rFonts w:ascii="Arial" w:cs="Arial" w:eastAsia="Arial" w:hAnsi="Arial"/>
          <w:sz w:val="17"/>
          <w:szCs w:val="17"/>
          <w:color w:val="auto"/>
        </w:rPr>
        <w:t>13</w:t>
      </w:r>
    </w:p>
    <w:p>
      <w:pPr>
        <w:spacing w:after="0" w:line="49" w:lineRule="exact"/>
        <w:rPr>
          <w:sz w:val="20"/>
          <w:szCs w:val="20"/>
          <w:color w:val="auto"/>
        </w:rPr>
      </w:pPr>
    </w:p>
    <w:p>
      <w:pPr>
        <w:ind w:left="380"/>
        <w:spacing w:after="0"/>
        <w:tabs>
          <w:tab w:leader="none" w:pos="4740" w:val="left"/>
        </w:tabs>
        <w:rPr>
          <w:sz w:val="20"/>
          <w:szCs w:val="20"/>
          <w:color w:val="auto"/>
        </w:rPr>
      </w:pPr>
      <w:r>
        <w:rPr>
          <w:rFonts w:ascii="Arial" w:cs="Arial" w:eastAsia="Arial" w:hAnsi="Arial"/>
          <w:sz w:val="20"/>
          <w:szCs w:val="20"/>
          <w:color w:val="auto"/>
        </w:rPr>
        <w:t>Non-Employee Director Compensation . . . . . .</w:t>
      </w:r>
      <w:r>
        <w:rPr>
          <w:sz w:val="20"/>
          <w:szCs w:val="20"/>
          <w:color w:val="auto"/>
        </w:rPr>
        <w:tab/>
      </w:r>
      <w:r>
        <w:rPr>
          <w:rFonts w:ascii="Arial" w:cs="Arial" w:eastAsia="Arial" w:hAnsi="Arial"/>
          <w:sz w:val="17"/>
          <w:szCs w:val="17"/>
          <w:color w:val="auto"/>
        </w:rPr>
        <w:t>14</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ELECTION OF DIRECTORS (Item 1 on the Proxy</w:t>
      </w:r>
    </w:p>
    <w:p>
      <w:pPr>
        <w:spacing w:after="0" w:line="9" w:lineRule="exact"/>
        <w:rPr>
          <w:sz w:val="20"/>
          <w:szCs w:val="20"/>
          <w:color w:val="auto"/>
        </w:rPr>
      </w:pPr>
    </w:p>
    <w:p>
      <w:pPr>
        <w:ind w:left="380"/>
        <w:spacing w:after="0"/>
        <w:tabs>
          <w:tab w:leader="none" w:pos="4740" w:val="left"/>
        </w:tabs>
        <w:rPr>
          <w:sz w:val="20"/>
          <w:szCs w:val="20"/>
          <w:color w:val="auto"/>
        </w:rPr>
      </w:pPr>
      <w:r>
        <w:rPr>
          <w:rFonts w:ascii="Arial" w:cs="Arial" w:eastAsia="Arial" w:hAnsi="Arial"/>
          <w:sz w:val="20"/>
          <w:szCs w:val="20"/>
          <w:b w:val="1"/>
          <w:bCs w:val="1"/>
          <w:color w:val="0E3C23"/>
        </w:rPr>
        <w:t xml:space="preserve">Card) </w:t>
      </w:r>
      <w:r>
        <w:rPr>
          <w:rFonts w:ascii="Arial" w:cs="Arial" w:eastAsia="Arial" w:hAnsi="Arial"/>
          <w:sz w:val="20"/>
          <w:szCs w:val="20"/>
          <w:color w:val="000000"/>
        </w:rPr>
        <w:t>. . . . . . . . . . . . . . . . . . . . . . . . . . . . .</w:t>
      </w:r>
      <w:r>
        <w:rPr>
          <w:sz w:val="20"/>
          <w:szCs w:val="20"/>
          <w:color w:val="auto"/>
        </w:rPr>
        <w:tab/>
      </w:r>
      <w:r>
        <w:rPr>
          <w:rFonts w:ascii="Arial" w:cs="Arial" w:eastAsia="Arial" w:hAnsi="Arial"/>
          <w:sz w:val="17"/>
          <w:szCs w:val="17"/>
          <w:color w:val="auto"/>
        </w:rPr>
        <w:t>16</w:t>
      </w:r>
    </w:p>
    <w:p>
      <w:pPr>
        <w:spacing w:after="0" w:line="49" w:lineRule="exact"/>
        <w:rPr>
          <w:sz w:val="20"/>
          <w:szCs w:val="20"/>
          <w:color w:val="auto"/>
        </w:rPr>
      </w:pPr>
    </w:p>
    <w:p>
      <w:pPr>
        <w:ind w:left="180"/>
        <w:spacing w:after="0"/>
        <w:tabs>
          <w:tab w:leader="none" w:pos="4740" w:val="left"/>
        </w:tabs>
        <w:rPr>
          <w:sz w:val="20"/>
          <w:szCs w:val="20"/>
          <w:color w:val="auto"/>
        </w:rPr>
      </w:pPr>
      <w:r>
        <w:rPr>
          <w:rFonts w:ascii="Arial" w:cs="Arial" w:eastAsia="Arial" w:hAnsi="Arial"/>
          <w:sz w:val="20"/>
          <w:szCs w:val="20"/>
          <w:b w:val="1"/>
          <w:bCs w:val="1"/>
          <w:color w:val="0E3C23"/>
        </w:rPr>
        <w:t xml:space="preserve">DIRECTOR AND OFFICER STOCK OWNERSHIP </w:t>
      </w:r>
      <w:r>
        <w:rPr>
          <w:rFonts w:ascii="Arial" w:cs="Arial" w:eastAsia="Arial" w:hAnsi="Arial"/>
          <w:sz w:val="20"/>
          <w:szCs w:val="20"/>
          <w:color w:val="000000"/>
        </w:rPr>
        <w:t>. .</w:t>
      </w:r>
      <w:r>
        <w:rPr>
          <w:sz w:val="20"/>
          <w:szCs w:val="20"/>
          <w:color w:val="auto"/>
        </w:rPr>
        <w:tab/>
      </w:r>
      <w:r>
        <w:rPr>
          <w:rFonts w:ascii="Arial" w:cs="Arial" w:eastAsia="Arial" w:hAnsi="Arial"/>
          <w:sz w:val="17"/>
          <w:szCs w:val="17"/>
          <w:color w:val="auto"/>
        </w:rPr>
        <w:t>28</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SECURITY OWNERSHIP OF CERTAIN</w:t>
      </w:r>
    </w:p>
    <w:p>
      <w:pPr>
        <w:spacing w:after="0" w:line="9" w:lineRule="exact"/>
        <w:rPr>
          <w:sz w:val="20"/>
          <w:szCs w:val="20"/>
          <w:color w:val="auto"/>
        </w:rPr>
      </w:pPr>
    </w:p>
    <w:p>
      <w:pPr>
        <w:ind w:left="380"/>
        <w:spacing w:after="0"/>
        <w:tabs>
          <w:tab w:leader="none" w:pos="4740" w:val="left"/>
        </w:tabs>
        <w:rPr>
          <w:sz w:val="20"/>
          <w:szCs w:val="20"/>
          <w:color w:val="auto"/>
        </w:rPr>
      </w:pPr>
      <w:r>
        <w:rPr>
          <w:rFonts w:ascii="Arial" w:cs="Arial" w:eastAsia="Arial" w:hAnsi="Arial"/>
          <w:sz w:val="20"/>
          <w:szCs w:val="20"/>
          <w:b w:val="1"/>
          <w:bCs w:val="1"/>
          <w:color w:val="0E3C23"/>
        </w:rPr>
        <w:t xml:space="preserve">BENEFICIAL OWNERS  </w:t>
      </w:r>
      <w:r>
        <w:rPr>
          <w:rFonts w:ascii="Arial" w:cs="Arial" w:eastAsia="Arial" w:hAnsi="Arial"/>
          <w:sz w:val="20"/>
          <w:szCs w:val="20"/>
          <w:color w:val="000000"/>
        </w:rPr>
        <w:t>. . . . . . . . . . . . . . . . .</w:t>
      </w:r>
      <w:r>
        <w:rPr>
          <w:sz w:val="20"/>
          <w:szCs w:val="20"/>
          <w:color w:val="auto"/>
        </w:rPr>
        <w:tab/>
      </w:r>
      <w:r>
        <w:rPr>
          <w:rFonts w:ascii="Arial" w:cs="Arial" w:eastAsia="Arial" w:hAnsi="Arial"/>
          <w:sz w:val="17"/>
          <w:szCs w:val="17"/>
          <w:color w:val="auto"/>
        </w:rPr>
        <w:t>29</w:t>
      </w:r>
    </w:p>
    <w:p>
      <w:pPr>
        <w:spacing w:after="0" w:line="49" w:lineRule="exact"/>
        <w:rPr>
          <w:sz w:val="20"/>
          <w:szCs w:val="20"/>
          <w:color w:val="auto"/>
        </w:rPr>
      </w:pPr>
    </w:p>
    <w:p>
      <w:pPr>
        <w:ind w:left="180"/>
        <w:spacing w:after="0"/>
        <w:tabs>
          <w:tab w:leader="none" w:pos="4740" w:val="left"/>
        </w:tabs>
        <w:rPr>
          <w:sz w:val="20"/>
          <w:szCs w:val="20"/>
          <w:color w:val="auto"/>
        </w:rPr>
      </w:pPr>
      <w:r>
        <w:rPr>
          <w:rFonts w:ascii="Arial" w:cs="Arial" w:eastAsia="Arial" w:hAnsi="Arial"/>
          <w:sz w:val="20"/>
          <w:szCs w:val="20"/>
          <w:b w:val="1"/>
          <w:bCs w:val="1"/>
          <w:color w:val="0E3C23"/>
        </w:rPr>
        <w:t xml:space="preserve">EXECUTIVE OFFICERS </w:t>
      </w:r>
      <w:r>
        <w:rPr>
          <w:rFonts w:ascii="Arial" w:cs="Arial" w:eastAsia="Arial" w:hAnsi="Arial"/>
          <w:sz w:val="20"/>
          <w:szCs w:val="20"/>
          <w:color w:val="000000"/>
        </w:rPr>
        <w:t>. . . . . . . . . . . . . . . . . . .</w:t>
      </w:r>
      <w:r>
        <w:rPr>
          <w:sz w:val="20"/>
          <w:szCs w:val="20"/>
          <w:color w:val="auto"/>
        </w:rPr>
        <w:tab/>
      </w:r>
      <w:r>
        <w:rPr>
          <w:rFonts w:ascii="Arial" w:cs="Arial" w:eastAsia="Arial" w:hAnsi="Arial"/>
          <w:sz w:val="17"/>
          <w:szCs w:val="17"/>
          <w:color w:val="auto"/>
        </w:rPr>
        <w:t>30</w:t>
      </w:r>
    </w:p>
    <w:p>
      <w:pPr>
        <w:spacing w:after="0" w:line="49" w:lineRule="exact"/>
        <w:rPr>
          <w:sz w:val="20"/>
          <w:szCs w:val="20"/>
          <w:color w:val="auto"/>
        </w:rPr>
      </w:pPr>
    </w:p>
    <w:p>
      <w:pPr>
        <w:ind w:left="180"/>
        <w:spacing w:after="0"/>
        <w:tabs>
          <w:tab w:leader="none" w:pos="4740" w:val="left"/>
        </w:tabs>
        <w:rPr>
          <w:sz w:val="20"/>
          <w:szCs w:val="20"/>
          <w:color w:val="auto"/>
        </w:rPr>
      </w:pPr>
      <w:r>
        <w:rPr>
          <w:rFonts w:ascii="Arial" w:cs="Arial" w:eastAsia="Arial" w:hAnsi="Arial"/>
          <w:sz w:val="20"/>
          <w:szCs w:val="20"/>
          <w:b w:val="1"/>
          <w:bCs w:val="1"/>
          <w:color w:val="0E3C23"/>
        </w:rPr>
        <w:t xml:space="preserve">EXECUTIVE COMPENSATION  </w:t>
      </w:r>
      <w:r>
        <w:rPr>
          <w:rFonts w:ascii="Arial" w:cs="Arial" w:eastAsia="Arial" w:hAnsi="Arial"/>
          <w:sz w:val="20"/>
          <w:szCs w:val="20"/>
          <w:color w:val="000000"/>
        </w:rPr>
        <w:t>. . . . . . . . . . . . . .</w:t>
      </w:r>
      <w:r>
        <w:rPr>
          <w:sz w:val="20"/>
          <w:szCs w:val="20"/>
          <w:color w:val="auto"/>
        </w:rPr>
        <w:tab/>
      </w:r>
      <w:r>
        <w:rPr>
          <w:rFonts w:ascii="Arial" w:cs="Arial" w:eastAsia="Arial" w:hAnsi="Arial"/>
          <w:sz w:val="17"/>
          <w:szCs w:val="17"/>
          <w:color w:val="auto"/>
        </w:rPr>
        <w:t>31</w:t>
      </w:r>
    </w:p>
    <w:p>
      <w:pPr>
        <w:spacing w:after="0" w:line="49" w:lineRule="exact"/>
        <w:rPr>
          <w:sz w:val="20"/>
          <w:szCs w:val="20"/>
          <w:color w:val="auto"/>
        </w:rPr>
      </w:pPr>
    </w:p>
    <w:p>
      <w:pPr>
        <w:ind w:left="380"/>
        <w:spacing w:after="0"/>
        <w:tabs>
          <w:tab w:leader="none" w:pos="4740" w:val="left"/>
        </w:tabs>
        <w:rPr>
          <w:sz w:val="20"/>
          <w:szCs w:val="20"/>
          <w:color w:val="auto"/>
        </w:rPr>
      </w:pPr>
      <w:r>
        <w:rPr>
          <w:rFonts w:ascii="Arial" w:cs="Arial" w:eastAsia="Arial" w:hAnsi="Arial"/>
          <w:sz w:val="20"/>
          <w:szCs w:val="20"/>
          <w:b w:val="1"/>
          <w:bCs w:val="1"/>
          <w:color w:val="0E3C23"/>
        </w:rPr>
        <w:t xml:space="preserve">Compensation Discussion and Analysis  </w:t>
      </w:r>
      <w:r>
        <w:rPr>
          <w:rFonts w:ascii="Arial" w:cs="Arial" w:eastAsia="Arial" w:hAnsi="Arial"/>
          <w:sz w:val="20"/>
          <w:szCs w:val="20"/>
          <w:color w:val="000000"/>
        </w:rPr>
        <w:t>. . . .</w:t>
      </w:r>
      <w:r>
        <w:rPr>
          <w:sz w:val="20"/>
          <w:szCs w:val="20"/>
          <w:color w:val="auto"/>
        </w:rPr>
        <w:tab/>
      </w:r>
      <w:r>
        <w:rPr>
          <w:rFonts w:ascii="Arial" w:cs="Arial" w:eastAsia="Arial" w:hAnsi="Arial"/>
          <w:sz w:val="17"/>
          <w:szCs w:val="17"/>
          <w:color w:val="auto"/>
        </w:rPr>
        <w:t>31</w:t>
      </w:r>
    </w:p>
    <w:p>
      <w:pPr>
        <w:spacing w:after="0" w:line="46" w:lineRule="exact"/>
        <w:rPr>
          <w:sz w:val="20"/>
          <w:szCs w:val="20"/>
          <w:color w:val="auto"/>
        </w:rPr>
      </w:pPr>
    </w:p>
    <w:p>
      <w:pPr>
        <w:ind w:left="580"/>
        <w:spacing w:after="0"/>
        <w:tabs>
          <w:tab w:leader="none" w:pos="4740" w:val="left"/>
        </w:tabs>
        <w:rPr>
          <w:sz w:val="20"/>
          <w:szCs w:val="20"/>
          <w:color w:val="auto"/>
        </w:rPr>
      </w:pPr>
      <w:r>
        <w:rPr>
          <w:rFonts w:ascii="Arial" w:cs="Arial" w:eastAsia="Arial" w:hAnsi="Arial"/>
          <w:sz w:val="20"/>
          <w:szCs w:val="20"/>
          <w:color w:val="auto"/>
        </w:rPr>
        <w:t>Introduction . . . . . . . . . . . . . . . . . . . . . . .</w:t>
      </w:r>
      <w:r>
        <w:rPr>
          <w:sz w:val="20"/>
          <w:szCs w:val="20"/>
          <w:color w:val="auto"/>
        </w:rPr>
        <w:tab/>
      </w:r>
      <w:r>
        <w:rPr>
          <w:rFonts w:ascii="Arial" w:cs="Arial" w:eastAsia="Arial" w:hAnsi="Arial"/>
          <w:sz w:val="17"/>
          <w:szCs w:val="17"/>
          <w:color w:val="auto"/>
        </w:rPr>
        <w:t>31</w:t>
      </w:r>
    </w:p>
    <w:p>
      <w:pPr>
        <w:spacing w:after="0" w:line="49" w:lineRule="exact"/>
        <w:rPr>
          <w:sz w:val="20"/>
          <w:szCs w:val="20"/>
          <w:color w:val="auto"/>
        </w:rPr>
      </w:pPr>
    </w:p>
    <w:p>
      <w:pPr>
        <w:ind w:left="580"/>
        <w:spacing w:after="0"/>
        <w:tabs>
          <w:tab w:leader="none" w:pos="4740" w:val="left"/>
        </w:tabs>
        <w:rPr>
          <w:sz w:val="20"/>
          <w:szCs w:val="20"/>
          <w:color w:val="auto"/>
        </w:rPr>
      </w:pPr>
      <w:r>
        <w:rPr>
          <w:rFonts w:ascii="Arial" w:cs="Arial" w:eastAsia="Arial" w:hAnsi="Arial"/>
          <w:sz w:val="20"/>
          <w:szCs w:val="20"/>
          <w:color w:val="auto"/>
        </w:rPr>
        <w:t>Executive Summary  . . . . . . . . . . . . . . . . .</w:t>
      </w:r>
      <w:r>
        <w:rPr>
          <w:sz w:val="20"/>
          <w:szCs w:val="20"/>
          <w:color w:val="auto"/>
        </w:rPr>
        <w:tab/>
      </w:r>
      <w:r>
        <w:rPr>
          <w:rFonts w:ascii="Arial" w:cs="Arial" w:eastAsia="Arial" w:hAnsi="Arial"/>
          <w:sz w:val="17"/>
          <w:szCs w:val="17"/>
          <w:color w:val="auto"/>
        </w:rPr>
        <w:t>31</w:t>
      </w:r>
    </w:p>
    <w:p>
      <w:pPr>
        <w:spacing w:after="0" w:line="49" w:lineRule="exact"/>
        <w:rPr>
          <w:sz w:val="20"/>
          <w:szCs w:val="20"/>
          <w:color w:val="auto"/>
        </w:rPr>
      </w:pPr>
    </w:p>
    <w:p>
      <w:pPr>
        <w:ind w:left="580"/>
        <w:spacing w:after="0"/>
        <w:rPr>
          <w:sz w:val="20"/>
          <w:szCs w:val="20"/>
          <w:color w:val="auto"/>
        </w:rPr>
      </w:pPr>
      <w:r>
        <w:rPr>
          <w:rFonts w:ascii="Arial" w:cs="Arial" w:eastAsia="Arial" w:hAnsi="Arial"/>
          <w:sz w:val="20"/>
          <w:szCs w:val="20"/>
          <w:color w:val="auto"/>
        </w:rPr>
        <w:t>2024 Compensation Program Results and</w:t>
      </w:r>
    </w:p>
    <w:p>
      <w:pPr>
        <w:spacing w:after="0" w:line="9" w:lineRule="exact"/>
        <w:rPr>
          <w:sz w:val="20"/>
          <w:szCs w:val="20"/>
          <w:color w:val="auto"/>
        </w:rPr>
      </w:pPr>
    </w:p>
    <w:p>
      <w:pPr>
        <w:ind w:left="780"/>
        <w:spacing w:after="0"/>
        <w:tabs>
          <w:tab w:leader="none" w:pos="2880" w:val="left"/>
          <w:tab w:leader="none" w:pos="4740" w:val="left"/>
        </w:tabs>
        <w:rPr>
          <w:sz w:val="20"/>
          <w:szCs w:val="20"/>
          <w:color w:val="auto"/>
        </w:rPr>
      </w:pPr>
      <w:r>
        <w:rPr>
          <w:rFonts w:ascii="Arial" w:cs="Arial" w:eastAsia="Arial" w:hAnsi="Arial"/>
          <w:sz w:val="20"/>
          <w:szCs w:val="20"/>
          <w:color w:val="auto"/>
        </w:rPr>
        <w:t>Company Performance</w:t>
        <w:tab/>
        <w:t>. . . . . . . . . . . . .</w:t>
      </w:r>
      <w:r>
        <w:rPr>
          <w:sz w:val="20"/>
          <w:szCs w:val="20"/>
          <w:color w:val="auto"/>
        </w:rPr>
        <w:tab/>
      </w:r>
      <w:r>
        <w:rPr>
          <w:rFonts w:ascii="Arial" w:cs="Arial" w:eastAsia="Arial" w:hAnsi="Arial"/>
          <w:sz w:val="17"/>
          <w:szCs w:val="17"/>
          <w:color w:val="auto"/>
        </w:rPr>
        <w:t>32</w:t>
      </w:r>
    </w:p>
    <w:p>
      <w:pPr>
        <w:spacing w:after="0" w:line="49" w:lineRule="exact"/>
        <w:rPr>
          <w:sz w:val="20"/>
          <w:szCs w:val="20"/>
          <w:color w:val="auto"/>
        </w:rPr>
      </w:pPr>
    </w:p>
    <w:p>
      <w:pPr>
        <w:ind w:left="580"/>
        <w:spacing w:after="0"/>
        <w:rPr>
          <w:sz w:val="20"/>
          <w:szCs w:val="20"/>
          <w:color w:val="auto"/>
        </w:rPr>
      </w:pPr>
      <w:r>
        <w:rPr>
          <w:rFonts w:ascii="Arial" w:cs="Arial" w:eastAsia="Arial" w:hAnsi="Arial"/>
          <w:sz w:val="20"/>
          <w:szCs w:val="20"/>
          <w:color w:val="auto"/>
        </w:rPr>
        <w:t>Consideration of Stockholder Advisory</w:t>
      </w:r>
    </w:p>
    <w:p>
      <w:pPr>
        <w:spacing w:after="0" w:line="9" w:lineRule="exact"/>
        <w:rPr>
          <w:sz w:val="20"/>
          <w:szCs w:val="20"/>
          <w:color w:val="auto"/>
        </w:rPr>
      </w:pPr>
    </w:p>
    <w:p>
      <w:pPr>
        <w:ind w:left="780"/>
        <w:spacing w:after="0"/>
        <w:tabs>
          <w:tab w:leader="none" w:pos="4740" w:val="left"/>
        </w:tabs>
        <w:rPr>
          <w:sz w:val="20"/>
          <w:szCs w:val="20"/>
          <w:color w:val="auto"/>
        </w:rPr>
      </w:pPr>
      <w:r>
        <w:rPr>
          <w:rFonts w:ascii="Arial" w:cs="Arial" w:eastAsia="Arial" w:hAnsi="Arial"/>
          <w:sz w:val="20"/>
          <w:szCs w:val="20"/>
          <w:color w:val="auto"/>
        </w:rPr>
        <w:t>Vote . . . . . . . . . . . . . . . . . . . . . . . . . . .</w:t>
      </w:r>
      <w:r>
        <w:rPr>
          <w:sz w:val="20"/>
          <w:szCs w:val="20"/>
          <w:color w:val="auto"/>
        </w:rPr>
        <w:tab/>
      </w: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w w:val="88"/>
              </w:rPr>
              <w:t>Page</w:t>
            </w:r>
          </w:p>
        </w:tc>
      </w:tr>
      <w:tr>
        <w:trPr>
          <w:trHeight w:val="34"/>
        </w:trPr>
        <w:tc>
          <w:tcPr>
            <w:tcW w:w="4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42"/>
        </w:trPr>
        <w:tc>
          <w:tcPr>
            <w:tcW w:w="4440" w:type="dxa"/>
            <w:vAlign w:val="bottom"/>
          </w:tcPr>
          <w:p>
            <w:pPr>
              <w:ind w:left="400"/>
              <w:spacing w:after="0"/>
              <w:rPr>
                <w:sz w:val="20"/>
                <w:szCs w:val="20"/>
                <w:color w:val="auto"/>
              </w:rPr>
            </w:pPr>
            <w:r>
              <w:rPr>
                <w:rFonts w:ascii="Arial" w:cs="Arial" w:eastAsia="Arial" w:hAnsi="Arial"/>
                <w:sz w:val="20"/>
                <w:szCs w:val="20"/>
                <w:color w:val="auto"/>
              </w:rPr>
              <w:t>2025 Compensation Program Preview . . . . .</w:t>
            </w:r>
          </w:p>
        </w:tc>
        <w:tc>
          <w:tcPr>
            <w:tcW w:w="36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Our Compensation Philosophy for Named</w:t>
            </w:r>
          </w:p>
        </w:tc>
        <w:tc>
          <w:tcPr>
            <w:tcW w:w="360" w:type="dxa"/>
            <w:vAlign w:val="bottom"/>
          </w:tcPr>
          <w:p>
            <w:pPr>
              <w:spacing w:after="0"/>
              <w:rPr>
                <w:sz w:val="24"/>
                <w:szCs w:val="24"/>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Executive Officers .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Overview of Elements of Our 2024 Executive</w:t>
            </w:r>
          </w:p>
        </w:tc>
        <w:tc>
          <w:tcPr>
            <w:tcW w:w="360" w:type="dxa"/>
            <w:vAlign w:val="bottom"/>
          </w:tcPr>
          <w:p>
            <w:pPr>
              <w:spacing w:after="0"/>
              <w:rPr>
                <w:sz w:val="24"/>
                <w:szCs w:val="24"/>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Compensation Program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How Named Executive Officer Compensation</w:t>
            </w:r>
          </w:p>
        </w:tc>
        <w:tc>
          <w:tcPr>
            <w:tcW w:w="360" w:type="dxa"/>
            <w:vAlign w:val="bottom"/>
          </w:tcPr>
          <w:p>
            <w:pPr>
              <w:spacing w:after="0"/>
              <w:rPr>
                <w:sz w:val="24"/>
                <w:szCs w:val="24"/>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Decisions are Made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Named Executives’ 2024 Compensation</w:t>
            </w:r>
          </w:p>
        </w:tc>
        <w:tc>
          <w:tcPr>
            <w:tcW w:w="360" w:type="dxa"/>
            <w:vAlign w:val="bottom"/>
          </w:tcPr>
          <w:p>
            <w:pPr>
              <w:spacing w:after="0"/>
              <w:rPr>
                <w:sz w:val="24"/>
                <w:szCs w:val="24"/>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Program and Results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Post-Employment and Change in Control</w:t>
            </w:r>
          </w:p>
        </w:tc>
        <w:tc>
          <w:tcPr>
            <w:tcW w:w="360" w:type="dxa"/>
            <w:vAlign w:val="bottom"/>
          </w:tcPr>
          <w:p>
            <w:pPr>
              <w:spacing w:after="0"/>
              <w:rPr>
                <w:sz w:val="24"/>
                <w:szCs w:val="24"/>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Compensation; Clawback Policies  . . . . . .</w:t>
            </w:r>
          </w:p>
        </w:tc>
        <w:tc>
          <w:tcPr>
            <w:tcW w:w="3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Other Compensation Policies and</w:t>
            </w:r>
          </w:p>
        </w:tc>
        <w:tc>
          <w:tcPr>
            <w:tcW w:w="360" w:type="dxa"/>
            <w:vAlign w:val="bottom"/>
          </w:tcPr>
          <w:p>
            <w:pPr>
              <w:spacing w:after="0"/>
              <w:rPr>
                <w:sz w:val="24"/>
                <w:szCs w:val="24"/>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Practices  . .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83"/>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E3C23"/>
                <w:w w:val="99"/>
              </w:rPr>
              <w:t xml:space="preserve">Executive Compensation Tables </w:t>
            </w:r>
            <w:r>
              <w:rPr>
                <w:rFonts w:ascii="Arial" w:cs="Arial" w:eastAsia="Arial" w:hAnsi="Arial"/>
                <w:sz w:val="20"/>
                <w:szCs w:val="20"/>
                <w:color w:val="000000"/>
                <w:w w:val="99"/>
              </w:rPr>
              <w:t>.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75"/>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Summary Compensation Table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Grant of Plan-Based Awards in 2024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Outstanding Equity Awards as of</w:t>
            </w:r>
          </w:p>
        </w:tc>
        <w:tc>
          <w:tcPr>
            <w:tcW w:w="360" w:type="dxa"/>
            <w:vAlign w:val="bottom"/>
          </w:tcPr>
          <w:p>
            <w:pPr>
              <w:spacing w:after="0"/>
              <w:rPr>
                <w:sz w:val="24"/>
                <w:szCs w:val="24"/>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December 31, 2024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Option Exercises and Stock Vested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Nonqualified Deferred Compensation in</w:t>
            </w:r>
          </w:p>
        </w:tc>
        <w:tc>
          <w:tcPr>
            <w:tcW w:w="360" w:type="dxa"/>
            <w:vAlign w:val="bottom"/>
          </w:tcPr>
          <w:p>
            <w:pPr>
              <w:spacing w:after="0"/>
              <w:rPr>
                <w:sz w:val="24"/>
                <w:szCs w:val="24"/>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2024  . . . . . . . . . . . . . . . . . . . . . . . . . .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Potential Payments Upon Termination or</w:t>
            </w:r>
          </w:p>
        </w:tc>
        <w:tc>
          <w:tcPr>
            <w:tcW w:w="360" w:type="dxa"/>
            <w:vAlign w:val="bottom"/>
          </w:tcPr>
          <w:p>
            <w:pPr>
              <w:spacing w:after="0"/>
              <w:rPr>
                <w:sz w:val="24"/>
                <w:szCs w:val="24"/>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Change in Control  .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auto"/>
              </w:rPr>
              <w:t>Potential Consideration Upon Termination of</w:t>
            </w:r>
          </w:p>
        </w:tc>
        <w:tc>
          <w:tcPr>
            <w:tcW w:w="360" w:type="dxa"/>
            <w:vAlign w:val="bottom"/>
          </w:tcPr>
          <w:p>
            <w:pPr>
              <w:spacing w:after="0"/>
              <w:rPr>
                <w:sz w:val="24"/>
                <w:szCs w:val="24"/>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Employment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Chief Executive Officer Pay Ratio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color w:val="auto"/>
              </w:rPr>
              <w:t>Equity Compensation Plan Table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83"/>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E3C23"/>
              </w:rPr>
              <w:t xml:space="preserve">Pay Versus Performance </w:t>
            </w:r>
            <w:r>
              <w:rPr>
                <w:rFonts w:ascii="Arial" w:cs="Arial" w:eastAsia="Arial" w:hAnsi="Arial"/>
                <w:sz w:val="20"/>
                <w:szCs w:val="20"/>
                <w:color w:val="000000"/>
              </w:rPr>
              <w:t>.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79"/>
        </w:trPr>
        <w:tc>
          <w:tcPr>
            <w:tcW w:w="4440" w:type="dxa"/>
            <w:vAlign w:val="bottom"/>
          </w:tcPr>
          <w:p>
            <w:pPr>
              <w:spacing w:after="0"/>
              <w:rPr>
                <w:sz w:val="20"/>
                <w:szCs w:val="20"/>
                <w:color w:val="auto"/>
              </w:rPr>
            </w:pPr>
            <w:r>
              <w:rPr>
                <w:rFonts w:ascii="Arial" w:cs="Arial" w:eastAsia="Arial" w:hAnsi="Arial"/>
                <w:sz w:val="20"/>
                <w:szCs w:val="20"/>
                <w:b w:val="1"/>
                <w:bCs w:val="1"/>
                <w:color w:val="0E3C23"/>
                <w:w w:val="96"/>
              </w:rPr>
              <w:t>RATIFICATION OF INDEPENDENT REGISTERED</w:t>
            </w:r>
          </w:p>
        </w:tc>
        <w:tc>
          <w:tcPr>
            <w:tcW w:w="360" w:type="dxa"/>
            <w:vAlign w:val="bottom"/>
          </w:tcPr>
          <w:p>
            <w:pPr>
              <w:spacing w:after="0"/>
              <w:rPr>
                <w:sz w:val="24"/>
                <w:szCs w:val="24"/>
                <w:color w:val="auto"/>
              </w:rPr>
            </w:pPr>
          </w:p>
        </w:tc>
      </w:tr>
      <w:tr>
        <w:trPr>
          <w:trHeight w:val="239"/>
        </w:trPr>
        <w:tc>
          <w:tcPr>
            <w:tcW w:w="4440" w:type="dxa"/>
            <w:vAlign w:val="bottom"/>
          </w:tcPr>
          <w:p>
            <w:pPr>
              <w:jc w:val="right"/>
              <w:ind w:right="520"/>
              <w:spacing w:after="0"/>
              <w:rPr>
                <w:sz w:val="20"/>
                <w:szCs w:val="20"/>
                <w:color w:val="auto"/>
              </w:rPr>
            </w:pPr>
            <w:r>
              <w:rPr>
                <w:rFonts w:ascii="Arial" w:cs="Arial" w:eastAsia="Arial" w:hAnsi="Arial"/>
                <w:sz w:val="20"/>
                <w:szCs w:val="20"/>
                <w:b w:val="1"/>
                <w:bCs w:val="1"/>
                <w:color w:val="0E3C23"/>
                <w:w w:val="93"/>
              </w:rPr>
              <w:t>PUBLIC ACCOUNTING FIRM (Item 2 on the</w:t>
            </w:r>
          </w:p>
        </w:tc>
        <w:tc>
          <w:tcPr>
            <w:tcW w:w="360" w:type="dxa"/>
            <w:vAlign w:val="bottom"/>
          </w:tcPr>
          <w:p>
            <w:pPr>
              <w:spacing w:after="0"/>
              <w:rPr>
                <w:sz w:val="20"/>
                <w:szCs w:val="20"/>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E3C23"/>
              </w:rPr>
              <w:t xml:space="preserve">Proxy Card)  </w:t>
            </w:r>
            <w:r>
              <w:rPr>
                <w:rFonts w:ascii="Arial" w:cs="Arial" w:eastAsia="Arial" w:hAnsi="Arial"/>
                <w:sz w:val="20"/>
                <w:szCs w:val="20"/>
                <w:color w:val="000000"/>
              </w:rPr>
              <w:t>. . .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79"/>
        </w:trPr>
        <w:tc>
          <w:tcPr>
            <w:tcW w:w="4440" w:type="dxa"/>
            <w:vAlign w:val="bottom"/>
          </w:tcPr>
          <w:p>
            <w:pPr>
              <w:spacing w:after="0"/>
              <w:rPr>
                <w:sz w:val="20"/>
                <w:szCs w:val="20"/>
                <w:color w:val="auto"/>
              </w:rPr>
            </w:pPr>
            <w:r>
              <w:rPr>
                <w:rFonts w:ascii="Arial" w:cs="Arial" w:eastAsia="Arial" w:hAnsi="Arial"/>
                <w:sz w:val="20"/>
                <w:szCs w:val="20"/>
                <w:b w:val="1"/>
                <w:bCs w:val="1"/>
                <w:color w:val="0E3C23"/>
              </w:rPr>
              <w:t>ADVISORY VOTE ON EXECUTIVE</w:t>
            </w:r>
          </w:p>
        </w:tc>
        <w:tc>
          <w:tcPr>
            <w:tcW w:w="360" w:type="dxa"/>
            <w:vAlign w:val="bottom"/>
          </w:tcPr>
          <w:p>
            <w:pPr>
              <w:spacing w:after="0"/>
              <w:rPr>
                <w:sz w:val="24"/>
                <w:szCs w:val="24"/>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E3C23"/>
                <w:w w:val="94"/>
              </w:rPr>
              <w:t xml:space="preserve">COMPENSATION (Item 3 on the Proxy Card) </w:t>
            </w:r>
            <w:r>
              <w:rPr>
                <w:rFonts w:ascii="Arial" w:cs="Arial" w:eastAsia="Arial" w:hAnsi="Arial"/>
                <w:sz w:val="20"/>
                <w:szCs w:val="20"/>
                <w:color w:val="000000"/>
                <w:w w:val="94"/>
              </w:rPr>
              <w:t>. .</w:t>
            </w:r>
          </w:p>
        </w:tc>
        <w:tc>
          <w:tcPr>
            <w:tcW w:w="36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E3C23"/>
              </w:rPr>
              <w:t xml:space="preserve">APPENDIX A </w:t>
            </w:r>
            <w:r>
              <w:rPr>
                <w:rFonts w:ascii="Arial" w:cs="Arial" w:eastAsia="Arial" w:hAnsi="Arial"/>
                <w:sz w:val="20"/>
                <w:szCs w:val="20"/>
                <w:color w:val="000000"/>
              </w:rPr>
              <w:t>. . . . .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auto"/>
              </w:rPr>
              <w:t>A-1</w:t>
            </w:r>
          </w:p>
        </w:tc>
      </w:tr>
    </w:tbl>
    <w:p>
      <w:pPr>
        <w:sectPr>
          <w:pgSz w:w="13320" w:h="16920" w:orient="portrait"/>
          <w:cols w:equalWidth="0" w:num="2">
            <w:col w:w="4960" w:space="480"/>
            <w:col w:w="5000"/>
          </w:cols>
          <w:pgMar w:left="1440" w:top="1440" w:right="1440" w:bottom="1440" w:gutter="0" w:footer="0" w:header="0"/>
        </w:sectPr>
      </w:pPr>
    </w:p>
    <w:bookmarkStart w:id="6" w:name="page7"/>
    <w:bookmarkEnd w:id="6"/>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Arial" w:cs="Arial" w:eastAsia="Arial" w:hAnsi="Arial"/>
          <w:sz w:val="40"/>
          <w:szCs w:val="40"/>
          <w:color w:val="0E3C23"/>
        </w:rPr>
        <w:t>GENERAL INFORMATION</w:t>
      </w:r>
    </w:p>
    <w:p>
      <w:pPr>
        <w:spacing w:after="0" w:line="266" w:lineRule="exact"/>
        <w:rPr>
          <w:sz w:val="20"/>
          <w:szCs w:val="20"/>
          <w:color w:val="auto"/>
        </w:rPr>
      </w:pPr>
    </w:p>
    <w:p>
      <w:pPr>
        <w:jc w:val="both"/>
        <w:ind w:left="180" w:right="200"/>
        <w:spacing w:after="0" w:line="259" w:lineRule="auto"/>
        <w:rPr>
          <w:sz w:val="20"/>
          <w:szCs w:val="20"/>
          <w:color w:val="auto"/>
        </w:rPr>
      </w:pPr>
      <w:r>
        <w:rPr>
          <w:rFonts w:ascii="Arial" w:cs="Arial" w:eastAsia="Arial" w:hAnsi="Arial"/>
          <w:sz w:val="19"/>
          <w:szCs w:val="19"/>
          <w:color w:val="auto"/>
        </w:rPr>
        <w:t>Waste Management, Inc. is a holding company, and all operations are conducted by its subsidiaries. Our subsidiaries are operated and managed locally and generally focus on providing services in distinct geographic areas. Through our subsidiaries, 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cleaner, renewable energy. On November 4, 2024, we completed our acquisition of Stericycle, Inc. (“Stericycle”). The acquisition expands our offerings in the U.S., and Canada and adds operations in parts of Western Europe. These businesses provide regulated waste and secure information destruction services that protect people and brands, promote health and well-being and safeguard the environment.</w:t>
      </w:r>
    </w:p>
    <w:p>
      <w:pPr>
        <w:spacing w:after="0" w:line="117" w:lineRule="exact"/>
        <w:rPr>
          <w:sz w:val="20"/>
          <w:szCs w:val="20"/>
          <w:color w:val="auto"/>
        </w:rPr>
      </w:pPr>
    </w:p>
    <w:p>
      <w:pPr>
        <w:jc w:val="both"/>
        <w:ind w:left="180" w:right="200"/>
        <w:spacing w:after="0" w:line="244" w:lineRule="auto"/>
        <w:rPr>
          <w:sz w:val="20"/>
          <w:szCs w:val="20"/>
          <w:color w:val="auto"/>
        </w:rPr>
      </w:pPr>
      <w:r>
        <w:rPr>
          <w:rFonts w:ascii="Arial" w:cs="Arial" w:eastAsia="Arial" w:hAnsi="Arial"/>
          <w:sz w:val="20"/>
          <w:szCs w:val="20"/>
          <w:color w:val="auto"/>
        </w:rPr>
        <w:t>Our Board of Directors is soliciting your proxy for the 2025 Annual Meeting of Stockholders and at any postponement or adjournment of the meeting. We are furnishing proxy materials to our stockholders primarily via the Internet. On April 1, 2025, we sent an electronic notice of how to access our proxy materials and our Annual Report to stockholders that have previously signed up to receive their proxy materials via the Internet. On April 1, 2025, we began mailing a Notice of Internet Availability of Proxy Materials to those stockholders that previously have not signed up for electronic delivery. The Notice contains instructions on how stockholders can access our proxy materials at investors.wm.com or request that a printed set of the proxy materials be sent to them.</w:t>
      </w:r>
    </w:p>
    <w:p>
      <w:pPr>
        <w:spacing w:after="0" w:line="129" w:lineRule="exact"/>
        <w:rPr>
          <w:sz w:val="20"/>
          <w:szCs w:val="20"/>
          <w:color w:val="auto"/>
        </w:rPr>
      </w:pPr>
    </w:p>
    <w:p>
      <w:pPr>
        <w:jc w:val="both"/>
        <w:ind w:left="180" w:right="200"/>
        <w:spacing w:after="0" w:line="244" w:lineRule="auto"/>
        <w:rPr>
          <w:sz w:val="20"/>
          <w:szCs w:val="20"/>
          <w:color w:val="auto"/>
        </w:rPr>
      </w:pPr>
      <w:r>
        <w:rPr>
          <w:rFonts w:ascii="Arial" w:cs="Arial" w:eastAsia="Arial" w:hAnsi="Arial"/>
          <w:sz w:val="20"/>
          <w:szCs w:val="20"/>
          <w:b w:val="1"/>
          <w:bCs w:val="1"/>
          <w:color w:val="0E3C23"/>
        </w:rPr>
        <w:t xml:space="preserve">Enroll in Electronic Delivery Today! </w:t>
      </w:r>
      <w:r>
        <w:rPr>
          <w:rFonts w:ascii="Arial" w:cs="Arial" w:eastAsia="Arial" w:hAnsi="Arial"/>
          <w:sz w:val="20"/>
          <w:szCs w:val="20"/>
          <w:color w:val="000000"/>
        </w:rPr>
        <w:t>We encourage stockholders to elect to receive all future proxy materials</w:t>
      </w:r>
      <w:r>
        <w:rPr>
          <w:rFonts w:ascii="Arial" w:cs="Arial" w:eastAsia="Arial" w:hAnsi="Arial"/>
          <w:sz w:val="20"/>
          <w:szCs w:val="20"/>
          <w:b w:val="1"/>
          <w:bCs w:val="1"/>
          <w:color w:val="0E3C23"/>
        </w:rPr>
        <w:t xml:space="preserve"> </w:t>
      </w:r>
      <w:r>
        <w:rPr>
          <w:rFonts w:ascii="Arial" w:cs="Arial" w:eastAsia="Arial" w:hAnsi="Arial"/>
          <w:sz w:val="20"/>
          <w:szCs w:val="20"/>
          <w:color w:val="000000"/>
        </w:rPr>
        <w:t>electronically, which is free, fast, convenient and helps lower our printing and postage costs. If you are a beneficial owner, visit www.proxyvote.com or follow the instructions on the Notice, proxy card or voting instructions. All stockholders may also enroll at enroll.icsdelivery.com/wmi.</w:t>
      </w:r>
    </w:p>
    <w:p>
      <w:pPr>
        <w:spacing w:after="0" w:line="126" w:lineRule="exact"/>
        <w:rPr>
          <w:sz w:val="20"/>
          <w:szCs w:val="20"/>
          <w:color w:val="auto"/>
        </w:rPr>
      </w:pPr>
    </w:p>
    <w:p>
      <w:pPr>
        <w:ind w:left="180"/>
        <w:spacing w:after="0"/>
        <w:tabs>
          <w:tab w:leader="none" w:pos="3760" w:val="left"/>
        </w:tabs>
        <w:rPr>
          <w:sz w:val="20"/>
          <w:szCs w:val="20"/>
          <w:color w:val="auto"/>
        </w:rPr>
      </w:pPr>
      <w:r>
        <w:rPr>
          <w:rFonts w:ascii="Arial" w:cs="Arial" w:eastAsia="Arial" w:hAnsi="Arial"/>
          <w:sz w:val="20"/>
          <w:szCs w:val="20"/>
          <w:b w:val="1"/>
          <w:bCs w:val="1"/>
          <w:color w:val="0E3C23"/>
        </w:rPr>
        <w:t>Shares Outstanding on the Record Date</w:t>
      </w:r>
      <w:r>
        <w:rPr>
          <w:sz w:val="20"/>
          <w:szCs w:val="20"/>
          <w:color w:val="auto"/>
        </w:rPr>
        <w:tab/>
      </w:r>
      <w:r>
        <w:rPr>
          <w:rFonts w:ascii="Arial" w:cs="Arial" w:eastAsia="Arial" w:hAnsi="Arial"/>
          <w:sz w:val="18"/>
          <w:szCs w:val="18"/>
          <w:color w:val="auto"/>
        </w:rPr>
        <w:t>There were 402,332,424 shares of common stock of Waste Management, Inc.</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(our “Common Stock”) outstanding and entitled to vote as of March 18, 2025, the record date for the Annual Meeting.</w:t>
      </w:r>
    </w:p>
    <w:p>
      <w:pPr>
        <w:spacing w:after="0" w:line="135" w:lineRule="exact"/>
        <w:rPr>
          <w:sz w:val="20"/>
          <w:szCs w:val="20"/>
          <w:color w:val="auto"/>
        </w:rPr>
      </w:pPr>
    </w:p>
    <w:p>
      <w:pPr>
        <w:jc w:val="both"/>
        <w:ind w:left="180" w:right="200"/>
        <w:spacing w:after="0" w:line="245" w:lineRule="auto"/>
        <w:rPr>
          <w:sz w:val="20"/>
          <w:szCs w:val="20"/>
          <w:color w:val="auto"/>
        </w:rPr>
      </w:pPr>
      <w:r>
        <w:rPr>
          <w:rFonts w:ascii="Arial" w:cs="Arial" w:eastAsia="Arial" w:hAnsi="Arial"/>
          <w:sz w:val="20"/>
          <w:szCs w:val="20"/>
          <w:b w:val="1"/>
          <w:bCs w:val="1"/>
          <w:color w:val="0E3C23"/>
        </w:rPr>
        <w:t xml:space="preserve">Attending the Meeting </w:t>
      </w:r>
      <w:r>
        <w:rPr>
          <w:rFonts w:ascii="Arial" w:cs="Arial" w:eastAsia="Arial" w:hAnsi="Arial"/>
          <w:sz w:val="20"/>
          <w:szCs w:val="20"/>
          <w:color w:val="000000"/>
        </w:rPr>
        <w:t>Only stockholders, their proxy holders and our invited guests may attend the Annual Meeting. If</w:t>
      </w:r>
      <w:r>
        <w:rPr>
          <w:rFonts w:ascii="Arial" w:cs="Arial" w:eastAsia="Arial" w:hAnsi="Arial"/>
          <w:sz w:val="20"/>
          <w:szCs w:val="20"/>
          <w:b w:val="1"/>
          <w:bCs w:val="1"/>
          <w:color w:val="0E3C23"/>
        </w:rPr>
        <w:t xml:space="preserve"> </w:t>
      </w:r>
      <w:r>
        <w:rPr>
          <w:rFonts w:ascii="Arial" w:cs="Arial" w:eastAsia="Arial" w:hAnsi="Arial"/>
          <w:sz w:val="20"/>
          <w:szCs w:val="20"/>
          <w:color w:val="000000"/>
        </w:rPr>
        <w:t>you plan to attend, please bring identification. If you are a beneficial owner that holds shares in street name through a bank or broker, you must also bring your bank or broker statement showing your beneficial ownership of Waste Management, Inc. Common Stock in order to be admitted to the meeting. If you are planning to attend our Annual Meeting and require directions to the meeting, please contact our Corporate Secretary’ s office at 713-512-6374. The only items that we anticipate will be discussed at the Annual Meeting are the items set out in the Notice. We do not anticipate that there will be any presentations.</w:t>
      </w:r>
    </w:p>
    <w:p>
      <w:pPr>
        <w:spacing w:after="0" w:line="125" w:lineRule="exact"/>
        <w:rPr>
          <w:sz w:val="20"/>
          <w:szCs w:val="20"/>
          <w:color w:val="auto"/>
        </w:rPr>
      </w:pPr>
    </w:p>
    <w:p>
      <w:pPr>
        <w:jc w:val="both"/>
        <w:ind w:left="180" w:right="200"/>
        <w:spacing w:after="0" w:line="259" w:lineRule="auto"/>
        <w:rPr>
          <w:sz w:val="20"/>
          <w:szCs w:val="20"/>
          <w:color w:val="auto"/>
        </w:rPr>
      </w:pPr>
      <w:r>
        <w:rPr>
          <w:rFonts w:ascii="Arial" w:cs="Arial" w:eastAsia="Arial" w:hAnsi="Arial"/>
          <w:sz w:val="19"/>
          <w:szCs w:val="19"/>
          <w:b w:val="1"/>
          <w:bCs w:val="1"/>
          <w:color w:val="0E3C23"/>
        </w:rPr>
        <w:t xml:space="preserve">Voting Instructions </w:t>
      </w:r>
      <w:r>
        <w:rPr>
          <w:rFonts w:ascii="Arial" w:cs="Arial" w:eastAsia="Arial" w:hAnsi="Arial"/>
          <w:sz w:val="19"/>
          <w:szCs w:val="19"/>
          <w:color w:val="000000"/>
        </w:rPr>
        <w:t>You can submit your proxy by Internet, phone or mail. You may receive more than one proxy card</w:t>
      </w:r>
      <w:r>
        <w:rPr>
          <w:rFonts w:ascii="Arial" w:cs="Arial" w:eastAsia="Arial" w:hAnsi="Arial"/>
          <w:sz w:val="19"/>
          <w:szCs w:val="19"/>
          <w:b w:val="1"/>
          <w:bCs w:val="1"/>
          <w:color w:val="0E3C23"/>
        </w:rPr>
        <w:t xml:space="preserve"> </w:t>
      </w:r>
      <w:r>
        <w:rPr>
          <w:rFonts w:ascii="Arial" w:cs="Arial" w:eastAsia="Arial" w:hAnsi="Arial"/>
          <w:sz w:val="19"/>
          <w:szCs w:val="19"/>
          <w:color w:val="000000"/>
        </w:rPr>
        <w:t>depending on how you hold your shares. You should complete and return each proxy or other voting instruction request provided to you. If you are a beneficial owner that holds shares in street name through a bank or broker, you will receive instructions from your bank, broker or nominee that you must follow in order to have your shares of Common Stock voted at the Annual Meeting, and your ability to submit your voting instructions by phone or over the Internet depends on your bank’s or broker’s voting process. If you complete and submit your proxy voting instructions, the persons named as proxies will follow your instructions. If you submit your proxy but do not give voting instructions, we will vote your shares in accordance with the recommendation of the Board on each of the proposals set forth below.</w:t>
      </w:r>
    </w:p>
    <w:p>
      <w:pPr>
        <w:spacing w:after="0" w:line="117" w:lineRule="exact"/>
        <w:rPr>
          <w:sz w:val="20"/>
          <w:szCs w:val="20"/>
          <w:color w:val="auto"/>
        </w:rPr>
      </w:pPr>
    </w:p>
    <w:p>
      <w:pPr>
        <w:jc w:val="both"/>
        <w:ind w:left="180" w:right="200"/>
        <w:spacing w:after="0" w:line="244" w:lineRule="auto"/>
        <w:rPr>
          <w:sz w:val="20"/>
          <w:szCs w:val="20"/>
          <w:color w:val="auto"/>
        </w:rPr>
      </w:pPr>
      <w:r>
        <w:rPr>
          <w:rFonts w:ascii="Arial" w:cs="Arial" w:eastAsia="Arial" w:hAnsi="Arial"/>
          <w:sz w:val="20"/>
          <w:szCs w:val="20"/>
          <w:b w:val="1"/>
          <w:bCs w:val="1"/>
          <w:color w:val="0E3C23"/>
        </w:rPr>
        <w:t xml:space="preserve">Other Matters </w:t>
      </w:r>
      <w:r>
        <w:rPr>
          <w:rFonts w:ascii="Arial" w:cs="Arial" w:eastAsia="Arial" w:hAnsi="Arial"/>
          <w:sz w:val="20"/>
          <w:szCs w:val="20"/>
          <w:color w:val="000000"/>
        </w:rPr>
        <w:t>The Company does not intend to bring any other matters before the Annual Meeting, nor does the</w:t>
      </w:r>
      <w:r>
        <w:rPr>
          <w:rFonts w:ascii="Arial" w:cs="Arial" w:eastAsia="Arial" w:hAnsi="Arial"/>
          <w:sz w:val="20"/>
          <w:szCs w:val="20"/>
          <w:b w:val="1"/>
          <w:bCs w:val="1"/>
          <w:color w:val="0E3C23"/>
        </w:rPr>
        <w:t xml:space="preserve"> </w:t>
      </w:r>
      <w:r>
        <w:rPr>
          <w:rFonts w:ascii="Arial" w:cs="Arial" w:eastAsia="Arial" w:hAnsi="Arial"/>
          <w:sz w:val="20"/>
          <w:szCs w:val="20"/>
          <w:color w:val="000000"/>
        </w:rPr>
        <w:t>Company have any present knowledge that any other matters will be presented by others for action at the meeting. If any other matters are properly presented, your proxy card authorizes the people named as proxy holders to vote using their judgment.</w:t>
      </w:r>
    </w:p>
    <w:p>
      <w:pPr>
        <w:spacing w:after="0" w:line="126" w:lineRule="exact"/>
        <w:rPr>
          <w:sz w:val="20"/>
          <w:szCs w:val="20"/>
          <w:color w:val="auto"/>
        </w:rPr>
      </w:pPr>
    </w:p>
    <w:p>
      <w:pPr>
        <w:jc w:val="both"/>
        <w:ind w:left="180" w:right="200"/>
        <w:spacing w:after="0" w:line="245" w:lineRule="auto"/>
        <w:rPr>
          <w:sz w:val="20"/>
          <w:szCs w:val="20"/>
          <w:color w:val="auto"/>
        </w:rPr>
      </w:pPr>
      <w:r>
        <w:rPr>
          <w:rFonts w:ascii="Arial" w:cs="Arial" w:eastAsia="Arial" w:hAnsi="Arial"/>
          <w:sz w:val="20"/>
          <w:szCs w:val="20"/>
          <w:b w:val="1"/>
          <w:bCs w:val="1"/>
          <w:color w:val="0E3C23"/>
        </w:rPr>
        <w:t xml:space="preserve">Voting and Asking Questions at the Meeting </w:t>
      </w:r>
      <w:r>
        <w:rPr>
          <w:rFonts w:ascii="Arial" w:cs="Arial" w:eastAsia="Arial" w:hAnsi="Arial"/>
          <w:sz w:val="20"/>
          <w:szCs w:val="20"/>
          <w:color w:val="000000"/>
        </w:rPr>
        <w:t>Stockholders can vote and ask questions at the Annual Meeting relevant</w:t>
      </w:r>
      <w:r>
        <w:rPr>
          <w:rFonts w:ascii="Arial" w:cs="Arial" w:eastAsia="Arial" w:hAnsi="Arial"/>
          <w:sz w:val="20"/>
          <w:szCs w:val="20"/>
          <w:b w:val="1"/>
          <w:bCs w:val="1"/>
          <w:color w:val="0E3C23"/>
        </w:rPr>
        <w:t xml:space="preserve"> </w:t>
      </w:r>
      <w:r>
        <w:rPr>
          <w:rFonts w:ascii="Arial" w:cs="Arial" w:eastAsia="Arial" w:hAnsi="Arial"/>
          <w:sz w:val="20"/>
          <w:szCs w:val="20"/>
          <w:color w:val="000000"/>
        </w:rPr>
        <w:t>to the items to be voted on or the business of the Company. If you are a beneficial owner that holds shares in street name, you must bring a legal proxy from the record holder in order to vote your shares at the Annual Meeting. Whether or not you plan to attend the Annual Meeting, it is important that your shares be represented and voted at the Annual Meeting. Please read the Notice and this Proxy Statement with care and follow the voting instructions to ensure that your shares are represented at the Annual Meeting.</w:t>
      </w:r>
    </w:p>
    <w:p>
      <w:pPr>
        <w:spacing w:after="0" w:line="200" w:lineRule="exact"/>
        <w:rPr>
          <w:sz w:val="20"/>
          <w:szCs w:val="20"/>
          <w:color w:val="auto"/>
        </w:rPr>
      </w:pPr>
    </w:p>
    <w:p>
      <w:pPr>
        <w:spacing w:after="0" w:line="228" w:lineRule="exact"/>
        <w:rPr>
          <w:sz w:val="20"/>
          <w:szCs w:val="20"/>
          <w:color w:val="auto"/>
        </w:rPr>
      </w:pPr>
    </w:p>
    <w:p>
      <w:pPr>
        <w:ind w:left="7780"/>
        <w:spacing w:after="0"/>
        <w:tabs>
          <w:tab w:leader="none" w:pos="98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-207010</wp:posOffset>
            </wp:positionV>
            <wp:extent cx="538480" cy="161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440" w:right="1440" w:bottom="1036" w:gutter="0" w:footer="0" w:header="0"/>
        </w:sectPr>
      </w:pPr>
    </w:p>
    <w:bookmarkStart w:id="7" w:name="page8"/>
    <w:bookmarkEnd w:id="7"/>
    <w:p>
      <w:pPr>
        <w:ind w:left="180"/>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GENERAL INFORMATION</w:t>
      </w:r>
    </w:p>
    <w:p>
      <w:pPr>
        <w:spacing w:after="0" w:line="207" w:lineRule="exact"/>
        <w:rPr>
          <w:sz w:val="20"/>
          <w:szCs w:val="20"/>
          <w:color w:val="auto"/>
        </w:rPr>
      </w:pPr>
    </w:p>
    <w:p>
      <w:pPr>
        <w:jc w:val="both"/>
        <w:ind w:left="180" w:right="200"/>
        <w:spacing w:after="0" w:line="244" w:lineRule="auto"/>
        <w:rPr>
          <w:sz w:val="20"/>
          <w:szCs w:val="20"/>
          <w:color w:val="auto"/>
        </w:rPr>
      </w:pPr>
      <w:r>
        <w:rPr>
          <w:rFonts w:ascii="Arial" w:cs="Arial" w:eastAsia="Arial" w:hAnsi="Arial"/>
          <w:sz w:val="20"/>
          <w:szCs w:val="20"/>
          <w:b w:val="1"/>
          <w:bCs w:val="1"/>
          <w:color w:val="0E3C23"/>
        </w:rPr>
        <w:t xml:space="preserve">Changing Your Vote </w:t>
      </w:r>
      <w:r>
        <w:rPr>
          <w:rFonts w:ascii="Arial" w:cs="Arial" w:eastAsia="Arial" w:hAnsi="Arial"/>
          <w:sz w:val="20"/>
          <w:szCs w:val="20"/>
          <w:color w:val="000000"/>
        </w:rPr>
        <w:t>Stockholders of record may revoke their proxy at any time before we vote it at the meeting by</w:t>
      </w:r>
      <w:r>
        <w:rPr>
          <w:rFonts w:ascii="Arial" w:cs="Arial" w:eastAsia="Arial" w:hAnsi="Arial"/>
          <w:sz w:val="20"/>
          <w:szCs w:val="20"/>
          <w:b w:val="1"/>
          <w:bCs w:val="1"/>
          <w:color w:val="0E3C23"/>
        </w:rPr>
        <w:t xml:space="preserve"> </w:t>
      </w:r>
      <w:r>
        <w:rPr>
          <w:rFonts w:ascii="Arial" w:cs="Arial" w:eastAsia="Arial" w:hAnsi="Arial"/>
          <w:sz w:val="20"/>
          <w:szCs w:val="20"/>
          <w:color w:val="000000"/>
        </w:rPr>
        <w:t>submitting a later-dated proxy via the Internet, by telephone, by mail, by delivering instructions to our Corporate Secretary before the Annual Meeting revoking the proxy or by voting during the Annual Meeting. Attendance at the Annual Meeting, by itself, will not revoke a proxy. If you hold shares through a bank or broker, you may revoke any prior voting instructions by contacting that firm.</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The Proposals</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The following proposals are being presented for a vote of the stockholders at the Annual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117475</wp:posOffset>
                </wp:positionV>
                <wp:extent cx="638619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0121">
                          <a:solidFill>
                            <a:srgbClr val="0E3C23"/>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pt,9.25pt" to="511.75pt,9.25pt" o:allowincell="f" strokecolor="#0E3C23" strokeweight="0.7969pt"/>
            </w:pict>
          </mc:Fallback>
        </mc:AlternateContent>
      </w:r>
    </w:p>
    <w:p>
      <w:pPr>
        <w:spacing w:after="0" w:line="185"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400" w:type="dxa"/>
            <w:vAlign w:val="bottom"/>
          </w:tcPr>
          <w:p>
            <w:pPr>
              <w:ind w:left="300"/>
              <w:spacing w:after="0"/>
              <w:rPr>
                <w:sz w:val="20"/>
                <w:szCs w:val="20"/>
                <w:color w:val="auto"/>
              </w:rPr>
            </w:pPr>
            <w:r>
              <w:rPr>
                <w:rFonts w:ascii="Arial" w:cs="Arial" w:eastAsia="Arial" w:hAnsi="Arial"/>
                <w:sz w:val="18"/>
                <w:szCs w:val="18"/>
                <w:b w:val="1"/>
                <w:bCs w:val="1"/>
                <w:color w:val="0E3C23"/>
              </w:rPr>
              <w:t>Board Vote</w:t>
            </w:r>
          </w:p>
        </w:tc>
        <w:tc>
          <w:tcPr>
            <w:tcW w:w="0" w:type="dxa"/>
            <w:vAlign w:val="bottom"/>
          </w:tcPr>
          <w:p>
            <w:pPr>
              <w:spacing w:after="0"/>
              <w:rPr>
                <w:sz w:val="1"/>
                <w:szCs w:val="1"/>
                <w:color w:val="auto"/>
              </w:rPr>
            </w:pPr>
          </w:p>
        </w:tc>
      </w:tr>
      <w:tr>
        <w:trPr>
          <w:trHeight w:val="208"/>
        </w:trPr>
        <w:tc>
          <w:tcPr>
            <w:tcW w:w="1440" w:type="dxa"/>
            <w:vAlign w:val="bottom"/>
          </w:tcPr>
          <w:p>
            <w:pPr>
              <w:jc w:val="center"/>
              <w:spacing w:after="0"/>
              <w:rPr>
                <w:sz w:val="20"/>
                <w:szCs w:val="20"/>
                <w:color w:val="auto"/>
              </w:rPr>
            </w:pPr>
            <w:r>
              <w:rPr>
                <w:rFonts w:ascii="Arial" w:cs="Arial" w:eastAsia="Arial" w:hAnsi="Arial"/>
                <w:sz w:val="18"/>
                <w:szCs w:val="18"/>
                <w:b w:val="1"/>
                <w:bCs w:val="1"/>
                <w:color w:val="0E3C23"/>
                <w:w w:val="93"/>
              </w:rPr>
              <w:t>Proposal</w:t>
            </w:r>
          </w:p>
        </w:tc>
        <w:tc>
          <w:tcPr>
            <w:tcW w:w="6220" w:type="dxa"/>
            <w:vAlign w:val="bottom"/>
          </w:tcPr>
          <w:p>
            <w:pPr>
              <w:ind w:left="300"/>
              <w:spacing w:after="0"/>
              <w:rPr>
                <w:sz w:val="20"/>
                <w:szCs w:val="20"/>
                <w:color w:val="auto"/>
              </w:rPr>
            </w:pPr>
            <w:r>
              <w:rPr>
                <w:rFonts w:ascii="Arial" w:cs="Arial" w:eastAsia="Arial" w:hAnsi="Arial"/>
                <w:sz w:val="18"/>
                <w:szCs w:val="18"/>
                <w:b w:val="1"/>
                <w:bCs w:val="1"/>
                <w:color w:val="0E3C23"/>
              </w:rPr>
              <w:t>Matter</w:t>
            </w:r>
          </w:p>
        </w:tc>
        <w:tc>
          <w:tcPr>
            <w:tcW w:w="2400" w:type="dxa"/>
            <w:vAlign w:val="bottom"/>
          </w:tcPr>
          <w:p>
            <w:pPr>
              <w:ind w:left="300"/>
              <w:spacing w:after="0"/>
              <w:rPr>
                <w:sz w:val="20"/>
                <w:szCs w:val="20"/>
                <w:color w:val="auto"/>
              </w:rPr>
            </w:pPr>
            <w:r>
              <w:rPr>
                <w:rFonts w:ascii="Arial" w:cs="Arial" w:eastAsia="Arial" w:hAnsi="Arial"/>
                <w:sz w:val="18"/>
                <w:szCs w:val="18"/>
                <w:b w:val="1"/>
                <w:bCs w:val="1"/>
                <w:color w:val="0E3C23"/>
              </w:rPr>
              <w:t>Recommendation</w:t>
            </w:r>
          </w:p>
        </w:tc>
        <w:tc>
          <w:tcPr>
            <w:tcW w:w="0" w:type="dxa"/>
            <w:vAlign w:val="bottom"/>
          </w:tcPr>
          <w:p>
            <w:pPr>
              <w:spacing w:after="0"/>
              <w:rPr>
                <w:sz w:val="1"/>
                <w:szCs w:val="1"/>
                <w:color w:val="auto"/>
              </w:rPr>
            </w:pPr>
          </w:p>
        </w:tc>
      </w:tr>
      <w:tr>
        <w:trPr>
          <w:trHeight w:val="38"/>
        </w:trPr>
        <w:tc>
          <w:tcPr>
            <w:tcW w:w="1440" w:type="dxa"/>
            <w:vAlign w:val="bottom"/>
            <w:tcBorders>
              <w:bottom w:val="single" w:sz="8" w:color="0E3C23"/>
            </w:tcBorders>
          </w:tcPr>
          <w:p>
            <w:pPr>
              <w:spacing w:after="0"/>
              <w:rPr>
                <w:sz w:val="3"/>
                <w:szCs w:val="3"/>
                <w:color w:val="auto"/>
              </w:rPr>
            </w:pPr>
          </w:p>
        </w:tc>
        <w:tc>
          <w:tcPr>
            <w:tcW w:w="6220" w:type="dxa"/>
            <w:vAlign w:val="bottom"/>
            <w:tcBorders>
              <w:bottom w:val="single" w:sz="8" w:color="0E3C23"/>
            </w:tcBorders>
          </w:tcPr>
          <w:p>
            <w:pPr>
              <w:spacing w:after="0"/>
              <w:rPr>
                <w:sz w:val="3"/>
                <w:szCs w:val="3"/>
                <w:color w:val="auto"/>
              </w:rPr>
            </w:pPr>
          </w:p>
        </w:tc>
        <w:tc>
          <w:tcPr>
            <w:tcW w:w="240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r>
        <w:trPr>
          <w:trHeight w:val="431"/>
        </w:trPr>
        <w:tc>
          <w:tcPr>
            <w:tcW w:w="1440" w:type="dxa"/>
            <w:vAlign w:val="bottom"/>
            <w:vMerge w:val="restart"/>
            <w:shd w:val="clear" w:color="auto" w:fill="C1C6B2"/>
          </w:tcPr>
          <w:p>
            <w:pPr>
              <w:jc w:val="center"/>
              <w:spacing w:after="0"/>
              <w:rPr>
                <w:sz w:val="20"/>
                <w:szCs w:val="20"/>
                <w:color w:val="auto"/>
              </w:rPr>
            </w:pPr>
            <w:r>
              <w:rPr>
                <w:rFonts w:ascii="Arial" w:cs="Arial" w:eastAsia="Arial" w:hAnsi="Arial"/>
                <w:sz w:val="72"/>
                <w:szCs w:val="72"/>
                <w:b w:val="1"/>
                <w:bCs w:val="1"/>
                <w:color w:val="0E3C23"/>
                <w:w w:val="99"/>
              </w:rPr>
              <w:t>1</w:t>
            </w:r>
          </w:p>
        </w:tc>
        <w:tc>
          <w:tcPr>
            <w:tcW w:w="6220" w:type="dxa"/>
            <w:vAlign w:val="bottom"/>
            <w:vMerge w:val="restart"/>
            <w:shd w:val="clear" w:color="auto" w:fill="C1C6B2"/>
          </w:tcPr>
          <w:p>
            <w:pPr>
              <w:ind w:left="300"/>
              <w:spacing w:after="0"/>
              <w:rPr>
                <w:sz w:val="20"/>
                <w:szCs w:val="20"/>
                <w:color w:val="auto"/>
              </w:rPr>
            </w:pPr>
            <w:r>
              <w:rPr>
                <w:rFonts w:ascii="Arial" w:cs="Arial" w:eastAsia="Arial" w:hAnsi="Arial"/>
                <w:sz w:val="20"/>
                <w:szCs w:val="20"/>
                <w:b w:val="1"/>
                <w:bCs w:val="1"/>
                <w:color w:val="auto"/>
                <w:w w:val="98"/>
              </w:rPr>
              <w:t>Election of Director Nominees set forth in this Proxy Statement</w:t>
            </w:r>
          </w:p>
        </w:tc>
        <w:tc>
          <w:tcPr>
            <w:tcW w:w="2400" w:type="dxa"/>
            <w:vAlign w:val="bottom"/>
            <w:shd w:val="clear" w:color="auto" w:fill="C1C6B2"/>
          </w:tcPr>
          <w:p>
            <w:pPr>
              <w:ind w:left="300"/>
              <w:spacing w:after="0"/>
              <w:rPr>
                <w:sz w:val="20"/>
                <w:szCs w:val="20"/>
                <w:color w:val="auto"/>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each director</w:t>
            </w:r>
          </w:p>
        </w:tc>
        <w:tc>
          <w:tcPr>
            <w:tcW w:w="0" w:type="dxa"/>
            <w:vAlign w:val="bottom"/>
          </w:tcPr>
          <w:p>
            <w:pPr>
              <w:spacing w:after="0"/>
              <w:rPr>
                <w:sz w:val="1"/>
                <w:szCs w:val="1"/>
                <w:color w:val="auto"/>
              </w:rPr>
            </w:pPr>
          </w:p>
        </w:tc>
      </w:tr>
      <w:tr>
        <w:trPr>
          <w:trHeight w:val="120"/>
        </w:trPr>
        <w:tc>
          <w:tcPr>
            <w:tcW w:w="1440" w:type="dxa"/>
            <w:vAlign w:val="bottom"/>
            <w:vMerge w:val="continue"/>
            <w:shd w:val="clear" w:color="auto" w:fill="C1C6B2"/>
          </w:tcPr>
          <w:p>
            <w:pPr>
              <w:spacing w:after="0"/>
              <w:rPr>
                <w:sz w:val="10"/>
                <w:szCs w:val="10"/>
                <w:color w:val="auto"/>
              </w:rPr>
            </w:pPr>
          </w:p>
        </w:tc>
        <w:tc>
          <w:tcPr>
            <w:tcW w:w="6220" w:type="dxa"/>
            <w:vAlign w:val="bottom"/>
            <w:vMerge w:val="continue"/>
            <w:shd w:val="clear" w:color="auto" w:fill="C1C6B2"/>
          </w:tcPr>
          <w:p>
            <w:pPr>
              <w:spacing w:after="0"/>
              <w:rPr>
                <w:sz w:val="10"/>
                <w:szCs w:val="10"/>
                <w:color w:val="auto"/>
              </w:rPr>
            </w:pPr>
          </w:p>
        </w:tc>
        <w:tc>
          <w:tcPr>
            <w:tcW w:w="2400" w:type="dxa"/>
            <w:vAlign w:val="bottom"/>
            <w:vMerge w:val="restart"/>
            <w:shd w:val="clear" w:color="auto" w:fill="C1C6B2"/>
          </w:tcPr>
          <w:p>
            <w:pPr>
              <w:ind w:left="300"/>
              <w:spacing w:after="0"/>
              <w:rPr>
                <w:sz w:val="20"/>
                <w:szCs w:val="20"/>
                <w:color w:val="auto"/>
              </w:rPr>
            </w:pPr>
            <w:r>
              <w:rPr>
                <w:rFonts w:ascii="Arial" w:cs="Arial" w:eastAsia="Arial" w:hAnsi="Arial"/>
                <w:sz w:val="20"/>
                <w:szCs w:val="20"/>
                <w:color w:val="auto"/>
              </w:rPr>
              <w:t>nominee</w:t>
            </w:r>
          </w:p>
        </w:tc>
        <w:tc>
          <w:tcPr>
            <w:tcW w:w="0" w:type="dxa"/>
            <w:vAlign w:val="bottom"/>
          </w:tcPr>
          <w:p>
            <w:pPr>
              <w:spacing w:after="0"/>
              <w:rPr>
                <w:sz w:val="1"/>
                <w:szCs w:val="1"/>
                <w:color w:val="auto"/>
              </w:rPr>
            </w:pPr>
          </w:p>
        </w:tc>
      </w:tr>
      <w:tr>
        <w:trPr>
          <w:trHeight w:val="116"/>
        </w:trPr>
        <w:tc>
          <w:tcPr>
            <w:tcW w:w="1440" w:type="dxa"/>
            <w:vAlign w:val="bottom"/>
            <w:vMerge w:val="continue"/>
            <w:shd w:val="clear" w:color="auto" w:fill="C1C6B2"/>
          </w:tcPr>
          <w:p>
            <w:pPr>
              <w:spacing w:after="0"/>
              <w:rPr>
                <w:sz w:val="10"/>
                <w:szCs w:val="10"/>
                <w:color w:val="auto"/>
              </w:rPr>
            </w:pPr>
          </w:p>
        </w:tc>
        <w:tc>
          <w:tcPr>
            <w:tcW w:w="6220" w:type="dxa"/>
            <w:vAlign w:val="bottom"/>
            <w:shd w:val="clear" w:color="auto" w:fill="C1C6B2"/>
          </w:tcPr>
          <w:p>
            <w:pPr>
              <w:spacing w:after="0"/>
              <w:rPr>
                <w:sz w:val="10"/>
                <w:szCs w:val="10"/>
                <w:color w:val="auto"/>
              </w:rPr>
            </w:pPr>
          </w:p>
        </w:tc>
        <w:tc>
          <w:tcPr>
            <w:tcW w:w="2400" w:type="dxa"/>
            <w:vAlign w:val="bottom"/>
            <w:vMerge w:val="continue"/>
            <w:shd w:val="clear" w:color="auto" w:fill="C1C6B2"/>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440" w:type="dxa"/>
            <w:vAlign w:val="bottom"/>
            <w:tcBorders>
              <w:bottom w:val="single" w:sz="8" w:color="0E3C23"/>
            </w:tcBorders>
            <w:vMerge w:val="continue"/>
            <w:shd w:val="clear" w:color="auto" w:fill="C1C6B2"/>
          </w:tcPr>
          <w:p>
            <w:pPr>
              <w:spacing w:after="0"/>
              <w:rPr>
                <w:sz w:val="15"/>
                <w:szCs w:val="15"/>
                <w:color w:val="auto"/>
              </w:rPr>
            </w:pPr>
          </w:p>
        </w:tc>
        <w:tc>
          <w:tcPr>
            <w:tcW w:w="6220" w:type="dxa"/>
            <w:vAlign w:val="bottom"/>
            <w:tcBorders>
              <w:bottom w:val="single" w:sz="8" w:color="0E3C23"/>
            </w:tcBorders>
            <w:shd w:val="clear" w:color="auto" w:fill="C1C6B2"/>
          </w:tcPr>
          <w:p>
            <w:pPr>
              <w:spacing w:after="0"/>
              <w:rPr>
                <w:sz w:val="15"/>
                <w:szCs w:val="15"/>
                <w:color w:val="auto"/>
              </w:rPr>
            </w:pPr>
          </w:p>
        </w:tc>
        <w:tc>
          <w:tcPr>
            <w:tcW w:w="2400" w:type="dxa"/>
            <w:vAlign w:val="bottom"/>
            <w:tcBorders>
              <w:bottom w:val="single" w:sz="8" w:color="0E3C23"/>
            </w:tcBorders>
            <w:shd w:val="clear" w:color="auto" w:fill="C1C6B2"/>
          </w:tcPr>
          <w:p>
            <w:pPr>
              <w:spacing w:after="0"/>
              <w:rPr>
                <w:sz w:val="15"/>
                <w:szCs w:val="15"/>
                <w:color w:val="auto"/>
              </w:rPr>
            </w:pPr>
          </w:p>
        </w:tc>
        <w:tc>
          <w:tcPr>
            <w:tcW w:w="0" w:type="dxa"/>
            <w:vAlign w:val="bottom"/>
          </w:tcPr>
          <w:p>
            <w:pPr>
              <w:spacing w:after="0"/>
              <w:rPr>
                <w:sz w:val="1"/>
                <w:szCs w:val="1"/>
                <w:color w:val="auto"/>
              </w:rPr>
            </w:pPr>
          </w:p>
        </w:tc>
      </w:tr>
      <w:tr>
        <w:trPr>
          <w:trHeight w:val="402"/>
        </w:trPr>
        <w:tc>
          <w:tcPr>
            <w:tcW w:w="1440" w:type="dxa"/>
            <w:vAlign w:val="bottom"/>
            <w:vMerge w:val="restart"/>
            <w:shd w:val="clear" w:color="auto" w:fill="E6E8DE"/>
          </w:tcPr>
          <w:p>
            <w:pPr>
              <w:jc w:val="center"/>
              <w:spacing w:after="0" w:line="818" w:lineRule="exact"/>
              <w:rPr>
                <w:sz w:val="20"/>
                <w:szCs w:val="20"/>
                <w:color w:val="auto"/>
              </w:rPr>
            </w:pPr>
            <w:r>
              <w:rPr>
                <w:rFonts w:ascii="Arial" w:cs="Arial" w:eastAsia="Arial" w:hAnsi="Arial"/>
                <w:sz w:val="72"/>
                <w:szCs w:val="72"/>
                <w:b w:val="1"/>
                <w:bCs w:val="1"/>
                <w:color w:val="0E3C23"/>
                <w:w w:val="99"/>
              </w:rPr>
              <w:t>2</w:t>
            </w:r>
          </w:p>
        </w:tc>
        <w:tc>
          <w:tcPr>
            <w:tcW w:w="6220" w:type="dxa"/>
            <w:vAlign w:val="bottom"/>
            <w:shd w:val="clear" w:color="auto" w:fill="E6E8DE"/>
          </w:tcPr>
          <w:p>
            <w:pPr>
              <w:ind w:left="300"/>
              <w:spacing w:after="0"/>
              <w:rPr>
                <w:sz w:val="20"/>
                <w:szCs w:val="20"/>
                <w:color w:val="auto"/>
              </w:rPr>
            </w:pPr>
            <w:r>
              <w:rPr>
                <w:rFonts w:ascii="Arial" w:cs="Arial" w:eastAsia="Arial" w:hAnsi="Arial"/>
                <w:sz w:val="20"/>
                <w:szCs w:val="20"/>
                <w:b w:val="1"/>
                <w:bCs w:val="1"/>
                <w:color w:val="auto"/>
                <w:w w:val="94"/>
              </w:rPr>
              <w:t>Ratification of Ernst &amp; Young LLP as the Company’s Independent</w:t>
            </w:r>
          </w:p>
        </w:tc>
        <w:tc>
          <w:tcPr>
            <w:tcW w:w="2400" w:type="dxa"/>
            <w:vAlign w:val="bottom"/>
            <w:vMerge w:val="restart"/>
            <w:shd w:val="clear" w:color="auto" w:fill="E6E8DE"/>
          </w:tcPr>
          <w:p>
            <w:pPr>
              <w:ind w:left="300"/>
              <w:spacing w:after="0"/>
              <w:rPr>
                <w:sz w:val="20"/>
                <w:szCs w:val="20"/>
                <w:color w:val="auto"/>
              </w:rPr>
            </w:pPr>
            <w:r>
              <w:rPr>
                <w:rFonts w:ascii="Arial" w:cs="Arial" w:eastAsia="Arial" w:hAnsi="Arial"/>
                <w:sz w:val="20"/>
                <w:szCs w:val="20"/>
                <w:b w:val="1"/>
                <w:bCs w:val="1"/>
                <w:color w:val="auto"/>
              </w:rPr>
              <w:t>FOR</w:t>
            </w:r>
          </w:p>
        </w:tc>
        <w:tc>
          <w:tcPr>
            <w:tcW w:w="0" w:type="dxa"/>
            <w:vAlign w:val="bottom"/>
          </w:tcPr>
          <w:p>
            <w:pPr>
              <w:spacing w:after="0"/>
              <w:rPr>
                <w:sz w:val="1"/>
                <w:szCs w:val="1"/>
                <w:color w:val="auto"/>
              </w:rPr>
            </w:pPr>
          </w:p>
        </w:tc>
      </w:tr>
      <w:tr>
        <w:trPr>
          <w:trHeight w:val="120"/>
        </w:trPr>
        <w:tc>
          <w:tcPr>
            <w:tcW w:w="1440" w:type="dxa"/>
            <w:vAlign w:val="bottom"/>
            <w:vMerge w:val="continue"/>
            <w:shd w:val="clear" w:color="auto" w:fill="E6E8DE"/>
          </w:tcPr>
          <w:p>
            <w:pPr>
              <w:spacing w:after="0"/>
              <w:rPr>
                <w:sz w:val="10"/>
                <w:szCs w:val="10"/>
                <w:color w:val="auto"/>
              </w:rPr>
            </w:pPr>
          </w:p>
        </w:tc>
        <w:tc>
          <w:tcPr>
            <w:tcW w:w="6220" w:type="dxa"/>
            <w:vAlign w:val="bottom"/>
            <w:vMerge w:val="restart"/>
            <w:shd w:val="clear" w:color="auto" w:fill="E6E8DE"/>
          </w:tcPr>
          <w:p>
            <w:pPr>
              <w:ind w:left="300"/>
              <w:spacing w:after="0"/>
              <w:rPr>
                <w:sz w:val="20"/>
                <w:szCs w:val="20"/>
                <w:color w:val="auto"/>
              </w:rPr>
            </w:pPr>
            <w:r>
              <w:rPr>
                <w:rFonts w:ascii="Arial" w:cs="Arial" w:eastAsia="Arial" w:hAnsi="Arial"/>
                <w:sz w:val="20"/>
                <w:szCs w:val="20"/>
                <w:b w:val="1"/>
                <w:bCs w:val="1"/>
                <w:color w:val="auto"/>
              </w:rPr>
              <w:t>Registered Public Accounting Firm for fiscal year 2025</w:t>
            </w:r>
          </w:p>
        </w:tc>
        <w:tc>
          <w:tcPr>
            <w:tcW w:w="2400" w:type="dxa"/>
            <w:vAlign w:val="bottom"/>
            <w:vMerge w:val="continue"/>
            <w:shd w:val="clear" w:color="auto" w:fill="E6E8D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440" w:type="dxa"/>
            <w:vAlign w:val="bottom"/>
            <w:vMerge w:val="continue"/>
            <w:shd w:val="clear" w:color="auto" w:fill="E6E8DE"/>
          </w:tcPr>
          <w:p>
            <w:pPr>
              <w:spacing w:after="0"/>
              <w:rPr>
                <w:sz w:val="10"/>
                <w:szCs w:val="10"/>
                <w:color w:val="auto"/>
              </w:rPr>
            </w:pPr>
          </w:p>
        </w:tc>
        <w:tc>
          <w:tcPr>
            <w:tcW w:w="6220" w:type="dxa"/>
            <w:vAlign w:val="bottom"/>
            <w:vMerge w:val="continue"/>
            <w:shd w:val="clear" w:color="auto" w:fill="E6E8DE"/>
          </w:tcPr>
          <w:p>
            <w:pPr>
              <w:spacing w:after="0"/>
              <w:rPr>
                <w:sz w:val="10"/>
                <w:szCs w:val="10"/>
                <w:color w:val="auto"/>
              </w:rPr>
            </w:pPr>
          </w:p>
        </w:tc>
        <w:tc>
          <w:tcPr>
            <w:tcW w:w="2400" w:type="dxa"/>
            <w:vAlign w:val="bottom"/>
            <w:shd w:val="clear" w:color="auto" w:fill="E6E8D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440" w:type="dxa"/>
            <w:vAlign w:val="bottom"/>
            <w:tcBorders>
              <w:bottom w:val="single" w:sz="8" w:color="0E3C23"/>
            </w:tcBorders>
            <w:vMerge w:val="continue"/>
            <w:shd w:val="clear" w:color="auto" w:fill="E6E8DE"/>
          </w:tcPr>
          <w:p>
            <w:pPr>
              <w:spacing w:after="0"/>
              <w:rPr>
                <w:sz w:val="15"/>
                <w:szCs w:val="15"/>
                <w:color w:val="auto"/>
              </w:rPr>
            </w:pPr>
          </w:p>
        </w:tc>
        <w:tc>
          <w:tcPr>
            <w:tcW w:w="6220" w:type="dxa"/>
            <w:vAlign w:val="bottom"/>
            <w:tcBorders>
              <w:bottom w:val="single" w:sz="8" w:color="0E3C23"/>
            </w:tcBorders>
            <w:shd w:val="clear" w:color="auto" w:fill="E6E8DE"/>
          </w:tcPr>
          <w:p>
            <w:pPr>
              <w:spacing w:after="0"/>
              <w:rPr>
                <w:sz w:val="15"/>
                <w:szCs w:val="15"/>
                <w:color w:val="auto"/>
              </w:rPr>
            </w:pPr>
          </w:p>
        </w:tc>
        <w:tc>
          <w:tcPr>
            <w:tcW w:w="2400" w:type="dxa"/>
            <w:vAlign w:val="bottom"/>
            <w:tcBorders>
              <w:bottom w:val="single" w:sz="8" w:color="0E3C23"/>
            </w:tcBorders>
            <w:shd w:val="clear" w:color="auto" w:fill="E6E8DE"/>
          </w:tcPr>
          <w:p>
            <w:pPr>
              <w:spacing w:after="0"/>
              <w:rPr>
                <w:sz w:val="15"/>
                <w:szCs w:val="15"/>
                <w:color w:val="auto"/>
              </w:rPr>
            </w:pPr>
          </w:p>
        </w:tc>
        <w:tc>
          <w:tcPr>
            <w:tcW w:w="0" w:type="dxa"/>
            <w:vAlign w:val="bottom"/>
          </w:tcPr>
          <w:p>
            <w:pPr>
              <w:spacing w:after="0"/>
              <w:rPr>
                <w:sz w:val="1"/>
                <w:szCs w:val="1"/>
                <w:color w:val="auto"/>
              </w:rPr>
            </w:pPr>
          </w:p>
        </w:tc>
      </w:tr>
      <w:tr>
        <w:trPr>
          <w:trHeight w:val="822"/>
        </w:trPr>
        <w:tc>
          <w:tcPr>
            <w:tcW w:w="1440" w:type="dxa"/>
            <w:vAlign w:val="bottom"/>
            <w:tcBorders>
              <w:bottom w:val="single" w:sz="8" w:color="0E3C23"/>
            </w:tcBorders>
            <w:shd w:val="clear" w:color="auto" w:fill="C1C6B2"/>
          </w:tcPr>
          <w:p>
            <w:pPr>
              <w:jc w:val="center"/>
              <w:spacing w:after="0" w:line="822" w:lineRule="exact"/>
              <w:rPr>
                <w:sz w:val="20"/>
                <w:szCs w:val="20"/>
                <w:color w:val="auto"/>
              </w:rPr>
            </w:pPr>
            <w:r>
              <w:rPr>
                <w:rFonts w:ascii="Arial" w:cs="Arial" w:eastAsia="Arial" w:hAnsi="Arial"/>
                <w:sz w:val="72"/>
                <w:szCs w:val="72"/>
                <w:b w:val="1"/>
                <w:bCs w:val="1"/>
                <w:color w:val="0E3C23"/>
                <w:w w:val="99"/>
              </w:rPr>
              <w:t>3</w:t>
            </w:r>
          </w:p>
        </w:tc>
        <w:tc>
          <w:tcPr>
            <w:tcW w:w="6220" w:type="dxa"/>
            <w:vAlign w:val="bottom"/>
            <w:tcBorders>
              <w:bottom w:val="single" w:sz="8" w:color="0E3C23"/>
            </w:tcBorders>
            <w:shd w:val="clear" w:color="auto" w:fill="C1C6B2"/>
          </w:tcPr>
          <w:p>
            <w:pPr>
              <w:ind w:left="300"/>
              <w:spacing w:after="0"/>
              <w:rPr>
                <w:sz w:val="20"/>
                <w:szCs w:val="20"/>
                <w:color w:val="auto"/>
              </w:rPr>
            </w:pPr>
            <w:r>
              <w:rPr>
                <w:rFonts w:ascii="Arial" w:cs="Arial" w:eastAsia="Arial" w:hAnsi="Arial"/>
                <w:sz w:val="20"/>
                <w:szCs w:val="20"/>
                <w:b w:val="1"/>
                <w:bCs w:val="1"/>
                <w:color w:val="auto"/>
              </w:rPr>
              <w:t>Approval of the Company’s Executive Compensation</w:t>
            </w:r>
          </w:p>
        </w:tc>
        <w:tc>
          <w:tcPr>
            <w:tcW w:w="2400" w:type="dxa"/>
            <w:vAlign w:val="bottom"/>
            <w:tcBorders>
              <w:bottom w:val="single" w:sz="8" w:color="0E3C23"/>
            </w:tcBorders>
            <w:shd w:val="clear" w:color="auto" w:fill="C1C6B2"/>
          </w:tcPr>
          <w:p>
            <w:pPr>
              <w:ind w:left="300"/>
              <w:spacing w:after="0"/>
              <w:rPr>
                <w:sz w:val="20"/>
                <w:szCs w:val="20"/>
                <w:color w:val="auto"/>
              </w:rPr>
            </w:pPr>
            <w:r>
              <w:rPr>
                <w:rFonts w:ascii="Arial" w:cs="Arial" w:eastAsia="Arial" w:hAnsi="Arial"/>
                <w:sz w:val="20"/>
                <w:szCs w:val="20"/>
                <w:b w:val="1"/>
                <w:bCs w:val="1"/>
                <w:color w:val="auto"/>
              </w:rPr>
              <w:t>FOR</w:t>
            </w: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180" w:right="200"/>
        <w:spacing w:after="0" w:line="242" w:lineRule="auto"/>
        <w:rPr>
          <w:sz w:val="20"/>
          <w:szCs w:val="20"/>
          <w:color w:val="auto"/>
        </w:rPr>
      </w:pPr>
      <w:r>
        <w:rPr>
          <w:rFonts w:ascii="Arial" w:cs="Arial" w:eastAsia="Arial" w:hAnsi="Arial"/>
          <w:sz w:val="20"/>
          <w:szCs w:val="20"/>
          <w:b w:val="1"/>
          <w:bCs w:val="1"/>
          <w:color w:val="0E3C23"/>
        </w:rPr>
        <w:t xml:space="preserve">Votes Required to Adopt the Proposals </w:t>
      </w:r>
      <w:r>
        <w:rPr>
          <w:rFonts w:ascii="Arial" w:cs="Arial" w:eastAsia="Arial" w:hAnsi="Arial"/>
          <w:sz w:val="20"/>
          <w:szCs w:val="20"/>
          <w:color w:val="000000"/>
        </w:rPr>
        <w:t>Each share of our Common Stock outstanding on the record date is entitled to</w:t>
      </w:r>
      <w:r>
        <w:rPr>
          <w:rFonts w:ascii="Arial" w:cs="Arial" w:eastAsia="Arial" w:hAnsi="Arial"/>
          <w:sz w:val="20"/>
          <w:szCs w:val="20"/>
          <w:b w:val="1"/>
          <w:bCs w:val="1"/>
          <w:color w:val="0E3C23"/>
        </w:rPr>
        <w:t xml:space="preserve"> </w:t>
      </w:r>
      <w:r>
        <w:rPr>
          <w:rFonts w:ascii="Arial" w:cs="Arial" w:eastAsia="Arial" w:hAnsi="Arial"/>
          <w:sz w:val="20"/>
          <w:szCs w:val="20"/>
          <w:color w:val="000000"/>
        </w:rPr>
        <w:t>one vote on each of the nine director nominees and one vote on each other proposal.</w:t>
      </w:r>
    </w:p>
    <w:p>
      <w:pPr>
        <w:spacing w:after="0" w:line="129" w:lineRule="exact"/>
        <w:rPr>
          <w:sz w:val="20"/>
          <w:szCs w:val="20"/>
          <w:color w:val="auto"/>
        </w:rPr>
      </w:pPr>
    </w:p>
    <w:p>
      <w:pPr>
        <w:jc w:val="both"/>
        <w:ind w:left="180" w:right="200"/>
        <w:spacing w:after="0" w:line="242" w:lineRule="auto"/>
        <w:rPr>
          <w:sz w:val="20"/>
          <w:szCs w:val="20"/>
          <w:color w:val="auto"/>
        </w:rPr>
      </w:pPr>
      <w:r>
        <w:rPr>
          <w:rFonts w:ascii="Arial" w:cs="Arial" w:eastAsia="Arial" w:hAnsi="Arial"/>
          <w:sz w:val="20"/>
          <w:szCs w:val="20"/>
          <w:u w:val="single" w:color="auto"/>
          <w:color w:val="auto"/>
        </w:rPr>
        <w:t>Proposal 1</w:t>
      </w:r>
      <w:r>
        <w:rPr>
          <w:rFonts w:ascii="Arial" w:cs="Arial" w:eastAsia="Arial" w:hAnsi="Arial"/>
          <w:sz w:val="20"/>
          <w:szCs w:val="20"/>
          <w:color w:val="auto"/>
        </w:rPr>
        <w:t>: To be elected, a director must receive a majority of the votes cast with respect to that director’s election at the meeting; this means that the number of shares voted “for” a director must exceed 50% of the votes cast with respect to that director.</w:t>
      </w:r>
    </w:p>
    <w:p>
      <w:pPr>
        <w:spacing w:after="0" w:line="131" w:lineRule="exact"/>
        <w:rPr>
          <w:sz w:val="20"/>
          <w:szCs w:val="20"/>
          <w:color w:val="auto"/>
        </w:rPr>
      </w:pPr>
    </w:p>
    <w:p>
      <w:pPr>
        <w:jc w:val="both"/>
        <w:ind w:left="180" w:right="200"/>
        <w:spacing w:after="0" w:line="265" w:lineRule="auto"/>
        <w:rPr>
          <w:sz w:val="20"/>
          <w:szCs w:val="20"/>
          <w:color w:val="auto"/>
        </w:rPr>
      </w:pPr>
      <w:r>
        <w:rPr>
          <w:rFonts w:ascii="Arial" w:cs="Arial" w:eastAsia="Arial" w:hAnsi="Arial"/>
          <w:sz w:val="19"/>
          <w:szCs w:val="19"/>
          <w:u w:val="single" w:color="auto"/>
          <w:color w:val="auto"/>
        </w:rPr>
        <w:t>Proposal 2 and 3</w:t>
      </w:r>
      <w:r>
        <w:rPr>
          <w:rFonts w:ascii="Arial" w:cs="Arial" w:eastAsia="Arial" w:hAnsi="Arial"/>
          <w:sz w:val="19"/>
          <w:szCs w:val="19"/>
          <w:color w:val="auto"/>
        </w:rPr>
        <w:t>: In order to be approved, each of proposals 2 and 3 require the affirmative vote of the holders of a majority of the outstanding shares of Common Stock present, in person or by proxy, and entitled to vote on the matter.</w:t>
      </w:r>
    </w:p>
    <w:p>
      <w:pPr>
        <w:spacing w:after="0" w:line="106" w:lineRule="exact"/>
        <w:rPr>
          <w:sz w:val="20"/>
          <w:szCs w:val="20"/>
          <w:color w:val="auto"/>
        </w:rPr>
      </w:pPr>
    </w:p>
    <w:p>
      <w:pPr>
        <w:jc w:val="both"/>
        <w:ind w:left="180" w:right="200"/>
        <w:spacing w:after="0" w:line="242" w:lineRule="auto"/>
        <w:rPr>
          <w:sz w:val="20"/>
          <w:szCs w:val="20"/>
          <w:color w:val="auto"/>
        </w:rPr>
      </w:pPr>
      <w:r>
        <w:rPr>
          <w:rFonts w:ascii="Arial" w:cs="Arial" w:eastAsia="Arial" w:hAnsi="Arial"/>
          <w:sz w:val="20"/>
          <w:szCs w:val="20"/>
          <w:b w:val="1"/>
          <w:bCs w:val="1"/>
          <w:color w:val="0E3C23"/>
        </w:rPr>
        <w:t xml:space="preserve">Effect of Abstentions </w:t>
      </w:r>
      <w:r>
        <w:rPr>
          <w:rFonts w:ascii="Arial" w:cs="Arial" w:eastAsia="Arial" w:hAnsi="Arial"/>
          <w:sz w:val="20"/>
          <w:szCs w:val="20"/>
          <w:color w:val="000000"/>
        </w:rPr>
        <w:t>Abstentions will have no effect on the election of directors. For each of the other proposals,</w:t>
      </w:r>
      <w:r>
        <w:rPr>
          <w:rFonts w:ascii="Arial" w:cs="Arial" w:eastAsia="Arial" w:hAnsi="Arial"/>
          <w:sz w:val="20"/>
          <w:szCs w:val="20"/>
          <w:b w:val="1"/>
          <w:bCs w:val="1"/>
          <w:color w:val="0E3C23"/>
        </w:rPr>
        <w:t xml:space="preserve"> </w:t>
      </w:r>
      <w:r>
        <w:rPr>
          <w:rFonts w:ascii="Arial" w:cs="Arial" w:eastAsia="Arial" w:hAnsi="Arial"/>
          <w:sz w:val="20"/>
          <w:szCs w:val="20"/>
          <w:color w:val="000000"/>
        </w:rPr>
        <w:t xml:space="preserve">abstentions will have the same effect as a vote </w:t>
      </w:r>
      <w:r>
        <w:rPr>
          <w:rFonts w:ascii="Arial" w:cs="Arial" w:eastAsia="Arial" w:hAnsi="Arial"/>
          <w:sz w:val="20"/>
          <w:szCs w:val="20"/>
          <w:i w:val="1"/>
          <w:iCs w:val="1"/>
          <w:color w:val="000000"/>
        </w:rPr>
        <w:t>against</w:t>
      </w:r>
      <w:r>
        <w:rPr>
          <w:rFonts w:ascii="Arial" w:cs="Arial" w:eastAsia="Arial" w:hAnsi="Arial"/>
          <w:sz w:val="20"/>
          <w:szCs w:val="20"/>
          <w:color w:val="000000"/>
        </w:rPr>
        <w:t xml:space="preserve"> these matters.</w:t>
      </w:r>
    </w:p>
    <w:p>
      <w:pPr>
        <w:spacing w:after="0" w:line="127" w:lineRule="exact"/>
        <w:rPr>
          <w:sz w:val="20"/>
          <w:szCs w:val="20"/>
          <w:color w:val="auto"/>
        </w:rPr>
      </w:pPr>
    </w:p>
    <w:p>
      <w:pPr>
        <w:jc w:val="both"/>
        <w:ind w:left="180" w:right="200"/>
        <w:spacing w:after="0" w:line="260" w:lineRule="auto"/>
        <w:rPr>
          <w:sz w:val="20"/>
          <w:szCs w:val="20"/>
          <w:color w:val="auto"/>
        </w:rPr>
      </w:pPr>
      <w:r>
        <w:rPr>
          <w:rFonts w:ascii="Arial" w:cs="Arial" w:eastAsia="Arial" w:hAnsi="Arial"/>
          <w:sz w:val="19"/>
          <w:szCs w:val="19"/>
          <w:b w:val="1"/>
          <w:bCs w:val="1"/>
          <w:color w:val="0E3C23"/>
        </w:rPr>
        <w:t xml:space="preserve">Effect of Broker Non-Votes </w:t>
      </w:r>
      <w:r>
        <w:rPr>
          <w:rFonts w:ascii="Arial" w:cs="Arial" w:eastAsia="Arial" w:hAnsi="Arial"/>
          <w:sz w:val="19"/>
          <w:szCs w:val="19"/>
          <w:color w:val="000000"/>
        </w:rPr>
        <w:t>If your shares are held by a broker, you may submit your voting instructions to the broker</w:t>
      </w:r>
      <w:r>
        <w:rPr>
          <w:rFonts w:ascii="Arial" w:cs="Arial" w:eastAsia="Arial" w:hAnsi="Arial"/>
          <w:sz w:val="19"/>
          <w:szCs w:val="19"/>
          <w:b w:val="1"/>
          <w:bCs w:val="1"/>
          <w:color w:val="0E3C23"/>
        </w:rPr>
        <w:t xml:space="preserve"> </w:t>
      </w:r>
      <w:r>
        <w:rPr>
          <w:rFonts w:ascii="Arial" w:cs="Arial" w:eastAsia="Arial" w:hAnsi="Arial"/>
          <w:sz w:val="19"/>
          <w:szCs w:val="19"/>
          <w:color w:val="000000"/>
        </w:rPr>
        <w:t>as to how you want your shares to be voted. If you give the broker instructions, your shares must be voted as you direct. If you do not instruct your broker how to vote your shares using the instructions your broker provides to you, your broker may vote your shares at its discretion on proposal 2 regarding ratification of the Company’s independent registered public accounting firm, but not for any other proposal. When this happens, it is called a “broker non-vote.” With respect to proposal 1 and proposal 3, broker non-votes will have no effect on the outcome. To be sure your shares are voted in the manner you desire, you should instruct your broker how to vote your shares.</w:t>
      </w:r>
    </w:p>
    <w:p>
      <w:pPr>
        <w:spacing w:after="0" w:line="111" w:lineRule="exact"/>
        <w:rPr>
          <w:sz w:val="20"/>
          <w:szCs w:val="20"/>
          <w:color w:val="auto"/>
        </w:rPr>
      </w:pPr>
    </w:p>
    <w:p>
      <w:pPr>
        <w:jc w:val="both"/>
        <w:ind w:left="180" w:right="200"/>
        <w:spacing w:after="0" w:line="245" w:lineRule="auto"/>
        <w:rPr>
          <w:sz w:val="20"/>
          <w:szCs w:val="20"/>
          <w:color w:val="auto"/>
        </w:rPr>
      </w:pPr>
      <w:r>
        <w:rPr>
          <w:rFonts w:ascii="Arial" w:cs="Arial" w:eastAsia="Arial" w:hAnsi="Arial"/>
          <w:sz w:val="20"/>
          <w:szCs w:val="20"/>
          <w:b w:val="1"/>
          <w:bCs w:val="1"/>
          <w:color w:val="0E3C23"/>
        </w:rPr>
        <w:t xml:space="preserve">Quorum </w:t>
      </w:r>
      <w:r>
        <w:rPr>
          <w:rFonts w:ascii="Arial" w:cs="Arial" w:eastAsia="Arial" w:hAnsi="Arial"/>
          <w:sz w:val="20"/>
          <w:szCs w:val="20"/>
          <w:color w:val="000000"/>
        </w:rPr>
        <w:t>The holders of a majority of the shares of Common Stock outstanding on the record date must be present in</w:t>
      </w:r>
      <w:r>
        <w:rPr>
          <w:rFonts w:ascii="Arial" w:cs="Arial" w:eastAsia="Arial" w:hAnsi="Arial"/>
          <w:sz w:val="20"/>
          <w:szCs w:val="20"/>
          <w:b w:val="1"/>
          <w:bCs w:val="1"/>
          <w:color w:val="0E3C23"/>
        </w:rPr>
        <w:t xml:space="preserve"> </w:t>
      </w:r>
      <w:r>
        <w:rPr>
          <w:rFonts w:ascii="Arial" w:cs="Arial" w:eastAsia="Arial" w:hAnsi="Arial"/>
          <w:sz w:val="20"/>
          <w:szCs w:val="20"/>
          <w:color w:val="000000"/>
        </w:rPr>
        <w:t>person or by proxy to constitute a quorum necessary to conduct the Annual Meeting. Abstentions and broker non-votes are counted for purposes of determining a quorum.</w:t>
      </w:r>
    </w:p>
    <w:p>
      <w:pPr>
        <w:spacing w:after="0" w:line="126" w:lineRule="exact"/>
        <w:rPr>
          <w:sz w:val="20"/>
          <w:szCs w:val="20"/>
          <w:color w:val="auto"/>
        </w:rPr>
      </w:pPr>
    </w:p>
    <w:p>
      <w:pPr>
        <w:jc w:val="both"/>
        <w:ind w:left="180" w:right="200"/>
        <w:spacing w:after="0" w:line="247" w:lineRule="auto"/>
        <w:rPr>
          <w:sz w:val="20"/>
          <w:szCs w:val="20"/>
          <w:color w:val="auto"/>
        </w:rPr>
      </w:pPr>
      <w:r>
        <w:rPr>
          <w:rFonts w:ascii="Arial" w:cs="Arial" w:eastAsia="Arial" w:hAnsi="Arial"/>
          <w:sz w:val="20"/>
          <w:szCs w:val="20"/>
          <w:b w:val="1"/>
          <w:bCs w:val="1"/>
          <w:color w:val="0E3C23"/>
        </w:rPr>
        <w:t xml:space="preserve">Stockholder Proposals and Nominees for the 2026 Annual Meeting </w:t>
      </w:r>
      <w:r>
        <w:rPr>
          <w:rFonts w:ascii="Arial" w:cs="Arial" w:eastAsia="Arial" w:hAnsi="Arial"/>
          <w:sz w:val="20"/>
          <w:szCs w:val="20"/>
          <w:color w:val="000000"/>
        </w:rPr>
        <w:t>The Company will not consider any proposal or</w:t>
      </w:r>
      <w:r>
        <w:rPr>
          <w:rFonts w:ascii="Arial" w:cs="Arial" w:eastAsia="Arial" w:hAnsi="Arial"/>
          <w:sz w:val="20"/>
          <w:szCs w:val="20"/>
          <w:b w:val="1"/>
          <w:bCs w:val="1"/>
          <w:color w:val="0E3C23"/>
        </w:rPr>
        <w:t xml:space="preserve"> </w:t>
      </w:r>
      <w:r>
        <w:rPr>
          <w:rFonts w:ascii="Arial" w:cs="Arial" w:eastAsia="Arial" w:hAnsi="Arial"/>
          <w:sz w:val="20"/>
          <w:szCs w:val="20"/>
          <w:color w:val="000000"/>
        </w:rPr>
        <w:t>nomination that is not timely or otherwise does not meet the Company’s By-law and Securities and Exchange Commission (“SEC”) requirements for submitting a proposal or nomination. We also ask that you email a courtesy copy of any notice to GCLegal@wm.com. A copy of our By-laws may be obtained free of charge by writing to our Corporate Secretary at 800 Capitol Street, Suite 3000, Houston, Texas 77002 and is available in the “Sustainability &amp; Governance — Corporate Governance” section of investors.wm.com.</w:t>
      </w:r>
    </w:p>
    <w:p>
      <w:pPr>
        <w:spacing w:after="0" w:line="127" w:lineRule="exact"/>
        <w:rPr>
          <w:sz w:val="20"/>
          <w:szCs w:val="20"/>
          <w:color w:val="auto"/>
        </w:rPr>
      </w:pPr>
    </w:p>
    <w:p>
      <w:pPr>
        <w:jc w:val="both"/>
        <w:ind w:left="180" w:right="200"/>
        <w:spacing w:after="0" w:line="285" w:lineRule="auto"/>
        <w:rPr>
          <w:sz w:val="20"/>
          <w:szCs w:val="20"/>
          <w:color w:val="auto"/>
        </w:rPr>
      </w:pPr>
      <w:r>
        <w:rPr>
          <w:rFonts w:ascii="Arial" w:cs="Arial" w:eastAsia="Arial" w:hAnsi="Arial"/>
          <w:sz w:val="18"/>
          <w:szCs w:val="18"/>
          <w:i w:val="1"/>
          <w:iCs w:val="1"/>
          <w:u w:val="single" w:color="auto"/>
          <w:color w:val="auto"/>
        </w:rPr>
        <w:t>Stockholder Proposals: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stockholders who wish to submit a proposal for inclusion in the proxy statement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Rule 14a-8 under the Securities Exchange Act of 1934, as amended (the “Exchange Act”), for our 2026 Annual Meeting must submit their proposal to our Corporate Secretary at Waste Management, Inc., 800 Capitol Street, Suite 3000,</w:t>
      </w:r>
    </w:p>
    <w:p>
      <w:pPr>
        <w:spacing w:after="0" w:line="389" w:lineRule="exact"/>
        <w:rPr>
          <w:sz w:val="20"/>
          <w:szCs w:val="20"/>
          <w:color w:val="auto"/>
        </w:rPr>
      </w:pPr>
    </w:p>
    <w:p>
      <w:pPr>
        <w:ind w:left="180"/>
        <w:spacing w:after="0"/>
        <w:tabs>
          <w:tab w:leader="none" w:pos="42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-86995</wp:posOffset>
            </wp:positionV>
            <wp:extent cx="4254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sectPr>
      </w:pPr>
    </w:p>
    <w:bookmarkStart w:id="8" w:name="page9"/>
    <w:bookmarkEnd w:id="8"/>
    <w:p>
      <w:pPr>
        <w:ind w:left="828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GENERAL INFORMATION</w:t>
      </w:r>
    </w:p>
    <w:p>
      <w:pPr>
        <w:spacing w:after="0" w:line="279" w:lineRule="exact"/>
        <w:rPr>
          <w:sz w:val="20"/>
          <w:szCs w:val="20"/>
          <w:color w:val="auto"/>
        </w:rPr>
      </w:pPr>
    </w:p>
    <w:p>
      <w:pPr>
        <w:jc w:val="both"/>
        <w:ind w:left="180" w:right="200"/>
        <w:spacing w:after="0" w:line="246" w:lineRule="auto"/>
        <w:rPr>
          <w:sz w:val="20"/>
          <w:szCs w:val="20"/>
          <w:color w:val="auto"/>
        </w:rPr>
      </w:pPr>
      <w:r>
        <w:rPr>
          <w:rFonts w:ascii="Arial" w:cs="Arial" w:eastAsia="Arial" w:hAnsi="Arial"/>
          <w:sz w:val="20"/>
          <w:szCs w:val="20"/>
          <w:color w:val="auto"/>
        </w:rPr>
        <w:t>Houston, Texas 77002 for receipt on or before December 2, 2025. The proponent and the proposal must comply with the requirements set forth in the federal securities laws, including Rule 14a-8 of the Exchange Act, in order to be included in the Company’s proxy statement and proxy card for the 2026 Annual Meeting.</w:t>
      </w:r>
    </w:p>
    <w:p>
      <w:pPr>
        <w:spacing w:after="0" w:line="131" w:lineRule="exact"/>
        <w:rPr>
          <w:sz w:val="20"/>
          <w:szCs w:val="20"/>
          <w:color w:val="auto"/>
        </w:rPr>
      </w:pPr>
    </w:p>
    <w:p>
      <w:pPr>
        <w:jc w:val="both"/>
        <w:ind w:left="180" w:right="200"/>
        <w:spacing w:after="0" w:line="263" w:lineRule="auto"/>
        <w:rPr>
          <w:sz w:val="20"/>
          <w:szCs w:val="20"/>
          <w:color w:val="auto"/>
        </w:rPr>
      </w:pPr>
      <w:r>
        <w:rPr>
          <w:rFonts w:ascii="Arial" w:cs="Arial" w:eastAsia="Arial" w:hAnsi="Arial"/>
          <w:sz w:val="19"/>
          <w:szCs w:val="19"/>
          <w:i w:val="1"/>
          <w:iCs w:val="1"/>
          <w:u w:val="single" w:color="auto"/>
          <w:color w:val="auto"/>
        </w:rPr>
        <w:t>Advance Notice Proposals and Nominations:</w:t>
      </w:r>
      <w:r>
        <w:rPr>
          <w:rFonts w:ascii="Arial" w:cs="Arial" w:eastAsia="Arial" w:hAnsi="Arial"/>
          <w:sz w:val="19"/>
          <w:szCs w:val="19"/>
          <w:i w:val="1"/>
          <w:iCs w:val="1"/>
          <w:color w:val="auto"/>
        </w:rPr>
        <w:t xml:space="preserve"> </w:t>
      </w:r>
      <w:r>
        <w:rPr>
          <w:rFonts w:ascii="Arial" w:cs="Arial" w:eastAsia="Arial" w:hAnsi="Arial"/>
          <w:sz w:val="19"/>
          <w:szCs w:val="19"/>
          <w:color w:val="auto"/>
        </w:rPr>
        <w:t>In addition, the Company’s By-laws establish advance notice procedures that</w:t>
      </w:r>
      <w:r>
        <w:rPr>
          <w:rFonts w:ascii="Arial" w:cs="Arial" w:eastAsia="Arial" w:hAnsi="Arial"/>
          <w:sz w:val="19"/>
          <w:szCs w:val="19"/>
          <w:i w:val="1"/>
          <w:iCs w:val="1"/>
          <w:color w:val="auto"/>
        </w:rPr>
        <w:t xml:space="preserve"> </w:t>
      </w:r>
      <w:r>
        <w:rPr>
          <w:rFonts w:ascii="Arial" w:cs="Arial" w:eastAsia="Arial" w:hAnsi="Arial"/>
          <w:sz w:val="19"/>
          <w:szCs w:val="19"/>
          <w:color w:val="auto"/>
        </w:rPr>
        <w:t>must be complied with for stockholders to bring proposals that are not included in the Company’s proxy materials and nominations of persons for election as directors (other than pursuant to our proxy access By-law discussed below) before an annual meeting of stockholders. In accordance with our By-laws, for a proposal or nominee not included in our proxy materials to be properly brought before the 2026 Annual Meeting, a stockholder’s notice must be delivered to our Corporate Secretary at Waste Management, Inc., 800 Capitol Street, Suite 3000, Houston, Texas 77002 no earlier than December 14, 2025 and no later than January 13, 2026 and must contain the information specified in the Company’s By-laws. In addition to satisfying the foregoing advance notice requirements under our By-laws, to comply with the universal proxy rules under the Exchange Act, a stockholder who intends to solicit proxies in support of director nominees other than Company’s nominees must provide notice that sets forth the information required by Rule 14a-19 under the Exchange Act no later than January 13, 2026, and must also comply with all other requirements of Rule 14a-19 under the Exchange Act. The Company will disregard any proxies solicited for a stockholder’s director nominee(s) if such stockholder fails to comply with such requirements.</w:t>
      </w:r>
    </w:p>
    <w:p>
      <w:pPr>
        <w:spacing w:after="0" w:line="120" w:lineRule="exact"/>
        <w:rPr>
          <w:sz w:val="20"/>
          <w:szCs w:val="20"/>
          <w:color w:val="auto"/>
        </w:rPr>
      </w:pPr>
    </w:p>
    <w:p>
      <w:pPr>
        <w:jc w:val="both"/>
        <w:ind w:left="180" w:right="200"/>
        <w:spacing w:after="0" w:line="264" w:lineRule="auto"/>
        <w:rPr>
          <w:sz w:val="20"/>
          <w:szCs w:val="20"/>
          <w:color w:val="auto"/>
        </w:rPr>
      </w:pPr>
      <w:r>
        <w:rPr>
          <w:rFonts w:ascii="Arial" w:cs="Arial" w:eastAsia="Arial" w:hAnsi="Arial"/>
          <w:sz w:val="19"/>
          <w:szCs w:val="19"/>
          <w:i w:val="1"/>
          <w:iCs w:val="1"/>
          <w:u w:val="single" w:color="auto"/>
          <w:color w:val="auto"/>
        </w:rPr>
        <w:t>Proxy Access Nominations:</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Company’s By-laws permit a stockholder or group of up to 20 stockholders owning 3% or</w:t>
      </w:r>
      <w:r>
        <w:rPr>
          <w:rFonts w:ascii="Arial" w:cs="Arial" w:eastAsia="Arial" w:hAnsi="Arial"/>
          <w:sz w:val="19"/>
          <w:szCs w:val="19"/>
          <w:i w:val="1"/>
          <w:iCs w:val="1"/>
          <w:color w:val="auto"/>
        </w:rPr>
        <w:t xml:space="preserve"> </w:t>
      </w:r>
      <w:r>
        <w:rPr>
          <w:rFonts w:ascii="Arial" w:cs="Arial" w:eastAsia="Arial" w:hAnsi="Arial"/>
          <w:sz w:val="19"/>
          <w:szCs w:val="19"/>
          <w:color w:val="auto"/>
        </w:rPr>
        <w:t>more of the Company’s outstanding Common Stock continuously for at least three years to nominate and include in the Company’s proxy materials director nominees constituting up to the greater of 20% of the Board of Directors or two individuals, provided the stockholder(s) and the nominee(s) satisfy the requirements specified in the Company’s By-laws. Notice of proxy access director nominees must be delivered to our Corporate Secretary at Waste Management, Inc., 800 Capitol Street, Suite 3000, Houston, Texas 77002 no earlier than November 2, 2025, and no later than December 2, 2025, together with other information required by the Company’s By-laws.</w:t>
      </w:r>
    </w:p>
    <w:p>
      <w:pPr>
        <w:spacing w:after="0" w:line="111" w:lineRule="exact"/>
        <w:rPr>
          <w:sz w:val="20"/>
          <w:szCs w:val="20"/>
          <w:color w:val="auto"/>
        </w:rPr>
      </w:pPr>
    </w:p>
    <w:p>
      <w:pPr>
        <w:jc w:val="both"/>
        <w:ind w:left="180" w:right="200"/>
        <w:spacing w:after="0" w:line="249" w:lineRule="auto"/>
        <w:rPr>
          <w:sz w:val="20"/>
          <w:szCs w:val="20"/>
          <w:color w:val="auto"/>
        </w:rPr>
      </w:pPr>
      <w:r>
        <w:rPr>
          <w:rFonts w:ascii="Arial" w:cs="Arial" w:eastAsia="Arial" w:hAnsi="Arial"/>
          <w:sz w:val="20"/>
          <w:szCs w:val="20"/>
          <w:b w:val="1"/>
          <w:bCs w:val="1"/>
          <w:color w:val="0E3C23"/>
        </w:rPr>
        <w:t xml:space="preserve">Expenses of Solicitation </w:t>
      </w:r>
      <w:r>
        <w:rPr>
          <w:rFonts w:ascii="Arial" w:cs="Arial" w:eastAsia="Arial" w:hAnsi="Arial"/>
          <w:sz w:val="20"/>
          <w:szCs w:val="20"/>
          <w:color w:val="000000"/>
        </w:rPr>
        <w:t>We pay the cost of preparing, assembling and mailing this proxy-soliciting material. In addition</w:t>
      </w:r>
      <w:r>
        <w:rPr>
          <w:rFonts w:ascii="Arial" w:cs="Arial" w:eastAsia="Arial" w:hAnsi="Arial"/>
          <w:sz w:val="20"/>
          <w:szCs w:val="20"/>
          <w:b w:val="1"/>
          <w:bCs w:val="1"/>
          <w:color w:val="0E3C23"/>
        </w:rPr>
        <w:t xml:space="preserve"> </w:t>
      </w:r>
      <w:r>
        <w:rPr>
          <w:rFonts w:ascii="Arial" w:cs="Arial" w:eastAsia="Arial" w:hAnsi="Arial"/>
          <w:sz w:val="20"/>
          <w:szCs w:val="20"/>
          <w:color w:val="000000"/>
        </w:rPr>
        <w:t>to the use of the mail, proxies may be solicited personally, by Internet or telephone, or by the Company’s officers and employees of the Company’s subsidiaries without additional compensation. We pay all costs of solicitation, including certain expenses of brokers and nominees who mail proxy materials to their customers or principals. Also, Innisfree M&amp;A Incorporated has been hired to help in the solicitation of proxies for the 2025 Annual Meeting for a fee of $17,500 plus associated costs and expenses.</w:t>
      </w:r>
    </w:p>
    <w:p>
      <w:pPr>
        <w:spacing w:after="0" w:line="125" w:lineRule="exact"/>
        <w:rPr>
          <w:sz w:val="20"/>
          <w:szCs w:val="20"/>
          <w:color w:val="auto"/>
        </w:rPr>
      </w:pPr>
    </w:p>
    <w:p>
      <w:pPr>
        <w:jc w:val="both"/>
        <w:ind w:left="180" w:right="200"/>
        <w:spacing w:after="0" w:line="248" w:lineRule="auto"/>
        <w:rPr>
          <w:sz w:val="20"/>
          <w:szCs w:val="20"/>
          <w:color w:val="auto"/>
        </w:rPr>
      </w:pPr>
      <w:r>
        <w:rPr>
          <w:rFonts w:ascii="Arial" w:cs="Arial" w:eastAsia="Arial" w:hAnsi="Arial"/>
          <w:sz w:val="20"/>
          <w:szCs w:val="20"/>
          <w:b w:val="1"/>
          <w:bCs w:val="1"/>
          <w:color w:val="0E3C23"/>
        </w:rPr>
        <w:t xml:space="preserve">Annual Report </w:t>
      </w:r>
      <w:r>
        <w:rPr>
          <w:rFonts w:ascii="Arial" w:cs="Arial" w:eastAsia="Arial" w:hAnsi="Arial"/>
          <w:sz w:val="20"/>
          <w:szCs w:val="20"/>
          <w:color w:val="000000"/>
        </w:rPr>
        <w:t>A copy of our Annual Report on Form 10-K for the year ended December 31, 2024, which includes our</w:t>
      </w:r>
      <w:r>
        <w:rPr>
          <w:rFonts w:ascii="Arial" w:cs="Arial" w:eastAsia="Arial" w:hAnsi="Arial"/>
          <w:sz w:val="20"/>
          <w:szCs w:val="20"/>
          <w:b w:val="1"/>
          <w:bCs w:val="1"/>
          <w:color w:val="0E3C23"/>
        </w:rPr>
        <w:t xml:space="preserve"> </w:t>
      </w:r>
      <w:r>
        <w:rPr>
          <w:rFonts w:ascii="Arial" w:cs="Arial" w:eastAsia="Arial" w:hAnsi="Arial"/>
          <w:sz w:val="20"/>
          <w:szCs w:val="20"/>
          <w:color w:val="000000"/>
        </w:rPr>
        <w:t>financial statements for fiscal year 2024, is provided with this Proxy Statement and is available at investors.wm.com. The Annual Report on Form 10-K is not incorporated by reference into this Proxy Statement or deemed to be a part of the materials for the solicitation of proxies.</w:t>
      </w:r>
    </w:p>
    <w:p>
      <w:pPr>
        <w:spacing w:after="0" w:line="129" w:lineRule="exact"/>
        <w:rPr>
          <w:sz w:val="20"/>
          <w:szCs w:val="20"/>
          <w:color w:val="auto"/>
        </w:rPr>
      </w:pPr>
    </w:p>
    <w:p>
      <w:pPr>
        <w:jc w:val="both"/>
        <w:ind w:left="180" w:right="200"/>
        <w:spacing w:after="0" w:line="246" w:lineRule="auto"/>
        <w:rPr>
          <w:sz w:val="20"/>
          <w:szCs w:val="20"/>
          <w:color w:val="auto"/>
        </w:rPr>
      </w:pPr>
      <w:r>
        <w:rPr>
          <w:rFonts w:ascii="Arial" w:cs="Arial" w:eastAsia="Arial" w:hAnsi="Arial"/>
          <w:sz w:val="20"/>
          <w:szCs w:val="20"/>
          <w:color w:val="auto"/>
        </w:rPr>
        <w:t>If you wish to receive a separate or additional copy of this Proxy Statement and Annual Report free of charge, please contact: Waste Management, Inc., Corporate Secretary, 800 Capitol Street, Suite 3000, Houston, Texas 77002, telephone 713-512-6374.</w:t>
      </w:r>
    </w:p>
    <w:p>
      <w:pPr>
        <w:spacing w:after="0" w:line="129" w:lineRule="exact"/>
        <w:rPr>
          <w:sz w:val="20"/>
          <w:szCs w:val="20"/>
          <w:color w:val="auto"/>
        </w:rPr>
      </w:pPr>
    </w:p>
    <w:p>
      <w:pPr>
        <w:jc w:val="both"/>
        <w:ind w:left="180" w:right="200"/>
        <w:spacing w:after="0" w:line="249" w:lineRule="auto"/>
        <w:rPr>
          <w:sz w:val="20"/>
          <w:szCs w:val="20"/>
          <w:color w:val="auto"/>
        </w:rPr>
      </w:pPr>
      <w:r>
        <w:rPr>
          <w:rFonts w:ascii="Arial" w:cs="Arial" w:eastAsia="Arial" w:hAnsi="Arial"/>
          <w:sz w:val="20"/>
          <w:szCs w:val="20"/>
          <w:b w:val="1"/>
          <w:bCs w:val="1"/>
          <w:color w:val="0E3C23"/>
        </w:rPr>
        <w:t xml:space="preserve">Householding Information </w:t>
      </w:r>
      <w:r>
        <w:rPr>
          <w:rFonts w:ascii="Arial" w:cs="Arial" w:eastAsia="Arial" w:hAnsi="Arial"/>
          <w:sz w:val="20"/>
          <w:szCs w:val="20"/>
          <w:color w:val="000000"/>
        </w:rPr>
        <w:t>We have adopted a procedure approved by the SEC called “householding.” Under this</w:t>
      </w:r>
      <w:r>
        <w:rPr>
          <w:rFonts w:ascii="Arial" w:cs="Arial" w:eastAsia="Arial" w:hAnsi="Arial"/>
          <w:sz w:val="20"/>
          <w:szCs w:val="20"/>
          <w:b w:val="1"/>
          <w:bCs w:val="1"/>
          <w:color w:val="0E3C23"/>
        </w:rPr>
        <w:t xml:space="preserve"> </w:t>
      </w:r>
      <w:r>
        <w:rPr>
          <w:rFonts w:ascii="Arial" w:cs="Arial" w:eastAsia="Arial" w:hAnsi="Arial"/>
          <w:sz w:val="20"/>
          <w:szCs w:val="20"/>
          <w:color w:val="000000"/>
        </w:rPr>
        <w:t>procedure, stockholders of record who have the same address and last name and do not participate in electronic delivery of proxy materials will receive only one copy of the Proxy Statement and Annual Report unless we are notified that one or more of these individuals wishes to receive separate copies. This procedure helps reduce our printing costs and postage fees.</w:t>
      </w:r>
    </w:p>
    <w:p>
      <w:pPr>
        <w:spacing w:after="0" w:line="126" w:lineRule="exact"/>
        <w:rPr>
          <w:sz w:val="20"/>
          <w:szCs w:val="20"/>
          <w:color w:val="auto"/>
        </w:rPr>
      </w:pPr>
    </w:p>
    <w:p>
      <w:pPr>
        <w:jc w:val="both"/>
        <w:ind w:left="180" w:right="200"/>
        <w:spacing w:after="0" w:line="247" w:lineRule="auto"/>
        <w:rPr>
          <w:sz w:val="20"/>
          <w:szCs w:val="20"/>
          <w:color w:val="auto"/>
        </w:rPr>
      </w:pPr>
      <w:r>
        <w:rPr>
          <w:rFonts w:ascii="Arial" w:cs="Arial" w:eastAsia="Arial" w:hAnsi="Arial"/>
          <w:sz w:val="20"/>
          <w:szCs w:val="20"/>
          <w:color w:val="auto"/>
        </w:rPr>
        <w:t>If you do not wish to participate in householding in the future and prefer to receive separate copies of the proxy materials, please contact: Broadridge Financial Solutions, Attention Householding Department, 51 Mercedes Way, Edgewood, NY 11717, telephone 1-866-540-7095. If you are currently receiving multiple copies of proxy materials and wish to receive only one copy for your household, please contact Broadridge.</w:t>
      </w:r>
    </w:p>
    <w:p>
      <w:pPr>
        <w:sectPr>
          <w:pgSz w:w="13320" w:h="16920" w:orient="portrait"/>
          <w:cols w:equalWidth="0" w:num="1">
            <w:col w:w="104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780"/>
        <w:spacing w:after="0"/>
        <w:tabs>
          <w:tab w:leader="none" w:pos="98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-207010</wp:posOffset>
            </wp:positionV>
            <wp:extent cx="538480" cy="161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9" w:name="page10"/>
    <w:bookmarkEnd w:id="9"/>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Arial" w:cs="Arial" w:eastAsia="Arial" w:hAnsi="Arial"/>
          <w:sz w:val="40"/>
          <w:szCs w:val="40"/>
          <w:color w:val="0E3C23"/>
        </w:rPr>
        <w:t>BOARD OF DIRECTORS</w:t>
      </w:r>
    </w:p>
    <w:p>
      <w:pPr>
        <w:spacing w:after="0" w:line="266" w:lineRule="exact"/>
        <w:rPr>
          <w:sz w:val="20"/>
          <w:szCs w:val="20"/>
          <w:color w:val="auto"/>
        </w:rPr>
      </w:pPr>
    </w:p>
    <w:p>
      <w:pPr>
        <w:jc w:val="both"/>
        <w:ind w:left="180" w:right="200"/>
        <w:spacing w:after="0" w:line="254" w:lineRule="auto"/>
        <w:rPr>
          <w:sz w:val="20"/>
          <w:szCs w:val="20"/>
          <w:color w:val="auto"/>
        </w:rPr>
      </w:pPr>
      <w:r>
        <w:rPr>
          <w:rFonts w:ascii="Arial" w:cs="Arial" w:eastAsia="Arial" w:hAnsi="Arial"/>
          <w:sz w:val="20"/>
          <w:szCs w:val="20"/>
          <w:color w:val="auto"/>
        </w:rPr>
        <w:t>Our Board of Directors currently has 9 members. Each member of our Board is elected annually and is nominated for re-election at the 2025 Annual Meeting.</w:t>
      </w:r>
    </w:p>
    <w:p>
      <w:pPr>
        <w:spacing w:after="0" w:line="246"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Nominees for Director</w:t>
      </w:r>
    </w:p>
    <w:p>
      <w:pPr>
        <w:spacing w:after="0" w:line="187"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0E3C23"/>
              </w:rPr>
              <w:t>Committee</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00" w:type="dxa"/>
            <w:vAlign w:val="bottom"/>
            <w:tcBorders>
              <w:bottom w:val="single" w:sz="8" w:color="0E3C23"/>
            </w:tcBorders>
          </w:tcPr>
          <w:p>
            <w:pPr>
              <w:spacing w:after="0"/>
              <w:rPr>
                <w:sz w:val="3"/>
                <w:szCs w:val="3"/>
                <w:color w:val="auto"/>
              </w:rPr>
            </w:pPr>
          </w:p>
        </w:tc>
        <w:tc>
          <w:tcPr>
            <w:tcW w:w="260" w:type="dxa"/>
            <w:vAlign w:val="bottom"/>
            <w:tcBorders>
              <w:bottom w:val="single" w:sz="8" w:color="0E3C23"/>
            </w:tcBorders>
          </w:tcPr>
          <w:p>
            <w:pPr>
              <w:spacing w:after="0"/>
              <w:rPr>
                <w:sz w:val="3"/>
                <w:szCs w:val="3"/>
                <w:color w:val="auto"/>
              </w:rPr>
            </w:pPr>
          </w:p>
        </w:tc>
        <w:tc>
          <w:tcPr>
            <w:tcW w:w="300" w:type="dxa"/>
            <w:vAlign w:val="bottom"/>
            <w:tcBorders>
              <w:bottom w:val="single" w:sz="8" w:color="0E3C23"/>
            </w:tcBorders>
          </w:tcPr>
          <w:p>
            <w:pPr>
              <w:spacing w:after="0"/>
              <w:rPr>
                <w:sz w:val="3"/>
                <w:szCs w:val="3"/>
                <w:color w:val="auto"/>
              </w:rPr>
            </w:pPr>
          </w:p>
        </w:tc>
        <w:tc>
          <w:tcPr>
            <w:tcW w:w="660" w:type="dxa"/>
            <w:vAlign w:val="bottom"/>
            <w:tcBorders>
              <w:bottom w:val="single" w:sz="8" w:color="0E3C23"/>
            </w:tcBorders>
          </w:tcPr>
          <w:p>
            <w:pPr>
              <w:spacing w:after="0"/>
              <w:rPr>
                <w:sz w:val="3"/>
                <w:szCs w:val="3"/>
                <w:color w:val="auto"/>
              </w:rPr>
            </w:pPr>
          </w:p>
        </w:tc>
        <w:tc>
          <w:tcPr>
            <w:tcW w:w="240" w:type="dxa"/>
            <w:vAlign w:val="bottom"/>
            <w:tcBorders>
              <w:bottom w:val="single" w:sz="8" w:color="0E3C23"/>
            </w:tcBorders>
          </w:tcPr>
          <w:p>
            <w:pPr>
              <w:spacing w:after="0"/>
              <w:rPr>
                <w:sz w:val="3"/>
                <w:szCs w:val="3"/>
                <w:color w:val="auto"/>
              </w:rPr>
            </w:pPr>
          </w:p>
        </w:tc>
        <w:tc>
          <w:tcPr>
            <w:tcW w:w="720" w:type="dxa"/>
            <w:vAlign w:val="bottom"/>
            <w:tcBorders>
              <w:bottom w:val="single" w:sz="8" w:color="0E3C23"/>
            </w:tcBorders>
          </w:tcPr>
          <w:p>
            <w:pPr>
              <w:spacing w:after="0"/>
              <w:rPr>
                <w:sz w:val="3"/>
                <w:szCs w:val="3"/>
                <w:color w:val="auto"/>
              </w:rPr>
            </w:pPr>
          </w:p>
        </w:tc>
        <w:tc>
          <w:tcPr>
            <w:tcW w:w="520" w:type="dxa"/>
            <w:vAlign w:val="bottom"/>
            <w:tcBorders>
              <w:bottom w:val="single" w:sz="8" w:color="0E3C23"/>
            </w:tcBorders>
          </w:tcPr>
          <w:p>
            <w:pPr>
              <w:spacing w:after="0"/>
              <w:rPr>
                <w:sz w:val="3"/>
                <w:szCs w:val="3"/>
                <w:color w:val="auto"/>
              </w:rPr>
            </w:pPr>
          </w:p>
        </w:tc>
        <w:tc>
          <w:tcPr>
            <w:tcW w:w="260" w:type="dxa"/>
            <w:vAlign w:val="bottom"/>
            <w:tcBorders>
              <w:bottom w:val="single" w:sz="8" w:color="0E3C23"/>
            </w:tcBorders>
          </w:tcPr>
          <w:p>
            <w:pPr>
              <w:spacing w:after="0"/>
              <w:rPr>
                <w:sz w:val="3"/>
                <w:szCs w:val="3"/>
                <w:color w:val="auto"/>
              </w:rPr>
            </w:pPr>
          </w:p>
        </w:tc>
        <w:tc>
          <w:tcPr>
            <w:tcW w:w="40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0E3C23"/>
                <w:w w:val="91"/>
              </w:rPr>
              <w:t>Management</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3"/>
          </w:tcPr>
          <w:p>
            <w:pPr>
              <w:jc w:val="center"/>
              <w:ind w:right="80"/>
              <w:spacing w:after="0" w:line="160" w:lineRule="exact"/>
              <w:rPr>
                <w:sz w:val="20"/>
                <w:szCs w:val="20"/>
                <w:color w:val="auto"/>
              </w:rPr>
            </w:pPr>
            <w:r>
              <w:rPr>
                <w:rFonts w:ascii="Arial" w:cs="Arial" w:eastAsia="Arial" w:hAnsi="Arial"/>
                <w:sz w:val="16"/>
                <w:szCs w:val="16"/>
                <w:b w:val="1"/>
                <w:bCs w:val="1"/>
                <w:color w:val="0E3C23"/>
                <w:w w:val="90"/>
              </w:rPr>
              <w:t>Development &amp;</w:t>
            </w:r>
          </w:p>
        </w:tc>
        <w:tc>
          <w:tcPr>
            <w:tcW w:w="1180" w:type="dxa"/>
            <w:vAlign w:val="bottom"/>
            <w:gridSpan w:val="3"/>
          </w:tcPr>
          <w:p>
            <w:pPr>
              <w:jc w:val="center"/>
              <w:ind w:left="20"/>
              <w:spacing w:after="0" w:line="160" w:lineRule="exact"/>
              <w:rPr>
                <w:sz w:val="20"/>
                <w:szCs w:val="20"/>
                <w:color w:val="auto"/>
              </w:rPr>
            </w:pPr>
            <w:r>
              <w:rPr>
                <w:rFonts w:ascii="Arial" w:cs="Arial" w:eastAsia="Arial" w:hAnsi="Arial"/>
                <w:sz w:val="16"/>
                <w:szCs w:val="16"/>
                <w:b w:val="1"/>
                <w:bCs w:val="1"/>
                <w:color w:val="0E3C23"/>
                <w:w w:val="92"/>
              </w:rPr>
              <w:t>Nominating &amp;</w:t>
            </w:r>
          </w:p>
        </w:tc>
        <w:tc>
          <w:tcPr>
            <w:tcW w:w="0" w:type="dxa"/>
            <w:vAlign w:val="bottom"/>
          </w:tcPr>
          <w:p>
            <w:pPr>
              <w:spacing w:after="0"/>
              <w:rPr>
                <w:sz w:val="1"/>
                <w:szCs w:val="1"/>
                <w:color w:val="auto"/>
              </w:rPr>
            </w:pPr>
          </w:p>
        </w:tc>
      </w:tr>
      <w:tr>
        <w:trPr>
          <w:trHeight w:val="184"/>
        </w:trPr>
        <w:tc>
          <w:tcPr>
            <w:tcW w:w="680" w:type="dxa"/>
            <w:vAlign w:val="bottom"/>
          </w:tcPr>
          <w:p>
            <w:pPr>
              <w:ind w:left="60"/>
              <w:spacing w:after="0"/>
              <w:rPr>
                <w:sz w:val="20"/>
                <w:szCs w:val="20"/>
                <w:color w:val="auto"/>
              </w:rPr>
            </w:pPr>
            <w:r>
              <w:rPr>
                <w:rFonts w:ascii="Arial" w:cs="Arial" w:eastAsia="Arial" w:hAnsi="Arial"/>
                <w:sz w:val="16"/>
                <w:szCs w:val="16"/>
                <w:b w:val="1"/>
                <w:bCs w:val="1"/>
                <w:color w:val="0E3C23"/>
              </w:rPr>
              <w:t>Name</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jc w:val="center"/>
              <w:ind w:left="42"/>
              <w:spacing w:after="0"/>
              <w:rPr>
                <w:sz w:val="20"/>
                <w:szCs w:val="20"/>
                <w:color w:val="auto"/>
              </w:rPr>
            </w:pPr>
            <w:r>
              <w:rPr>
                <w:rFonts w:ascii="Arial" w:cs="Arial" w:eastAsia="Arial" w:hAnsi="Arial"/>
                <w:sz w:val="16"/>
                <w:szCs w:val="16"/>
                <w:b w:val="1"/>
                <w:bCs w:val="1"/>
                <w:color w:val="0E3C23"/>
                <w:w w:val="92"/>
              </w:rPr>
              <w:t>Age</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0E3C23"/>
                <w:w w:val="93"/>
              </w:rPr>
              <w:t>Tenure</w:t>
            </w:r>
          </w:p>
        </w:tc>
        <w:tc>
          <w:tcPr>
            <w:tcW w:w="1360" w:type="dxa"/>
            <w:vAlign w:val="bottom"/>
          </w:tcPr>
          <w:p>
            <w:pPr>
              <w:ind w:left="240"/>
              <w:spacing w:after="0"/>
              <w:rPr>
                <w:sz w:val="20"/>
                <w:szCs w:val="20"/>
                <w:color w:val="auto"/>
              </w:rPr>
            </w:pPr>
            <w:r>
              <w:rPr>
                <w:rFonts w:ascii="Arial" w:cs="Arial" w:eastAsia="Arial" w:hAnsi="Arial"/>
                <w:sz w:val="16"/>
                <w:szCs w:val="16"/>
                <w:b w:val="1"/>
                <w:bCs w:val="1"/>
                <w:color w:val="0E3C23"/>
              </w:rPr>
              <w:t>Independent</w:t>
            </w:r>
          </w:p>
        </w:tc>
        <w:tc>
          <w:tcPr>
            <w:tcW w:w="860" w:type="dxa"/>
            <w:vAlign w:val="bottom"/>
            <w:gridSpan w:val="3"/>
          </w:tcPr>
          <w:p>
            <w:pPr>
              <w:ind w:left="240"/>
              <w:spacing w:after="0"/>
              <w:rPr>
                <w:sz w:val="20"/>
                <w:szCs w:val="20"/>
                <w:color w:val="auto"/>
              </w:rPr>
            </w:pPr>
            <w:r>
              <w:rPr>
                <w:rFonts w:ascii="Arial" w:cs="Arial" w:eastAsia="Arial" w:hAnsi="Arial"/>
                <w:sz w:val="16"/>
                <w:szCs w:val="16"/>
                <w:b w:val="1"/>
                <w:bCs w:val="1"/>
                <w:color w:val="0E3C23"/>
              </w:rPr>
              <w:t>Audit</w:t>
            </w:r>
          </w:p>
        </w:tc>
        <w:tc>
          <w:tcPr>
            <w:tcW w:w="16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0E3C23"/>
                <w:w w:val="91"/>
              </w:rPr>
              <w:t>Compensation</w:t>
            </w:r>
          </w:p>
        </w:tc>
        <w:tc>
          <w:tcPr>
            <w:tcW w:w="1180" w:type="dxa"/>
            <w:vAlign w:val="bottom"/>
            <w:gridSpan w:val="3"/>
          </w:tcPr>
          <w:p>
            <w:pPr>
              <w:jc w:val="center"/>
              <w:ind w:left="20"/>
              <w:spacing w:after="0"/>
              <w:rPr>
                <w:sz w:val="20"/>
                <w:szCs w:val="20"/>
                <w:color w:val="auto"/>
              </w:rPr>
            </w:pPr>
            <w:r>
              <w:rPr>
                <w:rFonts w:ascii="Arial" w:cs="Arial" w:eastAsia="Arial" w:hAnsi="Arial"/>
                <w:sz w:val="16"/>
                <w:szCs w:val="16"/>
                <w:b w:val="1"/>
                <w:bCs w:val="1"/>
                <w:color w:val="0E3C23"/>
                <w:w w:val="90"/>
              </w:rPr>
              <w:t>Governance</w:t>
            </w:r>
          </w:p>
        </w:tc>
        <w:tc>
          <w:tcPr>
            <w:tcW w:w="0" w:type="dxa"/>
            <w:vAlign w:val="bottom"/>
          </w:tcPr>
          <w:p>
            <w:pPr>
              <w:spacing w:after="0"/>
              <w:rPr>
                <w:sz w:val="1"/>
                <w:szCs w:val="1"/>
                <w:color w:val="auto"/>
              </w:rPr>
            </w:pPr>
          </w:p>
        </w:tc>
      </w:tr>
      <w:tr>
        <w:trPr>
          <w:trHeight w:val="44"/>
        </w:trPr>
        <w:tc>
          <w:tcPr>
            <w:tcW w:w="680" w:type="dxa"/>
            <w:vAlign w:val="bottom"/>
            <w:tcBorders>
              <w:bottom w:val="single" w:sz="8" w:color="0E3C23"/>
            </w:tcBorders>
          </w:tcPr>
          <w:p>
            <w:pPr>
              <w:spacing w:after="0"/>
              <w:rPr>
                <w:sz w:val="3"/>
                <w:szCs w:val="3"/>
                <w:color w:val="auto"/>
              </w:rPr>
            </w:pPr>
          </w:p>
        </w:tc>
        <w:tc>
          <w:tcPr>
            <w:tcW w:w="260" w:type="dxa"/>
            <w:vAlign w:val="bottom"/>
            <w:tcBorders>
              <w:bottom w:val="single" w:sz="8" w:color="0E3C23"/>
            </w:tcBorders>
          </w:tcPr>
          <w:p>
            <w:pPr>
              <w:spacing w:after="0"/>
              <w:rPr>
                <w:sz w:val="3"/>
                <w:szCs w:val="3"/>
                <w:color w:val="auto"/>
              </w:rPr>
            </w:pPr>
          </w:p>
        </w:tc>
        <w:tc>
          <w:tcPr>
            <w:tcW w:w="1460" w:type="dxa"/>
            <w:vAlign w:val="bottom"/>
            <w:tcBorders>
              <w:bottom w:val="single" w:sz="8" w:color="0E3C23"/>
            </w:tcBorders>
          </w:tcPr>
          <w:p>
            <w:pPr>
              <w:spacing w:after="0"/>
              <w:rPr>
                <w:sz w:val="3"/>
                <w:szCs w:val="3"/>
                <w:color w:val="auto"/>
              </w:rPr>
            </w:pPr>
          </w:p>
        </w:tc>
        <w:tc>
          <w:tcPr>
            <w:tcW w:w="900" w:type="dxa"/>
            <w:vAlign w:val="bottom"/>
            <w:tcBorders>
              <w:bottom w:val="single" w:sz="8" w:color="0E3C23"/>
            </w:tcBorders>
          </w:tcPr>
          <w:p>
            <w:pPr>
              <w:spacing w:after="0"/>
              <w:rPr>
                <w:sz w:val="3"/>
                <w:szCs w:val="3"/>
                <w:color w:val="auto"/>
              </w:rPr>
            </w:pPr>
          </w:p>
        </w:tc>
        <w:tc>
          <w:tcPr>
            <w:tcW w:w="1740" w:type="dxa"/>
            <w:vAlign w:val="bottom"/>
            <w:tcBorders>
              <w:bottom w:val="single" w:sz="8" w:color="0E3C23"/>
            </w:tcBorders>
          </w:tcPr>
          <w:p>
            <w:pPr>
              <w:spacing w:after="0"/>
              <w:rPr>
                <w:sz w:val="3"/>
                <w:szCs w:val="3"/>
                <w:color w:val="auto"/>
              </w:rPr>
            </w:pPr>
          </w:p>
        </w:tc>
        <w:tc>
          <w:tcPr>
            <w:tcW w:w="1360" w:type="dxa"/>
            <w:vAlign w:val="bottom"/>
            <w:tcBorders>
              <w:bottom w:val="single" w:sz="8" w:color="0E3C23"/>
            </w:tcBorders>
          </w:tcPr>
          <w:p>
            <w:pPr>
              <w:spacing w:after="0"/>
              <w:rPr>
                <w:sz w:val="3"/>
                <w:szCs w:val="3"/>
                <w:color w:val="auto"/>
              </w:rPr>
            </w:pPr>
          </w:p>
        </w:tc>
        <w:tc>
          <w:tcPr>
            <w:tcW w:w="300" w:type="dxa"/>
            <w:vAlign w:val="bottom"/>
            <w:tcBorders>
              <w:bottom w:val="single" w:sz="8" w:color="0E3C23"/>
            </w:tcBorders>
          </w:tcPr>
          <w:p>
            <w:pPr>
              <w:spacing w:after="0"/>
              <w:rPr>
                <w:sz w:val="3"/>
                <w:szCs w:val="3"/>
                <w:color w:val="auto"/>
              </w:rPr>
            </w:pPr>
          </w:p>
        </w:tc>
        <w:tc>
          <w:tcPr>
            <w:tcW w:w="260" w:type="dxa"/>
            <w:vAlign w:val="bottom"/>
            <w:tcBorders>
              <w:bottom w:val="single" w:sz="8" w:color="0E3C23"/>
            </w:tcBorders>
          </w:tcPr>
          <w:p>
            <w:pPr>
              <w:spacing w:after="0"/>
              <w:rPr>
                <w:sz w:val="3"/>
                <w:szCs w:val="3"/>
                <w:color w:val="auto"/>
              </w:rPr>
            </w:pPr>
          </w:p>
        </w:tc>
        <w:tc>
          <w:tcPr>
            <w:tcW w:w="300" w:type="dxa"/>
            <w:vAlign w:val="bottom"/>
            <w:tcBorders>
              <w:bottom w:val="single" w:sz="8" w:color="0E3C23"/>
            </w:tcBorders>
          </w:tcPr>
          <w:p>
            <w:pPr>
              <w:spacing w:after="0"/>
              <w:rPr>
                <w:sz w:val="3"/>
                <w:szCs w:val="3"/>
                <w:color w:val="auto"/>
              </w:rPr>
            </w:pPr>
          </w:p>
        </w:tc>
        <w:tc>
          <w:tcPr>
            <w:tcW w:w="660" w:type="dxa"/>
            <w:vAlign w:val="bottom"/>
            <w:tcBorders>
              <w:bottom w:val="single" w:sz="8" w:color="0E3C23"/>
            </w:tcBorders>
          </w:tcPr>
          <w:p>
            <w:pPr>
              <w:spacing w:after="0"/>
              <w:rPr>
                <w:sz w:val="3"/>
                <w:szCs w:val="3"/>
                <w:color w:val="auto"/>
              </w:rPr>
            </w:pPr>
          </w:p>
        </w:tc>
        <w:tc>
          <w:tcPr>
            <w:tcW w:w="240" w:type="dxa"/>
            <w:vAlign w:val="bottom"/>
            <w:tcBorders>
              <w:bottom w:val="single" w:sz="8" w:color="0E3C23"/>
            </w:tcBorders>
          </w:tcPr>
          <w:p>
            <w:pPr>
              <w:spacing w:after="0"/>
              <w:rPr>
                <w:sz w:val="3"/>
                <w:szCs w:val="3"/>
                <w:color w:val="auto"/>
              </w:rPr>
            </w:pPr>
          </w:p>
        </w:tc>
        <w:tc>
          <w:tcPr>
            <w:tcW w:w="720" w:type="dxa"/>
            <w:vAlign w:val="bottom"/>
            <w:tcBorders>
              <w:bottom w:val="single" w:sz="8" w:color="0E3C23"/>
            </w:tcBorders>
          </w:tcPr>
          <w:p>
            <w:pPr>
              <w:spacing w:after="0"/>
              <w:rPr>
                <w:sz w:val="3"/>
                <w:szCs w:val="3"/>
                <w:color w:val="auto"/>
              </w:rPr>
            </w:pPr>
          </w:p>
        </w:tc>
        <w:tc>
          <w:tcPr>
            <w:tcW w:w="520" w:type="dxa"/>
            <w:vAlign w:val="bottom"/>
            <w:tcBorders>
              <w:bottom w:val="single" w:sz="8" w:color="0E3C23"/>
            </w:tcBorders>
          </w:tcPr>
          <w:p>
            <w:pPr>
              <w:spacing w:after="0"/>
              <w:rPr>
                <w:sz w:val="3"/>
                <w:szCs w:val="3"/>
                <w:color w:val="auto"/>
              </w:rPr>
            </w:pPr>
          </w:p>
        </w:tc>
        <w:tc>
          <w:tcPr>
            <w:tcW w:w="260" w:type="dxa"/>
            <w:vAlign w:val="bottom"/>
            <w:tcBorders>
              <w:bottom w:val="single" w:sz="8" w:color="0E3C23"/>
            </w:tcBorders>
          </w:tcPr>
          <w:p>
            <w:pPr>
              <w:spacing w:after="0"/>
              <w:rPr>
                <w:sz w:val="3"/>
                <w:szCs w:val="3"/>
                <w:color w:val="auto"/>
              </w:rPr>
            </w:pPr>
          </w:p>
        </w:tc>
        <w:tc>
          <w:tcPr>
            <w:tcW w:w="40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r>
        <w:trPr>
          <w:trHeight w:val="417"/>
        </w:trPr>
        <w:tc>
          <w:tcPr>
            <w:tcW w:w="2400" w:type="dxa"/>
            <w:vAlign w:val="bottom"/>
            <w:gridSpan w:val="3"/>
          </w:tcPr>
          <w:p>
            <w:pPr>
              <w:ind w:left="60"/>
              <w:spacing w:after="0"/>
              <w:rPr>
                <w:sz w:val="20"/>
                <w:szCs w:val="20"/>
                <w:color w:val="auto"/>
              </w:rPr>
            </w:pPr>
            <w:r>
              <w:rPr>
                <w:rFonts w:ascii="Arial" w:cs="Arial" w:eastAsia="Arial" w:hAnsi="Arial"/>
                <w:sz w:val="20"/>
                <w:szCs w:val="20"/>
                <w:color w:val="auto"/>
              </w:rPr>
              <w:t>Thomas L. Bené</w:t>
            </w:r>
          </w:p>
        </w:tc>
        <w:tc>
          <w:tcPr>
            <w:tcW w:w="900" w:type="dxa"/>
            <w:vAlign w:val="bottom"/>
          </w:tcPr>
          <w:p>
            <w:pPr>
              <w:jc w:val="center"/>
              <w:ind w:left="42"/>
              <w:spacing w:after="0"/>
              <w:rPr>
                <w:sz w:val="20"/>
                <w:szCs w:val="20"/>
                <w:color w:val="auto"/>
              </w:rPr>
            </w:pPr>
            <w:r>
              <w:rPr>
                <w:rFonts w:ascii="Arial" w:cs="Arial" w:eastAsia="Arial" w:hAnsi="Arial"/>
                <w:sz w:val="20"/>
                <w:szCs w:val="20"/>
                <w:color w:val="auto"/>
                <w:w w:val="89"/>
              </w:rPr>
              <w:t>62</w:t>
            </w:r>
          </w:p>
        </w:tc>
        <w:tc>
          <w:tcPr>
            <w:tcW w:w="1740" w:type="dxa"/>
            <w:vAlign w:val="bottom"/>
          </w:tcPr>
          <w:p>
            <w:pPr>
              <w:jc w:val="center"/>
              <w:spacing w:after="0"/>
              <w:rPr>
                <w:sz w:val="20"/>
                <w:szCs w:val="20"/>
                <w:color w:val="auto"/>
              </w:rPr>
            </w:pPr>
            <w:r>
              <w:rPr>
                <w:rFonts w:ascii="Arial" w:cs="Arial" w:eastAsia="Arial" w:hAnsi="Arial"/>
                <w:sz w:val="20"/>
                <w:szCs w:val="20"/>
                <w:color w:val="auto"/>
                <w:w w:val="92"/>
              </w:rPr>
              <w:t>2024 – Present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8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1460" w:type="dxa"/>
            <w:vAlign w:val="bottom"/>
            <w:tcBorders>
              <w:bottom w:val="single" w:sz="8" w:color="0E3C23"/>
            </w:tcBorders>
          </w:tcPr>
          <w:p>
            <w:pPr>
              <w:spacing w:after="0"/>
              <w:rPr>
                <w:sz w:val="2"/>
                <w:szCs w:val="2"/>
                <w:color w:val="auto"/>
              </w:rPr>
            </w:pPr>
          </w:p>
        </w:tc>
        <w:tc>
          <w:tcPr>
            <w:tcW w:w="900" w:type="dxa"/>
            <w:vAlign w:val="bottom"/>
            <w:tcBorders>
              <w:bottom w:val="single" w:sz="8" w:color="0E3C23"/>
            </w:tcBorders>
          </w:tcPr>
          <w:p>
            <w:pPr>
              <w:spacing w:after="0"/>
              <w:rPr>
                <w:sz w:val="2"/>
                <w:szCs w:val="2"/>
                <w:color w:val="auto"/>
              </w:rPr>
            </w:pPr>
          </w:p>
        </w:tc>
        <w:tc>
          <w:tcPr>
            <w:tcW w:w="1740" w:type="dxa"/>
            <w:vAlign w:val="bottom"/>
            <w:tcBorders>
              <w:bottom w:val="single" w:sz="8" w:color="0E3C23"/>
            </w:tcBorders>
          </w:tcPr>
          <w:p>
            <w:pPr>
              <w:spacing w:after="0"/>
              <w:rPr>
                <w:sz w:val="2"/>
                <w:szCs w:val="2"/>
                <w:color w:val="auto"/>
              </w:rPr>
            </w:pPr>
          </w:p>
        </w:tc>
        <w:tc>
          <w:tcPr>
            <w:tcW w:w="1360" w:type="dxa"/>
            <w:vAlign w:val="bottom"/>
            <w:tcBorders>
              <w:bottom w:val="single" w:sz="8" w:color="0E3C23"/>
            </w:tcBorders>
          </w:tcPr>
          <w:p>
            <w:pPr>
              <w:spacing w:after="0"/>
              <w:rPr>
                <w:sz w:val="2"/>
                <w:szCs w:val="2"/>
                <w:color w:val="auto"/>
              </w:rPr>
            </w:pPr>
          </w:p>
        </w:tc>
        <w:tc>
          <w:tcPr>
            <w:tcW w:w="30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300" w:type="dxa"/>
            <w:vAlign w:val="bottom"/>
            <w:tcBorders>
              <w:bottom w:val="single" w:sz="8" w:color="0E3C23"/>
            </w:tcBorders>
          </w:tcPr>
          <w:p>
            <w:pPr>
              <w:spacing w:after="0"/>
              <w:rPr>
                <w:sz w:val="2"/>
                <w:szCs w:val="2"/>
                <w:color w:val="auto"/>
              </w:rPr>
            </w:pPr>
          </w:p>
        </w:tc>
        <w:tc>
          <w:tcPr>
            <w:tcW w:w="660" w:type="dxa"/>
            <w:vAlign w:val="bottom"/>
            <w:tcBorders>
              <w:bottom w:val="single" w:sz="8" w:color="0E3C23"/>
            </w:tcBorders>
          </w:tcPr>
          <w:p>
            <w:pPr>
              <w:spacing w:after="0"/>
              <w:rPr>
                <w:sz w:val="2"/>
                <w:szCs w:val="2"/>
                <w:color w:val="auto"/>
              </w:rPr>
            </w:pPr>
          </w:p>
        </w:tc>
        <w:tc>
          <w:tcPr>
            <w:tcW w:w="240" w:type="dxa"/>
            <w:vAlign w:val="bottom"/>
            <w:tcBorders>
              <w:bottom w:val="single" w:sz="8" w:color="0E3C23"/>
            </w:tcBorders>
          </w:tcPr>
          <w:p>
            <w:pPr>
              <w:spacing w:after="0"/>
              <w:rPr>
                <w:sz w:val="2"/>
                <w:szCs w:val="2"/>
                <w:color w:val="auto"/>
              </w:rPr>
            </w:pPr>
          </w:p>
        </w:tc>
        <w:tc>
          <w:tcPr>
            <w:tcW w:w="720" w:type="dxa"/>
            <w:vAlign w:val="bottom"/>
            <w:tcBorders>
              <w:bottom w:val="single" w:sz="8" w:color="0E3C23"/>
            </w:tcBorders>
          </w:tcPr>
          <w:p>
            <w:pPr>
              <w:spacing w:after="0"/>
              <w:rPr>
                <w:sz w:val="2"/>
                <w:szCs w:val="2"/>
                <w:color w:val="auto"/>
              </w:rPr>
            </w:pPr>
          </w:p>
        </w:tc>
        <w:tc>
          <w:tcPr>
            <w:tcW w:w="52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400" w:type="dxa"/>
            <w:vAlign w:val="bottom"/>
            <w:tcBorders>
              <w:bottom w:val="single" w:sz="8" w:color="0E3C23"/>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2400" w:type="dxa"/>
            <w:vAlign w:val="bottom"/>
            <w:gridSpan w:val="3"/>
          </w:tcPr>
          <w:p>
            <w:pPr>
              <w:ind w:left="60"/>
              <w:spacing w:after="0"/>
              <w:rPr>
                <w:sz w:val="20"/>
                <w:szCs w:val="20"/>
                <w:color w:val="auto"/>
              </w:rPr>
            </w:pPr>
            <w:r>
              <w:rPr>
                <w:rFonts w:ascii="Arial" w:cs="Arial" w:eastAsia="Arial" w:hAnsi="Arial"/>
                <w:sz w:val="20"/>
                <w:szCs w:val="20"/>
                <w:color w:val="auto"/>
              </w:rPr>
              <w:t>Bruce E. Chinn</w:t>
            </w:r>
          </w:p>
        </w:tc>
        <w:tc>
          <w:tcPr>
            <w:tcW w:w="900" w:type="dxa"/>
            <w:vAlign w:val="bottom"/>
          </w:tcPr>
          <w:p>
            <w:pPr>
              <w:jc w:val="center"/>
              <w:ind w:left="42"/>
              <w:spacing w:after="0"/>
              <w:rPr>
                <w:sz w:val="20"/>
                <w:szCs w:val="20"/>
                <w:color w:val="auto"/>
              </w:rPr>
            </w:pPr>
            <w:r>
              <w:rPr>
                <w:rFonts w:ascii="Arial" w:cs="Arial" w:eastAsia="Arial" w:hAnsi="Arial"/>
                <w:sz w:val="20"/>
                <w:szCs w:val="20"/>
                <w:color w:val="auto"/>
                <w:w w:val="89"/>
              </w:rPr>
              <w:t>68</w:t>
            </w:r>
          </w:p>
        </w:tc>
        <w:tc>
          <w:tcPr>
            <w:tcW w:w="1740" w:type="dxa"/>
            <w:vAlign w:val="bottom"/>
          </w:tcPr>
          <w:p>
            <w:pPr>
              <w:jc w:val="center"/>
              <w:spacing w:after="0"/>
              <w:rPr>
                <w:sz w:val="20"/>
                <w:szCs w:val="20"/>
                <w:color w:val="auto"/>
              </w:rPr>
            </w:pPr>
            <w:r>
              <w:rPr>
                <w:rFonts w:ascii="Arial" w:cs="Arial" w:eastAsia="Arial" w:hAnsi="Arial"/>
                <w:sz w:val="20"/>
                <w:szCs w:val="20"/>
                <w:color w:val="auto"/>
                <w:w w:val="92"/>
              </w:rPr>
              <w:t>2023 – Present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8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1460" w:type="dxa"/>
            <w:vAlign w:val="bottom"/>
            <w:tcBorders>
              <w:bottom w:val="single" w:sz="8" w:color="0E3C23"/>
            </w:tcBorders>
          </w:tcPr>
          <w:p>
            <w:pPr>
              <w:spacing w:after="0"/>
              <w:rPr>
                <w:sz w:val="2"/>
                <w:szCs w:val="2"/>
                <w:color w:val="auto"/>
              </w:rPr>
            </w:pPr>
          </w:p>
        </w:tc>
        <w:tc>
          <w:tcPr>
            <w:tcW w:w="900" w:type="dxa"/>
            <w:vAlign w:val="bottom"/>
            <w:tcBorders>
              <w:bottom w:val="single" w:sz="8" w:color="0E3C23"/>
            </w:tcBorders>
          </w:tcPr>
          <w:p>
            <w:pPr>
              <w:spacing w:after="0"/>
              <w:rPr>
                <w:sz w:val="2"/>
                <w:szCs w:val="2"/>
                <w:color w:val="auto"/>
              </w:rPr>
            </w:pPr>
          </w:p>
        </w:tc>
        <w:tc>
          <w:tcPr>
            <w:tcW w:w="1740" w:type="dxa"/>
            <w:vAlign w:val="bottom"/>
            <w:tcBorders>
              <w:bottom w:val="single" w:sz="8" w:color="0E3C23"/>
            </w:tcBorders>
          </w:tcPr>
          <w:p>
            <w:pPr>
              <w:spacing w:after="0"/>
              <w:rPr>
                <w:sz w:val="2"/>
                <w:szCs w:val="2"/>
                <w:color w:val="auto"/>
              </w:rPr>
            </w:pPr>
          </w:p>
        </w:tc>
        <w:tc>
          <w:tcPr>
            <w:tcW w:w="1360" w:type="dxa"/>
            <w:vAlign w:val="bottom"/>
            <w:tcBorders>
              <w:bottom w:val="single" w:sz="8" w:color="0E3C23"/>
            </w:tcBorders>
          </w:tcPr>
          <w:p>
            <w:pPr>
              <w:spacing w:after="0"/>
              <w:rPr>
                <w:sz w:val="2"/>
                <w:szCs w:val="2"/>
                <w:color w:val="auto"/>
              </w:rPr>
            </w:pPr>
          </w:p>
        </w:tc>
        <w:tc>
          <w:tcPr>
            <w:tcW w:w="30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300" w:type="dxa"/>
            <w:vAlign w:val="bottom"/>
            <w:tcBorders>
              <w:bottom w:val="single" w:sz="8" w:color="0E3C23"/>
            </w:tcBorders>
          </w:tcPr>
          <w:p>
            <w:pPr>
              <w:spacing w:after="0"/>
              <w:rPr>
                <w:sz w:val="2"/>
                <w:szCs w:val="2"/>
                <w:color w:val="auto"/>
              </w:rPr>
            </w:pPr>
          </w:p>
        </w:tc>
        <w:tc>
          <w:tcPr>
            <w:tcW w:w="660" w:type="dxa"/>
            <w:vAlign w:val="bottom"/>
            <w:tcBorders>
              <w:bottom w:val="single" w:sz="8" w:color="0E3C23"/>
            </w:tcBorders>
          </w:tcPr>
          <w:p>
            <w:pPr>
              <w:spacing w:after="0"/>
              <w:rPr>
                <w:sz w:val="2"/>
                <w:szCs w:val="2"/>
                <w:color w:val="auto"/>
              </w:rPr>
            </w:pPr>
          </w:p>
        </w:tc>
        <w:tc>
          <w:tcPr>
            <w:tcW w:w="240" w:type="dxa"/>
            <w:vAlign w:val="bottom"/>
            <w:tcBorders>
              <w:bottom w:val="single" w:sz="8" w:color="0E3C23"/>
            </w:tcBorders>
          </w:tcPr>
          <w:p>
            <w:pPr>
              <w:spacing w:after="0"/>
              <w:rPr>
                <w:sz w:val="2"/>
                <w:szCs w:val="2"/>
                <w:color w:val="auto"/>
              </w:rPr>
            </w:pPr>
          </w:p>
        </w:tc>
        <w:tc>
          <w:tcPr>
            <w:tcW w:w="720" w:type="dxa"/>
            <w:vAlign w:val="bottom"/>
            <w:tcBorders>
              <w:bottom w:val="single" w:sz="8" w:color="0E3C23"/>
            </w:tcBorders>
          </w:tcPr>
          <w:p>
            <w:pPr>
              <w:spacing w:after="0"/>
              <w:rPr>
                <w:sz w:val="2"/>
                <w:szCs w:val="2"/>
                <w:color w:val="auto"/>
              </w:rPr>
            </w:pPr>
          </w:p>
        </w:tc>
        <w:tc>
          <w:tcPr>
            <w:tcW w:w="52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400" w:type="dxa"/>
            <w:vAlign w:val="bottom"/>
            <w:tcBorders>
              <w:bottom w:val="single" w:sz="8" w:color="0E3C23"/>
            </w:tcBorders>
          </w:tcPr>
          <w:p>
            <w:pPr>
              <w:spacing w:after="0"/>
              <w:rPr>
                <w:sz w:val="2"/>
                <w:szCs w:val="2"/>
                <w:color w:val="auto"/>
              </w:rPr>
            </w:pPr>
          </w:p>
        </w:tc>
        <w:tc>
          <w:tcPr>
            <w:tcW w:w="0" w:type="dxa"/>
            <w:vAlign w:val="bottom"/>
          </w:tcPr>
          <w:p>
            <w:pPr>
              <w:spacing w:after="0"/>
              <w:rPr>
                <w:sz w:val="1"/>
                <w:szCs w:val="1"/>
                <w:color w:val="auto"/>
              </w:rPr>
            </w:pPr>
          </w:p>
        </w:tc>
      </w:tr>
      <w:tr>
        <w:trPr>
          <w:trHeight w:val="376"/>
        </w:trPr>
        <w:tc>
          <w:tcPr>
            <w:tcW w:w="2400" w:type="dxa"/>
            <w:vAlign w:val="bottom"/>
            <w:gridSpan w:val="3"/>
          </w:tcPr>
          <w:p>
            <w:pPr>
              <w:ind w:left="60"/>
              <w:spacing w:after="0"/>
              <w:rPr>
                <w:sz w:val="20"/>
                <w:szCs w:val="20"/>
                <w:color w:val="auto"/>
              </w:rPr>
            </w:pPr>
            <w:r>
              <w:rPr>
                <w:rFonts w:ascii="Arial" w:cs="Arial" w:eastAsia="Arial" w:hAnsi="Arial"/>
                <w:sz w:val="20"/>
                <w:szCs w:val="20"/>
                <w:color w:val="auto"/>
              </w:rPr>
              <w:t>James C. Fish, Jr.</w:t>
            </w:r>
          </w:p>
        </w:tc>
        <w:tc>
          <w:tcPr>
            <w:tcW w:w="900" w:type="dxa"/>
            <w:vAlign w:val="bottom"/>
          </w:tcPr>
          <w:p>
            <w:pPr>
              <w:jc w:val="center"/>
              <w:ind w:left="42"/>
              <w:spacing w:after="0"/>
              <w:rPr>
                <w:sz w:val="20"/>
                <w:szCs w:val="20"/>
                <w:color w:val="auto"/>
              </w:rPr>
            </w:pPr>
            <w:r>
              <w:rPr>
                <w:rFonts w:ascii="Arial" w:cs="Arial" w:eastAsia="Arial" w:hAnsi="Arial"/>
                <w:sz w:val="20"/>
                <w:szCs w:val="20"/>
                <w:color w:val="auto"/>
                <w:w w:val="89"/>
              </w:rPr>
              <w:t>62</w:t>
            </w:r>
          </w:p>
        </w:tc>
        <w:tc>
          <w:tcPr>
            <w:tcW w:w="1740" w:type="dxa"/>
            <w:vAlign w:val="bottom"/>
          </w:tcPr>
          <w:p>
            <w:pPr>
              <w:jc w:val="center"/>
              <w:spacing w:after="0"/>
              <w:rPr>
                <w:sz w:val="20"/>
                <w:szCs w:val="20"/>
                <w:color w:val="auto"/>
              </w:rPr>
            </w:pPr>
            <w:r>
              <w:rPr>
                <w:rFonts w:ascii="Arial" w:cs="Arial" w:eastAsia="Arial" w:hAnsi="Arial"/>
                <w:sz w:val="20"/>
                <w:szCs w:val="20"/>
                <w:color w:val="auto"/>
                <w:w w:val="92"/>
              </w:rPr>
              <w:t>2016 – Present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8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1460" w:type="dxa"/>
            <w:vAlign w:val="bottom"/>
            <w:tcBorders>
              <w:bottom w:val="single" w:sz="8" w:color="0E3C23"/>
            </w:tcBorders>
          </w:tcPr>
          <w:p>
            <w:pPr>
              <w:spacing w:after="0"/>
              <w:rPr>
                <w:sz w:val="2"/>
                <w:szCs w:val="2"/>
                <w:color w:val="auto"/>
              </w:rPr>
            </w:pPr>
          </w:p>
        </w:tc>
        <w:tc>
          <w:tcPr>
            <w:tcW w:w="900" w:type="dxa"/>
            <w:vAlign w:val="bottom"/>
            <w:tcBorders>
              <w:bottom w:val="single" w:sz="8" w:color="0E3C23"/>
            </w:tcBorders>
          </w:tcPr>
          <w:p>
            <w:pPr>
              <w:spacing w:after="0"/>
              <w:rPr>
                <w:sz w:val="2"/>
                <w:szCs w:val="2"/>
                <w:color w:val="auto"/>
              </w:rPr>
            </w:pPr>
          </w:p>
        </w:tc>
        <w:tc>
          <w:tcPr>
            <w:tcW w:w="1740" w:type="dxa"/>
            <w:vAlign w:val="bottom"/>
            <w:tcBorders>
              <w:bottom w:val="single" w:sz="8" w:color="0E3C23"/>
            </w:tcBorders>
          </w:tcPr>
          <w:p>
            <w:pPr>
              <w:spacing w:after="0"/>
              <w:rPr>
                <w:sz w:val="2"/>
                <w:szCs w:val="2"/>
                <w:color w:val="auto"/>
              </w:rPr>
            </w:pPr>
          </w:p>
        </w:tc>
        <w:tc>
          <w:tcPr>
            <w:tcW w:w="1360" w:type="dxa"/>
            <w:vAlign w:val="bottom"/>
            <w:tcBorders>
              <w:bottom w:val="single" w:sz="8" w:color="0E3C23"/>
            </w:tcBorders>
          </w:tcPr>
          <w:p>
            <w:pPr>
              <w:spacing w:after="0"/>
              <w:rPr>
                <w:sz w:val="2"/>
                <w:szCs w:val="2"/>
                <w:color w:val="auto"/>
              </w:rPr>
            </w:pPr>
          </w:p>
        </w:tc>
        <w:tc>
          <w:tcPr>
            <w:tcW w:w="30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300" w:type="dxa"/>
            <w:vAlign w:val="bottom"/>
            <w:tcBorders>
              <w:bottom w:val="single" w:sz="8" w:color="0E3C23"/>
            </w:tcBorders>
          </w:tcPr>
          <w:p>
            <w:pPr>
              <w:spacing w:after="0"/>
              <w:rPr>
                <w:sz w:val="2"/>
                <w:szCs w:val="2"/>
                <w:color w:val="auto"/>
              </w:rPr>
            </w:pPr>
          </w:p>
        </w:tc>
        <w:tc>
          <w:tcPr>
            <w:tcW w:w="660" w:type="dxa"/>
            <w:vAlign w:val="bottom"/>
            <w:tcBorders>
              <w:bottom w:val="single" w:sz="8" w:color="0E3C23"/>
            </w:tcBorders>
          </w:tcPr>
          <w:p>
            <w:pPr>
              <w:spacing w:after="0"/>
              <w:rPr>
                <w:sz w:val="2"/>
                <w:szCs w:val="2"/>
                <w:color w:val="auto"/>
              </w:rPr>
            </w:pPr>
          </w:p>
        </w:tc>
        <w:tc>
          <w:tcPr>
            <w:tcW w:w="240" w:type="dxa"/>
            <w:vAlign w:val="bottom"/>
            <w:tcBorders>
              <w:bottom w:val="single" w:sz="8" w:color="0E3C23"/>
            </w:tcBorders>
          </w:tcPr>
          <w:p>
            <w:pPr>
              <w:spacing w:after="0"/>
              <w:rPr>
                <w:sz w:val="2"/>
                <w:szCs w:val="2"/>
                <w:color w:val="auto"/>
              </w:rPr>
            </w:pPr>
          </w:p>
        </w:tc>
        <w:tc>
          <w:tcPr>
            <w:tcW w:w="720" w:type="dxa"/>
            <w:vAlign w:val="bottom"/>
            <w:tcBorders>
              <w:bottom w:val="single" w:sz="8" w:color="0E3C23"/>
            </w:tcBorders>
          </w:tcPr>
          <w:p>
            <w:pPr>
              <w:spacing w:after="0"/>
              <w:rPr>
                <w:sz w:val="2"/>
                <w:szCs w:val="2"/>
                <w:color w:val="auto"/>
              </w:rPr>
            </w:pPr>
          </w:p>
        </w:tc>
        <w:tc>
          <w:tcPr>
            <w:tcW w:w="52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400" w:type="dxa"/>
            <w:vAlign w:val="bottom"/>
            <w:tcBorders>
              <w:bottom w:val="single" w:sz="8" w:color="0E3C23"/>
            </w:tcBorders>
          </w:tcPr>
          <w:p>
            <w:pPr>
              <w:spacing w:after="0"/>
              <w:rPr>
                <w:sz w:val="2"/>
                <w:szCs w:val="2"/>
                <w:color w:val="auto"/>
              </w:rPr>
            </w:pPr>
          </w:p>
        </w:tc>
        <w:tc>
          <w:tcPr>
            <w:tcW w:w="0" w:type="dxa"/>
            <w:vAlign w:val="bottom"/>
          </w:tcPr>
          <w:p>
            <w:pPr>
              <w:spacing w:after="0"/>
              <w:rPr>
                <w:sz w:val="1"/>
                <w:szCs w:val="1"/>
                <w:color w:val="auto"/>
              </w:rPr>
            </w:pPr>
          </w:p>
        </w:tc>
      </w:tr>
      <w:tr>
        <w:trPr>
          <w:trHeight w:val="93"/>
        </w:trPr>
        <w:tc>
          <w:tcPr>
            <w:tcW w:w="2400" w:type="dxa"/>
            <w:vAlign w:val="bottom"/>
            <w:gridSpan w:val="3"/>
            <w:vMerge w:val="restart"/>
          </w:tcPr>
          <w:p>
            <w:pPr>
              <w:ind w:left="60"/>
              <w:spacing w:after="0"/>
              <w:rPr>
                <w:sz w:val="20"/>
                <w:szCs w:val="20"/>
                <w:color w:val="auto"/>
              </w:rPr>
            </w:pPr>
            <w:r>
              <w:rPr>
                <w:rFonts w:ascii="Arial" w:cs="Arial" w:eastAsia="Arial" w:hAnsi="Arial"/>
                <w:sz w:val="20"/>
                <w:szCs w:val="20"/>
                <w:color w:val="auto"/>
              </w:rPr>
              <w:t>Andrés R. Gluski</w:t>
            </w:r>
          </w:p>
        </w:tc>
        <w:tc>
          <w:tcPr>
            <w:tcW w:w="900" w:type="dxa"/>
            <w:vAlign w:val="bottom"/>
            <w:vMerge w:val="restart"/>
          </w:tcPr>
          <w:p>
            <w:pPr>
              <w:jc w:val="center"/>
              <w:ind w:left="42"/>
              <w:spacing w:after="0"/>
              <w:rPr>
                <w:sz w:val="20"/>
                <w:szCs w:val="20"/>
                <w:color w:val="auto"/>
              </w:rPr>
            </w:pPr>
            <w:r>
              <w:rPr>
                <w:rFonts w:ascii="Arial" w:cs="Arial" w:eastAsia="Arial" w:hAnsi="Arial"/>
                <w:sz w:val="20"/>
                <w:szCs w:val="20"/>
                <w:color w:val="auto"/>
                <w:w w:val="89"/>
              </w:rPr>
              <w:t>67</w:t>
            </w:r>
          </w:p>
        </w:tc>
        <w:tc>
          <w:tcPr>
            <w:tcW w:w="1740" w:type="dxa"/>
            <w:vAlign w:val="bottom"/>
            <w:vMerge w:val="restart"/>
          </w:tcPr>
          <w:p>
            <w:pPr>
              <w:jc w:val="center"/>
              <w:spacing w:after="0"/>
              <w:rPr>
                <w:sz w:val="20"/>
                <w:szCs w:val="20"/>
                <w:color w:val="auto"/>
              </w:rPr>
            </w:pPr>
            <w:r>
              <w:rPr>
                <w:rFonts w:ascii="Arial" w:cs="Arial" w:eastAsia="Arial" w:hAnsi="Arial"/>
                <w:sz w:val="20"/>
                <w:szCs w:val="20"/>
                <w:color w:val="auto"/>
                <w:w w:val="92"/>
              </w:rPr>
              <w:t>2015 – Present</w:t>
            </w:r>
          </w:p>
        </w:tc>
        <w:tc>
          <w:tcPr>
            <w:tcW w:w="1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Borders>
              <w:bottom w:val="single" w:sz="8" w:color="0E3C23"/>
            </w:tcBorders>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2400" w:type="dxa"/>
            <w:vAlign w:val="bottom"/>
            <w:gridSpan w:val="3"/>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Borders>
              <w:right w:val="single" w:sz="8" w:color="0E3C23"/>
            </w:tcBorders>
          </w:tcPr>
          <w:p>
            <w:pPr>
              <w:spacing w:after="0"/>
              <w:rPr>
                <w:sz w:val="20"/>
                <w:szCs w:val="20"/>
                <w:color w:val="auto"/>
              </w:rPr>
            </w:pPr>
          </w:p>
        </w:tc>
        <w:tc>
          <w:tcPr>
            <w:tcW w:w="240" w:type="dxa"/>
            <w:vAlign w:val="bottom"/>
            <w:tcBorders>
              <w:bottom w:val="single" w:sz="8" w:color="0E3C23"/>
              <w:right w:val="single" w:sz="8" w:color="0E3C23"/>
            </w:tcBorders>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80" w:type="dxa"/>
            <w:vAlign w:val="bottom"/>
            <w:tcBorders>
              <w:bottom w:val="single" w:sz="8" w:color="0E3C23"/>
            </w:tcBorders>
          </w:tcPr>
          <w:p>
            <w:pPr>
              <w:spacing w:after="0"/>
              <w:rPr>
                <w:sz w:val="6"/>
                <w:szCs w:val="6"/>
                <w:color w:val="auto"/>
              </w:rPr>
            </w:pPr>
          </w:p>
        </w:tc>
        <w:tc>
          <w:tcPr>
            <w:tcW w:w="260" w:type="dxa"/>
            <w:vAlign w:val="bottom"/>
            <w:tcBorders>
              <w:bottom w:val="single" w:sz="8" w:color="0E3C23"/>
            </w:tcBorders>
          </w:tcPr>
          <w:p>
            <w:pPr>
              <w:spacing w:after="0"/>
              <w:rPr>
                <w:sz w:val="6"/>
                <w:szCs w:val="6"/>
                <w:color w:val="auto"/>
              </w:rPr>
            </w:pPr>
          </w:p>
        </w:tc>
        <w:tc>
          <w:tcPr>
            <w:tcW w:w="1460" w:type="dxa"/>
            <w:vAlign w:val="bottom"/>
            <w:tcBorders>
              <w:bottom w:val="single" w:sz="8" w:color="0E3C23"/>
            </w:tcBorders>
          </w:tcPr>
          <w:p>
            <w:pPr>
              <w:spacing w:after="0"/>
              <w:rPr>
                <w:sz w:val="6"/>
                <w:szCs w:val="6"/>
                <w:color w:val="auto"/>
              </w:rPr>
            </w:pPr>
          </w:p>
        </w:tc>
        <w:tc>
          <w:tcPr>
            <w:tcW w:w="900" w:type="dxa"/>
            <w:vAlign w:val="bottom"/>
            <w:tcBorders>
              <w:bottom w:val="single" w:sz="8" w:color="0E3C23"/>
            </w:tcBorders>
          </w:tcPr>
          <w:p>
            <w:pPr>
              <w:spacing w:after="0"/>
              <w:rPr>
                <w:sz w:val="6"/>
                <w:szCs w:val="6"/>
                <w:color w:val="auto"/>
              </w:rPr>
            </w:pPr>
          </w:p>
        </w:tc>
        <w:tc>
          <w:tcPr>
            <w:tcW w:w="1740" w:type="dxa"/>
            <w:vAlign w:val="bottom"/>
            <w:tcBorders>
              <w:bottom w:val="single" w:sz="8" w:color="0E3C23"/>
            </w:tcBorders>
          </w:tcPr>
          <w:p>
            <w:pPr>
              <w:spacing w:after="0"/>
              <w:rPr>
                <w:sz w:val="6"/>
                <w:szCs w:val="6"/>
                <w:color w:val="auto"/>
              </w:rPr>
            </w:pPr>
          </w:p>
        </w:tc>
        <w:tc>
          <w:tcPr>
            <w:tcW w:w="1360" w:type="dxa"/>
            <w:vAlign w:val="bottom"/>
            <w:tcBorders>
              <w:bottom w:val="single" w:sz="8" w:color="0E3C23"/>
            </w:tcBorders>
          </w:tcPr>
          <w:p>
            <w:pPr>
              <w:spacing w:after="0"/>
              <w:rPr>
                <w:sz w:val="6"/>
                <w:szCs w:val="6"/>
                <w:color w:val="auto"/>
              </w:rPr>
            </w:pPr>
          </w:p>
        </w:tc>
        <w:tc>
          <w:tcPr>
            <w:tcW w:w="300" w:type="dxa"/>
            <w:vAlign w:val="bottom"/>
            <w:tcBorders>
              <w:bottom w:val="single" w:sz="8" w:color="0E3C23"/>
            </w:tcBorders>
          </w:tcPr>
          <w:p>
            <w:pPr>
              <w:spacing w:after="0"/>
              <w:rPr>
                <w:sz w:val="6"/>
                <w:szCs w:val="6"/>
                <w:color w:val="auto"/>
              </w:rPr>
            </w:pPr>
          </w:p>
        </w:tc>
        <w:tc>
          <w:tcPr>
            <w:tcW w:w="260" w:type="dxa"/>
            <w:vAlign w:val="bottom"/>
            <w:tcBorders>
              <w:bottom w:val="single" w:sz="8" w:color="0E3C23"/>
            </w:tcBorders>
          </w:tcPr>
          <w:p>
            <w:pPr>
              <w:spacing w:after="0"/>
              <w:rPr>
                <w:sz w:val="6"/>
                <w:szCs w:val="6"/>
                <w:color w:val="auto"/>
              </w:rPr>
            </w:pPr>
          </w:p>
        </w:tc>
        <w:tc>
          <w:tcPr>
            <w:tcW w:w="300" w:type="dxa"/>
            <w:vAlign w:val="bottom"/>
            <w:tcBorders>
              <w:bottom w:val="single" w:sz="8" w:color="0E3C23"/>
            </w:tcBorders>
          </w:tcPr>
          <w:p>
            <w:pPr>
              <w:spacing w:after="0"/>
              <w:rPr>
                <w:sz w:val="6"/>
                <w:szCs w:val="6"/>
                <w:color w:val="auto"/>
              </w:rPr>
            </w:pPr>
          </w:p>
        </w:tc>
        <w:tc>
          <w:tcPr>
            <w:tcW w:w="660" w:type="dxa"/>
            <w:vAlign w:val="bottom"/>
            <w:tcBorders>
              <w:bottom w:val="single" w:sz="8" w:color="0E3C23"/>
            </w:tcBorders>
          </w:tcPr>
          <w:p>
            <w:pPr>
              <w:spacing w:after="0"/>
              <w:rPr>
                <w:sz w:val="6"/>
                <w:szCs w:val="6"/>
                <w:color w:val="auto"/>
              </w:rPr>
            </w:pPr>
          </w:p>
        </w:tc>
        <w:tc>
          <w:tcPr>
            <w:tcW w:w="240" w:type="dxa"/>
            <w:vAlign w:val="bottom"/>
            <w:tcBorders>
              <w:bottom w:val="single" w:sz="8" w:color="0E3C23"/>
            </w:tcBorders>
          </w:tcPr>
          <w:p>
            <w:pPr>
              <w:spacing w:after="0"/>
              <w:rPr>
                <w:sz w:val="6"/>
                <w:szCs w:val="6"/>
                <w:color w:val="auto"/>
              </w:rPr>
            </w:pPr>
          </w:p>
        </w:tc>
        <w:tc>
          <w:tcPr>
            <w:tcW w:w="720" w:type="dxa"/>
            <w:vAlign w:val="bottom"/>
            <w:tcBorders>
              <w:bottom w:val="single" w:sz="8" w:color="0E3C23"/>
            </w:tcBorders>
          </w:tcPr>
          <w:p>
            <w:pPr>
              <w:spacing w:after="0"/>
              <w:rPr>
                <w:sz w:val="6"/>
                <w:szCs w:val="6"/>
                <w:color w:val="auto"/>
              </w:rPr>
            </w:pPr>
          </w:p>
        </w:tc>
        <w:tc>
          <w:tcPr>
            <w:tcW w:w="520" w:type="dxa"/>
            <w:vAlign w:val="bottom"/>
            <w:tcBorders>
              <w:bottom w:val="single" w:sz="8" w:color="0E3C23"/>
            </w:tcBorders>
          </w:tcPr>
          <w:p>
            <w:pPr>
              <w:spacing w:after="0"/>
              <w:rPr>
                <w:sz w:val="6"/>
                <w:szCs w:val="6"/>
                <w:color w:val="auto"/>
              </w:rPr>
            </w:pPr>
          </w:p>
        </w:tc>
        <w:tc>
          <w:tcPr>
            <w:tcW w:w="260" w:type="dxa"/>
            <w:vAlign w:val="bottom"/>
            <w:tcBorders>
              <w:bottom w:val="single" w:sz="8" w:color="0E3C23"/>
            </w:tcBorders>
          </w:tcPr>
          <w:p>
            <w:pPr>
              <w:spacing w:after="0"/>
              <w:rPr>
                <w:sz w:val="6"/>
                <w:szCs w:val="6"/>
                <w:color w:val="auto"/>
              </w:rPr>
            </w:pPr>
          </w:p>
        </w:tc>
        <w:tc>
          <w:tcPr>
            <w:tcW w:w="400" w:type="dxa"/>
            <w:vAlign w:val="bottom"/>
            <w:tcBorders>
              <w:bottom w:val="single" w:sz="8" w:color="0E3C23"/>
            </w:tcBorders>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400" w:type="dxa"/>
            <w:vAlign w:val="bottom"/>
            <w:gridSpan w:val="3"/>
            <w:vMerge w:val="restart"/>
          </w:tcPr>
          <w:p>
            <w:pPr>
              <w:ind w:left="60"/>
              <w:spacing w:after="0"/>
              <w:rPr>
                <w:sz w:val="20"/>
                <w:szCs w:val="20"/>
                <w:color w:val="auto"/>
              </w:rPr>
            </w:pPr>
            <w:r>
              <w:rPr>
                <w:rFonts w:ascii="Arial" w:cs="Arial" w:eastAsia="Arial" w:hAnsi="Arial"/>
                <w:sz w:val="20"/>
                <w:szCs w:val="20"/>
                <w:color w:val="auto"/>
              </w:rPr>
              <w:t>Victoria M. Holt</w:t>
            </w:r>
          </w:p>
        </w:tc>
        <w:tc>
          <w:tcPr>
            <w:tcW w:w="900" w:type="dxa"/>
            <w:vAlign w:val="bottom"/>
            <w:vMerge w:val="restart"/>
          </w:tcPr>
          <w:p>
            <w:pPr>
              <w:jc w:val="center"/>
              <w:ind w:left="42"/>
              <w:spacing w:after="0"/>
              <w:rPr>
                <w:sz w:val="20"/>
                <w:szCs w:val="20"/>
                <w:color w:val="auto"/>
              </w:rPr>
            </w:pPr>
            <w:r>
              <w:rPr>
                <w:rFonts w:ascii="Arial" w:cs="Arial" w:eastAsia="Arial" w:hAnsi="Arial"/>
                <w:sz w:val="20"/>
                <w:szCs w:val="20"/>
                <w:color w:val="auto"/>
                <w:w w:val="89"/>
              </w:rPr>
              <w:t>67</w:t>
            </w:r>
          </w:p>
        </w:tc>
        <w:tc>
          <w:tcPr>
            <w:tcW w:w="1740" w:type="dxa"/>
            <w:vAlign w:val="bottom"/>
            <w:vMerge w:val="restart"/>
          </w:tcPr>
          <w:p>
            <w:pPr>
              <w:jc w:val="center"/>
              <w:spacing w:after="0"/>
              <w:rPr>
                <w:sz w:val="20"/>
                <w:szCs w:val="20"/>
                <w:color w:val="auto"/>
              </w:rPr>
            </w:pPr>
            <w:r>
              <w:rPr>
                <w:rFonts w:ascii="Arial" w:cs="Arial" w:eastAsia="Arial" w:hAnsi="Arial"/>
                <w:sz w:val="20"/>
                <w:szCs w:val="20"/>
                <w:color w:val="auto"/>
                <w:w w:val="92"/>
              </w:rPr>
              <w:t>2013 – Present</w:t>
            </w:r>
          </w:p>
        </w:tc>
        <w:tc>
          <w:tcPr>
            <w:tcW w:w="1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bottom w:val="single" w:sz="8" w:color="0E3C23"/>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2400" w:type="dxa"/>
            <w:vAlign w:val="bottom"/>
            <w:gridSpan w:val="3"/>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Borders>
              <w:right w:val="single" w:sz="8" w:color="0E3C23"/>
            </w:tcBorders>
          </w:tcPr>
          <w:p>
            <w:pPr>
              <w:spacing w:after="0"/>
              <w:rPr>
                <w:sz w:val="20"/>
                <w:szCs w:val="20"/>
                <w:color w:val="auto"/>
              </w:rPr>
            </w:pPr>
          </w:p>
        </w:tc>
        <w:tc>
          <w:tcPr>
            <w:tcW w:w="260" w:type="dxa"/>
            <w:vAlign w:val="bottom"/>
            <w:tcBorders>
              <w:bottom w:val="single" w:sz="8" w:color="0E3C23"/>
              <w:right w:val="single" w:sz="8" w:color="0E3C23"/>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
        </w:trPr>
        <w:tc>
          <w:tcPr>
            <w:tcW w:w="2400" w:type="dxa"/>
            <w:vAlign w:val="bottom"/>
            <w:gridSpan w:val="3"/>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740" w:type="dxa"/>
            <w:vAlign w:val="bottom"/>
            <w:vMerge w:val="continue"/>
          </w:tcPr>
          <w:p>
            <w:pPr>
              <w:spacing w:after="0"/>
              <w:rPr>
                <w:sz w:val="3"/>
                <w:szCs w:val="3"/>
                <w:color w:val="auto"/>
              </w:rPr>
            </w:pPr>
          </w:p>
        </w:tc>
        <w:tc>
          <w:tcPr>
            <w:tcW w:w="1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68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1460" w:type="dxa"/>
            <w:vAlign w:val="bottom"/>
            <w:tcBorders>
              <w:bottom w:val="single" w:sz="8" w:color="0E3C23"/>
            </w:tcBorders>
          </w:tcPr>
          <w:p>
            <w:pPr>
              <w:spacing w:after="0"/>
              <w:rPr>
                <w:sz w:val="2"/>
                <w:szCs w:val="2"/>
                <w:color w:val="auto"/>
              </w:rPr>
            </w:pPr>
          </w:p>
        </w:tc>
        <w:tc>
          <w:tcPr>
            <w:tcW w:w="900" w:type="dxa"/>
            <w:vAlign w:val="bottom"/>
            <w:tcBorders>
              <w:bottom w:val="single" w:sz="8" w:color="0E3C23"/>
            </w:tcBorders>
          </w:tcPr>
          <w:p>
            <w:pPr>
              <w:spacing w:after="0"/>
              <w:rPr>
                <w:sz w:val="2"/>
                <w:szCs w:val="2"/>
                <w:color w:val="auto"/>
              </w:rPr>
            </w:pPr>
          </w:p>
        </w:tc>
        <w:tc>
          <w:tcPr>
            <w:tcW w:w="1740" w:type="dxa"/>
            <w:vAlign w:val="bottom"/>
            <w:tcBorders>
              <w:bottom w:val="single" w:sz="8" w:color="0E3C23"/>
            </w:tcBorders>
          </w:tcPr>
          <w:p>
            <w:pPr>
              <w:spacing w:after="0"/>
              <w:rPr>
                <w:sz w:val="2"/>
                <w:szCs w:val="2"/>
                <w:color w:val="auto"/>
              </w:rPr>
            </w:pPr>
          </w:p>
        </w:tc>
        <w:tc>
          <w:tcPr>
            <w:tcW w:w="1360" w:type="dxa"/>
            <w:vAlign w:val="bottom"/>
            <w:tcBorders>
              <w:bottom w:val="single" w:sz="8" w:color="0E3C23"/>
            </w:tcBorders>
          </w:tcPr>
          <w:p>
            <w:pPr>
              <w:spacing w:after="0"/>
              <w:rPr>
                <w:sz w:val="2"/>
                <w:szCs w:val="2"/>
                <w:color w:val="auto"/>
              </w:rPr>
            </w:pPr>
          </w:p>
        </w:tc>
        <w:tc>
          <w:tcPr>
            <w:tcW w:w="30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300" w:type="dxa"/>
            <w:vAlign w:val="bottom"/>
            <w:tcBorders>
              <w:bottom w:val="single" w:sz="8" w:color="0E3C23"/>
            </w:tcBorders>
          </w:tcPr>
          <w:p>
            <w:pPr>
              <w:spacing w:after="0"/>
              <w:rPr>
                <w:sz w:val="2"/>
                <w:szCs w:val="2"/>
                <w:color w:val="auto"/>
              </w:rPr>
            </w:pPr>
          </w:p>
        </w:tc>
        <w:tc>
          <w:tcPr>
            <w:tcW w:w="660" w:type="dxa"/>
            <w:vAlign w:val="bottom"/>
            <w:tcBorders>
              <w:bottom w:val="single" w:sz="8" w:color="0E3C23"/>
            </w:tcBorders>
          </w:tcPr>
          <w:p>
            <w:pPr>
              <w:spacing w:after="0"/>
              <w:rPr>
                <w:sz w:val="2"/>
                <w:szCs w:val="2"/>
                <w:color w:val="auto"/>
              </w:rPr>
            </w:pPr>
          </w:p>
        </w:tc>
        <w:tc>
          <w:tcPr>
            <w:tcW w:w="240" w:type="dxa"/>
            <w:vAlign w:val="bottom"/>
            <w:tcBorders>
              <w:bottom w:val="single" w:sz="8" w:color="0E3C23"/>
            </w:tcBorders>
          </w:tcPr>
          <w:p>
            <w:pPr>
              <w:spacing w:after="0"/>
              <w:rPr>
                <w:sz w:val="2"/>
                <w:szCs w:val="2"/>
                <w:color w:val="auto"/>
              </w:rPr>
            </w:pPr>
          </w:p>
        </w:tc>
        <w:tc>
          <w:tcPr>
            <w:tcW w:w="720" w:type="dxa"/>
            <w:vAlign w:val="bottom"/>
            <w:tcBorders>
              <w:bottom w:val="single" w:sz="8" w:color="0E3C23"/>
            </w:tcBorders>
          </w:tcPr>
          <w:p>
            <w:pPr>
              <w:spacing w:after="0"/>
              <w:rPr>
                <w:sz w:val="2"/>
                <w:szCs w:val="2"/>
                <w:color w:val="auto"/>
              </w:rPr>
            </w:pPr>
          </w:p>
        </w:tc>
        <w:tc>
          <w:tcPr>
            <w:tcW w:w="52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400" w:type="dxa"/>
            <w:vAlign w:val="bottom"/>
            <w:tcBorders>
              <w:bottom w:val="single" w:sz="8" w:color="0E3C23"/>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2400" w:type="dxa"/>
            <w:vAlign w:val="bottom"/>
            <w:gridSpan w:val="3"/>
          </w:tcPr>
          <w:p>
            <w:pPr>
              <w:ind w:left="60"/>
              <w:spacing w:after="0"/>
              <w:rPr>
                <w:sz w:val="20"/>
                <w:szCs w:val="20"/>
                <w:color w:val="auto"/>
              </w:rPr>
            </w:pPr>
            <w:r>
              <w:rPr>
                <w:rFonts w:ascii="Arial" w:cs="Arial" w:eastAsia="Arial" w:hAnsi="Arial"/>
                <w:sz w:val="20"/>
                <w:szCs w:val="20"/>
                <w:color w:val="auto"/>
              </w:rPr>
              <w:t>Kathleen M. Mazzarella</w:t>
            </w:r>
          </w:p>
        </w:tc>
        <w:tc>
          <w:tcPr>
            <w:tcW w:w="900" w:type="dxa"/>
            <w:vAlign w:val="bottom"/>
          </w:tcPr>
          <w:p>
            <w:pPr>
              <w:jc w:val="center"/>
              <w:ind w:left="42"/>
              <w:spacing w:after="0"/>
              <w:rPr>
                <w:sz w:val="20"/>
                <w:szCs w:val="20"/>
                <w:color w:val="auto"/>
              </w:rPr>
            </w:pPr>
            <w:r>
              <w:rPr>
                <w:rFonts w:ascii="Arial" w:cs="Arial" w:eastAsia="Arial" w:hAnsi="Arial"/>
                <w:sz w:val="20"/>
                <w:szCs w:val="20"/>
                <w:color w:val="auto"/>
                <w:w w:val="89"/>
              </w:rPr>
              <w:t>65</w:t>
            </w:r>
          </w:p>
        </w:tc>
        <w:tc>
          <w:tcPr>
            <w:tcW w:w="1740" w:type="dxa"/>
            <w:vAlign w:val="bottom"/>
          </w:tcPr>
          <w:p>
            <w:pPr>
              <w:jc w:val="center"/>
              <w:spacing w:after="0"/>
              <w:rPr>
                <w:sz w:val="20"/>
                <w:szCs w:val="20"/>
                <w:color w:val="auto"/>
              </w:rPr>
            </w:pPr>
            <w:r>
              <w:rPr>
                <w:rFonts w:ascii="Arial" w:cs="Arial" w:eastAsia="Arial" w:hAnsi="Arial"/>
                <w:sz w:val="20"/>
                <w:szCs w:val="20"/>
                <w:color w:val="auto"/>
                <w:w w:val="92"/>
              </w:rPr>
              <w:t>2015 – Present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8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1460" w:type="dxa"/>
            <w:vAlign w:val="bottom"/>
            <w:tcBorders>
              <w:bottom w:val="single" w:sz="8" w:color="0E3C23"/>
            </w:tcBorders>
          </w:tcPr>
          <w:p>
            <w:pPr>
              <w:spacing w:after="0"/>
              <w:rPr>
                <w:sz w:val="2"/>
                <w:szCs w:val="2"/>
                <w:color w:val="auto"/>
              </w:rPr>
            </w:pPr>
          </w:p>
        </w:tc>
        <w:tc>
          <w:tcPr>
            <w:tcW w:w="900" w:type="dxa"/>
            <w:vAlign w:val="bottom"/>
            <w:tcBorders>
              <w:bottom w:val="single" w:sz="8" w:color="0E3C23"/>
            </w:tcBorders>
          </w:tcPr>
          <w:p>
            <w:pPr>
              <w:spacing w:after="0"/>
              <w:rPr>
                <w:sz w:val="2"/>
                <w:szCs w:val="2"/>
                <w:color w:val="auto"/>
              </w:rPr>
            </w:pPr>
          </w:p>
        </w:tc>
        <w:tc>
          <w:tcPr>
            <w:tcW w:w="1740" w:type="dxa"/>
            <w:vAlign w:val="bottom"/>
            <w:tcBorders>
              <w:bottom w:val="single" w:sz="8" w:color="0E3C23"/>
            </w:tcBorders>
          </w:tcPr>
          <w:p>
            <w:pPr>
              <w:spacing w:after="0"/>
              <w:rPr>
                <w:sz w:val="2"/>
                <w:szCs w:val="2"/>
                <w:color w:val="auto"/>
              </w:rPr>
            </w:pPr>
          </w:p>
        </w:tc>
        <w:tc>
          <w:tcPr>
            <w:tcW w:w="1360" w:type="dxa"/>
            <w:vAlign w:val="bottom"/>
            <w:tcBorders>
              <w:bottom w:val="single" w:sz="8" w:color="0E3C23"/>
            </w:tcBorders>
          </w:tcPr>
          <w:p>
            <w:pPr>
              <w:spacing w:after="0"/>
              <w:rPr>
                <w:sz w:val="2"/>
                <w:szCs w:val="2"/>
                <w:color w:val="auto"/>
              </w:rPr>
            </w:pPr>
          </w:p>
        </w:tc>
        <w:tc>
          <w:tcPr>
            <w:tcW w:w="30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300" w:type="dxa"/>
            <w:vAlign w:val="bottom"/>
            <w:tcBorders>
              <w:bottom w:val="single" w:sz="8" w:color="0E3C23"/>
            </w:tcBorders>
          </w:tcPr>
          <w:p>
            <w:pPr>
              <w:spacing w:after="0"/>
              <w:rPr>
                <w:sz w:val="2"/>
                <w:szCs w:val="2"/>
                <w:color w:val="auto"/>
              </w:rPr>
            </w:pPr>
          </w:p>
        </w:tc>
        <w:tc>
          <w:tcPr>
            <w:tcW w:w="660" w:type="dxa"/>
            <w:vAlign w:val="bottom"/>
            <w:tcBorders>
              <w:bottom w:val="single" w:sz="8" w:color="0E3C23"/>
            </w:tcBorders>
          </w:tcPr>
          <w:p>
            <w:pPr>
              <w:spacing w:after="0"/>
              <w:rPr>
                <w:sz w:val="2"/>
                <w:szCs w:val="2"/>
                <w:color w:val="auto"/>
              </w:rPr>
            </w:pPr>
          </w:p>
        </w:tc>
        <w:tc>
          <w:tcPr>
            <w:tcW w:w="240" w:type="dxa"/>
            <w:vAlign w:val="bottom"/>
            <w:tcBorders>
              <w:bottom w:val="single" w:sz="8" w:color="0E3C23"/>
            </w:tcBorders>
          </w:tcPr>
          <w:p>
            <w:pPr>
              <w:spacing w:after="0"/>
              <w:rPr>
                <w:sz w:val="2"/>
                <w:szCs w:val="2"/>
                <w:color w:val="auto"/>
              </w:rPr>
            </w:pPr>
          </w:p>
        </w:tc>
        <w:tc>
          <w:tcPr>
            <w:tcW w:w="720" w:type="dxa"/>
            <w:vAlign w:val="bottom"/>
            <w:tcBorders>
              <w:bottom w:val="single" w:sz="8" w:color="0E3C23"/>
            </w:tcBorders>
          </w:tcPr>
          <w:p>
            <w:pPr>
              <w:spacing w:after="0"/>
              <w:rPr>
                <w:sz w:val="2"/>
                <w:szCs w:val="2"/>
                <w:color w:val="auto"/>
              </w:rPr>
            </w:pPr>
          </w:p>
        </w:tc>
        <w:tc>
          <w:tcPr>
            <w:tcW w:w="52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400" w:type="dxa"/>
            <w:vAlign w:val="bottom"/>
            <w:tcBorders>
              <w:bottom w:val="single" w:sz="8" w:color="0E3C23"/>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2400" w:type="dxa"/>
            <w:vAlign w:val="bottom"/>
            <w:gridSpan w:val="3"/>
          </w:tcPr>
          <w:p>
            <w:pPr>
              <w:ind w:left="60"/>
              <w:spacing w:after="0"/>
              <w:rPr>
                <w:sz w:val="20"/>
                <w:szCs w:val="20"/>
                <w:color w:val="auto"/>
              </w:rPr>
            </w:pPr>
            <w:r>
              <w:rPr>
                <w:rFonts w:ascii="Arial" w:cs="Arial" w:eastAsia="Arial" w:hAnsi="Arial"/>
                <w:sz w:val="20"/>
                <w:szCs w:val="20"/>
                <w:color w:val="auto"/>
              </w:rPr>
              <w:t>Sean E. Menke</w:t>
            </w:r>
          </w:p>
        </w:tc>
        <w:tc>
          <w:tcPr>
            <w:tcW w:w="900" w:type="dxa"/>
            <w:vAlign w:val="bottom"/>
          </w:tcPr>
          <w:p>
            <w:pPr>
              <w:jc w:val="center"/>
              <w:ind w:left="42"/>
              <w:spacing w:after="0"/>
              <w:rPr>
                <w:sz w:val="20"/>
                <w:szCs w:val="20"/>
                <w:color w:val="auto"/>
              </w:rPr>
            </w:pPr>
            <w:r>
              <w:rPr>
                <w:rFonts w:ascii="Arial" w:cs="Arial" w:eastAsia="Arial" w:hAnsi="Arial"/>
                <w:sz w:val="20"/>
                <w:szCs w:val="20"/>
                <w:color w:val="auto"/>
                <w:w w:val="89"/>
              </w:rPr>
              <w:t>56</w:t>
            </w:r>
          </w:p>
        </w:tc>
        <w:tc>
          <w:tcPr>
            <w:tcW w:w="1740" w:type="dxa"/>
            <w:vAlign w:val="bottom"/>
          </w:tcPr>
          <w:p>
            <w:pPr>
              <w:jc w:val="center"/>
              <w:spacing w:after="0"/>
              <w:rPr>
                <w:sz w:val="20"/>
                <w:szCs w:val="20"/>
                <w:color w:val="auto"/>
              </w:rPr>
            </w:pPr>
            <w:r>
              <w:rPr>
                <w:rFonts w:ascii="Arial" w:cs="Arial" w:eastAsia="Arial" w:hAnsi="Arial"/>
                <w:sz w:val="20"/>
                <w:szCs w:val="20"/>
                <w:color w:val="auto"/>
                <w:w w:val="92"/>
              </w:rPr>
              <w:t>2021 – Present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8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1460" w:type="dxa"/>
            <w:vAlign w:val="bottom"/>
            <w:tcBorders>
              <w:bottom w:val="single" w:sz="8" w:color="0E3C23"/>
            </w:tcBorders>
          </w:tcPr>
          <w:p>
            <w:pPr>
              <w:spacing w:after="0"/>
              <w:rPr>
                <w:sz w:val="2"/>
                <w:szCs w:val="2"/>
                <w:color w:val="auto"/>
              </w:rPr>
            </w:pPr>
          </w:p>
        </w:tc>
        <w:tc>
          <w:tcPr>
            <w:tcW w:w="900" w:type="dxa"/>
            <w:vAlign w:val="bottom"/>
            <w:tcBorders>
              <w:bottom w:val="single" w:sz="8" w:color="0E3C23"/>
            </w:tcBorders>
          </w:tcPr>
          <w:p>
            <w:pPr>
              <w:spacing w:after="0"/>
              <w:rPr>
                <w:sz w:val="2"/>
                <w:szCs w:val="2"/>
                <w:color w:val="auto"/>
              </w:rPr>
            </w:pPr>
          </w:p>
        </w:tc>
        <w:tc>
          <w:tcPr>
            <w:tcW w:w="1740" w:type="dxa"/>
            <w:vAlign w:val="bottom"/>
            <w:tcBorders>
              <w:bottom w:val="single" w:sz="8" w:color="0E3C23"/>
            </w:tcBorders>
          </w:tcPr>
          <w:p>
            <w:pPr>
              <w:spacing w:after="0"/>
              <w:rPr>
                <w:sz w:val="2"/>
                <w:szCs w:val="2"/>
                <w:color w:val="auto"/>
              </w:rPr>
            </w:pPr>
          </w:p>
        </w:tc>
        <w:tc>
          <w:tcPr>
            <w:tcW w:w="1360" w:type="dxa"/>
            <w:vAlign w:val="bottom"/>
            <w:tcBorders>
              <w:bottom w:val="single" w:sz="8" w:color="0E3C23"/>
            </w:tcBorders>
          </w:tcPr>
          <w:p>
            <w:pPr>
              <w:spacing w:after="0"/>
              <w:rPr>
                <w:sz w:val="2"/>
                <w:szCs w:val="2"/>
                <w:color w:val="auto"/>
              </w:rPr>
            </w:pPr>
          </w:p>
        </w:tc>
        <w:tc>
          <w:tcPr>
            <w:tcW w:w="30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300" w:type="dxa"/>
            <w:vAlign w:val="bottom"/>
            <w:tcBorders>
              <w:bottom w:val="single" w:sz="8" w:color="0E3C23"/>
            </w:tcBorders>
          </w:tcPr>
          <w:p>
            <w:pPr>
              <w:spacing w:after="0"/>
              <w:rPr>
                <w:sz w:val="2"/>
                <w:szCs w:val="2"/>
                <w:color w:val="auto"/>
              </w:rPr>
            </w:pPr>
          </w:p>
        </w:tc>
        <w:tc>
          <w:tcPr>
            <w:tcW w:w="660" w:type="dxa"/>
            <w:vAlign w:val="bottom"/>
            <w:tcBorders>
              <w:bottom w:val="single" w:sz="8" w:color="0E3C23"/>
            </w:tcBorders>
          </w:tcPr>
          <w:p>
            <w:pPr>
              <w:spacing w:after="0"/>
              <w:rPr>
                <w:sz w:val="2"/>
                <w:szCs w:val="2"/>
                <w:color w:val="auto"/>
              </w:rPr>
            </w:pPr>
          </w:p>
        </w:tc>
        <w:tc>
          <w:tcPr>
            <w:tcW w:w="240" w:type="dxa"/>
            <w:vAlign w:val="bottom"/>
            <w:tcBorders>
              <w:bottom w:val="single" w:sz="8" w:color="0E3C23"/>
            </w:tcBorders>
          </w:tcPr>
          <w:p>
            <w:pPr>
              <w:spacing w:after="0"/>
              <w:rPr>
                <w:sz w:val="2"/>
                <w:szCs w:val="2"/>
                <w:color w:val="auto"/>
              </w:rPr>
            </w:pPr>
          </w:p>
        </w:tc>
        <w:tc>
          <w:tcPr>
            <w:tcW w:w="720" w:type="dxa"/>
            <w:vAlign w:val="bottom"/>
            <w:tcBorders>
              <w:bottom w:val="single" w:sz="8" w:color="0E3C23"/>
            </w:tcBorders>
          </w:tcPr>
          <w:p>
            <w:pPr>
              <w:spacing w:after="0"/>
              <w:rPr>
                <w:sz w:val="2"/>
                <w:szCs w:val="2"/>
                <w:color w:val="auto"/>
              </w:rPr>
            </w:pPr>
          </w:p>
        </w:tc>
        <w:tc>
          <w:tcPr>
            <w:tcW w:w="52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400" w:type="dxa"/>
            <w:vAlign w:val="bottom"/>
            <w:tcBorders>
              <w:bottom w:val="single" w:sz="8" w:color="0E3C23"/>
            </w:tcBorders>
          </w:tcPr>
          <w:p>
            <w:pPr>
              <w:spacing w:after="0"/>
              <w:rPr>
                <w:sz w:val="2"/>
                <w:szCs w:val="2"/>
                <w:color w:val="auto"/>
              </w:rPr>
            </w:pPr>
          </w:p>
        </w:tc>
        <w:tc>
          <w:tcPr>
            <w:tcW w:w="0" w:type="dxa"/>
            <w:vAlign w:val="bottom"/>
          </w:tcPr>
          <w:p>
            <w:pPr>
              <w:spacing w:after="0"/>
              <w:rPr>
                <w:sz w:val="1"/>
                <w:szCs w:val="1"/>
                <w:color w:val="auto"/>
              </w:rPr>
            </w:pPr>
          </w:p>
        </w:tc>
      </w:tr>
      <w:tr>
        <w:trPr>
          <w:trHeight w:val="93"/>
        </w:trPr>
        <w:tc>
          <w:tcPr>
            <w:tcW w:w="2400" w:type="dxa"/>
            <w:vAlign w:val="bottom"/>
            <w:gridSpan w:val="3"/>
            <w:vMerge w:val="restart"/>
          </w:tcPr>
          <w:p>
            <w:pPr>
              <w:ind w:left="60"/>
              <w:spacing w:after="0"/>
              <w:rPr>
                <w:sz w:val="20"/>
                <w:szCs w:val="20"/>
                <w:color w:val="auto"/>
              </w:rPr>
            </w:pPr>
            <w:r>
              <w:rPr>
                <w:rFonts w:ascii="Arial" w:cs="Arial" w:eastAsia="Arial" w:hAnsi="Arial"/>
                <w:sz w:val="20"/>
                <w:szCs w:val="20"/>
                <w:color w:val="auto"/>
              </w:rPr>
              <w:t>William B. Plummer</w:t>
            </w:r>
          </w:p>
        </w:tc>
        <w:tc>
          <w:tcPr>
            <w:tcW w:w="900" w:type="dxa"/>
            <w:vAlign w:val="bottom"/>
            <w:vMerge w:val="restart"/>
          </w:tcPr>
          <w:p>
            <w:pPr>
              <w:jc w:val="center"/>
              <w:ind w:left="42"/>
              <w:spacing w:after="0"/>
              <w:rPr>
                <w:sz w:val="20"/>
                <w:szCs w:val="20"/>
                <w:color w:val="auto"/>
              </w:rPr>
            </w:pPr>
            <w:r>
              <w:rPr>
                <w:rFonts w:ascii="Arial" w:cs="Arial" w:eastAsia="Arial" w:hAnsi="Arial"/>
                <w:sz w:val="20"/>
                <w:szCs w:val="20"/>
                <w:color w:val="auto"/>
                <w:w w:val="89"/>
              </w:rPr>
              <w:t>66</w:t>
            </w:r>
          </w:p>
        </w:tc>
        <w:tc>
          <w:tcPr>
            <w:tcW w:w="1740" w:type="dxa"/>
            <w:vAlign w:val="bottom"/>
            <w:vMerge w:val="restart"/>
          </w:tcPr>
          <w:p>
            <w:pPr>
              <w:jc w:val="center"/>
              <w:spacing w:after="0"/>
              <w:rPr>
                <w:sz w:val="20"/>
                <w:szCs w:val="20"/>
                <w:color w:val="auto"/>
              </w:rPr>
            </w:pPr>
            <w:r>
              <w:rPr>
                <w:rFonts w:ascii="Arial" w:cs="Arial" w:eastAsia="Arial" w:hAnsi="Arial"/>
                <w:sz w:val="20"/>
                <w:szCs w:val="20"/>
                <w:color w:val="auto"/>
                <w:w w:val="92"/>
              </w:rPr>
              <w:t>2019 – Present</w:t>
            </w:r>
          </w:p>
        </w:tc>
        <w:tc>
          <w:tcPr>
            <w:tcW w:w="1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0E3C23"/>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2400" w:type="dxa"/>
            <w:vAlign w:val="bottom"/>
            <w:gridSpan w:val="3"/>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Borders>
              <w:right w:val="single" w:sz="8" w:color="0E3C23"/>
            </w:tcBorders>
          </w:tcPr>
          <w:p>
            <w:pPr>
              <w:spacing w:after="0"/>
              <w:rPr>
                <w:sz w:val="20"/>
                <w:szCs w:val="20"/>
                <w:color w:val="auto"/>
              </w:rPr>
            </w:pPr>
          </w:p>
        </w:tc>
        <w:tc>
          <w:tcPr>
            <w:tcW w:w="260" w:type="dxa"/>
            <w:vAlign w:val="bottom"/>
            <w:tcBorders>
              <w:bottom w:val="single" w:sz="8" w:color="0E3C23"/>
              <w:right w:val="single" w:sz="8" w:color="0E3C23"/>
            </w:tcBorders>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
        </w:trPr>
        <w:tc>
          <w:tcPr>
            <w:tcW w:w="2400" w:type="dxa"/>
            <w:vAlign w:val="bottom"/>
            <w:gridSpan w:val="3"/>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740" w:type="dxa"/>
            <w:vAlign w:val="bottom"/>
            <w:vMerge w:val="continue"/>
          </w:tcPr>
          <w:p>
            <w:pPr>
              <w:spacing w:after="0"/>
              <w:rPr>
                <w:sz w:val="3"/>
                <w:szCs w:val="3"/>
                <w:color w:val="auto"/>
              </w:rPr>
            </w:pPr>
          </w:p>
        </w:tc>
        <w:tc>
          <w:tcPr>
            <w:tcW w:w="1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68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1460" w:type="dxa"/>
            <w:vAlign w:val="bottom"/>
            <w:tcBorders>
              <w:bottom w:val="single" w:sz="8" w:color="0E3C23"/>
            </w:tcBorders>
          </w:tcPr>
          <w:p>
            <w:pPr>
              <w:spacing w:after="0"/>
              <w:rPr>
                <w:sz w:val="2"/>
                <w:szCs w:val="2"/>
                <w:color w:val="auto"/>
              </w:rPr>
            </w:pPr>
          </w:p>
        </w:tc>
        <w:tc>
          <w:tcPr>
            <w:tcW w:w="900" w:type="dxa"/>
            <w:vAlign w:val="bottom"/>
            <w:tcBorders>
              <w:bottom w:val="single" w:sz="8" w:color="0E3C23"/>
            </w:tcBorders>
          </w:tcPr>
          <w:p>
            <w:pPr>
              <w:spacing w:after="0"/>
              <w:rPr>
                <w:sz w:val="2"/>
                <w:szCs w:val="2"/>
                <w:color w:val="auto"/>
              </w:rPr>
            </w:pPr>
          </w:p>
        </w:tc>
        <w:tc>
          <w:tcPr>
            <w:tcW w:w="1740" w:type="dxa"/>
            <w:vAlign w:val="bottom"/>
            <w:tcBorders>
              <w:bottom w:val="single" w:sz="8" w:color="0E3C23"/>
            </w:tcBorders>
          </w:tcPr>
          <w:p>
            <w:pPr>
              <w:spacing w:after="0"/>
              <w:rPr>
                <w:sz w:val="2"/>
                <w:szCs w:val="2"/>
                <w:color w:val="auto"/>
              </w:rPr>
            </w:pPr>
          </w:p>
        </w:tc>
        <w:tc>
          <w:tcPr>
            <w:tcW w:w="1360" w:type="dxa"/>
            <w:vAlign w:val="bottom"/>
            <w:tcBorders>
              <w:bottom w:val="single" w:sz="8" w:color="0E3C23"/>
            </w:tcBorders>
          </w:tcPr>
          <w:p>
            <w:pPr>
              <w:spacing w:after="0"/>
              <w:rPr>
                <w:sz w:val="2"/>
                <w:szCs w:val="2"/>
                <w:color w:val="auto"/>
              </w:rPr>
            </w:pPr>
          </w:p>
        </w:tc>
        <w:tc>
          <w:tcPr>
            <w:tcW w:w="30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300" w:type="dxa"/>
            <w:vAlign w:val="bottom"/>
            <w:tcBorders>
              <w:bottom w:val="single" w:sz="8" w:color="0E3C23"/>
            </w:tcBorders>
          </w:tcPr>
          <w:p>
            <w:pPr>
              <w:spacing w:after="0"/>
              <w:rPr>
                <w:sz w:val="2"/>
                <w:szCs w:val="2"/>
                <w:color w:val="auto"/>
              </w:rPr>
            </w:pPr>
          </w:p>
        </w:tc>
        <w:tc>
          <w:tcPr>
            <w:tcW w:w="660" w:type="dxa"/>
            <w:vAlign w:val="bottom"/>
            <w:tcBorders>
              <w:bottom w:val="single" w:sz="8" w:color="0E3C23"/>
            </w:tcBorders>
          </w:tcPr>
          <w:p>
            <w:pPr>
              <w:spacing w:after="0"/>
              <w:rPr>
                <w:sz w:val="2"/>
                <w:szCs w:val="2"/>
                <w:color w:val="auto"/>
              </w:rPr>
            </w:pPr>
          </w:p>
        </w:tc>
        <w:tc>
          <w:tcPr>
            <w:tcW w:w="240" w:type="dxa"/>
            <w:vAlign w:val="bottom"/>
            <w:tcBorders>
              <w:bottom w:val="single" w:sz="8" w:color="0E3C23"/>
            </w:tcBorders>
          </w:tcPr>
          <w:p>
            <w:pPr>
              <w:spacing w:after="0"/>
              <w:rPr>
                <w:sz w:val="2"/>
                <w:szCs w:val="2"/>
                <w:color w:val="auto"/>
              </w:rPr>
            </w:pPr>
          </w:p>
        </w:tc>
        <w:tc>
          <w:tcPr>
            <w:tcW w:w="720" w:type="dxa"/>
            <w:vAlign w:val="bottom"/>
            <w:tcBorders>
              <w:bottom w:val="single" w:sz="8" w:color="0E3C23"/>
            </w:tcBorders>
          </w:tcPr>
          <w:p>
            <w:pPr>
              <w:spacing w:after="0"/>
              <w:rPr>
                <w:sz w:val="2"/>
                <w:szCs w:val="2"/>
                <w:color w:val="auto"/>
              </w:rPr>
            </w:pPr>
          </w:p>
        </w:tc>
        <w:tc>
          <w:tcPr>
            <w:tcW w:w="52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400" w:type="dxa"/>
            <w:vAlign w:val="bottom"/>
            <w:tcBorders>
              <w:bottom w:val="single" w:sz="8" w:color="0E3C23"/>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2400" w:type="dxa"/>
            <w:vAlign w:val="bottom"/>
            <w:gridSpan w:val="3"/>
          </w:tcPr>
          <w:p>
            <w:pPr>
              <w:ind w:left="60"/>
              <w:spacing w:after="0"/>
              <w:rPr>
                <w:sz w:val="20"/>
                <w:szCs w:val="20"/>
                <w:color w:val="auto"/>
              </w:rPr>
            </w:pPr>
            <w:r>
              <w:rPr>
                <w:rFonts w:ascii="Arial" w:cs="Arial" w:eastAsia="Arial" w:hAnsi="Arial"/>
                <w:sz w:val="20"/>
                <w:szCs w:val="20"/>
                <w:color w:val="auto"/>
              </w:rPr>
              <w:t>Maryrose T. Sylvester</w:t>
            </w:r>
          </w:p>
        </w:tc>
        <w:tc>
          <w:tcPr>
            <w:tcW w:w="900" w:type="dxa"/>
            <w:vAlign w:val="bottom"/>
          </w:tcPr>
          <w:p>
            <w:pPr>
              <w:jc w:val="center"/>
              <w:ind w:left="42"/>
              <w:spacing w:after="0"/>
              <w:rPr>
                <w:sz w:val="20"/>
                <w:szCs w:val="20"/>
                <w:color w:val="auto"/>
              </w:rPr>
            </w:pPr>
            <w:r>
              <w:rPr>
                <w:rFonts w:ascii="Arial" w:cs="Arial" w:eastAsia="Arial" w:hAnsi="Arial"/>
                <w:sz w:val="20"/>
                <w:szCs w:val="20"/>
                <w:color w:val="auto"/>
                <w:w w:val="89"/>
              </w:rPr>
              <w:t>59</w:t>
            </w:r>
          </w:p>
        </w:tc>
        <w:tc>
          <w:tcPr>
            <w:tcW w:w="1740" w:type="dxa"/>
            <w:vAlign w:val="bottom"/>
          </w:tcPr>
          <w:p>
            <w:pPr>
              <w:jc w:val="center"/>
              <w:spacing w:after="0"/>
              <w:rPr>
                <w:sz w:val="20"/>
                <w:szCs w:val="20"/>
                <w:color w:val="auto"/>
              </w:rPr>
            </w:pPr>
            <w:r>
              <w:rPr>
                <w:rFonts w:ascii="Arial" w:cs="Arial" w:eastAsia="Arial" w:hAnsi="Arial"/>
                <w:sz w:val="20"/>
                <w:szCs w:val="20"/>
                <w:color w:val="auto"/>
                <w:w w:val="92"/>
              </w:rPr>
              <w:t>2021 – Present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680" w:type="dxa"/>
            <w:vAlign w:val="bottom"/>
            <w:tcBorders>
              <w:bottom w:val="single" w:sz="8" w:color="0E3C23"/>
            </w:tcBorders>
          </w:tcPr>
          <w:p>
            <w:pPr>
              <w:spacing w:after="0"/>
              <w:rPr>
                <w:sz w:val="3"/>
                <w:szCs w:val="3"/>
                <w:color w:val="auto"/>
              </w:rPr>
            </w:pPr>
          </w:p>
        </w:tc>
        <w:tc>
          <w:tcPr>
            <w:tcW w:w="260" w:type="dxa"/>
            <w:vAlign w:val="bottom"/>
            <w:tcBorders>
              <w:bottom w:val="single" w:sz="8" w:color="0E3C23"/>
            </w:tcBorders>
          </w:tcPr>
          <w:p>
            <w:pPr>
              <w:spacing w:after="0"/>
              <w:rPr>
                <w:sz w:val="3"/>
                <w:szCs w:val="3"/>
                <w:color w:val="auto"/>
              </w:rPr>
            </w:pPr>
          </w:p>
        </w:tc>
        <w:tc>
          <w:tcPr>
            <w:tcW w:w="1460" w:type="dxa"/>
            <w:vAlign w:val="bottom"/>
            <w:tcBorders>
              <w:bottom w:val="single" w:sz="8" w:color="0E3C23"/>
            </w:tcBorders>
          </w:tcPr>
          <w:p>
            <w:pPr>
              <w:spacing w:after="0"/>
              <w:rPr>
                <w:sz w:val="3"/>
                <w:szCs w:val="3"/>
                <w:color w:val="auto"/>
              </w:rPr>
            </w:pPr>
          </w:p>
        </w:tc>
        <w:tc>
          <w:tcPr>
            <w:tcW w:w="900" w:type="dxa"/>
            <w:vAlign w:val="bottom"/>
            <w:tcBorders>
              <w:bottom w:val="single" w:sz="8" w:color="0E3C23"/>
            </w:tcBorders>
          </w:tcPr>
          <w:p>
            <w:pPr>
              <w:spacing w:after="0"/>
              <w:rPr>
                <w:sz w:val="3"/>
                <w:szCs w:val="3"/>
                <w:color w:val="auto"/>
              </w:rPr>
            </w:pPr>
          </w:p>
        </w:tc>
        <w:tc>
          <w:tcPr>
            <w:tcW w:w="1740" w:type="dxa"/>
            <w:vAlign w:val="bottom"/>
            <w:tcBorders>
              <w:bottom w:val="single" w:sz="8" w:color="0E3C23"/>
            </w:tcBorders>
          </w:tcPr>
          <w:p>
            <w:pPr>
              <w:spacing w:after="0"/>
              <w:rPr>
                <w:sz w:val="3"/>
                <w:szCs w:val="3"/>
                <w:color w:val="auto"/>
              </w:rPr>
            </w:pPr>
          </w:p>
        </w:tc>
        <w:tc>
          <w:tcPr>
            <w:tcW w:w="1360" w:type="dxa"/>
            <w:vAlign w:val="bottom"/>
            <w:tcBorders>
              <w:bottom w:val="single" w:sz="8" w:color="0E3C23"/>
            </w:tcBorders>
          </w:tcPr>
          <w:p>
            <w:pPr>
              <w:spacing w:after="0"/>
              <w:rPr>
                <w:sz w:val="3"/>
                <w:szCs w:val="3"/>
                <w:color w:val="auto"/>
              </w:rPr>
            </w:pPr>
          </w:p>
        </w:tc>
        <w:tc>
          <w:tcPr>
            <w:tcW w:w="300" w:type="dxa"/>
            <w:vAlign w:val="bottom"/>
            <w:tcBorders>
              <w:bottom w:val="single" w:sz="8" w:color="0E3C23"/>
            </w:tcBorders>
          </w:tcPr>
          <w:p>
            <w:pPr>
              <w:spacing w:after="0"/>
              <w:rPr>
                <w:sz w:val="3"/>
                <w:szCs w:val="3"/>
                <w:color w:val="auto"/>
              </w:rPr>
            </w:pPr>
          </w:p>
        </w:tc>
        <w:tc>
          <w:tcPr>
            <w:tcW w:w="260" w:type="dxa"/>
            <w:vAlign w:val="bottom"/>
            <w:tcBorders>
              <w:bottom w:val="single" w:sz="8" w:color="0E3C23"/>
            </w:tcBorders>
          </w:tcPr>
          <w:p>
            <w:pPr>
              <w:spacing w:after="0"/>
              <w:rPr>
                <w:sz w:val="3"/>
                <w:szCs w:val="3"/>
                <w:color w:val="auto"/>
              </w:rPr>
            </w:pPr>
          </w:p>
        </w:tc>
        <w:tc>
          <w:tcPr>
            <w:tcW w:w="300" w:type="dxa"/>
            <w:vAlign w:val="bottom"/>
            <w:tcBorders>
              <w:bottom w:val="single" w:sz="8" w:color="0E3C23"/>
            </w:tcBorders>
          </w:tcPr>
          <w:p>
            <w:pPr>
              <w:spacing w:after="0"/>
              <w:rPr>
                <w:sz w:val="3"/>
                <w:szCs w:val="3"/>
                <w:color w:val="auto"/>
              </w:rPr>
            </w:pPr>
          </w:p>
        </w:tc>
        <w:tc>
          <w:tcPr>
            <w:tcW w:w="660" w:type="dxa"/>
            <w:vAlign w:val="bottom"/>
            <w:tcBorders>
              <w:bottom w:val="single" w:sz="8" w:color="0E3C23"/>
            </w:tcBorders>
          </w:tcPr>
          <w:p>
            <w:pPr>
              <w:spacing w:after="0"/>
              <w:rPr>
                <w:sz w:val="3"/>
                <w:szCs w:val="3"/>
                <w:color w:val="auto"/>
              </w:rPr>
            </w:pPr>
          </w:p>
        </w:tc>
        <w:tc>
          <w:tcPr>
            <w:tcW w:w="240" w:type="dxa"/>
            <w:vAlign w:val="bottom"/>
            <w:tcBorders>
              <w:bottom w:val="single" w:sz="8" w:color="0E3C23"/>
            </w:tcBorders>
          </w:tcPr>
          <w:p>
            <w:pPr>
              <w:spacing w:after="0"/>
              <w:rPr>
                <w:sz w:val="3"/>
                <w:szCs w:val="3"/>
                <w:color w:val="auto"/>
              </w:rPr>
            </w:pPr>
          </w:p>
        </w:tc>
        <w:tc>
          <w:tcPr>
            <w:tcW w:w="720" w:type="dxa"/>
            <w:vAlign w:val="bottom"/>
            <w:tcBorders>
              <w:bottom w:val="single" w:sz="8" w:color="0E3C23"/>
            </w:tcBorders>
          </w:tcPr>
          <w:p>
            <w:pPr>
              <w:spacing w:after="0"/>
              <w:rPr>
                <w:sz w:val="3"/>
                <w:szCs w:val="3"/>
                <w:color w:val="auto"/>
              </w:rPr>
            </w:pPr>
          </w:p>
        </w:tc>
        <w:tc>
          <w:tcPr>
            <w:tcW w:w="520" w:type="dxa"/>
            <w:vAlign w:val="bottom"/>
            <w:tcBorders>
              <w:bottom w:val="single" w:sz="8" w:color="0E3C23"/>
            </w:tcBorders>
          </w:tcPr>
          <w:p>
            <w:pPr>
              <w:spacing w:after="0"/>
              <w:rPr>
                <w:sz w:val="3"/>
                <w:szCs w:val="3"/>
                <w:color w:val="auto"/>
              </w:rPr>
            </w:pPr>
          </w:p>
        </w:tc>
        <w:tc>
          <w:tcPr>
            <w:tcW w:w="260" w:type="dxa"/>
            <w:vAlign w:val="bottom"/>
            <w:tcBorders>
              <w:bottom w:val="single" w:sz="8" w:color="0E3C23"/>
            </w:tcBorders>
          </w:tcPr>
          <w:p>
            <w:pPr>
              <w:spacing w:after="0"/>
              <w:rPr>
                <w:sz w:val="3"/>
                <w:szCs w:val="3"/>
                <w:color w:val="auto"/>
              </w:rPr>
            </w:pPr>
          </w:p>
        </w:tc>
        <w:tc>
          <w:tcPr>
            <w:tcW w:w="40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80" w:type="dxa"/>
            <w:vAlign w:val="bottom"/>
            <w:vMerge w:val="restart"/>
          </w:tcPr>
          <w:p>
            <w:pPr>
              <w:ind w:left="60"/>
              <w:spacing w:after="0"/>
              <w:rPr>
                <w:sz w:val="20"/>
                <w:szCs w:val="20"/>
                <w:color w:val="auto"/>
              </w:rPr>
            </w:pPr>
            <w:r>
              <w:rPr>
                <w:rFonts w:ascii="Arial" w:cs="Arial" w:eastAsia="Arial" w:hAnsi="Arial"/>
                <w:sz w:val="20"/>
                <w:szCs w:val="20"/>
                <w:color w:val="auto"/>
              </w:rPr>
              <w:t>Chair</w:t>
            </w:r>
          </w:p>
        </w:tc>
        <w:tc>
          <w:tcPr>
            <w:tcW w:w="260" w:type="dxa"/>
            <w:vAlign w:val="bottom"/>
            <w:tcBorders>
              <w:bottom w:val="single" w:sz="8" w:color="0E3C23"/>
            </w:tcBorders>
          </w:tcPr>
          <w:p>
            <w:pPr>
              <w:spacing w:after="0"/>
              <w:rPr>
                <w:sz w:val="14"/>
                <w:szCs w:val="14"/>
                <w:color w:val="auto"/>
              </w:rPr>
            </w:pPr>
          </w:p>
        </w:tc>
        <w:tc>
          <w:tcPr>
            <w:tcW w:w="1460" w:type="dxa"/>
            <w:vAlign w:val="bottom"/>
            <w:vMerge w:val="restart"/>
          </w:tcPr>
          <w:p>
            <w:pPr>
              <w:ind w:left="340"/>
              <w:spacing w:after="0"/>
              <w:rPr>
                <w:sz w:val="20"/>
                <w:szCs w:val="20"/>
                <w:color w:val="auto"/>
              </w:rPr>
            </w:pPr>
            <w:r>
              <w:rPr>
                <w:rFonts w:ascii="Arial" w:cs="Arial" w:eastAsia="Arial" w:hAnsi="Arial"/>
                <w:sz w:val="20"/>
                <w:szCs w:val="20"/>
                <w:color w:val="auto"/>
              </w:rPr>
              <w:t>Member</w:t>
            </w: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680" w:type="dxa"/>
            <w:vAlign w:val="bottom"/>
            <w:vMerge w:val="continue"/>
          </w:tcPr>
          <w:p>
            <w:pPr>
              <w:spacing w:after="0"/>
              <w:rPr>
                <w:sz w:val="20"/>
                <w:szCs w:val="20"/>
                <w:color w:val="auto"/>
              </w:rPr>
            </w:pPr>
          </w:p>
        </w:tc>
        <w:tc>
          <w:tcPr>
            <w:tcW w:w="260" w:type="dxa"/>
            <w:vAlign w:val="bottom"/>
            <w:tcBorders>
              <w:left w:val="single" w:sz="8" w:color="0E3C23"/>
              <w:bottom w:val="single" w:sz="8" w:color="0E3C23"/>
              <w:right w:val="single" w:sz="8" w:color="0E3C23"/>
            </w:tcBorders>
          </w:tcPr>
          <w:p>
            <w:pPr>
              <w:spacing w:after="0"/>
              <w:rPr>
                <w:sz w:val="20"/>
                <w:szCs w:val="20"/>
                <w:color w:val="auto"/>
              </w:rPr>
            </w:pPr>
          </w:p>
        </w:tc>
        <w:tc>
          <w:tcPr>
            <w:tcW w:w="146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
        </w:trPr>
        <w:tc>
          <w:tcPr>
            <w:tcW w:w="6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3654425</wp:posOffset>
            </wp:positionH>
            <wp:positionV relativeFrom="paragraph">
              <wp:posOffset>-2848610</wp:posOffset>
            </wp:positionV>
            <wp:extent cx="18859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-2887345</wp:posOffset>
            </wp:positionV>
            <wp:extent cx="181610" cy="235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181610" cy="23558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-2557145</wp:posOffset>
            </wp:positionV>
            <wp:extent cx="188595"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4358640</wp:posOffset>
            </wp:positionH>
            <wp:positionV relativeFrom="paragraph">
              <wp:posOffset>-2595880</wp:posOffset>
            </wp:positionV>
            <wp:extent cx="181610" cy="235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181610" cy="23558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-1993265</wp:posOffset>
            </wp:positionV>
            <wp:extent cx="18859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4358640</wp:posOffset>
            </wp:positionH>
            <wp:positionV relativeFrom="paragraph">
              <wp:posOffset>-2032000</wp:posOffset>
            </wp:positionV>
            <wp:extent cx="181610" cy="235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extLst>
                    </a:blip>
                    <a:srcRect/>
                    <a:stretch>
                      <a:fillRect/>
                    </a:stretch>
                  </pic:blipFill>
                  <pic:spPr bwMode="auto">
                    <a:xfrm>
                      <a:off x="0" y="0"/>
                      <a:ext cx="181610" cy="23558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-1982470</wp:posOffset>
            </wp:positionV>
            <wp:extent cx="130810" cy="144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130810" cy="144780"/>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-1701800</wp:posOffset>
            </wp:positionV>
            <wp:extent cx="18859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4358640</wp:posOffset>
            </wp:positionH>
            <wp:positionV relativeFrom="paragraph">
              <wp:posOffset>-1740535</wp:posOffset>
            </wp:positionV>
            <wp:extent cx="181610" cy="235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extLst>
                    </a:blip>
                    <a:srcRect/>
                    <a:stretch>
                      <a:fillRect/>
                    </a:stretch>
                  </pic:blipFill>
                  <pic:spPr bwMode="auto">
                    <a:xfrm>
                      <a:off x="0" y="0"/>
                      <a:ext cx="181610" cy="235585"/>
                    </a:xfrm>
                    <a:prstGeom prst="rect">
                      <a:avLst/>
                    </a:prstGeom>
                    <a:noFill/>
                  </pic:spPr>
                </pic:pic>
              </a:graphicData>
            </a:graphic>
          </wp:anchor>
        </w:drawing>
        <w:drawing>
          <wp:anchor simplePos="0" relativeHeight="251657728" behindDoc="1" locked="0" layoutInCell="0" allowOverlap="1">
            <wp:simplePos x="0" y="0"/>
            <wp:positionH relativeFrom="column">
              <wp:posOffset>6104890</wp:posOffset>
            </wp:positionH>
            <wp:positionV relativeFrom="paragraph">
              <wp:posOffset>-1678305</wp:posOffset>
            </wp:positionV>
            <wp:extent cx="105410" cy="1193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extLst>
                    </a:blip>
                    <a:srcRect/>
                    <a:stretch>
                      <a:fillRect/>
                    </a:stretch>
                  </pic:blipFill>
                  <pic:spPr bwMode="auto">
                    <a:xfrm>
                      <a:off x="0" y="0"/>
                      <a:ext cx="105410" cy="119380"/>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-1410335</wp:posOffset>
            </wp:positionV>
            <wp:extent cx="188595"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4358640</wp:posOffset>
            </wp:positionH>
            <wp:positionV relativeFrom="paragraph">
              <wp:posOffset>-1449070</wp:posOffset>
            </wp:positionV>
            <wp:extent cx="181610" cy="234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extLst>
                    </a:blip>
                    <a:srcRect/>
                    <a:stretch>
                      <a:fillRect/>
                    </a:stretch>
                  </pic:blipFill>
                  <pic:spPr bwMode="auto">
                    <a:xfrm>
                      <a:off x="0" y="0"/>
                      <a:ext cx="181610" cy="23495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-1449070</wp:posOffset>
            </wp:positionV>
            <wp:extent cx="180975" cy="234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extLst>
                    </a:blip>
                    <a:srcRect/>
                    <a:stretch>
                      <a:fillRect/>
                    </a:stretch>
                  </pic:blipFill>
                  <pic:spPr bwMode="auto">
                    <a:xfrm>
                      <a:off x="0" y="0"/>
                      <a:ext cx="180975" cy="234950"/>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-1449070</wp:posOffset>
            </wp:positionV>
            <wp:extent cx="180975" cy="2349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extLst>
                    </a:blip>
                    <a:srcRect/>
                    <a:stretch>
                      <a:fillRect/>
                    </a:stretch>
                  </pic:blipFill>
                  <pic:spPr bwMode="auto">
                    <a:xfrm>
                      <a:off x="0" y="0"/>
                      <a:ext cx="180975" cy="234950"/>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-1118870</wp:posOffset>
            </wp:positionV>
            <wp:extent cx="188595"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4358640</wp:posOffset>
            </wp:positionH>
            <wp:positionV relativeFrom="paragraph">
              <wp:posOffset>-1157605</wp:posOffset>
            </wp:positionV>
            <wp:extent cx="181610" cy="2355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extLst>
                    </a:blip>
                    <a:srcRect/>
                    <a:stretch>
                      <a:fillRect/>
                    </a:stretch>
                  </pic:blipFill>
                  <pic:spPr bwMode="auto">
                    <a:xfrm>
                      <a:off x="0" y="0"/>
                      <a:ext cx="181610" cy="235585"/>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-1157605</wp:posOffset>
            </wp:positionV>
            <wp:extent cx="180975" cy="2355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extLst>
                    </a:blip>
                    <a:srcRect/>
                    <a:stretch>
                      <a:fillRect/>
                    </a:stretch>
                  </pic:blipFill>
                  <pic:spPr bwMode="auto">
                    <a:xfrm>
                      <a:off x="0" y="0"/>
                      <a:ext cx="180975" cy="23558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-827405</wp:posOffset>
            </wp:positionV>
            <wp:extent cx="18859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4395470</wp:posOffset>
            </wp:positionH>
            <wp:positionV relativeFrom="paragraph">
              <wp:posOffset>-803910</wp:posOffset>
            </wp:positionV>
            <wp:extent cx="105410" cy="1193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a:extLst>
                        <a:ext uri="{28A0092B-C50C-407E-A947-70E740481C1C}"/>
                      </a:extLst>
                    </a:blip>
                    <a:srcRect/>
                    <a:stretch>
                      <a:fillRect/>
                    </a:stretch>
                  </pic:blipFill>
                  <pic:spPr bwMode="auto">
                    <a:xfrm>
                      <a:off x="0" y="0"/>
                      <a:ext cx="105410" cy="11938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-866140</wp:posOffset>
            </wp:positionV>
            <wp:extent cx="180975" cy="2355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extLst>
                        <a:ext uri="{28A0092B-C50C-407E-A947-70E740481C1C}"/>
                      </a:extLst>
                    </a:blip>
                    <a:srcRect/>
                    <a:stretch>
                      <a:fillRect/>
                    </a:stretch>
                  </pic:blipFill>
                  <pic:spPr bwMode="auto">
                    <a:xfrm>
                      <a:off x="0" y="0"/>
                      <a:ext cx="180975" cy="23558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-535940</wp:posOffset>
            </wp:positionV>
            <wp:extent cx="188595"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-574675</wp:posOffset>
            </wp:positionV>
            <wp:extent cx="181610" cy="2355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a:extLst>
                        <a:ext uri="{28A0092B-C50C-407E-A947-70E740481C1C}"/>
                      </a:extLst>
                    </a:blip>
                    <a:srcRect/>
                    <a:stretch>
                      <a:fillRect/>
                    </a:stretch>
                  </pic:blipFill>
                  <pic:spPr bwMode="auto">
                    <a:xfrm>
                      <a:off x="0" y="0"/>
                      <a:ext cx="181610" cy="235585"/>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-574675</wp:posOffset>
            </wp:positionV>
            <wp:extent cx="180975" cy="2355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0">
                      <a:extLst>
                        <a:ext uri="{28A0092B-C50C-407E-A947-70E740481C1C}"/>
                      </a:extLst>
                    </a:blip>
                    <a:srcRect/>
                    <a:stretch>
                      <a:fillRect/>
                    </a:stretch>
                  </pic:blipFill>
                  <pic:spPr bwMode="auto">
                    <a:xfrm>
                      <a:off x="0" y="0"/>
                      <a:ext cx="180975" cy="23558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-170815</wp:posOffset>
            </wp:positionV>
            <wp:extent cx="105410" cy="1193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1">
                      <a:extLst>
                        <a:ext uri="{28A0092B-C50C-407E-A947-70E740481C1C}"/>
                      </a:extLst>
                    </a:blip>
                    <a:srcRect/>
                    <a:stretch>
                      <a:fillRect/>
                    </a:stretch>
                  </pic:blipFill>
                  <pic:spPr bwMode="auto">
                    <a:xfrm>
                      <a:off x="0" y="0"/>
                      <a:ext cx="105410" cy="11938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-233045</wp:posOffset>
            </wp:positionV>
            <wp:extent cx="151765" cy="2070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a:extLst>
                        <a:ext uri="{28A0092B-C50C-407E-A947-70E740481C1C}"/>
                      </a:extLst>
                    </a:blip>
                    <a:srcRect/>
                    <a:stretch>
                      <a:fillRect/>
                    </a:stretch>
                  </pic:blipFill>
                  <pic:spPr bwMode="auto">
                    <a:xfrm>
                      <a:off x="0" y="0"/>
                      <a:ext cx="151765" cy="207010"/>
                    </a:xfrm>
                    <a:prstGeom prst="rect">
                      <a:avLst/>
                    </a:prstGeom>
                    <a:noFill/>
                  </pic:spPr>
                </pic:pic>
              </a:graphicData>
            </a:graphic>
          </wp:anchor>
        </w:drawing>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Leadership Structure</w:t>
      </w:r>
    </w:p>
    <w:p>
      <w:pPr>
        <w:spacing w:after="0" w:line="142" w:lineRule="exact"/>
        <w:rPr>
          <w:sz w:val="20"/>
          <w:szCs w:val="20"/>
          <w:color w:val="auto"/>
        </w:rPr>
      </w:pPr>
    </w:p>
    <w:p>
      <w:pPr>
        <w:jc w:val="both"/>
        <w:ind w:left="180" w:right="200"/>
        <w:spacing w:after="0" w:line="274" w:lineRule="auto"/>
        <w:rPr>
          <w:sz w:val="20"/>
          <w:szCs w:val="20"/>
          <w:color w:val="auto"/>
        </w:rPr>
      </w:pPr>
      <w:r>
        <w:rPr>
          <w:rFonts w:ascii="Arial" w:cs="Arial" w:eastAsia="Arial" w:hAnsi="Arial"/>
          <w:sz w:val="19"/>
          <w:szCs w:val="19"/>
          <w:color w:val="auto"/>
        </w:rPr>
        <w:t>Ms. Kathleen M. Mazzarella’s service as Non-Executive Chair of the Board began in May 2023. The Board elected Ms. Mazzarella to serve as Non-Executive Chair of the Board due to her extensive leadership experience, expertise in Board governance, and deep understanding of our Company and our strategic vision. Ms. Mazzarella presides over all meetings of the Board, including executive sessions that only non-employee directors attend. The Non-Executive Chair also serves on all three Board committees. Stockholders and interested parties wishing to communicate with the Board or any of the non-employee directors should address their communications to Non-Executive Chair of the Board or the applicable director, c/o Waste Management, Inc., P.O. Box 53569, Houston, Texas 77052-3569. Additional information about communicating with our directors is available in our Corporate Governance Guidelines, which can be found by accessing the “Sustainability &amp; Governance — Corporate Governance” section of investors.wm.com.</w:t>
      </w:r>
    </w:p>
    <w:p>
      <w:pPr>
        <w:spacing w:after="0" w:line="134" w:lineRule="exact"/>
        <w:rPr>
          <w:sz w:val="20"/>
          <w:szCs w:val="20"/>
          <w:color w:val="auto"/>
        </w:rPr>
      </w:pPr>
    </w:p>
    <w:p>
      <w:pPr>
        <w:jc w:val="both"/>
        <w:ind w:left="180" w:right="200"/>
        <w:spacing w:after="0" w:line="274" w:lineRule="auto"/>
        <w:rPr>
          <w:sz w:val="20"/>
          <w:szCs w:val="20"/>
          <w:color w:val="auto"/>
        </w:rPr>
      </w:pPr>
      <w:r>
        <w:rPr>
          <w:rFonts w:ascii="Arial" w:cs="Arial" w:eastAsia="Arial" w:hAnsi="Arial"/>
          <w:sz w:val="19"/>
          <w:szCs w:val="19"/>
          <w:color w:val="auto"/>
        </w:rPr>
        <w:t>We separated the roles of Chair of the Board and Chief Executive Officer at our Company in 2004. We believe that having a Non-Executive Chair of the Board is in the best interests of the Company and stockholders, due in part to the ever-increasing demands made on boards of directors under federal securities laws, national stock exchange rules and other federal and state regulations. The separation of the positions allows our Chair of the Board to focus on management of Board matters and allows our Chief Executive Officer to focus his attention on managing our business. Additionally, we believe the separation of those roles contributes to the independence of the Board in its oversight role and in assessing the Chief Executive Officer and management generally. At this time, we do not contemplate a situation in which our Company would not have a Non-Executive Chair of the Board.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0"/>
        <w:spacing w:after="0"/>
        <w:tabs>
          <w:tab w:leader="none" w:pos="42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3">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-86995</wp:posOffset>
            </wp:positionV>
            <wp:extent cx="4254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4">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440" w:right="1440" w:bottom="1036" w:gutter="0" w:footer="0" w:header="0"/>
        </w:sectPr>
      </w:pPr>
    </w:p>
    <w:bookmarkStart w:id="10" w:name="page11"/>
    <w:bookmarkEnd w:id="10"/>
    <w:p>
      <w:pPr>
        <w:ind w:left="8440"/>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BOARD OF DIRECTORS</w:t>
      </w:r>
    </w:p>
    <w:p>
      <w:pPr>
        <w:spacing w:after="0" w:line="271"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Independence of Board Members</w:t>
      </w:r>
    </w:p>
    <w:p>
      <w:pPr>
        <w:spacing w:after="0" w:line="142" w:lineRule="exact"/>
        <w:rPr>
          <w:sz w:val="20"/>
          <w:szCs w:val="20"/>
          <w:color w:val="auto"/>
        </w:rPr>
      </w:pPr>
    </w:p>
    <w:p>
      <w:pPr>
        <w:jc w:val="both"/>
        <w:ind w:left="180" w:right="200"/>
        <w:spacing w:after="0" w:line="244" w:lineRule="auto"/>
        <w:rPr>
          <w:sz w:val="20"/>
          <w:szCs w:val="20"/>
          <w:color w:val="auto"/>
        </w:rPr>
      </w:pPr>
      <w:r>
        <w:rPr>
          <w:rFonts w:ascii="Arial" w:cs="Arial" w:eastAsia="Arial" w:hAnsi="Arial"/>
          <w:sz w:val="20"/>
          <w:szCs w:val="20"/>
          <w:color w:val="auto"/>
        </w:rPr>
        <w:t>The Board of Directors has determined that each of the following eight non-employee director nominees are independent in accordance with the New York Stock Exchange listing standards: Thomas L. Bené, Bruce E. Chinn, Andrés R. Gluski, Victoria M. Holt, Kathleen M. Mazzarella, Sean E. Menke, William B. Plummer and Maryrose T. Sylvester. James C. Fish, Jr., our President and Chief Executive Officer, is also a director of the Company. As an executive officer of the Company, Mr. Fish is not an “independent” director.</w:t>
      </w:r>
    </w:p>
    <w:p>
      <w:pPr>
        <w:spacing w:after="0" w:line="128" w:lineRule="exact"/>
        <w:rPr>
          <w:sz w:val="20"/>
          <w:szCs w:val="20"/>
          <w:color w:val="auto"/>
        </w:rPr>
      </w:pPr>
    </w:p>
    <w:p>
      <w:pPr>
        <w:jc w:val="both"/>
        <w:ind w:left="180" w:right="200"/>
        <w:spacing w:after="0" w:line="244" w:lineRule="auto"/>
        <w:rPr>
          <w:sz w:val="20"/>
          <w:szCs w:val="20"/>
          <w:color w:val="auto"/>
        </w:rPr>
      </w:pPr>
      <w:r>
        <w:rPr>
          <w:rFonts w:ascii="Arial" w:cs="Arial" w:eastAsia="Arial" w:hAnsi="Arial"/>
          <w:sz w:val="20"/>
          <w:szCs w:val="20"/>
          <w:color w:val="auto"/>
        </w:rPr>
        <w:t>To assist the Board in determining independence, the Board of Directors adopted categorical standards of director independence, which meet or exceed the requirements of the New York Stock Exchange. These standards specify certain relationships that are prohibited in order for the non-employee director to be deemed independent. The categorical standards our Board uses in determining independence are included in our Corporate Governance Guidelines, which can be found by accessing the “Sustainability &amp; Governance — Corporate Governance” section of investors.wm.com. In addition to these categorical standards, our Board makes a subjective determination of independence considering relevant facts and circumstances.</w:t>
      </w:r>
    </w:p>
    <w:p>
      <w:pPr>
        <w:spacing w:after="0" w:line="131" w:lineRule="exact"/>
        <w:rPr>
          <w:sz w:val="20"/>
          <w:szCs w:val="20"/>
          <w:color w:val="auto"/>
        </w:rPr>
      </w:pPr>
    </w:p>
    <w:p>
      <w:pPr>
        <w:jc w:val="both"/>
        <w:ind w:left="180" w:right="200"/>
        <w:spacing w:after="0" w:line="259" w:lineRule="auto"/>
        <w:rPr>
          <w:sz w:val="20"/>
          <w:szCs w:val="20"/>
          <w:color w:val="auto"/>
        </w:rPr>
      </w:pPr>
      <w:r>
        <w:rPr>
          <w:rFonts w:ascii="Arial" w:cs="Arial" w:eastAsia="Arial" w:hAnsi="Arial"/>
          <w:sz w:val="19"/>
          <w:szCs w:val="19"/>
          <w:color w:val="auto"/>
        </w:rPr>
        <w:t>The Board reviewed all commercial and non-profit affiliations of each non-employee director and the dollar amount of all transactions between the Company and each entity with which a non-employee director is affiliated to determine independence. These transactions consisted of the Company, through its subsidiaries, providing waste management services in the ordinary course of business and the Company’s subsidiaries purchasing goods and services in the ordinary course of business and included commercial dealings with Graybar Electric Company, Inc., The AES Corporation, and Chevron Phillips Chemical Company LLC. Ms. Mazzarella, Mr. Gluski, and Mr. Chinn served as chief executive officer of these entities, respectively, for all or a portion of calendar year 2024. The Board concluded there are no transactions between the Company and any entity with which a non-employee director is affiliated that are prohibited by our categorical standards of independence or give rise to a material direct or indirect interest for that non-employee director. Accordingly, the Board has determined that each non-employee director candidate meets the categorical standards of independence and that there are no relationships that would affect independence.</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Meetings and Board Committees</w:t>
      </w:r>
    </w:p>
    <w:p>
      <w:pPr>
        <w:spacing w:after="0" w:line="142" w:lineRule="exact"/>
        <w:rPr>
          <w:sz w:val="20"/>
          <w:szCs w:val="20"/>
          <w:color w:val="auto"/>
        </w:rPr>
      </w:pPr>
    </w:p>
    <w:p>
      <w:pPr>
        <w:jc w:val="both"/>
        <w:ind w:left="180" w:right="200"/>
        <w:spacing w:after="0" w:line="260" w:lineRule="auto"/>
        <w:rPr>
          <w:sz w:val="20"/>
          <w:szCs w:val="20"/>
          <w:color w:val="auto"/>
        </w:rPr>
      </w:pPr>
      <w:r>
        <w:rPr>
          <w:rFonts w:ascii="Arial" w:cs="Arial" w:eastAsia="Arial" w:hAnsi="Arial"/>
          <w:sz w:val="19"/>
          <w:szCs w:val="19"/>
          <w:color w:val="auto"/>
        </w:rPr>
        <w:t>Last year the Board held seven regular meetings and six special meetings, and each committee of the Board met independently as set forth below. Each incumbent director attended at least 75% of the meetings of the Board and the committees on which he or she served. In addition, all directors attended the 2024 Annual Meeting of Stockholders. Our Corporate Governance Guidelines provide that directors are expected to attend the annual meeting of stockholders, and if an unavoidable conflict arises, the director must notify the Chair of the Board in advance.</w:t>
      </w:r>
    </w:p>
    <w:p>
      <w:pPr>
        <w:spacing w:after="0" w:line="118" w:lineRule="exact"/>
        <w:rPr>
          <w:sz w:val="20"/>
          <w:szCs w:val="20"/>
          <w:color w:val="auto"/>
        </w:rPr>
      </w:pPr>
    </w:p>
    <w:p>
      <w:pPr>
        <w:jc w:val="both"/>
        <w:ind w:left="180" w:right="200"/>
        <w:spacing w:after="0" w:line="246" w:lineRule="auto"/>
        <w:rPr>
          <w:sz w:val="20"/>
          <w:szCs w:val="20"/>
          <w:color w:val="auto"/>
        </w:rPr>
      </w:pPr>
      <w:r>
        <w:rPr>
          <w:rFonts w:ascii="Arial" w:cs="Arial" w:eastAsia="Arial" w:hAnsi="Arial"/>
          <w:sz w:val="20"/>
          <w:szCs w:val="20"/>
          <w:color w:val="auto"/>
        </w:rPr>
        <w:t>The Board appoints committees to help carry out its duties. Committee members take on greater responsibility for key issues. All members of the Board are invited to attend, and do generally attend, all committee meetings. The committees review meeting results and recommendations with the full Board. The Board has three separate standing committees: the Audit Committee; the Management Development and Compensation Committee (the “MD&amp;C Committee”); and the Nominating and Governance Committee. Additionally, the Board has the power to appoint additional committees, as it deems necessary.</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Role in Risk Oversight</w:t>
      </w:r>
    </w:p>
    <w:p>
      <w:pPr>
        <w:spacing w:after="0" w:line="142" w:lineRule="exact"/>
        <w:rPr>
          <w:sz w:val="20"/>
          <w:szCs w:val="20"/>
          <w:color w:val="auto"/>
        </w:rPr>
      </w:pPr>
    </w:p>
    <w:p>
      <w:pPr>
        <w:jc w:val="both"/>
        <w:ind w:left="180" w:right="200"/>
        <w:spacing w:after="0" w:line="261" w:lineRule="auto"/>
        <w:rPr>
          <w:sz w:val="20"/>
          <w:szCs w:val="20"/>
          <w:color w:val="auto"/>
        </w:rPr>
      </w:pPr>
      <w:r>
        <w:rPr>
          <w:rFonts w:ascii="Arial" w:cs="Arial" w:eastAsia="Arial" w:hAnsi="Arial"/>
          <w:sz w:val="19"/>
          <w:szCs w:val="19"/>
          <w:color w:val="auto"/>
        </w:rPr>
        <w:t>Our executive officers have primary responsibility for risk management within our Company. Our Board of Directors oversees risk management to ensure that the processes designed, implemented and maintained by our executives are functioning as intended and adapted when necessary to respond to changes in our Company’s strategy as well as emerging risks. The primary means by which our Board oversees our risk management processes is through its regular communications with management and by regularly reviewing our enterprise risk management, or ERM, framework. We believe that our leadership team’s engagement and communication methods are supportive of comprehensive risk management practices and that our Board’s involvement is appropriate to ensure effective oversight.</w:t>
      </w:r>
    </w:p>
    <w:p>
      <w:pPr>
        <w:spacing w:after="0" w:line="119" w:lineRule="exact"/>
        <w:rPr>
          <w:sz w:val="20"/>
          <w:szCs w:val="20"/>
          <w:color w:val="auto"/>
        </w:rPr>
      </w:pPr>
    </w:p>
    <w:p>
      <w:pPr>
        <w:jc w:val="both"/>
        <w:ind w:left="180" w:right="200"/>
        <w:spacing w:after="0" w:line="282" w:lineRule="auto"/>
        <w:rPr>
          <w:sz w:val="20"/>
          <w:szCs w:val="20"/>
          <w:color w:val="auto"/>
        </w:rPr>
      </w:pPr>
      <w:r>
        <w:rPr>
          <w:rFonts w:ascii="Arial" w:cs="Arial" w:eastAsia="Arial" w:hAnsi="Arial"/>
          <w:sz w:val="18"/>
          <w:szCs w:val="18"/>
          <w:color w:val="auto"/>
        </w:rPr>
        <w:t>Our ERM process is supported by regular inquiries of our Company’s Senior Leadership Team, and additional members of management and operations leadership across the enterprise, as to the risks, including emerging risks, that may affect the execution of our business performance or strategic priorities on a short-term, intermediate or long-term basis. We also consult with a range of outside advisors and experts throughout the year, depending on the subject matter of the</w:t>
      </w:r>
    </w:p>
    <w:p>
      <w:pPr>
        <w:spacing w:after="0" w:line="392" w:lineRule="exact"/>
        <w:rPr>
          <w:sz w:val="20"/>
          <w:szCs w:val="20"/>
          <w:color w:val="auto"/>
        </w:rPr>
      </w:pPr>
    </w:p>
    <w:p>
      <w:pPr>
        <w:ind w:left="7780"/>
        <w:spacing w:after="0"/>
        <w:tabs>
          <w:tab w:leader="none" w:pos="98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-207010</wp:posOffset>
            </wp:positionV>
            <wp:extent cx="538480" cy="161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sectPr>
      </w:pPr>
    </w:p>
    <w:bookmarkStart w:id="11" w:name="page12"/>
    <w:bookmarkEnd w:id="11"/>
    <w:p>
      <w:pPr>
        <w:ind w:left="180"/>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BOARD OF DIRECTORS</w:t>
      </w:r>
    </w:p>
    <w:p>
      <w:pPr>
        <w:spacing w:after="0" w:line="210" w:lineRule="exact"/>
        <w:rPr>
          <w:sz w:val="20"/>
          <w:szCs w:val="20"/>
          <w:color w:val="auto"/>
        </w:rPr>
      </w:pPr>
    </w:p>
    <w:p>
      <w:pPr>
        <w:jc w:val="both"/>
        <w:ind w:left="180" w:right="200"/>
        <w:spacing w:after="0" w:line="251" w:lineRule="auto"/>
        <w:rPr>
          <w:sz w:val="20"/>
          <w:szCs w:val="20"/>
          <w:color w:val="auto"/>
        </w:rPr>
      </w:pPr>
      <w:r>
        <w:rPr>
          <w:rFonts w:ascii="Arial" w:cs="Arial" w:eastAsia="Arial" w:hAnsi="Arial"/>
          <w:sz w:val="20"/>
          <w:szCs w:val="20"/>
          <w:color w:val="auto"/>
        </w:rPr>
        <w:t>risk being evaluated. We believe that use of outside advisors and experts complement our ERM process by ensuring our efforts are comprehensive and balanced. Our ERM process is periodically reviewed and discussed with our Chief Compliance and Ethics Officer and our Vice President of Internal Audit and Controls to enhance alignment with our disclosure controls and procedures. Additionally, our Compliance and Ethics department conducts periodic risk assessments for a range of ongoing risks that are monitored. If those risks rise to certain materiality or frequency thresholds, they receive further analysis and review through the ERM base evaluation and priority risk evaluation processes.</w:t>
      </w:r>
    </w:p>
    <w:p>
      <w:pPr>
        <w:spacing w:after="0" w:line="126" w:lineRule="exact"/>
        <w:rPr>
          <w:sz w:val="20"/>
          <w:szCs w:val="20"/>
          <w:color w:val="auto"/>
        </w:rPr>
      </w:pPr>
    </w:p>
    <w:p>
      <w:pPr>
        <w:jc w:val="both"/>
        <w:ind w:left="180" w:right="200"/>
        <w:spacing w:after="0" w:line="251" w:lineRule="auto"/>
        <w:rPr>
          <w:sz w:val="20"/>
          <w:szCs w:val="20"/>
          <w:color w:val="auto"/>
        </w:rPr>
      </w:pPr>
      <w:r>
        <w:rPr>
          <w:rFonts w:ascii="Arial" w:cs="Arial" w:eastAsia="Arial" w:hAnsi="Arial"/>
          <w:sz w:val="20"/>
          <w:szCs w:val="20"/>
          <w:color w:val="auto"/>
        </w:rPr>
        <w:t>For the most significant or immediate risks, the ERM process is designed to generate actionable insights that are actively discussed and reviewed with the Senior Leadership Team and our Board. Risks and opportunities are assessed and then prioritized using internal evaluations of financial impact, likelihood and potential timing of occurrence, outlook for changes in the nature or extent of risk exposure and a self-assessment of the Company’s confidence in existing risk mitigation efforts. The Senior Leadership Team reviews the outcomes of the risk assessments, focusing largely on the estimated scope of impacts, as well as the adequacy of current support by internal staff, the sufficiency of financial support for mitigation measures needed to manage and reduce risk, and the sufficiency of any third-party expertise that may be necessary to supplement internal resources. All significant risks have a standardized scorecard that includes forward-looking action plans with measurable indicators and progress updates on action plans from previous assessments.</w:t>
      </w:r>
    </w:p>
    <w:p>
      <w:pPr>
        <w:spacing w:after="0" w:line="129" w:lineRule="exact"/>
        <w:rPr>
          <w:sz w:val="20"/>
          <w:szCs w:val="20"/>
          <w:color w:val="auto"/>
        </w:rPr>
      </w:pPr>
    </w:p>
    <w:p>
      <w:pPr>
        <w:jc w:val="both"/>
        <w:ind w:left="180" w:right="200"/>
        <w:spacing w:after="0" w:line="265" w:lineRule="auto"/>
        <w:rPr>
          <w:sz w:val="20"/>
          <w:szCs w:val="20"/>
          <w:color w:val="auto"/>
        </w:rPr>
      </w:pPr>
      <w:r>
        <w:rPr>
          <w:rFonts w:ascii="Arial" w:cs="Arial" w:eastAsia="Arial" w:hAnsi="Arial"/>
          <w:sz w:val="19"/>
          <w:szCs w:val="19"/>
          <w:color w:val="auto"/>
        </w:rPr>
        <w:t>At quarterly Audit Committee meetings, management provides an ERM report and regularly provides an in-depth update on specific risk topics. Additionally, risks related to our strategy, operations and financial results are also addressed in our Board meetings. Our President and Chief Executive Officer, Chief Operating Officer, Chief Financial Officer, Chief Legal Officer, Chief Human Resources Officer and Chief Sustainability Officer report to our Board and Audit Committee at these meetings, and other members of management periodically attend and present information, including those responsible for our Internal Audit and Controls, Environmental Audit, Ethics and Compliance, Human Resources, Government Affairs, Digital, Insurance, Safety, Finance and Accounting functions. These presentations allow our directors to have direct communication with management and assess management’s evaluation and administration of the Company’s risk profile through our ERM process. Examples of key areas of assessment addressed by our ERM process and overseen by our Audit Committee and Board include the following: emissions and climate impact; industry disruption; revenue management; legal and regulatory; capital allocation; supply chain management; service to customers; cost discipline; physical infrastructure; brand management; environmental, health &amp; safety; human capital; information security and privacy; technology and currency, interest rate and commodity risk management. Additionally, in accordance with New York Stock Exchange requirements, the Audit Committee is responsible for discussing our major financial risk exposures, steps management has taken to monitor and control such exposures and the Company’s process for risk assessment and management, and quarterly reports are made to the Audit Committee on financial and compliance risks.</w:t>
      </w:r>
    </w:p>
    <w:p>
      <w:pPr>
        <w:spacing w:after="0" w:line="116" w:lineRule="exact"/>
        <w:rPr>
          <w:sz w:val="20"/>
          <w:szCs w:val="20"/>
          <w:color w:val="auto"/>
        </w:rPr>
      </w:pPr>
    </w:p>
    <w:p>
      <w:pPr>
        <w:jc w:val="both"/>
        <w:ind w:left="180" w:right="200"/>
        <w:spacing w:after="0" w:line="248" w:lineRule="auto"/>
        <w:rPr>
          <w:sz w:val="20"/>
          <w:szCs w:val="20"/>
          <w:color w:val="auto"/>
        </w:rPr>
      </w:pPr>
      <w:r>
        <w:rPr>
          <w:rFonts w:ascii="Arial" w:cs="Arial" w:eastAsia="Arial" w:hAnsi="Arial"/>
          <w:sz w:val="20"/>
          <w:szCs w:val="20"/>
          <w:color w:val="auto"/>
        </w:rPr>
        <w:t>Management is encouraged to communicate with our directors with respect to any issues or developments that may require consideration between regularly scheduled Board meetings, and members of management are regularly in direct contact with our Non-Executive Chair of the Board and our committee chairs. Our Non-Executive Chair of the Board also facilitates communications with our Board of Directors as a whole and is integral in initiating the discussions among the independent directors necessary to ensure management is adequately evaluating and overseeing risks to our Company.</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Oversight of Sustainability Risk and Performance</w:t>
      </w:r>
    </w:p>
    <w:p>
      <w:pPr>
        <w:spacing w:after="0" w:line="142" w:lineRule="exact"/>
        <w:rPr>
          <w:sz w:val="20"/>
          <w:szCs w:val="20"/>
          <w:color w:val="auto"/>
        </w:rPr>
      </w:pPr>
    </w:p>
    <w:p>
      <w:pPr>
        <w:jc w:val="both"/>
        <w:ind w:left="180" w:right="200"/>
        <w:spacing w:after="0" w:line="249" w:lineRule="auto"/>
        <w:rPr>
          <w:sz w:val="20"/>
          <w:szCs w:val="20"/>
          <w:color w:val="auto"/>
        </w:rPr>
      </w:pPr>
      <w:r>
        <w:rPr>
          <w:rFonts w:ascii="Arial" w:cs="Arial" w:eastAsia="Arial" w:hAnsi="Arial"/>
          <w:sz w:val="20"/>
          <w:szCs w:val="20"/>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to drive our mission to maximize resource value, while minimizing environmental impact, and sustainability and environmental stewardship is embedded in all that we do. As a result, it would not be effective, or possible, to assign responsibility for oversight of sustainability, which includes environmental and human capital management risk and performance, to any one committee of our Board of Directors. Rather, various aspects of sustainability risk and performance, which are already organically a part of our Board and committees’ oversight of our performance, risk management and strategic vision, are addressed in different committees and with our full Board of Directors, as appropriate depending on the subject matter.</w:t>
      </w:r>
    </w:p>
    <w:p>
      <w:pPr>
        <w:spacing w:after="0" w:line="200" w:lineRule="exact"/>
        <w:rPr>
          <w:sz w:val="20"/>
          <w:szCs w:val="20"/>
          <w:color w:val="auto"/>
        </w:rPr>
      </w:pPr>
    </w:p>
    <w:p>
      <w:pPr>
        <w:spacing w:after="0" w:line="221" w:lineRule="exact"/>
        <w:rPr>
          <w:sz w:val="20"/>
          <w:szCs w:val="20"/>
          <w:color w:val="auto"/>
        </w:rPr>
      </w:pPr>
    </w:p>
    <w:p>
      <w:pPr>
        <w:ind w:left="180"/>
        <w:spacing w:after="0"/>
        <w:tabs>
          <w:tab w:leader="none" w:pos="42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6">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-86995</wp:posOffset>
            </wp:positionV>
            <wp:extent cx="4254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7">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sectPr>
      </w:pPr>
    </w:p>
    <w:bookmarkStart w:id="12" w:name="page13"/>
    <w:bookmarkEnd w:id="12"/>
    <w:p>
      <w:pPr>
        <w:ind w:left="8440"/>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BOARD OF DIRECTORS</w:t>
      </w:r>
    </w:p>
    <w:p>
      <w:pPr>
        <w:spacing w:after="0" w:line="290" w:lineRule="exact"/>
        <w:rPr>
          <w:sz w:val="20"/>
          <w:szCs w:val="20"/>
          <w:color w:val="auto"/>
        </w:rPr>
      </w:pPr>
    </w:p>
    <w:p>
      <w:pPr>
        <w:jc w:val="both"/>
        <w:ind w:left="180" w:right="200"/>
        <w:spacing w:after="0" w:line="263" w:lineRule="auto"/>
        <w:rPr>
          <w:sz w:val="20"/>
          <w:szCs w:val="20"/>
          <w:color w:val="auto"/>
        </w:rPr>
      </w:pPr>
      <w:r>
        <w:rPr>
          <w:rFonts w:ascii="Arial" w:cs="Arial" w:eastAsia="Arial" w:hAnsi="Arial"/>
          <w:sz w:val="19"/>
          <w:szCs w:val="19"/>
          <w:color w:val="auto"/>
        </w:rPr>
        <w:t>Our Board has a dedicated annual strategic planning session with our Senior Leadership Team and receives focused strategic updates quarterly. Given the nature of our business, those sessions will address topics such as our people, sustainable operations, waste diversion, recycling business improvements, sustainability growth investments, potentially disruptive technologies and environmental impacts, risks and opportunities. In 2024, the Board received several dedicated updates regarding sustainability topics, including our sustainability growth strategy, and the Board receives regular updates from our Chief Human Resources Officer with respect to our people-first strategy, including workforce evolution, labor market developments and employee retention. The full Board of Directors receives annual in-depth reports on leadership, workforce and supplier diversity, as well as quarterly safety performance updates and a detailed annual health and safety report. Additionally, the Company’s Chief Sustainability Officer presents a quarterly Sustainability Scorecard to the entire Board to highlight critical focus areas. Through these reports, our Board directly oversees our sustainability-related performance, including progress toward our sustainability goals and our decarbonization plan for meeting a science-based climate target, detailed in our 2024 Sustainability Report.</w:t>
      </w:r>
    </w:p>
    <w:p>
      <w:pPr>
        <w:spacing w:after="0" w:line="120" w:lineRule="exact"/>
        <w:rPr>
          <w:sz w:val="20"/>
          <w:szCs w:val="20"/>
          <w:color w:val="auto"/>
        </w:rPr>
      </w:pPr>
    </w:p>
    <w:p>
      <w:pPr>
        <w:jc w:val="both"/>
        <w:ind w:left="180" w:right="200"/>
        <w:spacing w:after="0" w:line="263" w:lineRule="auto"/>
        <w:rPr>
          <w:sz w:val="20"/>
          <w:szCs w:val="20"/>
          <w:color w:val="auto"/>
        </w:rPr>
      </w:pPr>
      <w:r>
        <w:rPr>
          <w:rFonts w:ascii="Arial" w:cs="Arial" w:eastAsia="Arial" w:hAnsi="Arial"/>
          <w:sz w:val="19"/>
          <w:szCs w:val="19"/>
          <w:color w:val="auto"/>
        </w:rPr>
        <w:t>Our Audit Committee also plays a significant role in oversight of sustainability risk and performance. As discussed above, our Audit Committee receives regular ERM updates with in-depth discussion on specific risk topics, which include sustainability risks. Additionally, the Audit Committee receives quarterly reports on our compliance programs, including ethics and environmental and safety audit, with an annual in-depth review of our compliance programs with risk assessments. Our Audit Committee also has responsibility for oversight of information and cybersecurity and assessment of cyber threats and defenses. Our Audit Committee receives reports from our most senior executives in the Digital organization, and the Company’s executive officers, at least twice a year. Topics historically covered in such reports, and for which our Board exercises oversight, include third-party evaluation of our technology infrastructure and information security against the industry-standard NIST (National Institute of Standards and Technology) cybersecurity framework; management of emerging cyber threats such as merger and acquisition activity and the adoption of governance of artificial intelligence; risk mitigation through the Company’s enterprise-wide cybersecurity training, including our Board of Directors, conducted at least annually, regular simulated phishing tests and third-party penetration testing; review of the Company’s cyber incident insurance coverage and external cyber incident resources; review of the Company’s Cybersecurity Incident Response Plan; review of readouts from cyber incident table top exercises; and consideration of applicable laws and regulations, including those related to privacy.</w:t>
      </w:r>
    </w:p>
    <w:p>
      <w:pPr>
        <w:spacing w:after="0" w:line="120" w:lineRule="exact"/>
        <w:rPr>
          <w:sz w:val="20"/>
          <w:szCs w:val="20"/>
          <w:color w:val="auto"/>
        </w:rPr>
      </w:pPr>
    </w:p>
    <w:p>
      <w:pPr>
        <w:jc w:val="both"/>
        <w:ind w:left="180" w:right="200"/>
        <w:spacing w:after="0" w:line="263" w:lineRule="auto"/>
        <w:rPr>
          <w:sz w:val="20"/>
          <w:szCs w:val="20"/>
          <w:color w:val="auto"/>
        </w:rPr>
      </w:pPr>
      <w:r>
        <w:rPr>
          <w:rFonts w:ascii="Arial" w:cs="Arial" w:eastAsia="Arial" w:hAnsi="Arial"/>
          <w:sz w:val="19"/>
          <w:szCs w:val="19"/>
          <w:color w:val="auto"/>
        </w:rPr>
        <w:t xml:space="preserve">Our MD&amp;C Committee has primary oversight of human capital management, including review of employee health, welfare and benefit programs and compensation plan risk assessment. The MD&amp;C Committee is also responsible for executive compensation incentive plan design and the incorporation and measurement of the annual cash incentive program sustainability scorecard performance modifier discussed in our </w:t>
      </w:r>
      <w:r>
        <w:rPr>
          <w:rFonts w:ascii="Arial" w:cs="Arial" w:eastAsia="Arial" w:hAnsi="Arial"/>
          <w:sz w:val="19"/>
          <w:szCs w:val="19"/>
          <w:i w:val="1"/>
          <w:iCs w:val="1"/>
          <w:color w:val="auto"/>
        </w:rPr>
        <w:t>Compensation Discussion and Analysis</w:t>
      </w:r>
      <w:r>
        <w:rPr>
          <w:rFonts w:ascii="Arial" w:cs="Arial" w:eastAsia="Arial" w:hAnsi="Arial"/>
          <w:sz w:val="19"/>
          <w:szCs w:val="19"/>
          <w:color w:val="auto"/>
        </w:rPr>
        <w:t xml:space="preserve"> below. The Committee also engages in quarterly sessions with our President and Chief Executive Officer and our Chief Human Resources Officer regarding talent development and succession planning at several levels of our organization. A critical component of these talent development and succession planning efforts is the recognition that diversity and inclusion are fundamental Company values. Our Human Resources programs overseen by our MD&amp;C Committee embrace and cultivate belonging, respect, trust, open communication and diversity of thought and people.</w:t>
      </w:r>
    </w:p>
    <w:p>
      <w:pPr>
        <w:spacing w:after="0" w:line="120" w:lineRule="exact"/>
        <w:rPr>
          <w:sz w:val="20"/>
          <w:szCs w:val="20"/>
          <w:color w:val="auto"/>
        </w:rPr>
      </w:pPr>
    </w:p>
    <w:p>
      <w:pPr>
        <w:jc w:val="both"/>
        <w:ind w:left="180" w:right="200"/>
        <w:spacing w:after="0" w:line="263" w:lineRule="auto"/>
        <w:rPr>
          <w:sz w:val="20"/>
          <w:szCs w:val="20"/>
          <w:color w:val="auto"/>
        </w:rPr>
      </w:pPr>
      <w:r>
        <w:rPr>
          <w:rFonts w:ascii="Arial" w:cs="Arial" w:eastAsia="Arial" w:hAnsi="Arial"/>
          <w:sz w:val="19"/>
          <w:szCs w:val="19"/>
          <w:color w:val="auto"/>
        </w:rPr>
        <w:t>Strong and effective corporate governance is established and overseen by our Nominating &amp; Governance Committee. The Committee leads the process for annual Board, committee and director evaluations and is responsible for review and recommendation of Board and committee composition and leadership. In connection with performing this vital function, the Nominating &amp; Governance Committee reviews the skills, expertise and qualifications of our existing directors, as well as potential external candidates, and considers numerous elements of Board composition, tenure and Board refreshment. These efforts deliver on the Nominating &amp; Governance Committee’s purpose to identify and nominate the best possible candidates to guide and support the Company’s strategy and its commitment to serve and care for our customers, the environment, the communities in which we work and our stockholders. Please see the discussion of the Nominating and Governance Committee below for more information on this robust process.</w:t>
      </w:r>
    </w:p>
    <w:p>
      <w:pPr>
        <w:spacing w:after="0" w:line="120" w:lineRule="exact"/>
        <w:rPr>
          <w:sz w:val="20"/>
          <w:szCs w:val="20"/>
          <w:color w:val="auto"/>
        </w:rPr>
      </w:pPr>
    </w:p>
    <w:p>
      <w:pPr>
        <w:jc w:val="both"/>
        <w:ind w:left="180" w:right="200"/>
        <w:spacing w:after="0" w:line="248" w:lineRule="auto"/>
        <w:rPr>
          <w:sz w:val="20"/>
          <w:szCs w:val="20"/>
          <w:color w:val="auto"/>
        </w:rPr>
      </w:pPr>
      <w:r>
        <w:rPr>
          <w:rFonts w:ascii="Arial" w:cs="Arial" w:eastAsia="Arial" w:hAnsi="Arial"/>
          <w:sz w:val="20"/>
          <w:szCs w:val="20"/>
          <w:color w:val="auto"/>
        </w:rPr>
        <w:t>For additional information about the topics discussed above, including sustainability goals, metrics and progress, we encourage stockholders to review our 2024 Sustainability Report at sustainability.wm.com. The Sustainability Report conveys the strong linkage between the Company’s sustainability goals and our growth strategy, inclusive of the planned and ongoing expansion of the Company’s recycling and renewable energy businesses. Our 2024 Sustainability Report referenced above does not constitute a part of, and is not incorporated by reference into, this Proxy Statement or any report we file with (or furnish to) the SEC.</w:t>
      </w:r>
    </w:p>
    <w:p>
      <w:pPr>
        <w:spacing w:after="0" w:line="200" w:lineRule="exact"/>
        <w:rPr>
          <w:sz w:val="20"/>
          <w:szCs w:val="20"/>
          <w:color w:val="auto"/>
        </w:rPr>
      </w:pPr>
    </w:p>
    <w:p>
      <w:pPr>
        <w:spacing w:after="0" w:line="324" w:lineRule="exact"/>
        <w:rPr>
          <w:sz w:val="20"/>
          <w:szCs w:val="20"/>
          <w:color w:val="auto"/>
        </w:rPr>
      </w:pPr>
    </w:p>
    <w:p>
      <w:pPr>
        <w:ind w:left="7780"/>
        <w:spacing w:after="0"/>
        <w:tabs>
          <w:tab w:leader="none" w:pos="98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5"/>
          <w:szCs w:val="35"/>
          <w:b w:val="1"/>
          <w:bCs w:val="1"/>
          <w:color w:val="0E3C23"/>
        </w:rPr>
        <w:t xml:space="preserve">|  </w:t>
      </w:r>
      <w:r>
        <w:rPr>
          <w:rFonts w:ascii="Arial" w:cs="Arial" w:eastAsia="Arial" w:hAnsi="Arial"/>
          <w:sz w:val="19"/>
          <w:szCs w:val="19"/>
          <w:color w:val="00000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-199390</wp:posOffset>
            </wp:positionV>
            <wp:extent cx="538480" cy="161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8">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47" w:gutter="0" w:footer="0" w:header="0"/>
        </w:sectPr>
      </w:pPr>
    </w:p>
    <w:bookmarkStart w:id="13" w:name="page14"/>
    <w:bookmarkEnd w:id="13"/>
    <w:p>
      <w:pPr>
        <w:ind w:left="180"/>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160020</wp:posOffset>
                </wp:positionV>
                <wp:extent cx="6386830" cy="50736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830" cy="507365"/>
                        </a:xfrm>
                        <a:prstGeom prst="rect">
                          <a:avLst/>
                        </a:prstGeom>
                        <a:solidFill>
                          <a:srgbClr val="E6E8DE"/>
                        </a:solidFill>
                      </wps:spPr>
                      <wps:bodyPr/>
                    </wps:wsp>
                  </a:graphicData>
                </a:graphic>
              </wp:anchor>
            </w:drawing>
          </mc:Choice>
          <mc:Fallback>
            <w:pict>
              <v:rect id="Shape 50" o:spid="_x0000_s1075" style="position:absolute;margin-left:8.9pt;margin-top:12.6pt;width:502.9pt;height:3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8DE" stroked="f"/>
            </w:pict>
          </mc:Fallback>
        </mc:AlternateContent>
        <mc:AlternateContent>
          <mc:Choice Requires="wps">
            <w:drawing>
              <wp:anchor simplePos="0" relativeHeight="251657728" behindDoc="1" locked="0" layoutInCell="0" allowOverlap="1">
                <wp:simplePos x="0" y="0"/>
                <wp:positionH relativeFrom="column">
                  <wp:posOffset>113030</wp:posOffset>
                </wp:positionH>
                <wp:positionV relativeFrom="paragraph">
                  <wp:posOffset>166370</wp:posOffset>
                </wp:positionV>
                <wp:extent cx="638619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pt,13.1pt" to="511.75pt,13.1pt" o:allowincell="f" strokecolor="#0E3C23" strokeweight="0.998pt"/>
            </w:pict>
          </mc:Fallback>
        </mc:AlternateConten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24"/>
          <w:szCs w:val="24"/>
          <w:b w:val="1"/>
          <w:bCs w:val="1"/>
          <w:color w:val="auto"/>
        </w:rPr>
        <w:t>THE AUDIT COMMITTEE</w:t>
      </w:r>
    </w:p>
    <w:p>
      <w:pPr>
        <w:sectPr>
          <w:pgSz w:w="13320" w:h="16920" w:orient="portrait"/>
          <w:cols w:equalWidth="0" w:num="1">
            <w:col w:w="10440"/>
          </w:cols>
          <w:pgMar w:left="1440" w:top="1232" w:right="1440" w:bottom="1036" w:gutter="0" w:footer="0" w:header="0"/>
        </w:sectPr>
      </w:pP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Members: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Meetings Held in 2024: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-4064635</wp:posOffset>
            </wp:positionH>
            <wp:positionV relativeFrom="paragraph">
              <wp:posOffset>17780</wp:posOffset>
            </wp:positionV>
            <wp:extent cx="6412230" cy="74764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9">
                      <a:extLst>
                        <a:ext uri="{28A0092B-C50C-407E-A947-70E740481C1C}"/>
                      </a:extLst>
                    </a:blip>
                    <a:srcRect/>
                    <a:stretch>
                      <a:fillRect/>
                    </a:stretch>
                  </pic:blipFill>
                  <pic:spPr bwMode="auto">
                    <a:xfrm>
                      <a:off x="0" y="0"/>
                      <a:ext cx="6412230" cy="7476490"/>
                    </a:xfrm>
                    <a:prstGeom prst="rect">
                      <a:avLst/>
                    </a:prstGeom>
                    <a:noFill/>
                  </pic:spPr>
                </pic:pic>
              </a:graphicData>
            </a:graphic>
          </wp:anchor>
        </w:drawing>
      </w:r>
    </w:p>
    <w:p>
      <w:pPr>
        <w:spacing w:after="0" w:line="32" w:lineRule="exact"/>
        <w:rPr>
          <w:sz w:val="20"/>
          <w:szCs w:val="20"/>
          <w:color w:val="auto"/>
        </w:rPr>
      </w:pPr>
    </w:p>
    <w:p>
      <w:pPr>
        <w:sectPr>
          <w:pgSz w:w="13320" w:h="16920" w:orient="portrait"/>
          <w:cols w:equalWidth="0" w:num="2">
            <w:col w:w="5840" w:space="720"/>
            <w:col w:w="3880"/>
          </w:cols>
          <w:pgMar w:left="1440" w:top="1232" w:right="1440" w:bottom="1036" w:gutter="0" w:footer="0" w:header="0"/>
          <w:type w:val="continuous"/>
        </w:sectPr>
      </w:pPr>
    </w:p>
    <w:p>
      <w:pPr>
        <w:ind w:left="300" w:right="640"/>
        <w:spacing w:after="0" w:line="239" w:lineRule="auto"/>
        <w:rPr>
          <w:sz w:val="20"/>
          <w:szCs w:val="20"/>
          <w:color w:val="auto"/>
        </w:rPr>
      </w:pPr>
      <w:r>
        <w:rPr>
          <w:rFonts w:ascii="Arial" w:cs="Arial" w:eastAsia="Arial" w:hAnsi="Arial"/>
          <w:sz w:val="20"/>
          <w:szCs w:val="20"/>
          <w:b w:val="1"/>
          <w:bCs w:val="1"/>
          <w:color w:val="auto"/>
        </w:rPr>
        <w:t xml:space="preserve">William B. Plummer, </w:t>
      </w:r>
      <w:r>
        <w:rPr>
          <w:rFonts w:ascii="Arial" w:cs="Arial" w:eastAsia="Arial" w:hAnsi="Arial"/>
          <w:sz w:val="20"/>
          <w:szCs w:val="20"/>
          <w:b w:val="1"/>
          <w:bCs w:val="1"/>
          <w:i w:val="1"/>
          <w:iCs w:val="1"/>
          <w:color w:val="auto"/>
        </w:rPr>
        <w:t>Chair</w:t>
      </w:r>
      <w:r>
        <w:rPr>
          <w:rFonts w:ascii="Arial" w:cs="Arial" w:eastAsia="Arial" w:hAnsi="Arial"/>
          <w:sz w:val="20"/>
          <w:szCs w:val="20"/>
          <w:b w:val="1"/>
          <w:bCs w:val="1"/>
          <w:color w:val="auto"/>
        </w:rPr>
        <w:t xml:space="preserve"> Bruce E. Chinn Andrés R. Gluski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Victoria M. Holt</w:t>
      </w:r>
    </w:p>
    <w:p>
      <w:pPr>
        <w:spacing w:after="0"/>
        <w:rPr>
          <w:sz w:val="20"/>
          <w:szCs w:val="20"/>
          <w:color w:val="auto"/>
        </w:rPr>
      </w:pPr>
      <w:r>
        <w:rPr>
          <w:rFonts w:ascii="Arial" w:cs="Arial" w:eastAsia="Arial" w:hAnsi="Arial"/>
          <w:sz w:val="19"/>
          <w:szCs w:val="19"/>
          <w:b w:val="1"/>
          <w:bCs w:val="1"/>
          <w:color w:val="auto"/>
        </w:rPr>
        <w:t>Kathleen M. Mazzarella</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Sean E. Menke</w:t>
      </w:r>
    </w:p>
    <w:p>
      <w:pPr>
        <w:spacing w:after="0" w:line="72" w:lineRule="exact"/>
        <w:rPr>
          <w:sz w:val="20"/>
          <w:szCs w:val="20"/>
          <w:color w:val="auto"/>
        </w:rPr>
      </w:pPr>
    </w:p>
    <w:p>
      <w:pPr>
        <w:sectPr>
          <w:pgSz w:w="13320" w:h="16920" w:orient="portrait"/>
          <w:cols w:equalWidth="0" w:num="2">
            <w:col w:w="3240" w:space="720"/>
            <w:col w:w="6480"/>
          </w:cols>
          <w:pgMar w:left="1440" w:top="1232" w:right="1440" w:bottom="1036" w:gutter="0" w:footer="0" w:header="0"/>
          <w:type w:val="continuous"/>
        </w:sectPr>
      </w:pPr>
    </w:p>
    <w:p>
      <w:pPr>
        <w:jc w:val="both"/>
        <w:ind w:left="220" w:right="240"/>
        <w:spacing w:after="0" w:line="253" w:lineRule="auto"/>
        <w:rPr>
          <w:sz w:val="20"/>
          <w:szCs w:val="20"/>
          <w:color w:val="auto"/>
        </w:rPr>
      </w:pPr>
      <w:r>
        <w:rPr>
          <w:rFonts w:ascii="Arial" w:cs="Arial" w:eastAsia="Arial" w:hAnsi="Arial"/>
          <w:sz w:val="19"/>
          <w:szCs w:val="19"/>
          <w:color w:val="auto"/>
        </w:rPr>
        <w:t>Mr. Plummer has been the Chair of our Audit Committee since May 2020. Each member of our Audit Committee satisfies the additional New York Stock Exchange independence standards for audit committees set forth in Section 10A of the Exchange Act. Our Board of Directors has determined that Audit Committee Chair Mr. Plummer, Mr. Chinn, Mr. Gluski, Ms. Holt, Ms. Mazzarella and Mr. Menke are audit committee financial experts as defined by the SEC based on a thorough review of their education and financial and public company experience. Additional information regarding our directors’ expertise and qualifications is available under “Election of Directors” below.</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Key Functions</w:t>
      </w:r>
    </w:p>
    <w:p>
      <w:pPr>
        <w:spacing w:after="0" w:line="72" w:lineRule="exact"/>
        <w:rPr>
          <w:sz w:val="20"/>
          <w:szCs w:val="20"/>
          <w:color w:val="auto"/>
        </w:rPr>
      </w:pPr>
    </w:p>
    <w:p>
      <w:pPr>
        <w:jc w:val="both"/>
        <w:ind w:left="220" w:right="240"/>
        <w:spacing w:after="0" w:line="238" w:lineRule="auto"/>
        <w:rPr>
          <w:sz w:val="20"/>
          <w:szCs w:val="20"/>
          <w:color w:val="auto"/>
        </w:rPr>
      </w:pPr>
      <w:r>
        <w:rPr>
          <w:rFonts w:ascii="Arial" w:cs="Arial" w:eastAsia="Arial" w:hAnsi="Arial"/>
          <w:sz w:val="20"/>
          <w:szCs w:val="20"/>
          <w:color w:val="auto"/>
        </w:rPr>
        <w:t>The Audit Committee’s duties are set forth in a written charter that was approved by the Board of Directors. A copy of the charter can be found by accessing the “Sustainability &amp; Governance — Corporate Governance” section of investors.wm.com. The Audit Committee generally is responsible for overseeing all matters relating to our financial statements and reporting, independent auditors and internal audit function. As part of its function, the Audit Committee reports the results of all of its reviews to the full Board. In fulfilling its duties, the Audit Committee has the following responsibilities:</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auto"/>
        </w:rPr>
        <w:t>Administrative Responsibilities</w:t>
      </w:r>
    </w:p>
    <w:p>
      <w:pPr>
        <w:spacing w:after="0" w:line="61" w:lineRule="exact"/>
        <w:rPr>
          <w:sz w:val="20"/>
          <w:szCs w:val="20"/>
          <w:color w:val="auto"/>
        </w:rPr>
      </w:pPr>
    </w:p>
    <w:p>
      <w:pPr>
        <w:ind w:left="420" w:right="240" w:hanging="202"/>
        <w:spacing w:after="0" w:line="236" w:lineRule="auto"/>
        <w:tabs>
          <w:tab w:leader="none" w:pos="420" w:val="left"/>
        </w:tabs>
        <w:numPr>
          <w:ilvl w:val="0"/>
          <w:numId w:val="2"/>
        </w:numPr>
        <w:rPr>
          <w:rFonts w:ascii="Arial" w:cs="Arial" w:eastAsia="Arial" w:hAnsi="Arial"/>
          <w:sz w:val="20"/>
          <w:szCs w:val="20"/>
          <w:color w:val="0E3C23"/>
        </w:rPr>
      </w:pPr>
      <w:r>
        <w:rPr>
          <w:rFonts w:ascii="Arial" w:cs="Arial" w:eastAsia="Arial" w:hAnsi="Arial"/>
          <w:sz w:val="20"/>
          <w:szCs w:val="20"/>
          <w:color w:val="auto"/>
        </w:rPr>
        <w:t>Report to the Board, at least annually, all public company audit committee memberships by members of the Audit Committee;</w:t>
      </w:r>
    </w:p>
    <w:p>
      <w:pPr>
        <w:spacing w:after="0" w:line="66" w:lineRule="exact"/>
        <w:rPr>
          <w:rFonts w:ascii="Arial" w:cs="Arial" w:eastAsia="Arial" w:hAnsi="Arial"/>
          <w:sz w:val="20"/>
          <w:szCs w:val="20"/>
          <w:color w:val="0E3C23"/>
        </w:rPr>
      </w:pPr>
    </w:p>
    <w:p>
      <w:pPr>
        <w:ind w:left="420" w:right="240" w:hanging="202"/>
        <w:spacing w:after="0" w:line="236" w:lineRule="auto"/>
        <w:tabs>
          <w:tab w:leader="none" w:pos="420" w:val="left"/>
        </w:tabs>
        <w:numPr>
          <w:ilvl w:val="0"/>
          <w:numId w:val="2"/>
        </w:numPr>
        <w:rPr>
          <w:rFonts w:ascii="Arial" w:cs="Arial" w:eastAsia="Arial" w:hAnsi="Arial"/>
          <w:sz w:val="20"/>
          <w:szCs w:val="20"/>
          <w:color w:val="0E3C23"/>
        </w:rPr>
      </w:pPr>
      <w:r>
        <w:rPr>
          <w:rFonts w:ascii="Arial" w:cs="Arial" w:eastAsia="Arial" w:hAnsi="Arial"/>
          <w:sz w:val="20"/>
          <w:szCs w:val="20"/>
          <w:color w:val="auto"/>
        </w:rPr>
        <w:t>Perform an annual review of its performance relative to its charter and report the results of its evaluation to the full Board; and</w:t>
      </w:r>
    </w:p>
    <w:p>
      <w:pPr>
        <w:spacing w:after="0" w:line="60" w:lineRule="exact"/>
        <w:rPr>
          <w:rFonts w:ascii="Arial" w:cs="Arial" w:eastAsia="Arial" w:hAnsi="Arial"/>
          <w:sz w:val="20"/>
          <w:szCs w:val="20"/>
          <w:color w:val="0E3C23"/>
        </w:rPr>
      </w:pPr>
    </w:p>
    <w:p>
      <w:pPr>
        <w:ind w:left="420" w:hanging="202"/>
        <w:spacing w:after="0"/>
        <w:tabs>
          <w:tab w:leader="none" w:pos="420" w:val="left"/>
        </w:tabs>
        <w:numPr>
          <w:ilvl w:val="0"/>
          <w:numId w:val="2"/>
        </w:numPr>
        <w:rPr>
          <w:rFonts w:ascii="Arial" w:cs="Arial" w:eastAsia="Arial" w:hAnsi="Arial"/>
          <w:sz w:val="20"/>
          <w:szCs w:val="20"/>
          <w:color w:val="0E3C23"/>
        </w:rPr>
      </w:pPr>
      <w:r>
        <w:rPr>
          <w:rFonts w:ascii="Arial" w:cs="Arial" w:eastAsia="Arial" w:hAnsi="Arial"/>
          <w:sz w:val="20"/>
          <w:szCs w:val="20"/>
          <w:color w:val="auto"/>
        </w:rPr>
        <w:t>Provide an orientation program for new Audit Committee members.</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auto"/>
        </w:rPr>
        <w:t>Financial Statements</w:t>
      </w:r>
    </w:p>
    <w:p>
      <w:pPr>
        <w:spacing w:after="0" w:line="56" w:lineRule="exact"/>
        <w:rPr>
          <w:sz w:val="20"/>
          <w:szCs w:val="20"/>
          <w:color w:val="auto"/>
        </w:rPr>
      </w:pPr>
    </w:p>
    <w:p>
      <w:pPr>
        <w:ind w:left="420" w:hanging="202"/>
        <w:spacing w:after="0"/>
        <w:tabs>
          <w:tab w:leader="none" w:pos="420" w:val="left"/>
        </w:tabs>
        <w:numPr>
          <w:ilvl w:val="0"/>
          <w:numId w:val="3"/>
        </w:numPr>
        <w:rPr>
          <w:rFonts w:ascii="Arial" w:cs="Arial" w:eastAsia="Arial" w:hAnsi="Arial"/>
          <w:sz w:val="20"/>
          <w:szCs w:val="20"/>
          <w:color w:val="0E3C23"/>
        </w:rPr>
      </w:pPr>
      <w:r>
        <w:rPr>
          <w:rFonts w:ascii="Arial" w:cs="Arial" w:eastAsia="Arial" w:hAnsi="Arial"/>
          <w:sz w:val="20"/>
          <w:szCs w:val="20"/>
          <w:color w:val="auto"/>
        </w:rPr>
        <w:t>Review financial statements and Forms 10-K and 10-Q with management and the independent auditor;</w:t>
      </w:r>
    </w:p>
    <w:p>
      <w:pPr>
        <w:spacing w:after="0" w:line="64" w:lineRule="exact"/>
        <w:rPr>
          <w:rFonts w:ascii="Arial" w:cs="Arial" w:eastAsia="Arial" w:hAnsi="Arial"/>
          <w:sz w:val="20"/>
          <w:szCs w:val="20"/>
          <w:color w:val="0E3C23"/>
        </w:rPr>
      </w:pPr>
    </w:p>
    <w:p>
      <w:pPr>
        <w:ind w:left="420" w:right="240" w:hanging="202"/>
        <w:spacing w:after="0" w:line="236" w:lineRule="auto"/>
        <w:tabs>
          <w:tab w:leader="none" w:pos="420" w:val="left"/>
        </w:tabs>
        <w:numPr>
          <w:ilvl w:val="0"/>
          <w:numId w:val="3"/>
        </w:numPr>
        <w:rPr>
          <w:rFonts w:ascii="Arial" w:cs="Arial" w:eastAsia="Arial" w:hAnsi="Arial"/>
          <w:sz w:val="20"/>
          <w:szCs w:val="20"/>
          <w:color w:val="0E3C23"/>
        </w:rPr>
      </w:pPr>
      <w:r>
        <w:rPr>
          <w:rFonts w:ascii="Arial" w:cs="Arial" w:eastAsia="Arial" w:hAnsi="Arial"/>
          <w:sz w:val="20"/>
          <w:szCs w:val="20"/>
          <w:color w:val="auto"/>
        </w:rPr>
        <w:t>Review all earnings press releases and discuss with management the type of earnings guidance that we provide to analysts and rating agencies;</w:t>
      </w:r>
    </w:p>
    <w:p>
      <w:pPr>
        <w:spacing w:after="0" w:line="66" w:lineRule="exact"/>
        <w:rPr>
          <w:rFonts w:ascii="Arial" w:cs="Arial" w:eastAsia="Arial" w:hAnsi="Arial"/>
          <w:sz w:val="20"/>
          <w:szCs w:val="20"/>
          <w:color w:val="0E3C23"/>
        </w:rPr>
      </w:pPr>
    </w:p>
    <w:p>
      <w:pPr>
        <w:jc w:val="both"/>
        <w:ind w:left="420" w:right="240" w:hanging="202"/>
        <w:spacing w:after="0" w:line="237" w:lineRule="auto"/>
        <w:tabs>
          <w:tab w:leader="none" w:pos="420" w:val="left"/>
        </w:tabs>
        <w:numPr>
          <w:ilvl w:val="0"/>
          <w:numId w:val="3"/>
        </w:numPr>
        <w:rPr>
          <w:rFonts w:ascii="Arial" w:cs="Arial" w:eastAsia="Arial" w:hAnsi="Arial"/>
          <w:sz w:val="20"/>
          <w:szCs w:val="20"/>
          <w:color w:val="0E3C23"/>
        </w:rPr>
      </w:pPr>
      <w:r>
        <w:rPr>
          <w:rFonts w:ascii="Arial" w:cs="Arial" w:eastAsia="Arial" w:hAnsi="Arial"/>
          <w:sz w:val="20"/>
          <w:szCs w:val="20"/>
          <w:color w:val="auto"/>
        </w:rPr>
        <w:t xml:space="preserve">Discuss with the independent auditor any material changes to our accounting principles and matters required to be communicated by Public Company Accounting Oversight Board (United States) Auditing Standard No. 1301 </w:t>
      </w:r>
      <w:r>
        <w:rPr>
          <w:rFonts w:ascii="Arial" w:cs="Arial" w:eastAsia="Arial" w:hAnsi="Arial"/>
          <w:sz w:val="20"/>
          <w:szCs w:val="20"/>
          <w:i w:val="1"/>
          <w:iCs w:val="1"/>
          <w:color w:val="auto"/>
        </w:rPr>
        <w:t>Communications with Audit Committees;</w:t>
      </w:r>
    </w:p>
    <w:p>
      <w:pPr>
        <w:spacing w:after="0" w:line="67" w:lineRule="exact"/>
        <w:rPr>
          <w:rFonts w:ascii="Arial" w:cs="Arial" w:eastAsia="Arial" w:hAnsi="Arial"/>
          <w:sz w:val="20"/>
          <w:szCs w:val="20"/>
          <w:color w:val="0E3C23"/>
        </w:rPr>
      </w:pPr>
    </w:p>
    <w:p>
      <w:pPr>
        <w:ind w:left="420" w:right="240" w:hanging="202"/>
        <w:spacing w:after="0" w:line="236" w:lineRule="auto"/>
        <w:tabs>
          <w:tab w:leader="none" w:pos="420" w:val="left"/>
        </w:tabs>
        <w:numPr>
          <w:ilvl w:val="0"/>
          <w:numId w:val="3"/>
        </w:numPr>
        <w:rPr>
          <w:rFonts w:ascii="Arial" w:cs="Arial" w:eastAsia="Arial" w:hAnsi="Arial"/>
          <w:sz w:val="20"/>
          <w:szCs w:val="20"/>
          <w:color w:val="0E3C23"/>
        </w:rPr>
      </w:pPr>
      <w:r>
        <w:rPr>
          <w:rFonts w:ascii="Arial" w:cs="Arial" w:eastAsia="Arial" w:hAnsi="Arial"/>
          <w:sz w:val="20"/>
          <w:szCs w:val="20"/>
          <w:color w:val="auto"/>
        </w:rPr>
        <w:t>Review our financial reporting, accounting and auditing practices with management, the independent auditor and our internal auditors;</w:t>
      </w:r>
    </w:p>
    <w:p>
      <w:pPr>
        <w:spacing w:after="0" w:line="66" w:lineRule="exact"/>
        <w:rPr>
          <w:rFonts w:ascii="Arial" w:cs="Arial" w:eastAsia="Arial" w:hAnsi="Arial"/>
          <w:sz w:val="20"/>
          <w:szCs w:val="20"/>
          <w:color w:val="0E3C23"/>
        </w:rPr>
      </w:pPr>
    </w:p>
    <w:p>
      <w:pPr>
        <w:ind w:left="420" w:right="240" w:hanging="202"/>
        <w:spacing w:after="0" w:line="236" w:lineRule="auto"/>
        <w:tabs>
          <w:tab w:leader="none" w:pos="420" w:val="left"/>
        </w:tabs>
        <w:numPr>
          <w:ilvl w:val="0"/>
          <w:numId w:val="3"/>
        </w:numPr>
        <w:rPr>
          <w:rFonts w:ascii="Arial" w:cs="Arial" w:eastAsia="Arial" w:hAnsi="Arial"/>
          <w:sz w:val="20"/>
          <w:szCs w:val="20"/>
          <w:color w:val="0E3C23"/>
        </w:rPr>
      </w:pPr>
      <w:r>
        <w:rPr>
          <w:rFonts w:ascii="Arial" w:cs="Arial" w:eastAsia="Arial" w:hAnsi="Arial"/>
          <w:sz w:val="20"/>
          <w:szCs w:val="20"/>
          <w:color w:val="auto"/>
        </w:rPr>
        <w:t>Review management’s and the independent auditor’s assessment of the adequacy and effectiveness of internal controls over financial reporting; and</w:t>
      </w:r>
    </w:p>
    <w:p>
      <w:pPr>
        <w:spacing w:after="0" w:line="60" w:lineRule="exact"/>
        <w:rPr>
          <w:rFonts w:ascii="Arial" w:cs="Arial" w:eastAsia="Arial" w:hAnsi="Arial"/>
          <w:sz w:val="20"/>
          <w:szCs w:val="20"/>
          <w:color w:val="0E3C23"/>
        </w:rPr>
      </w:pPr>
    </w:p>
    <w:p>
      <w:pPr>
        <w:ind w:left="420" w:hanging="202"/>
        <w:spacing w:after="0"/>
        <w:tabs>
          <w:tab w:leader="none" w:pos="420" w:val="left"/>
        </w:tabs>
        <w:numPr>
          <w:ilvl w:val="0"/>
          <w:numId w:val="3"/>
        </w:numPr>
        <w:rPr>
          <w:rFonts w:ascii="Arial" w:cs="Arial" w:eastAsia="Arial" w:hAnsi="Arial"/>
          <w:sz w:val="20"/>
          <w:szCs w:val="20"/>
          <w:color w:val="0E3C23"/>
        </w:rPr>
      </w:pPr>
      <w:r>
        <w:rPr>
          <w:rFonts w:ascii="Arial" w:cs="Arial" w:eastAsia="Arial" w:hAnsi="Arial"/>
          <w:sz w:val="20"/>
          <w:szCs w:val="20"/>
          <w:color w:val="auto"/>
        </w:rPr>
        <w:t>Review executive officer certifications related to our reports and filings.</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auto"/>
        </w:rPr>
        <w:t>Independent Auditor</w:t>
      </w:r>
    </w:p>
    <w:p>
      <w:pPr>
        <w:spacing w:after="0" w:line="56" w:lineRule="exact"/>
        <w:rPr>
          <w:sz w:val="20"/>
          <w:szCs w:val="20"/>
          <w:color w:val="auto"/>
        </w:rPr>
      </w:pPr>
    </w:p>
    <w:p>
      <w:pPr>
        <w:ind w:left="420" w:hanging="202"/>
        <w:spacing w:after="0"/>
        <w:tabs>
          <w:tab w:leader="none" w:pos="420" w:val="left"/>
        </w:tabs>
        <w:numPr>
          <w:ilvl w:val="0"/>
          <w:numId w:val="4"/>
        </w:numPr>
        <w:rPr>
          <w:rFonts w:ascii="Arial" w:cs="Arial" w:eastAsia="Arial" w:hAnsi="Arial"/>
          <w:sz w:val="20"/>
          <w:szCs w:val="20"/>
          <w:color w:val="0E3C23"/>
        </w:rPr>
      </w:pPr>
      <w:r>
        <w:rPr>
          <w:rFonts w:ascii="Arial" w:cs="Arial" w:eastAsia="Arial" w:hAnsi="Arial"/>
          <w:sz w:val="20"/>
          <w:szCs w:val="20"/>
          <w:color w:val="auto"/>
        </w:rPr>
        <w:t>Engage an independent auditor, determine the auditor’s compensation and replace the auditor if necessary;</w:t>
      </w:r>
    </w:p>
    <w:p>
      <w:pPr>
        <w:spacing w:after="0" w:line="64" w:lineRule="exact"/>
        <w:rPr>
          <w:rFonts w:ascii="Arial" w:cs="Arial" w:eastAsia="Arial" w:hAnsi="Arial"/>
          <w:sz w:val="20"/>
          <w:szCs w:val="20"/>
          <w:color w:val="0E3C23"/>
        </w:rPr>
      </w:pPr>
    </w:p>
    <w:p>
      <w:pPr>
        <w:ind w:left="420" w:right="220" w:hanging="202"/>
        <w:spacing w:after="0" w:line="236" w:lineRule="auto"/>
        <w:tabs>
          <w:tab w:leader="none" w:pos="420" w:val="left"/>
        </w:tabs>
        <w:numPr>
          <w:ilvl w:val="0"/>
          <w:numId w:val="4"/>
        </w:numPr>
        <w:rPr>
          <w:rFonts w:ascii="Arial" w:cs="Arial" w:eastAsia="Arial" w:hAnsi="Arial"/>
          <w:sz w:val="20"/>
          <w:szCs w:val="20"/>
          <w:color w:val="0E3C23"/>
        </w:rPr>
      </w:pPr>
      <w:r>
        <w:rPr>
          <w:rFonts w:ascii="Arial" w:cs="Arial" w:eastAsia="Arial" w:hAnsi="Arial"/>
          <w:sz w:val="20"/>
          <w:szCs w:val="20"/>
          <w:color w:val="auto"/>
        </w:rPr>
        <w:t>Review the independence of the independent auditor and establish our policies for hiring current or former employees of the independent auditor;</w:t>
      </w:r>
    </w:p>
    <w:p>
      <w:pPr>
        <w:spacing w:after="0" w:line="66" w:lineRule="exact"/>
        <w:rPr>
          <w:rFonts w:ascii="Arial" w:cs="Arial" w:eastAsia="Arial" w:hAnsi="Arial"/>
          <w:sz w:val="20"/>
          <w:szCs w:val="20"/>
          <w:color w:val="0E3C23"/>
        </w:rPr>
      </w:pPr>
    </w:p>
    <w:p>
      <w:pPr>
        <w:ind w:left="420" w:right="240" w:hanging="202"/>
        <w:spacing w:after="0" w:line="236" w:lineRule="auto"/>
        <w:tabs>
          <w:tab w:leader="none" w:pos="420" w:val="left"/>
        </w:tabs>
        <w:numPr>
          <w:ilvl w:val="0"/>
          <w:numId w:val="4"/>
        </w:numPr>
        <w:rPr>
          <w:rFonts w:ascii="Arial" w:cs="Arial" w:eastAsia="Arial" w:hAnsi="Arial"/>
          <w:sz w:val="20"/>
          <w:szCs w:val="20"/>
          <w:color w:val="0E3C23"/>
        </w:rPr>
      </w:pPr>
      <w:r>
        <w:rPr>
          <w:rFonts w:ascii="Arial" w:cs="Arial" w:eastAsia="Arial" w:hAnsi="Arial"/>
          <w:sz w:val="20"/>
          <w:szCs w:val="20"/>
          <w:color w:val="auto"/>
        </w:rPr>
        <w:t>Evaluate the lead partner of our independent audit team and review a report, at least annually, describing the independent auditor’s internal control procedures; and</w:t>
      </w:r>
    </w:p>
    <w:p>
      <w:pPr>
        <w:spacing w:after="0" w:line="60" w:lineRule="exact"/>
        <w:rPr>
          <w:rFonts w:ascii="Arial" w:cs="Arial" w:eastAsia="Arial" w:hAnsi="Arial"/>
          <w:sz w:val="20"/>
          <w:szCs w:val="20"/>
          <w:color w:val="0E3C23"/>
        </w:rPr>
      </w:pPr>
    </w:p>
    <w:p>
      <w:pPr>
        <w:ind w:left="420" w:hanging="202"/>
        <w:spacing w:after="0"/>
        <w:tabs>
          <w:tab w:leader="none" w:pos="420" w:val="left"/>
        </w:tabs>
        <w:numPr>
          <w:ilvl w:val="0"/>
          <w:numId w:val="4"/>
        </w:numPr>
        <w:rPr>
          <w:rFonts w:ascii="Arial" w:cs="Arial" w:eastAsia="Arial" w:hAnsi="Arial"/>
          <w:sz w:val="20"/>
          <w:szCs w:val="20"/>
          <w:color w:val="0E3C23"/>
        </w:rPr>
      </w:pPr>
      <w:r>
        <w:rPr>
          <w:rFonts w:ascii="Arial" w:cs="Arial" w:eastAsia="Arial" w:hAnsi="Arial"/>
          <w:sz w:val="20"/>
          <w:szCs w:val="20"/>
          <w:color w:val="auto"/>
        </w:rPr>
        <w:t>Pre-approve all services, including non-audit engagements, provided by the independent auditor.</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auto"/>
        </w:rPr>
        <w:t>Internal Audit</w:t>
      </w:r>
    </w:p>
    <w:p>
      <w:pPr>
        <w:spacing w:after="0" w:line="56" w:lineRule="exact"/>
        <w:rPr>
          <w:sz w:val="20"/>
          <w:szCs w:val="20"/>
          <w:color w:val="auto"/>
        </w:rPr>
      </w:pPr>
    </w:p>
    <w:p>
      <w:pPr>
        <w:ind w:left="420" w:hanging="202"/>
        <w:spacing w:after="0"/>
        <w:tabs>
          <w:tab w:leader="none" w:pos="420" w:val="left"/>
        </w:tabs>
        <w:numPr>
          <w:ilvl w:val="0"/>
          <w:numId w:val="5"/>
        </w:numPr>
        <w:rPr>
          <w:rFonts w:ascii="Arial" w:cs="Arial" w:eastAsia="Arial" w:hAnsi="Arial"/>
          <w:sz w:val="20"/>
          <w:szCs w:val="20"/>
          <w:color w:val="0E3C23"/>
        </w:rPr>
      </w:pPr>
      <w:r>
        <w:rPr>
          <w:rFonts w:ascii="Arial" w:cs="Arial" w:eastAsia="Arial" w:hAnsi="Arial"/>
          <w:sz w:val="20"/>
          <w:szCs w:val="20"/>
          <w:color w:val="auto"/>
        </w:rPr>
        <w:t>Review the plans, staffing, reports and activities of the internal auditors; and</w:t>
      </w:r>
    </w:p>
    <w:p>
      <w:pPr>
        <w:spacing w:after="0" w:line="64" w:lineRule="exact"/>
        <w:rPr>
          <w:rFonts w:ascii="Arial" w:cs="Arial" w:eastAsia="Arial" w:hAnsi="Arial"/>
          <w:sz w:val="20"/>
          <w:szCs w:val="20"/>
          <w:color w:val="0E3C23"/>
        </w:rPr>
      </w:pPr>
    </w:p>
    <w:p>
      <w:pPr>
        <w:ind w:left="420" w:right="240" w:hanging="202"/>
        <w:spacing w:after="0" w:line="236" w:lineRule="auto"/>
        <w:tabs>
          <w:tab w:leader="none" w:pos="420" w:val="left"/>
        </w:tabs>
        <w:numPr>
          <w:ilvl w:val="0"/>
          <w:numId w:val="5"/>
        </w:numPr>
        <w:rPr>
          <w:rFonts w:ascii="Arial" w:cs="Arial" w:eastAsia="Arial" w:hAnsi="Arial"/>
          <w:sz w:val="20"/>
          <w:szCs w:val="20"/>
          <w:color w:val="0E3C23"/>
        </w:rPr>
      </w:pPr>
      <w:r>
        <w:rPr>
          <w:rFonts w:ascii="Arial" w:cs="Arial" w:eastAsia="Arial" w:hAnsi="Arial"/>
          <w:sz w:val="20"/>
          <w:szCs w:val="20"/>
          <w:color w:val="auto"/>
        </w:rPr>
        <w:t>Review and establish procedures for receiving, retaining and handling complaints, including anonymous complaints by our employees, regarding accounting, internal controls and auditing matters.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80"/>
        <w:spacing w:after="0"/>
        <w:tabs>
          <w:tab w:leader="none" w:pos="420" w:val="left"/>
        </w:tabs>
        <w:rPr>
          <w:sz w:val="20"/>
          <w:szCs w:val="20"/>
          <w:color w:val="auto"/>
        </w:rPr>
      </w:pPr>
      <w:r>
        <w:rPr>
          <w:rFonts w:ascii="Arial" w:cs="Arial" w:eastAsia="Arial" w:hAnsi="Arial"/>
          <w:sz w:val="20"/>
          <w:szCs w:val="20"/>
          <w:color w:val="auto"/>
        </w:rPr>
        <w:t>8</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0">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-86995</wp:posOffset>
            </wp:positionV>
            <wp:extent cx="4254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1">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14" w:name="page15"/>
    <w:bookmarkEnd w:id="14"/>
    <w:p>
      <w:pPr>
        <w:ind w:left="8440"/>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211455</wp:posOffset>
                </wp:positionV>
                <wp:extent cx="6386830" cy="802513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830" cy="8025130"/>
                        </a:xfrm>
                        <a:prstGeom prst="rect">
                          <a:avLst/>
                        </a:prstGeom>
                        <a:solidFill>
                          <a:srgbClr val="E6E8DE"/>
                        </a:solidFill>
                      </wps:spPr>
                      <wps:bodyPr/>
                    </wps:wsp>
                  </a:graphicData>
                </a:graphic>
              </wp:anchor>
            </w:drawing>
          </mc:Choice>
          <mc:Fallback>
            <w:pict>
              <v:rect id="Shape 56" o:spid="_x0000_s1081" style="position:absolute;margin-left:8.9pt;margin-top:16.65pt;width:502.9pt;height:631.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8DE" stroked="f"/>
            </w:pict>
          </mc:Fallback>
        </mc:AlternateContent>
        <mc:AlternateContent>
          <mc:Choice Requires="wps">
            <w:drawing>
              <wp:anchor simplePos="0" relativeHeight="251657728" behindDoc="1" locked="0" layoutInCell="0" allowOverlap="1">
                <wp:simplePos x="0" y="0"/>
                <wp:positionH relativeFrom="column">
                  <wp:posOffset>113030</wp:posOffset>
                </wp:positionH>
                <wp:positionV relativeFrom="paragraph">
                  <wp:posOffset>217170</wp:posOffset>
                </wp:positionV>
                <wp:extent cx="638619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pt,17.1pt" to="511.75pt,17.1pt" o:allowincell="f" strokecolor="#0E3C23" strokeweight="0.998pt"/>
            </w:pict>
          </mc:Fallback>
        </mc:AlternateContent>
      </w: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Arial" w:cs="Arial" w:eastAsia="Arial" w:hAnsi="Arial"/>
          <w:sz w:val="28"/>
          <w:szCs w:val="28"/>
          <w:b w:val="1"/>
          <w:bCs w:val="1"/>
          <w:color w:val="auto"/>
        </w:rPr>
        <w:t>AUDIT COMMITTEE REPORT</w:t>
      </w:r>
    </w:p>
    <w:p>
      <w:pPr>
        <w:spacing w:after="0" w:line="97" w:lineRule="exact"/>
        <w:rPr>
          <w:sz w:val="20"/>
          <w:szCs w:val="20"/>
          <w:color w:val="auto"/>
        </w:rPr>
      </w:pPr>
    </w:p>
    <w:p>
      <w:pPr>
        <w:jc w:val="both"/>
        <w:ind w:left="220" w:right="240"/>
        <w:spacing w:after="0" w:line="235" w:lineRule="auto"/>
        <w:rPr>
          <w:sz w:val="20"/>
          <w:szCs w:val="20"/>
          <w:color w:val="auto"/>
        </w:rPr>
      </w:pPr>
      <w:r>
        <w:rPr>
          <w:rFonts w:ascii="Arial" w:cs="Arial" w:eastAsia="Arial" w:hAnsi="Arial"/>
          <w:sz w:val="20"/>
          <w:szCs w:val="20"/>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accounting principles generally accepted in the United States.</w:t>
      </w:r>
    </w:p>
    <w:p>
      <w:pPr>
        <w:spacing w:after="0" w:line="120" w:lineRule="exact"/>
        <w:rPr>
          <w:sz w:val="20"/>
          <w:szCs w:val="20"/>
          <w:color w:val="auto"/>
        </w:rPr>
      </w:pPr>
    </w:p>
    <w:p>
      <w:pPr>
        <w:jc w:val="both"/>
        <w:ind w:left="220" w:right="240"/>
        <w:spacing w:after="0" w:line="235" w:lineRule="auto"/>
        <w:rPr>
          <w:sz w:val="20"/>
          <w:szCs w:val="20"/>
          <w:color w:val="auto"/>
        </w:rPr>
      </w:pPr>
      <w:r>
        <w:rPr>
          <w:rFonts w:ascii="Arial" w:cs="Arial" w:eastAsia="Arial" w:hAnsi="Arial"/>
          <w:sz w:val="20"/>
          <w:szCs w:val="20"/>
          <w:color w:val="auto"/>
        </w:rPr>
        <w:t>The Audit Committee has reviewed and discussed the Company’s audited financial statements as of and for the year ended December 31, 2024 with management and the independent registered public accounting firm, and has taken the following steps in making its recommendation that the Company’s financial statements be included in its Annual Report on Form 10-K.</w:t>
      </w:r>
    </w:p>
    <w:p>
      <w:pPr>
        <w:spacing w:after="0" w:line="45" w:lineRule="exact"/>
        <w:rPr>
          <w:sz w:val="20"/>
          <w:szCs w:val="20"/>
          <w:color w:val="auto"/>
        </w:rPr>
      </w:pPr>
    </w:p>
    <w:p>
      <w:pPr>
        <w:jc w:val="both"/>
        <w:ind w:left="420" w:right="240" w:hanging="202"/>
        <w:spacing w:after="0" w:line="235" w:lineRule="auto"/>
        <w:tabs>
          <w:tab w:leader="none" w:pos="420" w:val="left"/>
        </w:tabs>
        <w:numPr>
          <w:ilvl w:val="0"/>
          <w:numId w:val="6"/>
        </w:numPr>
        <w:rPr>
          <w:rFonts w:ascii="Arial" w:cs="Arial" w:eastAsia="Arial" w:hAnsi="Arial"/>
          <w:sz w:val="20"/>
          <w:szCs w:val="20"/>
          <w:color w:val="0E3C23"/>
        </w:rPr>
      </w:pPr>
      <w:r>
        <w:rPr>
          <w:rFonts w:ascii="Arial" w:cs="Arial" w:eastAsia="Arial" w:hAnsi="Arial"/>
          <w:sz w:val="20"/>
          <w:szCs w:val="20"/>
          <w:color w:val="auto"/>
        </w:rPr>
        <w:t>The Audit Committee discussed with Ernst &amp; Young LLP, the Company’s independent registered public accounting firm for fiscal year 2024, those matters required to be discussed by the applicable requirements of the Public Company Accounting Oversight Board (United States) and the SEC, including information regarding the scope and results of the audit. These communications and discussions are intended to assist the Audit Committee in overseeing the financial reporting and disclosure process.</w:t>
      </w:r>
    </w:p>
    <w:p>
      <w:pPr>
        <w:spacing w:after="0" w:line="45" w:lineRule="exact"/>
        <w:rPr>
          <w:rFonts w:ascii="Arial" w:cs="Arial" w:eastAsia="Arial" w:hAnsi="Arial"/>
          <w:sz w:val="20"/>
          <w:szCs w:val="20"/>
          <w:color w:val="0E3C23"/>
        </w:rPr>
      </w:pPr>
    </w:p>
    <w:p>
      <w:pPr>
        <w:jc w:val="both"/>
        <w:ind w:left="420" w:right="240" w:hanging="202"/>
        <w:spacing w:after="0" w:line="235" w:lineRule="auto"/>
        <w:tabs>
          <w:tab w:leader="none" w:pos="420" w:val="left"/>
        </w:tabs>
        <w:numPr>
          <w:ilvl w:val="0"/>
          <w:numId w:val="6"/>
        </w:numPr>
        <w:rPr>
          <w:rFonts w:ascii="Arial" w:cs="Arial" w:eastAsia="Arial" w:hAnsi="Arial"/>
          <w:sz w:val="20"/>
          <w:szCs w:val="20"/>
          <w:color w:val="0E3C23"/>
        </w:rPr>
      </w:pPr>
      <w:r>
        <w:rPr>
          <w:rFonts w:ascii="Arial" w:cs="Arial" w:eastAsia="Arial" w:hAnsi="Arial"/>
          <w:sz w:val="20"/>
          <w:szCs w:val="20"/>
          <w:color w:val="auto"/>
        </w:rPr>
        <w:t>The Audit Committee discussed with Ernst &amp; Young LLP its independence and received from Ernst &amp; Young LLP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45" w:lineRule="exact"/>
        <w:rPr>
          <w:rFonts w:ascii="Arial" w:cs="Arial" w:eastAsia="Arial" w:hAnsi="Arial"/>
          <w:sz w:val="20"/>
          <w:szCs w:val="20"/>
          <w:color w:val="0E3C23"/>
        </w:rPr>
      </w:pPr>
    </w:p>
    <w:p>
      <w:pPr>
        <w:jc w:val="both"/>
        <w:ind w:left="420" w:right="240" w:hanging="202"/>
        <w:spacing w:after="0" w:line="235" w:lineRule="auto"/>
        <w:tabs>
          <w:tab w:leader="none" w:pos="420" w:val="left"/>
        </w:tabs>
        <w:numPr>
          <w:ilvl w:val="0"/>
          <w:numId w:val="6"/>
        </w:numPr>
        <w:rPr>
          <w:rFonts w:ascii="Arial" w:cs="Arial" w:eastAsia="Arial" w:hAnsi="Arial"/>
          <w:sz w:val="20"/>
          <w:szCs w:val="20"/>
          <w:color w:val="0E3C23"/>
        </w:rPr>
      </w:pPr>
      <w:r>
        <w:rPr>
          <w:rFonts w:ascii="Arial" w:cs="Arial" w:eastAsia="Arial" w:hAnsi="Arial"/>
          <w:sz w:val="20"/>
          <w:szCs w:val="20"/>
          <w:color w:val="auto"/>
        </w:rPr>
        <w:t>The Audit Committee met periodically with members of management, the internal auditors and Ernst &amp; Young LLP to review and discuss internal controls over financial reporting. Further, the Audit Committee reviewed and discussed management’s report on internal control over financial reporting as of December 31, 2024, as well as Ernst &amp; Young LLP’s report regarding the effectiveness of internal control over financial reporting.</w:t>
      </w:r>
    </w:p>
    <w:p>
      <w:pPr>
        <w:spacing w:after="0" w:line="45" w:lineRule="exact"/>
        <w:rPr>
          <w:rFonts w:ascii="Arial" w:cs="Arial" w:eastAsia="Arial" w:hAnsi="Arial"/>
          <w:sz w:val="20"/>
          <w:szCs w:val="20"/>
          <w:color w:val="0E3C23"/>
        </w:rPr>
      </w:pPr>
    </w:p>
    <w:p>
      <w:pPr>
        <w:jc w:val="both"/>
        <w:ind w:left="420" w:right="240" w:hanging="202"/>
        <w:spacing w:after="0" w:line="235" w:lineRule="auto"/>
        <w:tabs>
          <w:tab w:leader="none" w:pos="420" w:val="left"/>
        </w:tabs>
        <w:numPr>
          <w:ilvl w:val="0"/>
          <w:numId w:val="6"/>
        </w:numPr>
        <w:rPr>
          <w:rFonts w:ascii="Arial" w:cs="Arial" w:eastAsia="Arial" w:hAnsi="Arial"/>
          <w:sz w:val="20"/>
          <w:szCs w:val="20"/>
          <w:color w:val="0E3C23"/>
        </w:rPr>
      </w:pPr>
      <w:r>
        <w:rPr>
          <w:rFonts w:ascii="Arial" w:cs="Arial" w:eastAsia="Arial" w:hAnsi="Arial"/>
          <w:sz w:val="20"/>
          <w:szCs w:val="20"/>
          <w:color w:val="auto"/>
        </w:rPr>
        <w:t>The Audit Committee reviewed and discussed, with the Company’s management and Ernst &amp; Young LLP, the Company’s audited consolidated balance sheet as of December 31, 2024, and consolidated statements of operations, comprehensive income, cash flows and changes in equity for the fiscal year ended December 31, 2024, including the quality, not just the acceptability, of the accounting principles, the reasonableness of significant judgments and the clarity of the disclosure.</w:t>
      </w:r>
    </w:p>
    <w:p>
      <w:pPr>
        <w:spacing w:after="0" w:line="45" w:lineRule="exact"/>
        <w:rPr>
          <w:rFonts w:ascii="Arial" w:cs="Arial" w:eastAsia="Arial" w:hAnsi="Arial"/>
          <w:sz w:val="20"/>
          <w:szCs w:val="20"/>
          <w:color w:val="0E3C23"/>
        </w:rPr>
      </w:pPr>
    </w:p>
    <w:p>
      <w:pPr>
        <w:jc w:val="both"/>
        <w:ind w:left="420" w:right="240" w:hanging="202"/>
        <w:spacing w:after="0" w:line="235" w:lineRule="auto"/>
        <w:tabs>
          <w:tab w:leader="none" w:pos="420" w:val="left"/>
        </w:tabs>
        <w:numPr>
          <w:ilvl w:val="0"/>
          <w:numId w:val="6"/>
        </w:numPr>
        <w:rPr>
          <w:rFonts w:ascii="Arial" w:cs="Arial" w:eastAsia="Arial" w:hAnsi="Arial"/>
          <w:sz w:val="20"/>
          <w:szCs w:val="20"/>
          <w:color w:val="0E3C23"/>
        </w:rPr>
      </w:pPr>
      <w:r>
        <w:rPr>
          <w:rFonts w:ascii="Arial" w:cs="Arial" w:eastAsia="Arial" w:hAnsi="Arial"/>
          <w:sz w:val="20"/>
          <w:szCs w:val="20"/>
          <w:color w:val="auto"/>
        </w:rPr>
        <w:t>The Audit Committee discussed with the Company’s internal auditors and independent registered public accounting firm the overall scope and plans of their respective audits. The Audit Committee meets periodically with both the internal auditors and independent registered public accounting firm, with and without management present, to discuss the results of their examinations and their evaluations of the Company’s internal controls over financial reporting.</w:t>
      </w:r>
    </w:p>
    <w:p>
      <w:pPr>
        <w:spacing w:after="0" w:line="45" w:lineRule="exact"/>
        <w:rPr>
          <w:rFonts w:ascii="Arial" w:cs="Arial" w:eastAsia="Arial" w:hAnsi="Arial"/>
          <w:sz w:val="20"/>
          <w:szCs w:val="20"/>
          <w:color w:val="0E3C23"/>
        </w:rPr>
      </w:pPr>
    </w:p>
    <w:p>
      <w:pPr>
        <w:jc w:val="both"/>
        <w:ind w:left="420" w:right="240" w:hanging="202"/>
        <w:spacing w:after="0" w:line="249" w:lineRule="auto"/>
        <w:tabs>
          <w:tab w:leader="none" w:pos="420" w:val="left"/>
        </w:tabs>
        <w:numPr>
          <w:ilvl w:val="0"/>
          <w:numId w:val="6"/>
        </w:numPr>
        <w:rPr>
          <w:rFonts w:ascii="Arial" w:cs="Arial" w:eastAsia="Arial" w:hAnsi="Arial"/>
          <w:sz w:val="19"/>
          <w:szCs w:val="19"/>
          <w:color w:val="0E3C23"/>
        </w:rPr>
      </w:pPr>
      <w:r>
        <w:rPr>
          <w:rFonts w:ascii="Arial" w:cs="Arial" w:eastAsia="Arial" w:hAnsi="Arial"/>
          <w:sz w:val="19"/>
          <w:szCs w:val="19"/>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39" w:lineRule="exact"/>
        <w:rPr>
          <w:rFonts w:ascii="Arial" w:cs="Arial" w:eastAsia="Arial" w:hAnsi="Arial"/>
          <w:sz w:val="19"/>
          <w:szCs w:val="19"/>
          <w:color w:val="0E3C23"/>
        </w:rPr>
      </w:pPr>
    </w:p>
    <w:p>
      <w:pPr>
        <w:jc w:val="both"/>
        <w:ind w:left="420" w:right="240" w:hanging="202"/>
        <w:spacing w:after="0" w:line="235" w:lineRule="auto"/>
        <w:tabs>
          <w:tab w:leader="none" w:pos="420" w:val="left"/>
        </w:tabs>
        <w:numPr>
          <w:ilvl w:val="0"/>
          <w:numId w:val="6"/>
        </w:numPr>
        <w:rPr>
          <w:rFonts w:ascii="Arial" w:cs="Arial" w:eastAsia="Arial" w:hAnsi="Arial"/>
          <w:sz w:val="20"/>
          <w:szCs w:val="20"/>
          <w:color w:val="0E3C23"/>
        </w:rPr>
      </w:pPr>
      <w:r>
        <w:rPr>
          <w:rFonts w:ascii="Arial" w:cs="Arial" w:eastAsia="Arial" w:hAnsi="Arial"/>
          <w:sz w:val="20"/>
          <w:szCs w:val="20"/>
          <w:color w:val="auto"/>
        </w:rPr>
        <w:t>Based on the reviews and discussions explained above (and without other independent verification), the Audit Committee recommended to the Board (and the Board approved) that the Company’s financial statements be included in its Annual Report on Form 10-K for its fiscal year ended December 31, 2024. The Audit Committee has also approved the selection of Ernst &amp; Young LLP as the Company’s independent registered public accounting firm for fiscal year 2025.</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The Audit Committee of the Board of Directors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20"/>
          <w:szCs w:val="20"/>
          <w:color w:val="auto"/>
        </w:rPr>
        <w:t xml:space="preserve">William B. Plummer, </w:t>
      </w:r>
      <w:r>
        <w:rPr>
          <w:rFonts w:ascii="Arial" w:cs="Arial" w:eastAsia="Arial" w:hAnsi="Arial"/>
          <w:sz w:val="20"/>
          <w:szCs w:val="20"/>
          <w:i w:val="1"/>
          <w:iCs w:val="1"/>
          <w:color w:val="auto"/>
        </w:rPr>
        <w:t>Chair</w:t>
      </w:r>
    </w:p>
    <w:p>
      <w:pPr>
        <w:ind w:left="220"/>
        <w:spacing w:after="0" w:line="235" w:lineRule="auto"/>
        <w:rPr>
          <w:sz w:val="20"/>
          <w:szCs w:val="20"/>
          <w:color w:val="auto"/>
        </w:rPr>
      </w:pPr>
      <w:r>
        <w:rPr>
          <w:rFonts w:ascii="Arial" w:cs="Arial" w:eastAsia="Arial" w:hAnsi="Arial"/>
          <w:sz w:val="20"/>
          <w:szCs w:val="20"/>
          <w:color w:val="auto"/>
        </w:rPr>
        <w:t>Bruce E. Chinn</w:t>
      </w:r>
    </w:p>
    <w:p>
      <w:pPr>
        <w:ind w:left="220"/>
        <w:spacing w:after="0" w:line="235" w:lineRule="auto"/>
        <w:rPr>
          <w:sz w:val="20"/>
          <w:szCs w:val="20"/>
          <w:color w:val="auto"/>
        </w:rPr>
      </w:pPr>
      <w:r>
        <w:rPr>
          <w:rFonts w:ascii="Arial" w:cs="Arial" w:eastAsia="Arial" w:hAnsi="Arial"/>
          <w:sz w:val="20"/>
          <w:szCs w:val="20"/>
          <w:color w:val="auto"/>
        </w:rPr>
        <w:t>Andrés R. Gluski</w:t>
      </w:r>
    </w:p>
    <w:p>
      <w:pPr>
        <w:ind w:left="220"/>
        <w:spacing w:after="0" w:line="235" w:lineRule="auto"/>
        <w:rPr>
          <w:sz w:val="20"/>
          <w:szCs w:val="20"/>
          <w:color w:val="auto"/>
        </w:rPr>
      </w:pPr>
      <w:r>
        <w:rPr>
          <w:rFonts w:ascii="Arial" w:cs="Arial" w:eastAsia="Arial" w:hAnsi="Arial"/>
          <w:sz w:val="20"/>
          <w:szCs w:val="20"/>
          <w:color w:val="auto"/>
        </w:rPr>
        <w:t>Victoria M. Holt</w:t>
      </w:r>
    </w:p>
    <w:p>
      <w:pPr>
        <w:ind w:left="220"/>
        <w:spacing w:after="0" w:line="236" w:lineRule="auto"/>
        <w:rPr>
          <w:sz w:val="20"/>
          <w:szCs w:val="20"/>
          <w:color w:val="auto"/>
        </w:rPr>
      </w:pPr>
      <w:r>
        <w:rPr>
          <w:rFonts w:ascii="Arial" w:cs="Arial" w:eastAsia="Arial" w:hAnsi="Arial"/>
          <w:sz w:val="20"/>
          <w:szCs w:val="20"/>
          <w:color w:val="auto"/>
        </w:rPr>
        <w:t>Kathleen M. Mazzarella</w:t>
      </w:r>
    </w:p>
    <w:p>
      <w:pPr>
        <w:ind w:left="220"/>
        <w:spacing w:after="0" w:line="235" w:lineRule="auto"/>
        <w:rPr>
          <w:sz w:val="20"/>
          <w:szCs w:val="20"/>
          <w:color w:val="auto"/>
        </w:rPr>
      </w:pPr>
      <w:r>
        <w:rPr>
          <w:rFonts w:ascii="Arial" w:cs="Arial" w:eastAsia="Arial" w:hAnsi="Arial"/>
          <w:sz w:val="20"/>
          <w:szCs w:val="20"/>
          <w:color w:val="auto"/>
        </w:rPr>
        <w:t>Sean E. Menke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54610</wp:posOffset>
                </wp:positionV>
                <wp:extent cx="638619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pt,4.3pt" to="511.75pt,4.3pt" o:allowincell="f" strokecolor="#0E3C23" strokeweight="0.99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200"/>
        <w:spacing w:after="0"/>
        <w:tabs>
          <w:tab w:leader="none" w:pos="38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-207010</wp:posOffset>
            </wp:positionV>
            <wp:extent cx="538480" cy="161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2">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sectPr>
      </w:pPr>
    </w:p>
    <w:bookmarkStart w:id="15" w:name="page16"/>
    <w:bookmarkEnd w:id="15"/>
    <w:p>
      <w:pPr>
        <w:ind w:left="180"/>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160020</wp:posOffset>
                </wp:positionV>
                <wp:extent cx="6386830" cy="7318375"/>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830" cy="7318375"/>
                        </a:xfrm>
                        <a:prstGeom prst="rect">
                          <a:avLst/>
                        </a:prstGeom>
                        <a:solidFill>
                          <a:srgbClr val="E6E8DE"/>
                        </a:solidFill>
                      </wps:spPr>
                      <wps:bodyPr/>
                    </wps:wsp>
                  </a:graphicData>
                </a:graphic>
              </wp:anchor>
            </w:drawing>
          </mc:Choice>
          <mc:Fallback>
            <w:pict>
              <v:rect id="Shape 61" o:spid="_x0000_s1086" style="position:absolute;margin-left:8.9pt;margin-top:12.6pt;width:502.9pt;height:576.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8DE" stroked="f"/>
            </w:pict>
          </mc:Fallback>
        </mc:AlternateContent>
        <mc:AlternateContent>
          <mc:Choice Requires="wps">
            <w:drawing>
              <wp:anchor simplePos="0" relativeHeight="251657728" behindDoc="1" locked="0" layoutInCell="0" allowOverlap="1">
                <wp:simplePos x="0" y="0"/>
                <wp:positionH relativeFrom="column">
                  <wp:posOffset>113030</wp:posOffset>
                </wp:positionH>
                <wp:positionV relativeFrom="paragraph">
                  <wp:posOffset>166370</wp:posOffset>
                </wp:positionV>
                <wp:extent cx="638619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pt,13.1pt" to="511.75pt,13.1pt" o:allowincell="f" strokecolor="#0E3C23" strokeweight="0.998pt"/>
            </w:pict>
          </mc:Fallback>
        </mc:AlternateContent>
      </w: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Arial" w:cs="Arial" w:eastAsia="Arial" w:hAnsi="Arial"/>
          <w:sz w:val="28"/>
          <w:szCs w:val="28"/>
          <w:b w:val="1"/>
          <w:bCs w:val="1"/>
          <w:color w:val="auto"/>
        </w:rPr>
        <w:t>THE MANAGEMENT DEVELOPMENT AND COMPENSATION COMMITTEE</w:t>
      </w:r>
    </w:p>
    <w:p>
      <w:pPr>
        <w:spacing w:after="0" w:line="141" w:lineRule="exact"/>
        <w:rPr>
          <w:sz w:val="20"/>
          <w:szCs w:val="20"/>
          <w:color w:val="auto"/>
        </w:rPr>
      </w:pPr>
    </w:p>
    <w:p>
      <w:pPr>
        <w:ind w:left="280"/>
        <w:spacing w:after="0"/>
        <w:tabs>
          <w:tab w:leader="none" w:pos="6540" w:val="left"/>
        </w:tabs>
        <w:rPr>
          <w:sz w:val="20"/>
          <w:szCs w:val="20"/>
          <w:color w:val="auto"/>
        </w:rPr>
      </w:pPr>
      <w:r>
        <w:rPr>
          <w:rFonts w:ascii="Arial" w:cs="Arial" w:eastAsia="Arial" w:hAnsi="Arial"/>
          <w:sz w:val="20"/>
          <w:szCs w:val="20"/>
          <w:b w:val="1"/>
          <w:bCs w:val="1"/>
          <w:color w:val="auto"/>
        </w:rPr>
        <w:t>Members:</w:t>
      </w:r>
      <w:r>
        <w:rPr>
          <w:sz w:val="20"/>
          <w:szCs w:val="20"/>
          <w:color w:val="auto"/>
        </w:rPr>
        <w:tab/>
      </w:r>
      <w:r>
        <w:rPr>
          <w:rFonts w:ascii="Arial" w:cs="Arial" w:eastAsia="Arial" w:hAnsi="Arial"/>
          <w:sz w:val="20"/>
          <w:szCs w:val="20"/>
          <w:b w:val="1"/>
          <w:bCs w:val="1"/>
          <w:color w:val="auto"/>
        </w:rPr>
        <w:t>Number of Meetings Held in 2024: 6</w:t>
      </w:r>
    </w:p>
    <w:p>
      <w:pPr>
        <w:spacing w:after="0" w:line="29" w:lineRule="exact"/>
        <w:rPr>
          <w:sz w:val="20"/>
          <w:szCs w:val="20"/>
          <w:color w:val="auto"/>
        </w:rPr>
      </w:pPr>
    </w:p>
    <w:p>
      <w:pPr>
        <w:ind w:left="300"/>
        <w:spacing w:after="0"/>
        <w:tabs>
          <w:tab w:leader="none" w:pos="3940" w:val="left"/>
        </w:tabs>
        <w:rPr>
          <w:sz w:val="20"/>
          <w:szCs w:val="20"/>
          <w:color w:val="auto"/>
        </w:rPr>
      </w:pPr>
      <w:r>
        <w:rPr>
          <w:rFonts w:ascii="Arial" w:cs="Arial" w:eastAsia="Arial" w:hAnsi="Arial"/>
          <w:sz w:val="20"/>
          <w:szCs w:val="20"/>
          <w:b w:val="1"/>
          <w:bCs w:val="1"/>
          <w:color w:val="auto"/>
        </w:rPr>
        <w:t xml:space="preserve">Andrés R. Gluski, </w:t>
      </w:r>
      <w:r>
        <w:rPr>
          <w:rFonts w:ascii="Arial" w:cs="Arial" w:eastAsia="Arial" w:hAnsi="Arial"/>
          <w:sz w:val="20"/>
          <w:szCs w:val="20"/>
          <w:b w:val="1"/>
          <w:bCs w:val="1"/>
          <w:i w:val="1"/>
          <w:iCs w:val="1"/>
          <w:color w:val="auto"/>
        </w:rPr>
        <w:t>Chair</w:t>
      </w:r>
      <w:r>
        <w:rPr>
          <w:sz w:val="20"/>
          <w:szCs w:val="20"/>
          <w:color w:val="auto"/>
        </w:rPr>
        <w:tab/>
      </w:r>
      <w:r>
        <w:rPr>
          <w:rFonts w:ascii="Arial" w:cs="Arial" w:eastAsia="Arial" w:hAnsi="Arial"/>
          <w:sz w:val="18"/>
          <w:szCs w:val="18"/>
          <w:b w:val="1"/>
          <w:bCs w:val="1"/>
          <w:color w:val="auto"/>
        </w:rPr>
        <w:t>William B. Plummer</w:t>
      </w:r>
    </w:p>
    <w:p>
      <w:pPr>
        <w:ind w:left="300"/>
        <w:spacing w:after="0"/>
        <w:tabs>
          <w:tab w:leader="none" w:pos="3940" w:val="left"/>
        </w:tabs>
        <w:rPr>
          <w:sz w:val="20"/>
          <w:szCs w:val="20"/>
          <w:color w:val="auto"/>
        </w:rPr>
      </w:pPr>
      <w:r>
        <w:rPr>
          <w:rFonts w:ascii="Arial" w:cs="Arial" w:eastAsia="Arial" w:hAnsi="Arial"/>
          <w:sz w:val="20"/>
          <w:szCs w:val="20"/>
          <w:b w:val="1"/>
          <w:bCs w:val="1"/>
          <w:color w:val="auto"/>
        </w:rPr>
        <w:t>Thomas L. Bené</w:t>
      </w:r>
      <w:r>
        <w:rPr>
          <w:sz w:val="20"/>
          <w:szCs w:val="20"/>
          <w:color w:val="auto"/>
        </w:rPr>
        <w:tab/>
      </w:r>
      <w:r>
        <w:rPr>
          <w:rFonts w:ascii="Arial" w:cs="Arial" w:eastAsia="Arial" w:hAnsi="Arial"/>
          <w:sz w:val="18"/>
          <w:szCs w:val="18"/>
          <w:b w:val="1"/>
          <w:bCs w:val="1"/>
          <w:color w:val="auto"/>
        </w:rPr>
        <w:t>Maryrose T. Sylvester</w:t>
      </w:r>
    </w:p>
    <w:p>
      <w:pPr>
        <w:ind w:left="300"/>
        <w:spacing w:after="0"/>
        <w:rPr>
          <w:sz w:val="20"/>
          <w:szCs w:val="20"/>
          <w:color w:val="auto"/>
        </w:rPr>
      </w:pPr>
      <w:r>
        <w:rPr>
          <w:rFonts w:ascii="Arial" w:cs="Arial" w:eastAsia="Arial" w:hAnsi="Arial"/>
          <w:sz w:val="20"/>
          <w:szCs w:val="20"/>
          <w:b w:val="1"/>
          <w:bCs w:val="1"/>
          <w:color w:val="auto"/>
        </w:rPr>
        <w:t>Kathleen M. Mazzarella</w:t>
      </w:r>
    </w:p>
    <w:p>
      <w:pPr>
        <w:spacing w:after="0" w:line="72" w:lineRule="exact"/>
        <w:rPr>
          <w:sz w:val="20"/>
          <w:szCs w:val="20"/>
          <w:color w:val="auto"/>
        </w:rPr>
      </w:pPr>
    </w:p>
    <w:p>
      <w:pPr>
        <w:jc w:val="both"/>
        <w:ind w:left="220" w:right="240"/>
        <w:spacing w:after="0" w:line="236" w:lineRule="auto"/>
        <w:rPr>
          <w:sz w:val="20"/>
          <w:szCs w:val="20"/>
          <w:color w:val="auto"/>
        </w:rPr>
      </w:pPr>
      <w:r>
        <w:rPr>
          <w:rFonts w:ascii="Arial" w:cs="Arial" w:eastAsia="Arial" w:hAnsi="Arial"/>
          <w:sz w:val="20"/>
          <w:szCs w:val="20"/>
          <w:color w:val="auto"/>
        </w:rPr>
        <w:t>Mr. Gluski has served as the Chair of our MD&amp;C Committee since May 2021. Each member of our MD&amp;C Committee is independent in accordance with the rules and regulations of the New York Stock Exchange.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Key Functions</w:t>
      </w:r>
    </w:p>
    <w:p>
      <w:pPr>
        <w:spacing w:after="0" w:line="121" w:lineRule="exact"/>
        <w:rPr>
          <w:sz w:val="20"/>
          <w:szCs w:val="20"/>
          <w:color w:val="auto"/>
        </w:rPr>
      </w:pPr>
    </w:p>
    <w:p>
      <w:pPr>
        <w:jc w:val="both"/>
        <w:ind w:left="220" w:right="240"/>
        <w:spacing w:after="0" w:line="254" w:lineRule="auto"/>
        <w:rPr>
          <w:sz w:val="20"/>
          <w:szCs w:val="20"/>
          <w:color w:val="auto"/>
        </w:rPr>
      </w:pPr>
      <w:r>
        <w:rPr>
          <w:rFonts w:ascii="Arial" w:cs="Arial" w:eastAsia="Arial" w:hAnsi="Arial"/>
          <w:sz w:val="19"/>
          <w:szCs w:val="19"/>
          <w:color w:val="auto"/>
        </w:rPr>
        <w:t>Our MD&amp;C Committee is responsible for overseeing our executive officer compensation, as well as developing the Company’s compensation philosophy generally. The MD&amp;C Committee’s written charter, which was approved by the Board of Directors, can be found by accessing the “Sustainability &amp; Governance — Corporate Governance” section of investors.wm.com. In fulfilling its duties, the MD&amp;C Committee has the following responsibilities:</w:t>
      </w:r>
    </w:p>
    <w:p>
      <w:pPr>
        <w:spacing w:after="0" w:line="107" w:lineRule="exact"/>
        <w:rPr>
          <w:sz w:val="20"/>
          <w:szCs w:val="20"/>
          <w:color w:val="auto"/>
        </w:rPr>
      </w:pPr>
    </w:p>
    <w:p>
      <w:pPr>
        <w:ind w:left="420" w:hanging="202"/>
        <w:spacing w:after="0"/>
        <w:tabs>
          <w:tab w:leader="none" w:pos="420" w:val="left"/>
        </w:tabs>
        <w:numPr>
          <w:ilvl w:val="0"/>
          <w:numId w:val="7"/>
        </w:numPr>
        <w:rPr>
          <w:rFonts w:ascii="Arial" w:cs="Arial" w:eastAsia="Arial" w:hAnsi="Arial"/>
          <w:sz w:val="20"/>
          <w:szCs w:val="20"/>
          <w:color w:val="0E3C23"/>
        </w:rPr>
      </w:pPr>
      <w:r>
        <w:rPr>
          <w:rFonts w:ascii="Arial" w:cs="Arial" w:eastAsia="Arial" w:hAnsi="Arial"/>
          <w:sz w:val="20"/>
          <w:szCs w:val="20"/>
          <w:color w:val="auto"/>
        </w:rPr>
        <w:t>Review and establish policies governing the compensation and benefits of our executive officers;</w:t>
      </w:r>
    </w:p>
    <w:p>
      <w:pPr>
        <w:spacing w:after="0" w:line="119" w:lineRule="exact"/>
        <w:rPr>
          <w:rFonts w:ascii="Arial" w:cs="Arial" w:eastAsia="Arial" w:hAnsi="Arial"/>
          <w:sz w:val="20"/>
          <w:szCs w:val="20"/>
          <w:color w:val="0E3C23"/>
        </w:rPr>
      </w:pPr>
    </w:p>
    <w:p>
      <w:pPr>
        <w:ind w:left="420" w:hanging="202"/>
        <w:spacing w:after="0"/>
        <w:tabs>
          <w:tab w:leader="none" w:pos="420" w:val="left"/>
        </w:tabs>
        <w:numPr>
          <w:ilvl w:val="0"/>
          <w:numId w:val="7"/>
        </w:numPr>
        <w:rPr>
          <w:rFonts w:ascii="Arial" w:cs="Arial" w:eastAsia="Arial" w:hAnsi="Arial"/>
          <w:sz w:val="20"/>
          <w:szCs w:val="20"/>
          <w:color w:val="0E3C23"/>
        </w:rPr>
      </w:pPr>
      <w:r>
        <w:rPr>
          <w:rFonts w:ascii="Arial" w:cs="Arial" w:eastAsia="Arial" w:hAnsi="Arial"/>
          <w:sz w:val="20"/>
          <w:szCs w:val="20"/>
          <w:color w:val="auto"/>
        </w:rPr>
        <w:t>Approve the compensation of our executive officers and set the incentive plan goals for those individuals;</w:t>
      </w:r>
    </w:p>
    <w:p>
      <w:pPr>
        <w:spacing w:after="0" w:line="124" w:lineRule="exact"/>
        <w:rPr>
          <w:rFonts w:ascii="Arial" w:cs="Arial" w:eastAsia="Arial" w:hAnsi="Arial"/>
          <w:sz w:val="20"/>
          <w:szCs w:val="20"/>
          <w:color w:val="0E3C23"/>
        </w:rPr>
      </w:pPr>
    </w:p>
    <w:p>
      <w:pPr>
        <w:ind w:left="420" w:hanging="202"/>
        <w:spacing w:after="0"/>
        <w:tabs>
          <w:tab w:leader="none" w:pos="420" w:val="left"/>
        </w:tabs>
        <w:numPr>
          <w:ilvl w:val="0"/>
          <w:numId w:val="7"/>
        </w:numPr>
        <w:rPr>
          <w:rFonts w:ascii="Arial" w:cs="Arial" w:eastAsia="Arial" w:hAnsi="Arial"/>
          <w:sz w:val="19"/>
          <w:szCs w:val="19"/>
          <w:color w:val="0E3C23"/>
        </w:rPr>
      </w:pPr>
      <w:r>
        <w:rPr>
          <w:rFonts w:ascii="Arial" w:cs="Arial" w:eastAsia="Arial" w:hAnsi="Arial"/>
          <w:sz w:val="19"/>
          <w:szCs w:val="19"/>
          <w:color w:val="auto"/>
        </w:rPr>
        <w:t>Conduct an annual evaluation of our Chief Executive Officer by all independent directors and set his compensation;</w:t>
      </w:r>
    </w:p>
    <w:p>
      <w:pPr>
        <w:spacing w:after="0" w:line="125" w:lineRule="exact"/>
        <w:rPr>
          <w:rFonts w:ascii="Arial" w:cs="Arial" w:eastAsia="Arial" w:hAnsi="Arial"/>
          <w:sz w:val="19"/>
          <w:szCs w:val="19"/>
          <w:color w:val="0E3C23"/>
        </w:rPr>
      </w:pPr>
    </w:p>
    <w:p>
      <w:pPr>
        <w:ind w:left="420" w:hanging="202"/>
        <w:spacing w:after="0"/>
        <w:tabs>
          <w:tab w:leader="none" w:pos="420" w:val="left"/>
        </w:tabs>
        <w:numPr>
          <w:ilvl w:val="0"/>
          <w:numId w:val="7"/>
        </w:numPr>
        <w:rPr>
          <w:rFonts w:ascii="Arial" w:cs="Arial" w:eastAsia="Arial" w:hAnsi="Arial"/>
          <w:sz w:val="20"/>
          <w:szCs w:val="20"/>
          <w:color w:val="0E3C23"/>
        </w:rPr>
      </w:pPr>
      <w:r>
        <w:rPr>
          <w:rFonts w:ascii="Arial" w:cs="Arial" w:eastAsia="Arial" w:hAnsi="Arial"/>
          <w:sz w:val="20"/>
          <w:szCs w:val="20"/>
          <w:color w:val="auto"/>
        </w:rPr>
        <w:t>Oversee the administration of our equity-based incentive plans;</w:t>
      </w:r>
    </w:p>
    <w:p>
      <w:pPr>
        <w:spacing w:after="0" w:line="124" w:lineRule="exact"/>
        <w:rPr>
          <w:rFonts w:ascii="Arial" w:cs="Arial" w:eastAsia="Arial" w:hAnsi="Arial"/>
          <w:sz w:val="20"/>
          <w:szCs w:val="20"/>
          <w:color w:val="0E3C23"/>
        </w:rPr>
      </w:pPr>
    </w:p>
    <w:p>
      <w:pPr>
        <w:ind w:left="420" w:right="240" w:hanging="202"/>
        <w:spacing w:after="0" w:line="236" w:lineRule="auto"/>
        <w:tabs>
          <w:tab w:leader="none" w:pos="420" w:val="left"/>
        </w:tabs>
        <w:numPr>
          <w:ilvl w:val="0"/>
          <w:numId w:val="7"/>
        </w:numPr>
        <w:rPr>
          <w:rFonts w:ascii="Arial" w:cs="Arial" w:eastAsia="Arial" w:hAnsi="Arial"/>
          <w:sz w:val="20"/>
          <w:szCs w:val="20"/>
          <w:color w:val="0E3C23"/>
        </w:rPr>
      </w:pPr>
      <w:r>
        <w:rPr>
          <w:rFonts w:ascii="Arial" w:cs="Arial" w:eastAsia="Arial" w:hAnsi="Arial"/>
          <w:sz w:val="20"/>
          <w:szCs w:val="20"/>
          <w:color w:val="auto"/>
        </w:rPr>
        <w:t>Review the results of the stockholder advisory vote on executive compensation and consider any implications of such voting results on the Company’s compensation programs;</w:t>
      </w:r>
    </w:p>
    <w:p>
      <w:pPr>
        <w:spacing w:after="0" w:line="120" w:lineRule="exact"/>
        <w:rPr>
          <w:rFonts w:ascii="Arial" w:cs="Arial" w:eastAsia="Arial" w:hAnsi="Arial"/>
          <w:sz w:val="20"/>
          <w:szCs w:val="20"/>
          <w:color w:val="0E3C23"/>
        </w:rPr>
      </w:pPr>
    </w:p>
    <w:p>
      <w:pPr>
        <w:ind w:left="420" w:hanging="202"/>
        <w:spacing w:after="0"/>
        <w:tabs>
          <w:tab w:leader="none" w:pos="420" w:val="left"/>
        </w:tabs>
        <w:numPr>
          <w:ilvl w:val="0"/>
          <w:numId w:val="7"/>
        </w:numPr>
        <w:rPr>
          <w:rFonts w:ascii="Arial" w:cs="Arial" w:eastAsia="Arial" w:hAnsi="Arial"/>
          <w:sz w:val="20"/>
          <w:szCs w:val="20"/>
          <w:color w:val="0E3C23"/>
        </w:rPr>
      </w:pPr>
      <w:r>
        <w:rPr>
          <w:rFonts w:ascii="Arial" w:cs="Arial" w:eastAsia="Arial" w:hAnsi="Arial"/>
          <w:sz w:val="20"/>
          <w:szCs w:val="20"/>
          <w:color w:val="auto"/>
        </w:rPr>
        <w:t>Recommend to the full Board new Company compensation and benefit plans or changes to our existing plans;</w:t>
      </w:r>
    </w:p>
    <w:p>
      <w:pPr>
        <w:spacing w:after="0" w:line="119" w:lineRule="exact"/>
        <w:rPr>
          <w:rFonts w:ascii="Arial" w:cs="Arial" w:eastAsia="Arial" w:hAnsi="Arial"/>
          <w:sz w:val="20"/>
          <w:szCs w:val="20"/>
          <w:color w:val="0E3C23"/>
        </w:rPr>
      </w:pPr>
    </w:p>
    <w:p>
      <w:pPr>
        <w:ind w:left="420" w:hanging="202"/>
        <w:spacing w:after="0"/>
        <w:tabs>
          <w:tab w:leader="none" w:pos="420" w:val="left"/>
        </w:tabs>
        <w:numPr>
          <w:ilvl w:val="0"/>
          <w:numId w:val="7"/>
        </w:numPr>
        <w:rPr>
          <w:rFonts w:ascii="Arial" w:cs="Arial" w:eastAsia="Arial" w:hAnsi="Arial"/>
          <w:sz w:val="20"/>
          <w:szCs w:val="20"/>
          <w:color w:val="0E3C23"/>
        </w:rPr>
      </w:pPr>
      <w:r>
        <w:rPr>
          <w:rFonts w:ascii="Arial" w:cs="Arial" w:eastAsia="Arial" w:hAnsi="Arial"/>
          <w:sz w:val="20"/>
          <w:szCs w:val="20"/>
          <w:color w:val="auto"/>
        </w:rPr>
        <w:t>Evaluate and recommend to the Board the compensation paid to our non-employee directors;</w:t>
      </w:r>
    </w:p>
    <w:p>
      <w:pPr>
        <w:spacing w:after="0" w:line="119" w:lineRule="exact"/>
        <w:rPr>
          <w:rFonts w:ascii="Arial" w:cs="Arial" w:eastAsia="Arial" w:hAnsi="Arial"/>
          <w:sz w:val="20"/>
          <w:szCs w:val="20"/>
          <w:color w:val="0E3C23"/>
        </w:rPr>
      </w:pPr>
    </w:p>
    <w:p>
      <w:pPr>
        <w:ind w:left="420" w:hanging="202"/>
        <w:spacing w:after="0"/>
        <w:tabs>
          <w:tab w:leader="none" w:pos="420" w:val="left"/>
        </w:tabs>
        <w:numPr>
          <w:ilvl w:val="0"/>
          <w:numId w:val="7"/>
        </w:numPr>
        <w:rPr>
          <w:rFonts w:ascii="Arial" w:cs="Arial" w:eastAsia="Arial" w:hAnsi="Arial"/>
          <w:sz w:val="20"/>
          <w:szCs w:val="20"/>
          <w:color w:val="0E3C23"/>
        </w:rPr>
      </w:pPr>
      <w:r>
        <w:rPr>
          <w:rFonts w:ascii="Arial" w:cs="Arial" w:eastAsia="Arial" w:hAnsi="Arial"/>
          <w:sz w:val="20"/>
          <w:szCs w:val="20"/>
          <w:color w:val="auto"/>
        </w:rPr>
        <w:t>Review the independence of the MD&amp;C Committee’s compensation consultant annually; and</w:t>
      </w:r>
    </w:p>
    <w:p>
      <w:pPr>
        <w:spacing w:after="0" w:line="124" w:lineRule="exact"/>
        <w:rPr>
          <w:rFonts w:ascii="Arial" w:cs="Arial" w:eastAsia="Arial" w:hAnsi="Arial"/>
          <w:sz w:val="20"/>
          <w:szCs w:val="20"/>
          <w:color w:val="0E3C23"/>
        </w:rPr>
      </w:pPr>
    </w:p>
    <w:p>
      <w:pPr>
        <w:ind w:left="420" w:right="240" w:hanging="202"/>
        <w:spacing w:after="0" w:line="236" w:lineRule="auto"/>
        <w:tabs>
          <w:tab w:leader="none" w:pos="420" w:val="left"/>
        </w:tabs>
        <w:numPr>
          <w:ilvl w:val="0"/>
          <w:numId w:val="7"/>
        </w:numPr>
        <w:rPr>
          <w:rFonts w:ascii="Arial" w:cs="Arial" w:eastAsia="Arial" w:hAnsi="Arial"/>
          <w:sz w:val="20"/>
          <w:szCs w:val="20"/>
          <w:color w:val="0E3C23"/>
        </w:rPr>
      </w:pPr>
      <w:r>
        <w:rPr>
          <w:rFonts w:ascii="Arial" w:cs="Arial" w:eastAsia="Arial" w:hAnsi="Arial"/>
          <w:sz w:val="20"/>
          <w:szCs w:val="20"/>
          <w:color w:val="auto"/>
        </w:rPr>
        <w:t>Perform an annual review of its performance relative to its charter and report the results of its evaluation to the full Board.</w:t>
      </w:r>
    </w:p>
    <w:p>
      <w:pPr>
        <w:spacing w:after="0" w:line="126" w:lineRule="exact"/>
        <w:rPr>
          <w:sz w:val="20"/>
          <w:szCs w:val="20"/>
          <w:color w:val="auto"/>
        </w:rPr>
      </w:pPr>
    </w:p>
    <w:p>
      <w:pPr>
        <w:jc w:val="both"/>
        <w:ind w:left="220" w:right="240"/>
        <w:spacing w:after="0" w:line="238" w:lineRule="auto"/>
        <w:rPr>
          <w:sz w:val="20"/>
          <w:szCs w:val="20"/>
          <w:color w:val="auto"/>
        </w:rPr>
      </w:pPr>
      <w:r>
        <w:rPr>
          <w:rFonts w:ascii="Arial" w:cs="Arial" w:eastAsia="Arial" w:hAnsi="Arial"/>
          <w:sz w:val="20"/>
          <w:szCs w:val="20"/>
          <w:color w:val="auto"/>
        </w:rPr>
        <w:t>In overseeing compensation matters, the MD&amp;C Committee may delegate authority for day-to-day administration and interpretation of the Company’s plans, including selection of participants, determination of award levels within plan parameters, and approval of award documents, to Company employees. However, the MD&amp;C Committee may not delegate any authority to Company employees under those plans for matters affecting the compensation and benefits of the executive officers.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28"/>
          <w:szCs w:val="28"/>
          <w:b w:val="1"/>
          <w:bCs w:val="1"/>
          <w:color w:val="auto"/>
        </w:rPr>
        <w:t>COMPENSATION COMMITTEE REPORT</w:t>
      </w:r>
    </w:p>
    <w:p>
      <w:pPr>
        <w:spacing w:after="0" w:line="143" w:lineRule="exact"/>
        <w:rPr>
          <w:sz w:val="20"/>
          <w:szCs w:val="20"/>
          <w:color w:val="auto"/>
        </w:rPr>
      </w:pPr>
    </w:p>
    <w:p>
      <w:pPr>
        <w:jc w:val="both"/>
        <w:ind w:left="220" w:right="240"/>
        <w:spacing w:after="0" w:line="255" w:lineRule="auto"/>
        <w:rPr>
          <w:sz w:val="20"/>
          <w:szCs w:val="20"/>
          <w:color w:val="auto"/>
        </w:rPr>
      </w:pPr>
      <w:r>
        <w:rPr>
          <w:rFonts w:ascii="Arial" w:cs="Arial" w:eastAsia="Arial" w:hAnsi="Arial"/>
          <w:sz w:val="19"/>
          <w:szCs w:val="19"/>
          <w:color w:val="auto"/>
        </w:rPr>
        <w:t xml:space="preserve">The MD&amp;C Committee has reviewed and discussed the </w:t>
      </w:r>
      <w:r>
        <w:rPr>
          <w:rFonts w:ascii="Arial" w:cs="Arial" w:eastAsia="Arial" w:hAnsi="Arial"/>
          <w:sz w:val="19"/>
          <w:szCs w:val="19"/>
          <w:i w:val="1"/>
          <w:iCs w:val="1"/>
          <w:color w:val="auto"/>
        </w:rPr>
        <w:t>Compensation Discussion and Analysis</w:t>
      </w:r>
      <w:r>
        <w:rPr>
          <w:rFonts w:ascii="Arial" w:cs="Arial" w:eastAsia="Arial" w:hAnsi="Arial"/>
          <w:sz w:val="19"/>
          <w:szCs w:val="19"/>
          <w:color w:val="auto"/>
        </w:rPr>
        <w:t xml:space="preserve"> included in this Proxy Statement with management. Based on their review and discussions, the MD&amp;C Committee recommended to the Board of Directors that the </w:t>
      </w:r>
      <w:r>
        <w:rPr>
          <w:rFonts w:ascii="Arial" w:cs="Arial" w:eastAsia="Arial" w:hAnsi="Arial"/>
          <w:sz w:val="19"/>
          <w:szCs w:val="19"/>
          <w:i w:val="1"/>
          <w:iCs w:val="1"/>
          <w:color w:val="auto"/>
        </w:rPr>
        <w:t>Compensation Discussion and Analysis</w:t>
      </w:r>
      <w:r>
        <w:rPr>
          <w:rFonts w:ascii="Arial" w:cs="Arial" w:eastAsia="Arial" w:hAnsi="Arial"/>
          <w:sz w:val="19"/>
          <w:szCs w:val="19"/>
          <w:color w:val="auto"/>
        </w:rPr>
        <w:t xml:space="preserve"> be included in the Company’s Proxy Statement.</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The Management Development and Compensation Committee of the Board of Directors</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20"/>
          <w:szCs w:val="20"/>
          <w:color w:val="auto"/>
        </w:rPr>
        <w:t xml:space="preserve">Andrés R. Gluski, </w:t>
      </w:r>
      <w:r>
        <w:rPr>
          <w:rFonts w:ascii="Arial" w:cs="Arial" w:eastAsia="Arial" w:hAnsi="Arial"/>
          <w:sz w:val="20"/>
          <w:szCs w:val="20"/>
          <w:i w:val="1"/>
          <w:iCs w:val="1"/>
          <w:color w:val="auto"/>
        </w:rPr>
        <w:t>Chair</w:t>
      </w:r>
    </w:p>
    <w:p>
      <w:pPr>
        <w:ind w:left="220"/>
        <w:spacing w:after="0"/>
        <w:rPr>
          <w:sz w:val="20"/>
          <w:szCs w:val="20"/>
          <w:color w:val="auto"/>
        </w:rPr>
      </w:pPr>
      <w:r>
        <w:rPr>
          <w:rFonts w:ascii="Arial" w:cs="Arial" w:eastAsia="Arial" w:hAnsi="Arial"/>
          <w:sz w:val="20"/>
          <w:szCs w:val="20"/>
          <w:color w:val="auto"/>
        </w:rPr>
        <w:t>Thomas L. Bené</w:t>
      </w:r>
    </w:p>
    <w:p>
      <w:pPr>
        <w:ind w:left="220"/>
        <w:spacing w:after="0"/>
        <w:rPr>
          <w:sz w:val="20"/>
          <w:szCs w:val="20"/>
          <w:color w:val="auto"/>
        </w:rPr>
      </w:pPr>
      <w:r>
        <w:rPr>
          <w:rFonts w:ascii="Arial" w:cs="Arial" w:eastAsia="Arial" w:hAnsi="Arial"/>
          <w:sz w:val="20"/>
          <w:szCs w:val="20"/>
          <w:color w:val="auto"/>
        </w:rPr>
        <w:t>Kathleen M. Mazzarella</w:t>
      </w:r>
    </w:p>
    <w:p>
      <w:pPr>
        <w:ind w:left="220"/>
        <w:spacing w:after="0" w:line="238" w:lineRule="auto"/>
        <w:rPr>
          <w:sz w:val="20"/>
          <w:szCs w:val="20"/>
          <w:color w:val="auto"/>
        </w:rPr>
      </w:pPr>
      <w:r>
        <w:rPr>
          <w:rFonts w:ascii="Arial" w:cs="Arial" w:eastAsia="Arial" w:hAnsi="Arial"/>
          <w:sz w:val="20"/>
          <w:szCs w:val="20"/>
          <w:color w:val="auto"/>
        </w:rPr>
        <w:t>William B. Plummer</w:t>
      </w:r>
    </w:p>
    <w:p>
      <w:pPr>
        <w:ind w:left="220"/>
        <w:spacing w:after="0"/>
        <w:rPr>
          <w:sz w:val="20"/>
          <w:szCs w:val="20"/>
          <w:color w:val="auto"/>
        </w:rPr>
      </w:pPr>
      <w:r>
        <w:rPr>
          <w:rFonts w:ascii="Arial" w:cs="Arial" w:eastAsia="Arial" w:hAnsi="Arial"/>
          <w:sz w:val="20"/>
          <w:szCs w:val="20"/>
          <w:color w:val="auto"/>
        </w:rPr>
        <w:t>Maryrose T. Sylvester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55245</wp:posOffset>
                </wp:positionV>
                <wp:extent cx="638619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pt,4.35pt" to="511.75pt,4.35pt" o:allowincell="f" strokecolor="#0E3C23" strokeweight="0.998pt"/>
            </w:pict>
          </mc:Fallback>
        </mc:AlternateContent>
      </w:r>
    </w:p>
    <w:p>
      <w:pPr>
        <w:sectPr>
          <w:pgSz w:w="13320" w:h="16920" w:orient="portrait"/>
          <w:cols w:equalWidth="0" w:num="1">
            <w:col w:w="104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10</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3">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4">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16" w:name="page17"/>
    <w:bookmarkEnd w:id="16"/>
    <w:p>
      <w:pPr>
        <w:ind w:left="8440"/>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211455</wp:posOffset>
                </wp:positionV>
                <wp:extent cx="6386830" cy="802132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830" cy="8021320"/>
                        </a:xfrm>
                        <a:prstGeom prst="rect">
                          <a:avLst/>
                        </a:prstGeom>
                        <a:solidFill>
                          <a:srgbClr val="E6E8DE"/>
                        </a:solidFill>
                      </wps:spPr>
                      <wps:bodyPr/>
                    </wps:wsp>
                  </a:graphicData>
                </a:graphic>
              </wp:anchor>
            </w:drawing>
          </mc:Choice>
          <mc:Fallback>
            <w:pict>
              <v:rect id="Shape 67" o:spid="_x0000_s1092" style="position:absolute;margin-left:8.9pt;margin-top:16.65pt;width:502.9pt;height:63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8DE" stroked="f"/>
            </w:pict>
          </mc:Fallback>
        </mc:AlternateContent>
        <mc:AlternateContent>
          <mc:Choice Requires="wps">
            <w:drawing>
              <wp:anchor simplePos="0" relativeHeight="251657728" behindDoc="1" locked="0" layoutInCell="0" allowOverlap="1">
                <wp:simplePos x="0" y="0"/>
                <wp:positionH relativeFrom="column">
                  <wp:posOffset>113030</wp:posOffset>
                </wp:positionH>
                <wp:positionV relativeFrom="paragraph">
                  <wp:posOffset>217170</wp:posOffset>
                </wp:positionV>
                <wp:extent cx="638619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pt,17.1pt" to="511.75pt,17.1pt" o:allowincell="f" strokecolor="#0E3C23" strokeweight="0.998pt"/>
            </w:pict>
          </mc:Fallback>
        </mc:AlternateContent>
      </w:r>
    </w:p>
    <w:p>
      <w:pPr>
        <w:spacing w:after="0" w:line="200" w:lineRule="exact"/>
        <w:rPr>
          <w:sz w:val="20"/>
          <w:szCs w:val="20"/>
          <w:color w:val="auto"/>
        </w:rPr>
      </w:pPr>
    </w:p>
    <w:p>
      <w:pPr>
        <w:spacing w:after="0" w:line="293" w:lineRule="exact"/>
        <w:rPr>
          <w:sz w:val="20"/>
          <w:szCs w:val="20"/>
          <w:color w:val="auto"/>
        </w:rPr>
      </w:pPr>
    </w:p>
    <w:p>
      <w:pPr>
        <w:ind w:left="220"/>
        <w:spacing w:after="0"/>
        <w:rPr>
          <w:sz w:val="20"/>
          <w:szCs w:val="20"/>
          <w:color w:val="auto"/>
        </w:rPr>
      </w:pPr>
      <w:r>
        <w:rPr>
          <w:rFonts w:ascii="Arial" w:cs="Arial" w:eastAsia="Arial" w:hAnsi="Arial"/>
          <w:sz w:val="27"/>
          <w:szCs w:val="27"/>
          <w:b w:val="1"/>
          <w:bCs w:val="1"/>
          <w:color w:val="auto"/>
        </w:rPr>
        <w:t>COMPENSATION COMMITTEE INTERLOCKS AND INSIDER PARTICIPATION</w:t>
      </w:r>
    </w:p>
    <w:p>
      <w:pPr>
        <w:spacing w:after="0" w:line="155" w:lineRule="exact"/>
        <w:rPr>
          <w:sz w:val="20"/>
          <w:szCs w:val="20"/>
          <w:color w:val="auto"/>
        </w:rPr>
      </w:pPr>
    </w:p>
    <w:p>
      <w:pPr>
        <w:jc w:val="both"/>
        <w:ind w:left="220" w:right="240"/>
        <w:spacing w:after="0" w:line="253" w:lineRule="auto"/>
        <w:rPr>
          <w:sz w:val="20"/>
          <w:szCs w:val="20"/>
          <w:color w:val="auto"/>
        </w:rPr>
      </w:pPr>
      <w:r>
        <w:rPr>
          <w:rFonts w:ascii="Arial" w:cs="Arial" w:eastAsia="Arial" w:hAnsi="Arial"/>
          <w:sz w:val="19"/>
          <w:szCs w:val="19"/>
          <w:color w:val="auto"/>
        </w:rPr>
        <w:t>During 2024, Ms. Mazzarella, Ms. Sylvester and Messrs. Bené, Gluski and Plummer served on the MD&amp;C Committee, as well as retired director Mr. John C. Pope. No member of the MD&amp;C Committee was an officer or employee of the Company during 2024; no member of the MD&amp;C Committee is a former officer of the Company; and during 2024, none of our executive officers served as a member of a board of directors or compensation committee of any entity that has one or more executive officers who serve on our Board of Directors or MD&amp;C Committee.</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28"/>
          <w:szCs w:val="28"/>
          <w:b w:val="1"/>
          <w:bCs w:val="1"/>
          <w:color w:val="auto"/>
        </w:rPr>
        <w:t>THE NOMINATING AND GOVERNANCE COMMITTEE</w:t>
      </w:r>
    </w:p>
    <w:p>
      <w:pPr>
        <w:sectPr>
          <w:pgSz w:w="13320" w:h="16920" w:orient="portrait"/>
          <w:cols w:equalWidth="0" w:num="1">
            <w:col w:w="10440"/>
          </w:cols>
          <w:pgMar w:left="1440" w:top="1232" w:right="1440" w:bottom="1036" w:gutter="0" w:footer="0" w:header="0"/>
        </w:sectPr>
      </w:pP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Members: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Meetings Held in 2024: 5</w:t>
      </w:r>
    </w:p>
    <w:p>
      <w:pPr>
        <w:spacing w:after="0" w:line="92" w:lineRule="exact"/>
        <w:rPr>
          <w:sz w:val="20"/>
          <w:szCs w:val="20"/>
          <w:color w:val="auto"/>
        </w:rPr>
      </w:pPr>
    </w:p>
    <w:p>
      <w:pPr>
        <w:sectPr>
          <w:pgSz w:w="13320" w:h="16920" w:orient="portrait"/>
          <w:cols w:equalWidth="0" w:num="2">
            <w:col w:w="5780" w:space="720"/>
            <w:col w:w="3940"/>
          </w:cols>
          <w:pgMar w:left="1440" w:top="1232" w:right="1440" w:bottom="1036" w:gutter="0" w:footer="0" w:header="0"/>
          <w:type w:val="continuous"/>
        </w:sectPr>
      </w:pPr>
    </w:p>
    <w:p>
      <w:pPr>
        <w:ind w:left="300" w:right="880"/>
        <w:spacing w:after="0" w:line="293" w:lineRule="auto"/>
        <w:rPr>
          <w:sz w:val="20"/>
          <w:szCs w:val="20"/>
          <w:color w:val="auto"/>
        </w:rPr>
      </w:pPr>
      <w:r>
        <w:rPr>
          <w:rFonts w:ascii="Arial" w:cs="Arial" w:eastAsia="Arial" w:hAnsi="Arial"/>
          <w:sz w:val="18"/>
          <w:szCs w:val="18"/>
          <w:b w:val="1"/>
          <w:bCs w:val="1"/>
          <w:color w:val="auto"/>
        </w:rPr>
        <w:t xml:space="preserve">Victoria M. Holt, </w:t>
      </w:r>
      <w:r>
        <w:rPr>
          <w:rFonts w:ascii="Arial" w:cs="Arial" w:eastAsia="Arial" w:hAnsi="Arial"/>
          <w:sz w:val="18"/>
          <w:szCs w:val="18"/>
          <w:b w:val="1"/>
          <w:bCs w:val="1"/>
          <w:i w:val="1"/>
          <w:iCs w:val="1"/>
          <w:color w:val="auto"/>
        </w:rPr>
        <w:t>Chair</w:t>
      </w:r>
      <w:r>
        <w:rPr>
          <w:rFonts w:ascii="Arial" w:cs="Arial" w:eastAsia="Arial" w:hAnsi="Arial"/>
          <w:sz w:val="18"/>
          <w:szCs w:val="18"/>
          <w:b w:val="1"/>
          <w:bCs w:val="1"/>
          <w:color w:val="auto"/>
        </w:rPr>
        <w:t xml:space="preserve"> Kathleen M. Mazzarella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Sean E. Menke</w:t>
      </w:r>
    </w:p>
    <w:p>
      <w:pPr>
        <w:spacing w:after="0"/>
        <w:rPr>
          <w:sz w:val="20"/>
          <w:szCs w:val="20"/>
          <w:color w:val="auto"/>
        </w:rPr>
      </w:pPr>
      <w:r>
        <w:rPr>
          <w:rFonts w:ascii="Arial" w:cs="Arial" w:eastAsia="Arial" w:hAnsi="Arial"/>
          <w:sz w:val="18"/>
          <w:szCs w:val="18"/>
          <w:b w:val="1"/>
          <w:bCs w:val="1"/>
          <w:color w:val="auto"/>
        </w:rPr>
        <w:t>Maryrose T. Sylvester</w:t>
      </w:r>
    </w:p>
    <w:p>
      <w:pPr>
        <w:spacing w:after="0" w:line="94" w:lineRule="exact"/>
        <w:rPr>
          <w:sz w:val="20"/>
          <w:szCs w:val="20"/>
          <w:color w:val="auto"/>
        </w:rPr>
      </w:pPr>
    </w:p>
    <w:p>
      <w:pPr>
        <w:sectPr>
          <w:pgSz w:w="13320" w:h="16920" w:orient="portrait"/>
          <w:cols w:equalWidth="0" w:num="2">
            <w:col w:w="3240" w:space="720"/>
            <w:col w:w="6480"/>
          </w:cols>
          <w:pgMar w:left="1440" w:top="1232" w:right="1440" w:bottom="1036" w:gutter="0" w:footer="0" w:header="0"/>
          <w:type w:val="continuous"/>
        </w:sectPr>
      </w:pPr>
    </w:p>
    <w:p>
      <w:pPr>
        <w:jc w:val="both"/>
        <w:ind w:left="220" w:right="240"/>
        <w:spacing w:after="0" w:line="237" w:lineRule="auto"/>
        <w:rPr>
          <w:sz w:val="20"/>
          <w:szCs w:val="20"/>
          <w:color w:val="auto"/>
        </w:rPr>
      </w:pPr>
      <w:r>
        <w:rPr>
          <w:rFonts w:ascii="Arial" w:cs="Arial" w:eastAsia="Arial" w:hAnsi="Arial"/>
          <w:sz w:val="20"/>
          <w:szCs w:val="20"/>
          <w:color w:val="auto"/>
        </w:rPr>
        <w:t>Ms. Holt was named Chair of our Nominating and Governance Committee in May 2023. Each member of our Nominating and Governance Committee is independent in accordance with the rules and regulations of the New York Stock Exchange.</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Key Functions</w:t>
      </w:r>
    </w:p>
    <w:p>
      <w:pPr>
        <w:spacing w:after="0" w:line="82" w:lineRule="exact"/>
        <w:rPr>
          <w:sz w:val="20"/>
          <w:szCs w:val="20"/>
          <w:color w:val="auto"/>
        </w:rPr>
      </w:pPr>
    </w:p>
    <w:p>
      <w:pPr>
        <w:jc w:val="both"/>
        <w:ind w:left="220" w:right="240"/>
        <w:spacing w:after="0" w:line="254" w:lineRule="auto"/>
        <w:rPr>
          <w:sz w:val="20"/>
          <w:szCs w:val="20"/>
          <w:color w:val="auto"/>
        </w:rPr>
      </w:pPr>
      <w:r>
        <w:rPr>
          <w:rFonts w:ascii="Arial" w:cs="Arial" w:eastAsia="Arial" w:hAnsi="Arial"/>
          <w:sz w:val="19"/>
          <w:szCs w:val="19"/>
          <w:color w:val="auto"/>
        </w:rPr>
        <w:t>The Nominating and Governance Committee has a written charter that has been approved by the Board of Directors and can be found by accessing the “Sustainability &amp; Governance — Corporate Governance” section of investors.wm.com. It is the duty of the Nominating and Governance Committee to oversee matters regarding corporate governance. In fulfilling its duties, the Nominating and Governance Committee has the following responsibilities:</w:t>
      </w:r>
    </w:p>
    <w:p>
      <w:pPr>
        <w:spacing w:after="0" w:line="93" w:lineRule="exact"/>
        <w:rPr>
          <w:sz w:val="20"/>
          <w:szCs w:val="20"/>
          <w:color w:val="auto"/>
        </w:rPr>
      </w:pPr>
    </w:p>
    <w:p>
      <w:pPr>
        <w:ind w:left="420" w:right="240" w:hanging="202"/>
        <w:spacing w:after="0" w:line="236" w:lineRule="auto"/>
        <w:tabs>
          <w:tab w:leader="none" w:pos="420" w:val="left"/>
        </w:tabs>
        <w:numPr>
          <w:ilvl w:val="0"/>
          <w:numId w:val="8"/>
        </w:numPr>
        <w:rPr>
          <w:rFonts w:ascii="Arial" w:cs="Arial" w:eastAsia="Arial" w:hAnsi="Arial"/>
          <w:sz w:val="20"/>
          <w:szCs w:val="20"/>
          <w:color w:val="0E3C23"/>
        </w:rPr>
      </w:pPr>
      <w:r>
        <w:rPr>
          <w:rFonts w:ascii="Arial" w:cs="Arial" w:eastAsia="Arial" w:hAnsi="Arial"/>
          <w:sz w:val="20"/>
          <w:szCs w:val="20"/>
          <w:color w:val="auto"/>
        </w:rPr>
        <w:t>Review and recommend the composition of our Board, and the nature and duties of each of our committees, in accordance with our Corporate Governance Guidelines;</w:t>
      </w:r>
    </w:p>
    <w:p>
      <w:pPr>
        <w:spacing w:after="0" w:line="100" w:lineRule="exact"/>
        <w:rPr>
          <w:rFonts w:ascii="Arial" w:cs="Arial" w:eastAsia="Arial" w:hAnsi="Arial"/>
          <w:sz w:val="20"/>
          <w:szCs w:val="20"/>
          <w:color w:val="0E3C23"/>
        </w:rPr>
      </w:pPr>
    </w:p>
    <w:p>
      <w:pPr>
        <w:ind w:left="420" w:hanging="202"/>
        <w:spacing w:after="0"/>
        <w:tabs>
          <w:tab w:leader="none" w:pos="420" w:val="left"/>
        </w:tabs>
        <w:numPr>
          <w:ilvl w:val="0"/>
          <w:numId w:val="8"/>
        </w:numPr>
        <w:rPr>
          <w:rFonts w:ascii="Arial" w:cs="Arial" w:eastAsia="Arial" w:hAnsi="Arial"/>
          <w:sz w:val="20"/>
          <w:szCs w:val="20"/>
          <w:color w:val="0E3C23"/>
        </w:rPr>
      </w:pPr>
      <w:r>
        <w:rPr>
          <w:rFonts w:ascii="Arial" w:cs="Arial" w:eastAsia="Arial" w:hAnsi="Arial"/>
          <w:sz w:val="20"/>
          <w:szCs w:val="20"/>
          <w:color w:val="auto"/>
        </w:rPr>
        <w:t>Evaluate the charters of each of the committees and recommend directors to serve as committee chairs;</w:t>
      </w:r>
    </w:p>
    <w:p>
      <w:pPr>
        <w:spacing w:after="0" w:line="104" w:lineRule="exact"/>
        <w:rPr>
          <w:rFonts w:ascii="Arial" w:cs="Arial" w:eastAsia="Arial" w:hAnsi="Arial"/>
          <w:sz w:val="20"/>
          <w:szCs w:val="20"/>
          <w:color w:val="0E3C23"/>
        </w:rPr>
      </w:pPr>
    </w:p>
    <w:p>
      <w:pPr>
        <w:ind w:left="420" w:right="240" w:hanging="202"/>
        <w:spacing w:after="0" w:line="236" w:lineRule="auto"/>
        <w:tabs>
          <w:tab w:leader="none" w:pos="420" w:val="left"/>
        </w:tabs>
        <w:numPr>
          <w:ilvl w:val="0"/>
          <w:numId w:val="8"/>
        </w:numPr>
        <w:rPr>
          <w:rFonts w:ascii="Arial" w:cs="Arial" w:eastAsia="Arial" w:hAnsi="Arial"/>
          <w:sz w:val="20"/>
          <w:szCs w:val="20"/>
          <w:color w:val="0E3C23"/>
        </w:rPr>
      </w:pPr>
      <w:r>
        <w:rPr>
          <w:rFonts w:ascii="Arial" w:cs="Arial" w:eastAsia="Arial" w:hAnsi="Arial"/>
          <w:sz w:val="20"/>
          <w:szCs w:val="20"/>
          <w:color w:val="auto"/>
        </w:rPr>
        <w:t>Review individual director’s performance in consultation with the Chair of the Board and review the overall effectiveness of the Board;</w:t>
      </w:r>
    </w:p>
    <w:p>
      <w:pPr>
        <w:spacing w:after="0" w:line="106" w:lineRule="exact"/>
        <w:rPr>
          <w:rFonts w:ascii="Arial" w:cs="Arial" w:eastAsia="Arial" w:hAnsi="Arial"/>
          <w:sz w:val="20"/>
          <w:szCs w:val="20"/>
          <w:color w:val="0E3C23"/>
        </w:rPr>
      </w:pPr>
    </w:p>
    <w:p>
      <w:pPr>
        <w:ind w:left="420" w:right="240" w:hanging="202"/>
        <w:spacing w:after="0" w:line="236" w:lineRule="auto"/>
        <w:tabs>
          <w:tab w:leader="none" w:pos="420" w:val="left"/>
        </w:tabs>
        <w:numPr>
          <w:ilvl w:val="0"/>
          <w:numId w:val="8"/>
        </w:numPr>
        <w:rPr>
          <w:rFonts w:ascii="Arial" w:cs="Arial" w:eastAsia="Arial" w:hAnsi="Arial"/>
          <w:sz w:val="20"/>
          <w:szCs w:val="20"/>
          <w:color w:val="0E3C23"/>
        </w:rPr>
      </w:pPr>
      <w:r>
        <w:rPr>
          <w:rFonts w:ascii="Arial" w:cs="Arial" w:eastAsia="Arial" w:hAnsi="Arial"/>
          <w:sz w:val="20"/>
          <w:szCs w:val="20"/>
          <w:color w:val="auto"/>
        </w:rPr>
        <w:t>Recommend retirement policies for the Board, the terms for directors and the proper ratio of employee directors to non-employee directors;</w:t>
      </w:r>
    </w:p>
    <w:p>
      <w:pPr>
        <w:spacing w:after="0" w:line="106" w:lineRule="exact"/>
        <w:rPr>
          <w:rFonts w:ascii="Arial" w:cs="Arial" w:eastAsia="Arial" w:hAnsi="Arial"/>
          <w:sz w:val="20"/>
          <w:szCs w:val="20"/>
          <w:color w:val="0E3C23"/>
        </w:rPr>
      </w:pPr>
    </w:p>
    <w:p>
      <w:pPr>
        <w:ind w:left="420" w:right="240" w:hanging="202"/>
        <w:spacing w:after="0" w:line="236" w:lineRule="auto"/>
        <w:tabs>
          <w:tab w:leader="none" w:pos="420" w:val="left"/>
        </w:tabs>
        <w:numPr>
          <w:ilvl w:val="0"/>
          <w:numId w:val="8"/>
        </w:numPr>
        <w:rPr>
          <w:rFonts w:ascii="Arial" w:cs="Arial" w:eastAsia="Arial" w:hAnsi="Arial"/>
          <w:sz w:val="20"/>
          <w:szCs w:val="20"/>
          <w:color w:val="0E3C23"/>
        </w:rPr>
      </w:pPr>
      <w:r>
        <w:rPr>
          <w:rFonts w:ascii="Arial" w:cs="Arial" w:eastAsia="Arial" w:hAnsi="Arial"/>
          <w:sz w:val="20"/>
          <w:szCs w:val="20"/>
          <w:color w:val="auto"/>
        </w:rPr>
        <w:t>Perform an annual review of its performance relative to its charter and report the results of its evaluation to the full Board;</w:t>
      </w:r>
    </w:p>
    <w:p>
      <w:pPr>
        <w:spacing w:after="0" w:line="106" w:lineRule="exact"/>
        <w:rPr>
          <w:rFonts w:ascii="Arial" w:cs="Arial" w:eastAsia="Arial" w:hAnsi="Arial"/>
          <w:sz w:val="20"/>
          <w:szCs w:val="20"/>
          <w:color w:val="0E3C23"/>
        </w:rPr>
      </w:pPr>
    </w:p>
    <w:p>
      <w:pPr>
        <w:ind w:left="420" w:right="240" w:hanging="202"/>
        <w:spacing w:after="0" w:line="236" w:lineRule="auto"/>
        <w:tabs>
          <w:tab w:leader="none" w:pos="420" w:val="left"/>
        </w:tabs>
        <w:numPr>
          <w:ilvl w:val="0"/>
          <w:numId w:val="8"/>
        </w:numPr>
        <w:rPr>
          <w:rFonts w:ascii="Arial" w:cs="Arial" w:eastAsia="Arial" w:hAnsi="Arial"/>
          <w:sz w:val="20"/>
          <w:szCs w:val="20"/>
          <w:color w:val="0E3C23"/>
        </w:rPr>
      </w:pPr>
      <w:r>
        <w:rPr>
          <w:rFonts w:ascii="Arial" w:cs="Arial" w:eastAsia="Arial" w:hAnsi="Arial"/>
          <w:sz w:val="20"/>
          <w:szCs w:val="20"/>
          <w:color w:val="auto"/>
        </w:rPr>
        <w:t>Review stockholder proposals received for inclusion in the Company’s proxy statement and recommend action to be taken with regard to the proposals to the Board; and</w:t>
      </w:r>
    </w:p>
    <w:p>
      <w:pPr>
        <w:spacing w:after="0" w:line="100" w:lineRule="exact"/>
        <w:rPr>
          <w:rFonts w:ascii="Arial" w:cs="Arial" w:eastAsia="Arial" w:hAnsi="Arial"/>
          <w:sz w:val="20"/>
          <w:szCs w:val="20"/>
          <w:color w:val="0E3C23"/>
        </w:rPr>
      </w:pPr>
    </w:p>
    <w:p>
      <w:pPr>
        <w:ind w:left="420" w:hanging="202"/>
        <w:spacing w:after="0"/>
        <w:tabs>
          <w:tab w:leader="none" w:pos="420" w:val="left"/>
        </w:tabs>
        <w:numPr>
          <w:ilvl w:val="0"/>
          <w:numId w:val="8"/>
        </w:numPr>
        <w:rPr>
          <w:rFonts w:ascii="Arial" w:cs="Arial" w:eastAsia="Arial" w:hAnsi="Arial"/>
          <w:sz w:val="20"/>
          <w:szCs w:val="20"/>
          <w:color w:val="0E3C23"/>
        </w:rPr>
      </w:pPr>
      <w:r>
        <w:rPr>
          <w:rFonts w:ascii="Arial" w:cs="Arial" w:eastAsia="Arial" w:hAnsi="Arial"/>
          <w:sz w:val="20"/>
          <w:szCs w:val="20"/>
          <w:color w:val="auto"/>
        </w:rPr>
        <w:t>Identify and recommend to the Board candidates to fill director vacancies.</w:t>
      </w:r>
    </w:p>
    <w:p>
      <w:pPr>
        <w:spacing w:after="0" w:line="85" w:lineRule="exact"/>
        <w:rPr>
          <w:sz w:val="20"/>
          <w:szCs w:val="20"/>
          <w:color w:val="auto"/>
        </w:rPr>
      </w:pPr>
    </w:p>
    <w:p>
      <w:pPr>
        <w:jc w:val="both"/>
        <w:ind w:left="220" w:right="240"/>
        <w:spacing w:after="0" w:line="238" w:lineRule="auto"/>
        <w:rPr>
          <w:sz w:val="20"/>
          <w:szCs w:val="20"/>
          <w:color w:val="auto"/>
        </w:rPr>
      </w:pPr>
      <w:r>
        <w:rPr>
          <w:rFonts w:ascii="Arial" w:cs="Arial" w:eastAsia="Arial" w:hAnsi="Arial"/>
          <w:sz w:val="20"/>
          <w:szCs w:val="20"/>
          <w:color w:val="auto"/>
        </w:rPr>
        <w:t>The Nominating and Governance Committee is continually engaged in reviewing the skills, expertise and qualifications of our existing directors, as well as potential external candidates, to identify and nominate the best possible candidates to guide and support the Company’s strategy and its commitment to serve and care for our customers, the environment, the communities in which we work and our stockholders. This is a process that the Nominating and Governance Committee believes should continue to involve significant subjective judgments.</w:t>
      </w:r>
    </w:p>
    <w:p>
      <w:pPr>
        <w:spacing w:after="0" w:line="87" w:lineRule="exact"/>
        <w:rPr>
          <w:sz w:val="20"/>
          <w:szCs w:val="20"/>
          <w:color w:val="auto"/>
        </w:rPr>
      </w:pPr>
    </w:p>
    <w:p>
      <w:pPr>
        <w:jc w:val="both"/>
        <w:ind w:left="220" w:right="240"/>
        <w:spacing w:after="0" w:line="252" w:lineRule="auto"/>
        <w:rPr>
          <w:sz w:val="20"/>
          <w:szCs w:val="20"/>
          <w:color w:val="auto"/>
        </w:rPr>
      </w:pPr>
      <w:r>
        <w:rPr>
          <w:rFonts w:ascii="Arial" w:cs="Arial" w:eastAsia="Arial" w:hAnsi="Arial"/>
          <w:sz w:val="19"/>
          <w:szCs w:val="19"/>
          <w:color w:val="auto"/>
        </w:rPr>
        <w:t>The Nominating and Governance Committee considers current and future needs of the Board as a whole and reviews a matrix of experience, skills and expertise to inform nominee criteria. The Committee recommends individuals as nominees based on an evaluation of all factors deemed relevant, including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The Committee seeks diversity of background, thoughts and opinions on the Board obtained through, among other factors, diversity in business experience, professional expertise, gender and racial / ethnic background. The Nominating and Governance Committee has considered the gender and racial / ethnic composition of our Board, including the presence of three women, Mr. Plummer’s and Mr. Chinn’s self-identification as African American / Black and Mr. Gluski’s self-identification as Hispanic, and believes these factors, among numerous others, contribute to a valuable diversity of background, thoughts and opinions on our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52705</wp:posOffset>
                </wp:positionV>
                <wp:extent cx="638619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pt,4.15pt" to="511.75pt,4.15pt" o:allowincell="f" strokecolor="#0E3C23" strokeweight="0.99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200"/>
        <w:spacing w:after="0"/>
        <w:tabs>
          <w:tab w:leader="none" w:pos="48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-207010</wp:posOffset>
            </wp:positionV>
            <wp:extent cx="538480" cy="161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5">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17" w:name="page18"/>
    <w:bookmarkEnd w:id="17"/>
    <w:p>
      <w:pPr>
        <w:ind w:left="180"/>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160020</wp:posOffset>
                </wp:positionV>
                <wp:extent cx="6386830" cy="3110865"/>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830" cy="3110865"/>
                        </a:xfrm>
                        <a:prstGeom prst="rect">
                          <a:avLst/>
                        </a:prstGeom>
                        <a:solidFill>
                          <a:srgbClr val="E6E8DE"/>
                        </a:solidFill>
                      </wps:spPr>
                      <wps:bodyPr/>
                    </wps:wsp>
                  </a:graphicData>
                </a:graphic>
              </wp:anchor>
            </w:drawing>
          </mc:Choice>
          <mc:Fallback>
            <w:pict>
              <v:rect id="Shape 72" o:spid="_x0000_s1097" style="position:absolute;margin-left:8.9pt;margin-top:12.6pt;width:502.9pt;height:24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8DE" stroked="f"/>
            </w:pict>
          </mc:Fallback>
        </mc:AlternateContent>
        <mc:AlternateContent>
          <mc:Choice Requires="wps">
            <w:drawing>
              <wp:anchor simplePos="0" relativeHeight="251657728" behindDoc="1" locked="0" layoutInCell="0" allowOverlap="1">
                <wp:simplePos x="0" y="0"/>
                <wp:positionH relativeFrom="column">
                  <wp:posOffset>113030</wp:posOffset>
                </wp:positionH>
                <wp:positionV relativeFrom="paragraph">
                  <wp:posOffset>166370</wp:posOffset>
                </wp:positionV>
                <wp:extent cx="638619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pt,13.1pt" to="511.75pt,13.1pt" o:allowincell="f" strokecolor="#0E3C23" strokeweight="0.998pt"/>
            </w:pict>
          </mc:Fallback>
        </mc:AlternateContent>
      </w:r>
    </w:p>
    <w:p>
      <w:pPr>
        <w:spacing w:after="0" w:line="329" w:lineRule="exact"/>
        <w:rPr>
          <w:sz w:val="20"/>
          <w:szCs w:val="20"/>
          <w:color w:val="auto"/>
        </w:rPr>
      </w:pPr>
    </w:p>
    <w:p>
      <w:pPr>
        <w:jc w:val="both"/>
        <w:ind w:left="220" w:right="240"/>
        <w:spacing w:after="0" w:line="252" w:lineRule="auto"/>
        <w:rPr>
          <w:sz w:val="20"/>
          <w:szCs w:val="20"/>
          <w:color w:val="auto"/>
        </w:rPr>
      </w:pPr>
      <w:r>
        <w:rPr>
          <w:rFonts w:ascii="Arial" w:cs="Arial" w:eastAsia="Arial" w:hAnsi="Arial"/>
          <w:sz w:val="19"/>
          <w:szCs w:val="19"/>
          <w:color w:val="auto"/>
        </w:rPr>
        <w:t>When nominating or re-nominating individuals to serve as directors of the Company, the Nominating and Governance Committee also considers prior contributions to the Board, evaluation feedback, tenure and age of the Board as a whole and tenure and age of the individual. The Nominating and Governance Committee takes into account the nature and extent of the directors’ other commitments when determining whether to re-nominate that individual for election to the Board. In addition to complying with the limitations on public company board memberships set forth in the Corporate Governance Guidelines, the Committee expects each director to ensure that his or her other commitments do not interfere with his or her duties as a director of the Company. The Committee’s primary formal mechanism to support Board refreshment is the retirement age policy set forth in the Corporate Governance Guidelines, which includes the guideline that directors will not stand for reelection to the Board after reaching age 75 unless the Nominating and Governance Committee, having considered the foregoing factors, recommends otherwise. The Committee believes that existing practices have been effective at bringing in new expertise and perspectives, while also maintaining the valuable industry knowledge, experience and stability that our longer-tenured directors provide.</w:t>
      </w:r>
    </w:p>
    <w:p>
      <w:pPr>
        <w:spacing w:after="0" w:line="121" w:lineRule="exact"/>
        <w:rPr>
          <w:sz w:val="20"/>
          <w:szCs w:val="20"/>
          <w:color w:val="auto"/>
        </w:rPr>
      </w:pPr>
    </w:p>
    <w:p>
      <w:pPr>
        <w:jc w:val="both"/>
        <w:ind w:left="220" w:right="240"/>
        <w:spacing w:after="0" w:line="253" w:lineRule="auto"/>
        <w:rPr>
          <w:sz w:val="20"/>
          <w:szCs w:val="20"/>
          <w:color w:val="auto"/>
        </w:rPr>
      </w:pPr>
      <w:r>
        <w:rPr>
          <w:rFonts w:ascii="Arial" w:cs="Arial" w:eastAsia="Arial" w:hAnsi="Arial"/>
          <w:sz w:val="19"/>
          <w:szCs w:val="19"/>
          <w:color w:val="auto"/>
        </w:rPr>
        <w:t>The Nominating and Governance Committee will consider all potential nominees on their merits, regardless of source, and welcomes suggestions from directors, members of management, and stockholders. Before being recommended for nomination by the Committee, director candidates are interviewed by the Chief Executive Officer, the Chair of the Nominating and Governance Committee, and the Non-Executive Chair of the Board, as well as additional members of the Board and an external consultant. To suggest a nominee for consideration by the Nominating and Governance Committee, you should submit your candidate’s name, together with biographical information and his or her written consent to nomination to the Chair of the Nominating and Governance Committee, Waste Management, Inc., 800 Capitol Street, Suite 3000, Houston, Texas 77002, between November 2, 2025 and December 2,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47625</wp:posOffset>
                </wp:positionV>
                <wp:extent cx="638619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pt,3.75pt" to="511.75pt,3.75pt" o:allowincell="f" strokecolor="#0E3C23" strokeweight="0.998pt"/>
            </w:pict>
          </mc:Fallback>
        </mc:AlternateConten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0E3C23"/>
        </w:rPr>
        <w:t>Related Party Transactions</w:t>
      </w:r>
    </w:p>
    <w:p>
      <w:pPr>
        <w:spacing w:after="0" w:line="147" w:lineRule="exact"/>
        <w:rPr>
          <w:sz w:val="20"/>
          <w:szCs w:val="20"/>
          <w:color w:val="auto"/>
        </w:rPr>
      </w:pPr>
    </w:p>
    <w:p>
      <w:pPr>
        <w:jc w:val="both"/>
        <w:ind w:left="180" w:right="200"/>
        <w:spacing w:after="0" w:line="263" w:lineRule="auto"/>
        <w:rPr>
          <w:sz w:val="20"/>
          <w:szCs w:val="20"/>
          <w:color w:val="auto"/>
        </w:rPr>
      </w:pPr>
      <w:r>
        <w:rPr>
          <w:rFonts w:ascii="Arial" w:cs="Arial" w:eastAsia="Arial" w:hAnsi="Arial"/>
          <w:sz w:val="19"/>
          <w:szCs w:val="19"/>
          <w:color w:val="auto"/>
        </w:rPr>
        <w:t>The Board of Directors has adopted a written Related Party Transactions Policy for the review and approval of related party transactions. Our policy generally defines related party transactions as current or proposed transactions since the beginning of the last fiscal year in excess of $120,000 in which (a) the Company is a participant and (b) any director; executive officer; immediate family member of any director or executive officer; or party known to be the owner of more than 5% of the Company’s Common Stock has a direct or indirect material interest. In addition, the policy sets forth certain transactions that will not be considered related party transactions, including (a) executive officer compensation and benefit arrangements; (b) director compensation arrangements; (c) business travel and expenses, advances and reimbursements in the ordinary course of business; (d) indemnification payments and advancement of expenses, and payments under directors’ and officers’ indemnification insurance policies; (e) any transaction between the Company and any entity in which a related party has a relationship solely as a director; a less than 5% equity holder; a beneficial owner of the Company’s Common Stock that reports such ownership on a Schedule 13G due to lack of control or intent to influence control; or an employee (other than an executive officer) and (f) purchases of Company debt securities, provided that the related party has a passive ownership of no more than 2% of the principal amount of any outstanding series. The Nominating and Governance Committee is responsible for overseeing the policy.</w:t>
      </w:r>
    </w:p>
    <w:p>
      <w:pPr>
        <w:spacing w:after="0" w:line="120" w:lineRule="exact"/>
        <w:rPr>
          <w:sz w:val="20"/>
          <w:szCs w:val="20"/>
          <w:color w:val="auto"/>
        </w:rPr>
      </w:pPr>
    </w:p>
    <w:p>
      <w:pPr>
        <w:jc w:val="both"/>
        <w:ind w:left="180" w:right="200"/>
        <w:spacing w:after="0" w:line="249" w:lineRule="auto"/>
        <w:rPr>
          <w:sz w:val="20"/>
          <w:szCs w:val="20"/>
          <w:color w:val="auto"/>
        </w:rPr>
      </w:pPr>
      <w:r>
        <w:rPr>
          <w:rFonts w:ascii="Arial" w:cs="Arial" w:eastAsia="Arial" w:hAnsi="Arial"/>
          <w:sz w:val="20"/>
          <w:szCs w:val="20"/>
          <w:color w:val="auto"/>
        </w:rPr>
        <w:t>All executive officers and directors are required to notify the Chief Legal Officer as soon as practicable of any potential related party transaction that involves the Company. The Chief Legal Officer will determine whether such transaction or relationship constitutes a related party transaction that must be referred to the Nominating and Governance Committee. In the event that the Chief Legal Officer is a participant in a potential related party transaction, the determination whether the transaction must be referred to the Nominating and Governance Committee shall be made by the Chief Executive Officer, with consultation from the Corporate Secretary and the Chief Compliance and Ethics Officer. Any member of the Committee who has an interest in a transaction presented for consideration will abstain from voting on the related party transaction.</w:t>
      </w:r>
    </w:p>
    <w:p>
      <w:pPr>
        <w:spacing w:after="0" w:line="127" w:lineRule="exact"/>
        <w:rPr>
          <w:sz w:val="20"/>
          <w:szCs w:val="20"/>
          <w:color w:val="auto"/>
        </w:rPr>
      </w:pPr>
    </w:p>
    <w:p>
      <w:pPr>
        <w:jc w:val="both"/>
        <w:ind w:left="180" w:right="200"/>
        <w:spacing w:after="0" w:line="246" w:lineRule="auto"/>
        <w:rPr>
          <w:sz w:val="20"/>
          <w:szCs w:val="20"/>
          <w:color w:val="auto"/>
        </w:rPr>
      </w:pPr>
      <w:r>
        <w:rPr>
          <w:rFonts w:ascii="Arial" w:cs="Arial" w:eastAsia="Arial" w:hAnsi="Arial"/>
          <w:sz w:val="20"/>
          <w:szCs w:val="20"/>
          <w:color w:val="auto"/>
        </w:rPr>
        <w:t>The Nominating and Governance Committee will review a detailed description of the transaction, including the terms of the transaction; the business purpose of the transaction; the benefits to the Company and to the relevant related party; and whether the transaction would require a waiver of the Company’s Code of Conduct.</w:t>
      </w:r>
    </w:p>
    <w:p>
      <w:pPr>
        <w:sectPr>
          <w:pgSz w:w="13320" w:h="16920" w:orient="portrait"/>
          <w:cols w:equalWidth="0" w:num="1">
            <w:col w:w="104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6">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7">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18" w:name="page19"/>
    <w:bookmarkEnd w:id="18"/>
    <w:p>
      <w:pPr>
        <w:ind w:left="8440"/>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BOARD OF DIRECTORS</w:t>
      </w:r>
    </w:p>
    <w:p>
      <w:pPr>
        <w:spacing w:after="0" w:line="290" w:lineRule="exact"/>
        <w:rPr>
          <w:sz w:val="20"/>
          <w:szCs w:val="20"/>
          <w:color w:val="auto"/>
        </w:rPr>
      </w:pPr>
    </w:p>
    <w:p>
      <w:pPr>
        <w:ind w:left="180" w:right="200"/>
        <w:spacing w:after="0" w:line="244" w:lineRule="auto"/>
        <w:rPr>
          <w:sz w:val="20"/>
          <w:szCs w:val="20"/>
          <w:color w:val="auto"/>
        </w:rPr>
      </w:pPr>
      <w:r>
        <w:rPr>
          <w:rFonts w:ascii="Arial" w:cs="Arial" w:eastAsia="Arial" w:hAnsi="Arial"/>
          <w:sz w:val="20"/>
          <w:szCs w:val="20"/>
          <w:color w:val="auto"/>
        </w:rPr>
        <w:t>In determining whether to approve a related party transaction, the Nominating and Governance Committee will consider, among other things, the following factors:</w:t>
      </w:r>
    </w:p>
    <w:p>
      <w:pPr>
        <w:spacing w:after="0" w:line="131" w:lineRule="exact"/>
        <w:rPr>
          <w:sz w:val="20"/>
          <w:szCs w:val="20"/>
          <w:color w:val="auto"/>
        </w:rPr>
      </w:pPr>
    </w:p>
    <w:p>
      <w:pPr>
        <w:ind w:left="780" w:right="200" w:hanging="203"/>
        <w:spacing w:after="0" w:line="244" w:lineRule="auto"/>
        <w:tabs>
          <w:tab w:leader="none" w:pos="780" w:val="left"/>
        </w:tabs>
        <w:numPr>
          <w:ilvl w:val="0"/>
          <w:numId w:val="9"/>
        </w:numPr>
        <w:rPr>
          <w:rFonts w:ascii="Arial" w:cs="Arial" w:eastAsia="Arial" w:hAnsi="Arial"/>
          <w:sz w:val="20"/>
          <w:szCs w:val="20"/>
          <w:color w:val="0E3C23"/>
        </w:rPr>
      </w:pPr>
      <w:r>
        <w:rPr>
          <w:rFonts w:ascii="Arial" w:cs="Arial" w:eastAsia="Arial" w:hAnsi="Arial"/>
          <w:sz w:val="20"/>
          <w:szCs w:val="20"/>
          <w:color w:val="auto"/>
        </w:rPr>
        <w:t>whether the terms of the related party transaction are fair to the Company and such terms would be reasonable in an arms-length transaction;</w:t>
      </w:r>
    </w:p>
    <w:p>
      <w:pPr>
        <w:spacing w:after="0" w:line="125" w:lineRule="exact"/>
        <w:rPr>
          <w:rFonts w:ascii="Arial" w:cs="Arial" w:eastAsia="Arial" w:hAnsi="Arial"/>
          <w:sz w:val="20"/>
          <w:szCs w:val="20"/>
          <w:color w:val="0E3C23"/>
        </w:rPr>
      </w:pPr>
    </w:p>
    <w:p>
      <w:pPr>
        <w:ind w:left="780" w:hanging="203"/>
        <w:spacing w:after="0"/>
        <w:tabs>
          <w:tab w:leader="none" w:pos="780" w:val="left"/>
        </w:tabs>
        <w:numPr>
          <w:ilvl w:val="0"/>
          <w:numId w:val="9"/>
        </w:numPr>
        <w:rPr>
          <w:rFonts w:ascii="Arial" w:cs="Arial" w:eastAsia="Arial" w:hAnsi="Arial"/>
          <w:sz w:val="20"/>
          <w:szCs w:val="20"/>
          <w:color w:val="0E3C23"/>
        </w:rPr>
      </w:pPr>
      <w:r>
        <w:rPr>
          <w:rFonts w:ascii="Arial" w:cs="Arial" w:eastAsia="Arial" w:hAnsi="Arial"/>
          <w:sz w:val="20"/>
          <w:szCs w:val="20"/>
          <w:color w:val="auto"/>
        </w:rPr>
        <w:t>whether there are business reasons for the Company to enter into the related party transaction;</w:t>
      </w:r>
    </w:p>
    <w:p>
      <w:pPr>
        <w:spacing w:after="0" w:line="129" w:lineRule="exact"/>
        <w:rPr>
          <w:rFonts w:ascii="Arial" w:cs="Arial" w:eastAsia="Arial" w:hAnsi="Arial"/>
          <w:sz w:val="20"/>
          <w:szCs w:val="20"/>
          <w:color w:val="0E3C23"/>
        </w:rPr>
      </w:pPr>
    </w:p>
    <w:p>
      <w:pPr>
        <w:ind w:left="780" w:hanging="203"/>
        <w:spacing w:after="0"/>
        <w:tabs>
          <w:tab w:leader="none" w:pos="780" w:val="left"/>
        </w:tabs>
        <w:numPr>
          <w:ilvl w:val="0"/>
          <w:numId w:val="9"/>
        </w:numPr>
        <w:rPr>
          <w:rFonts w:ascii="Arial" w:cs="Arial" w:eastAsia="Arial" w:hAnsi="Arial"/>
          <w:sz w:val="20"/>
          <w:szCs w:val="20"/>
          <w:color w:val="0E3C23"/>
        </w:rPr>
      </w:pPr>
      <w:r>
        <w:rPr>
          <w:rFonts w:ascii="Arial" w:cs="Arial" w:eastAsia="Arial" w:hAnsi="Arial"/>
          <w:sz w:val="20"/>
          <w:szCs w:val="20"/>
          <w:color w:val="auto"/>
        </w:rPr>
        <w:t>whether the related party transaction would impair the independence of any non-employee director;</w:t>
      </w:r>
    </w:p>
    <w:p>
      <w:pPr>
        <w:spacing w:after="0" w:line="134" w:lineRule="exact"/>
        <w:rPr>
          <w:rFonts w:ascii="Arial" w:cs="Arial" w:eastAsia="Arial" w:hAnsi="Arial"/>
          <w:sz w:val="20"/>
          <w:szCs w:val="20"/>
          <w:color w:val="0E3C23"/>
        </w:rPr>
      </w:pPr>
    </w:p>
    <w:p>
      <w:pPr>
        <w:ind w:left="780" w:right="200" w:hanging="203"/>
        <w:spacing w:after="0" w:line="244" w:lineRule="auto"/>
        <w:tabs>
          <w:tab w:leader="none" w:pos="780" w:val="left"/>
        </w:tabs>
        <w:numPr>
          <w:ilvl w:val="0"/>
          <w:numId w:val="9"/>
        </w:numPr>
        <w:rPr>
          <w:rFonts w:ascii="Arial" w:cs="Arial" w:eastAsia="Arial" w:hAnsi="Arial"/>
          <w:sz w:val="20"/>
          <w:szCs w:val="20"/>
          <w:color w:val="0E3C23"/>
        </w:rPr>
      </w:pPr>
      <w:r>
        <w:rPr>
          <w:rFonts w:ascii="Arial" w:cs="Arial" w:eastAsia="Arial" w:hAnsi="Arial"/>
          <w:sz w:val="20"/>
          <w:szCs w:val="20"/>
          <w:color w:val="auto"/>
        </w:rPr>
        <w:t>whether the related party transaction would present an improper conflict of interest for any director or executive officer of the Company; and</w:t>
      </w:r>
    </w:p>
    <w:p>
      <w:pPr>
        <w:spacing w:after="0" w:line="125" w:lineRule="exact"/>
        <w:rPr>
          <w:rFonts w:ascii="Arial" w:cs="Arial" w:eastAsia="Arial" w:hAnsi="Arial"/>
          <w:sz w:val="20"/>
          <w:szCs w:val="20"/>
          <w:color w:val="0E3C23"/>
        </w:rPr>
      </w:pPr>
    </w:p>
    <w:p>
      <w:pPr>
        <w:ind w:left="780" w:hanging="203"/>
        <w:spacing w:after="0"/>
        <w:tabs>
          <w:tab w:leader="none" w:pos="780" w:val="left"/>
        </w:tabs>
        <w:numPr>
          <w:ilvl w:val="0"/>
          <w:numId w:val="9"/>
        </w:numPr>
        <w:rPr>
          <w:rFonts w:ascii="Arial" w:cs="Arial" w:eastAsia="Arial" w:hAnsi="Arial"/>
          <w:sz w:val="20"/>
          <w:szCs w:val="20"/>
          <w:color w:val="0E3C23"/>
        </w:rPr>
      </w:pPr>
      <w:r>
        <w:rPr>
          <w:rFonts w:ascii="Arial" w:cs="Arial" w:eastAsia="Arial" w:hAnsi="Arial"/>
          <w:sz w:val="20"/>
          <w:szCs w:val="20"/>
          <w:color w:val="auto"/>
        </w:rPr>
        <w:t>whether the related party transaction is material to the Company or the individual.</w:t>
      </w:r>
    </w:p>
    <w:p>
      <w:pPr>
        <w:spacing w:after="0" w:line="135" w:lineRule="exact"/>
        <w:rPr>
          <w:sz w:val="20"/>
          <w:szCs w:val="20"/>
          <w:color w:val="auto"/>
        </w:rPr>
      </w:pPr>
    </w:p>
    <w:p>
      <w:pPr>
        <w:jc w:val="both"/>
        <w:ind w:left="180" w:right="200"/>
        <w:spacing w:after="0" w:line="263" w:lineRule="auto"/>
        <w:rPr>
          <w:sz w:val="20"/>
          <w:szCs w:val="20"/>
          <w:color w:val="auto"/>
        </w:rPr>
      </w:pPr>
      <w:r>
        <w:rPr>
          <w:rFonts w:ascii="Arial" w:cs="Arial" w:eastAsia="Arial" w:hAnsi="Arial"/>
          <w:sz w:val="19"/>
          <w:szCs w:val="19"/>
          <w:color w:val="auto"/>
        </w:rPr>
        <w:t>The Nominating and Governance Committee’s consideration of related party transactions and its determination of whether to approve such a transaction are reflected in the minutes of the Nominating and Governance Committee’s meetings. Based on its review processes for potential related party transactions in 2024, the Company identified certain continuing transactions involving employment of immediate family members of executive officers that the Nominating and Governance Committee had previously considered and approved. The Nominating and Governance Committee re-reviewed the employment relationships set forth below and again concluded that such transactions are not inconsistent with the interests of the Company and its stockholders. Other than as reported below, we are not aware of any other transactions in 2024 that are required to be disclosed.</w:t>
      </w:r>
    </w:p>
    <w:p>
      <w:pPr>
        <w:spacing w:after="0" w:line="120" w:lineRule="exact"/>
        <w:rPr>
          <w:sz w:val="20"/>
          <w:szCs w:val="20"/>
          <w:color w:val="auto"/>
        </w:rPr>
      </w:pPr>
    </w:p>
    <w:p>
      <w:pPr>
        <w:jc w:val="both"/>
        <w:ind w:left="580" w:right="200"/>
        <w:spacing w:after="0" w:line="281" w:lineRule="auto"/>
        <w:rPr>
          <w:sz w:val="20"/>
          <w:szCs w:val="20"/>
          <w:color w:val="auto"/>
        </w:rPr>
      </w:pPr>
      <w:r>
        <w:rPr>
          <w:rFonts w:ascii="Arial" w:cs="Arial" w:eastAsia="Arial" w:hAnsi="Arial"/>
          <w:sz w:val="18"/>
          <w:szCs w:val="18"/>
          <w:color w:val="auto"/>
        </w:rPr>
        <w:t>John Morris is our Executive Vice President and Chief Operating Officer. The brother-in-law of Mr. Morris continues to be employed by a subsidiary of Waste Management, Inc. as a Senior Manager of Talent Management &amp; Learning Optimization. In 2024, Mr. Morris’s brother-in-law received total cash compensation in excess of $120,000, but less than $220,000. The compensation of Mr. Morris’s brother-in-law is determined in accordance with the compensation practices generally applicable to employees of Company subsidiaries with comparable qualifications and responsibilities and holding similar positions, and without the involvement, input or approval of Mr. Morris. Mr. Morris is not directly or indirectly responsible for managing or overseeing the work of his brother-in-law.</w:t>
      </w:r>
    </w:p>
    <w:p>
      <w:pPr>
        <w:spacing w:after="0" w:line="100" w:lineRule="exact"/>
        <w:rPr>
          <w:sz w:val="20"/>
          <w:szCs w:val="20"/>
          <w:color w:val="auto"/>
        </w:rPr>
      </w:pPr>
    </w:p>
    <w:p>
      <w:pPr>
        <w:jc w:val="both"/>
        <w:ind w:left="580" w:right="200"/>
        <w:spacing w:after="0" w:line="263" w:lineRule="auto"/>
        <w:rPr>
          <w:sz w:val="20"/>
          <w:szCs w:val="20"/>
          <w:color w:val="auto"/>
        </w:rPr>
      </w:pPr>
      <w:r>
        <w:rPr>
          <w:rFonts w:ascii="Arial" w:cs="Arial" w:eastAsia="Arial" w:hAnsi="Arial"/>
          <w:sz w:val="19"/>
          <w:szCs w:val="19"/>
          <w:color w:val="auto"/>
        </w:rPr>
        <w:t>Kelly Rooney served as our Senior Vice President and Chief Human Resources and Diversity &amp; Inclusion Officer during 2024 until her voluntary resignation in September. Two brothers of Ms. Rooney continue to be employed by subsidiaries of Waste Management, Inc. Currently, one brother is a Senior District Manager, and one brother is an Area Safety Director. Each of Ms. Rooney’s brothers received total cash compensation in 2024 in excess of $120,000 but less than $280,000 and an equity incentive grant with a target value of less than $50,000. The compensation of Ms. Rooney’s brothers is determined in accordance with the compensation practices generally applicable to employees of Company subsidiaries with comparable qualifications and responsibilities and holding similar positions, and without the involvement, input or approval of Ms. Rooney. Ms. Rooney was not directly or indirectly responsible for managing or overseeing the work of her brothers.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0E3C23"/>
        </w:rPr>
        <w:t>Board of Directors Governing Documents</w:t>
      </w:r>
    </w:p>
    <w:p>
      <w:pPr>
        <w:spacing w:after="0" w:line="147" w:lineRule="exact"/>
        <w:rPr>
          <w:sz w:val="20"/>
          <w:szCs w:val="20"/>
          <w:color w:val="auto"/>
        </w:rPr>
      </w:pPr>
    </w:p>
    <w:p>
      <w:pPr>
        <w:jc w:val="both"/>
        <w:ind w:left="180" w:right="200"/>
        <w:spacing w:after="0" w:line="247" w:lineRule="auto"/>
        <w:rPr>
          <w:sz w:val="20"/>
          <w:szCs w:val="20"/>
          <w:color w:val="auto"/>
        </w:rPr>
      </w:pPr>
      <w:r>
        <w:rPr>
          <w:rFonts w:ascii="Arial" w:cs="Arial" w:eastAsia="Arial" w:hAnsi="Arial"/>
          <w:sz w:val="20"/>
          <w:szCs w:val="20"/>
          <w:color w:val="auto"/>
        </w:rPr>
        <w:t>Stockholders may obtain copies of our Corporate Governance Guidelines, the charters of the Audit Committee, the MD&amp;C Committee, and the Nominating and Governance Committee, and our Code of Conduct free of charge by contacting the Corporate Secretary, Waste Management, Inc., 800 Capitol Street, Suite 3000, Houston, Texas 77002 or by accessing the “Sustainability &amp; Governance — Corporate Governance” section of investors.wm.com.</w:t>
      </w:r>
    </w:p>
    <w:p>
      <w:pPr>
        <w:sectPr>
          <w:pgSz w:w="13320" w:h="16920" w:orient="portrait"/>
          <w:cols w:equalWidth="0" w:num="1">
            <w:col w:w="104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-207010</wp:posOffset>
            </wp:positionV>
            <wp:extent cx="538480" cy="1619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8">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19" w:name="page20"/>
    <w:bookmarkEnd w:id="19"/>
    <w:p>
      <w:pPr>
        <w:ind w:left="180"/>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BOARD OF DIRECTORS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0E3C23"/>
        </w:rPr>
        <w:t>Non-Employee Director Compensation</w:t>
      </w:r>
    </w:p>
    <w:p>
      <w:pPr>
        <w:spacing w:after="0" w:line="147" w:lineRule="exact"/>
        <w:rPr>
          <w:sz w:val="20"/>
          <w:szCs w:val="20"/>
          <w:color w:val="auto"/>
        </w:rPr>
      </w:pPr>
    </w:p>
    <w:p>
      <w:pPr>
        <w:jc w:val="both"/>
        <w:ind w:left="180" w:right="180"/>
        <w:spacing w:after="0" w:line="259" w:lineRule="auto"/>
        <w:rPr>
          <w:sz w:val="20"/>
          <w:szCs w:val="20"/>
          <w:color w:val="auto"/>
        </w:rPr>
      </w:pPr>
      <w:r>
        <w:rPr>
          <w:rFonts w:ascii="Arial" w:cs="Arial" w:eastAsia="Arial" w:hAnsi="Arial"/>
          <w:sz w:val="20"/>
          <w:szCs w:val="20"/>
          <w:color w:val="auto"/>
        </w:rPr>
        <w:t>Our non-employee director compensation program consists of equity awards and cash consideration. Director compensation is reviewed annually by the MD&amp;C Committee, with the assistance of an independent third-party consultant, and set by action of the Board of Directors. The Board’s goal in designing directors’ compensation is to provide a competitive package that will enable the Company to attract and retain highly skilled individuals with relevant experience. The compensation is also designed to reward the time and talent required to serve on the board of a company of our size and complexity. The Board seeks to provide sufficient flexibility in the form of compensation delivered to meet the needs of different individuals while ensuring that a substantial portion of directors’ compensation is linked to the long-term success of the Company. Following its annual review, the MD&amp;C Committee did not recommend any changes to director compensation for 2024. As a result, the 2024 non-employee director compensation levels remained consistent with the levels established in 2022.</w:t>
      </w:r>
    </w:p>
    <w:p>
      <w:pPr>
        <w:spacing w:after="0" w:line="264" w:lineRule="exact"/>
        <w:rPr>
          <w:sz w:val="20"/>
          <w:szCs w:val="20"/>
          <w:color w:val="auto"/>
        </w:rPr>
      </w:pPr>
    </w:p>
    <w:p>
      <w:pPr>
        <w:ind w:left="580"/>
        <w:spacing w:after="0"/>
        <w:rPr>
          <w:sz w:val="20"/>
          <w:szCs w:val="20"/>
          <w:color w:val="auto"/>
        </w:rPr>
      </w:pPr>
      <w:r>
        <w:rPr>
          <w:rFonts w:ascii="Arial" w:cs="Arial" w:eastAsia="Arial" w:hAnsi="Arial"/>
          <w:sz w:val="20"/>
          <w:szCs w:val="20"/>
          <w:b w:val="1"/>
          <w:bCs w:val="1"/>
          <w:i w:val="1"/>
          <w:iCs w:val="1"/>
          <w:color w:val="auto"/>
        </w:rPr>
        <w:t>Equity Compensation</w:t>
      </w:r>
    </w:p>
    <w:p>
      <w:pPr>
        <w:spacing w:after="0" w:line="131" w:lineRule="exact"/>
        <w:rPr>
          <w:sz w:val="20"/>
          <w:szCs w:val="20"/>
          <w:color w:val="auto"/>
        </w:rPr>
      </w:pPr>
    </w:p>
    <w:p>
      <w:pPr>
        <w:jc w:val="both"/>
        <w:ind w:left="180" w:right="200"/>
        <w:spacing w:after="0" w:line="274" w:lineRule="auto"/>
        <w:rPr>
          <w:sz w:val="20"/>
          <w:szCs w:val="20"/>
          <w:color w:val="auto"/>
        </w:rPr>
      </w:pPr>
      <w:r>
        <w:rPr>
          <w:rFonts w:ascii="Arial" w:cs="Arial" w:eastAsia="Arial" w:hAnsi="Arial"/>
          <w:sz w:val="19"/>
          <w:szCs w:val="19"/>
          <w:color w:val="auto"/>
        </w:rPr>
        <w:t>Non-employee directors receive an annual grant of shares of Common Stock under the Company’s current stock incentive plan. The shares are fully vested at the time of grant; however, non-employee directors are required to hold all net shares throughout their tenure on the Board and are subject to ownership guidelines, as discussed below. The grant of shares is generally made in two equal installments, and the number of shares issued is based on the market value of our Common Stock on the dates of grant, which are typically January 15 and July 15 of each year. Each non-employee director serving at the time received a grant of Common Stock valued at approximately $90,000 in January 2024 and July 2024. Additionally, any director serving as Non-Executive Chair of the Board receives an additional grant of Common Stock valued at approximately $50,000 in January and July of each year.</w:t>
      </w:r>
    </w:p>
    <w:p>
      <w:pPr>
        <w:spacing w:after="0" w:line="251" w:lineRule="exact"/>
        <w:rPr>
          <w:sz w:val="20"/>
          <w:szCs w:val="20"/>
          <w:color w:val="auto"/>
        </w:rPr>
      </w:pPr>
    </w:p>
    <w:p>
      <w:pPr>
        <w:ind w:left="580"/>
        <w:spacing w:after="0"/>
        <w:rPr>
          <w:sz w:val="20"/>
          <w:szCs w:val="20"/>
          <w:color w:val="auto"/>
        </w:rPr>
      </w:pPr>
      <w:r>
        <w:rPr>
          <w:rFonts w:ascii="Arial" w:cs="Arial" w:eastAsia="Arial" w:hAnsi="Arial"/>
          <w:sz w:val="20"/>
          <w:szCs w:val="20"/>
          <w:b w:val="1"/>
          <w:bCs w:val="1"/>
          <w:i w:val="1"/>
          <w:iCs w:val="1"/>
          <w:color w:val="auto"/>
        </w:rPr>
        <w:t>Cash Compensation</w:t>
      </w:r>
    </w:p>
    <w:p>
      <w:pPr>
        <w:spacing w:after="0" w:line="131" w:lineRule="exact"/>
        <w:rPr>
          <w:sz w:val="20"/>
          <w:szCs w:val="20"/>
          <w:color w:val="auto"/>
        </w:rPr>
      </w:pPr>
    </w:p>
    <w:p>
      <w:pPr>
        <w:jc w:val="both"/>
        <w:ind w:left="180" w:right="200"/>
        <w:spacing w:after="0" w:line="258" w:lineRule="auto"/>
        <w:rPr>
          <w:sz w:val="20"/>
          <w:szCs w:val="20"/>
          <w:color w:val="auto"/>
        </w:rPr>
      </w:pPr>
      <w:r>
        <w:rPr>
          <w:rFonts w:ascii="Arial" w:cs="Arial" w:eastAsia="Arial" w:hAnsi="Arial"/>
          <w:sz w:val="20"/>
          <w:szCs w:val="20"/>
          <w:color w:val="auto"/>
        </w:rPr>
        <w:t>Non-employee directors received an annual cash retainer of $120,000 for Board service in 2024. Committee chairs received the additional annual retainer payments set forth below. Directors do not receive meeting fees in addition to the retainers. The annual cash retainer is generally paid in advance in two equal installments in January and July of each year.</w:t>
      </w:r>
    </w:p>
    <w:p>
      <w:pPr>
        <w:spacing w:after="0" w:line="140" w:lineRule="exact"/>
        <w:rPr>
          <w:sz w:val="20"/>
          <w:szCs w:val="20"/>
          <w:color w:val="auto"/>
        </w:rPr>
      </w:pPr>
    </w:p>
    <w:p>
      <w:pPr>
        <w:ind w:left="3280" w:right="3240" w:hanging="2294"/>
        <w:spacing w:after="0" w:line="254" w:lineRule="auto"/>
        <w:tabs>
          <w:tab w:leader="none" w:pos="3260" w:val="left"/>
        </w:tabs>
        <w:rPr>
          <w:sz w:val="20"/>
          <w:szCs w:val="20"/>
          <w:color w:val="auto"/>
        </w:rPr>
      </w:pPr>
      <w:r>
        <w:rPr>
          <w:rFonts w:ascii="Arial" w:cs="Arial" w:eastAsia="Arial" w:hAnsi="Arial"/>
          <w:sz w:val="20"/>
          <w:szCs w:val="20"/>
          <w:b w:val="1"/>
          <w:bCs w:val="1"/>
          <w:color w:val="auto"/>
        </w:rPr>
        <w:t>Annual Chair Retainers:</w:t>
      </w:r>
      <w:r>
        <w:rPr>
          <w:sz w:val="20"/>
          <w:szCs w:val="20"/>
          <w:color w:val="auto"/>
        </w:rPr>
        <w:tab/>
      </w:r>
      <w:r>
        <w:rPr>
          <w:rFonts w:ascii="Arial" w:cs="Arial" w:eastAsia="Arial" w:hAnsi="Arial"/>
          <w:sz w:val="20"/>
          <w:szCs w:val="20"/>
          <w:color w:val="auto"/>
        </w:rPr>
        <w:t>$100,000 for Non-Executive Chair of the Board $25,000 for Audit Committee Chair</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$20,000 for MD&amp;C Committee Chair</w:t>
      </w:r>
    </w:p>
    <w:p>
      <w:pPr>
        <w:spacing w:after="0" w:line="19"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$20,000 for Nominating and Governance Committee Chair</w:t>
      </w:r>
    </w:p>
    <w:p>
      <w:pPr>
        <w:spacing w:after="0" w:line="276" w:lineRule="exact"/>
        <w:rPr>
          <w:sz w:val="20"/>
          <w:szCs w:val="20"/>
          <w:color w:val="auto"/>
        </w:rPr>
      </w:pPr>
    </w:p>
    <w:p>
      <w:pPr>
        <w:ind w:left="580"/>
        <w:spacing w:after="0"/>
        <w:rPr>
          <w:sz w:val="20"/>
          <w:szCs w:val="20"/>
          <w:color w:val="auto"/>
        </w:rPr>
      </w:pPr>
      <w:r>
        <w:rPr>
          <w:rFonts w:ascii="Arial" w:cs="Arial" w:eastAsia="Arial" w:hAnsi="Arial"/>
          <w:sz w:val="20"/>
          <w:szCs w:val="20"/>
          <w:b w:val="1"/>
          <w:bCs w:val="1"/>
          <w:i w:val="1"/>
          <w:iCs w:val="1"/>
          <w:color w:val="auto"/>
        </w:rPr>
        <w:t>Stock Ownership Guidelines for Non-Employee Directors</w:t>
      </w:r>
    </w:p>
    <w:p>
      <w:pPr>
        <w:spacing w:after="0" w:line="131" w:lineRule="exact"/>
        <w:rPr>
          <w:sz w:val="20"/>
          <w:szCs w:val="20"/>
          <w:color w:val="auto"/>
        </w:rPr>
      </w:pPr>
    </w:p>
    <w:p>
      <w:pPr>
        <w:jc w:val="both"/>
        <w:ind w:left="180" w:right="200"/>
        <w:spacing w:after="0" w:line="259" w:lineRule="auto"/>
        <w:rPr>
          <w:sz w:val="20"/>
          <w:szCs w:val="20"/>
          <w:color w:val="auto"/>
        </w:rPr>
      </w:pPr>
      <w:r>
        <w:rPr>
          <w:rFonts w:ascii="Arial" w:cs="Arial" w:eastAsia="Arial" w:hAnsi="Arial"/>
          <w:sz w:val="20"/>
          <w:szCs w:val="20"/>
          <w:color w:val="auto"/>
        </w:rPr>
        <w:t>Our non-employee directors are subject to ownership guidelines that establish a minimum ownership level and require that all net shares received in connection with a stock award, after selling shares to pay all applicable taxes, be held throughout their tenure as a director. The ownership guideline for non-employee directors is equal to five times the non-employee directors’ annualized cash retainer. As of December 31, 2024, this amount was $600,000. There is no deadline for non-employee directors to reach their ownership guideline; however, the MD&amp;C Committee performs regular reviews to confirm that all non-employee directors are in compliance or are showing sustained progress toward achievement of their ownership guideline. Based on the closing price of our Common Stock on March 18, 2025, all non-employee directors have reached the ownership guideline with the exception of our two newest directors, Mr. Bené and Mr. Chinn, who are making appropriate progress toward the ownership guideline. Additionally, our Insider Trading Policy provides that directors are not permitted to hedge their ownership of Company securities, including trading in options, warrants, puts and calls or similar derivative instruments on any security of the Company or selling any security of the Company “short.”</w:t>
      </w:r>
    </w:p>
    <w:p>
      <w:pPr>
        <w:sectPr>
          <w:pgSz w:w="13320" w:h="16920" w:orient="portrait"/>
          <w:cols w:equalWidth="0" w:num="1">
            <w:col w:w="104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9">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0">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20" w:name="page21"/>
    <w:bookmarkEnd w:id="20"/>
    <w:p>
      <w:pPr>
        <w:ind w:left="8440"/>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BOARD OF DIRECTORS</w:t>
      </w:r>
    </w:p>
    <w:p>
      <w:pPr>
        <w:spacing w:after="0" w:line="288" w:lineRule="exact"/>
        <w:rPr>
          <w:sz w:val="20"/>
          <w:szCs w:val="20"/>
          <w:color w:val="auto"/>
        </w:rPr>
      </w:pPr>
    </w:p>
    <w:p>
      <w:pPr>
        <w:ind w:left="580"/>
        <w:spacing w:after="0"/>
        <w:rPr>
          <w:sz w:val="20"/>
          <w:szCs w:val="20"/>
          <w:color w:val="auto"/>
        </w:rPr>
      </w:pPr>
      <w:r>
        <w:rPr>
          <w:rFonts w:ascii="Arial" w:cs="Arial" w:eastAsia="Arial" w:hAnsi="Arial"/>
          <w:sz w:val="20"/>
          <w:szCs w:val="20"/>
          <w:b w:val="1"/>
          <w:bCs w:val="1"/>
          <w:i w:val="1"/>
          <w:iCs w:val="1"/>
          <w:color w:val="auto"/>
        </w:rPr>
        <w:t>2024 Director Compensation Table</w:t>
      </w:r>
    </w:p>
    <w:p>
      <w:pPr>
        <w:spacing w:after="0" w:line="131" w:lineRule="exact"/>
        <w:rPr>
          <w:sz w:val="20"/>
          <w:szCs w:val="20"/>
          <w:color w:val="auto"/>
        </w:rPr>
      </w:pPr>
    </w:p>
    <w:p>
      <w:pPr>
        <w:ind w:left="180" w:right="200"/>
        <w:spacing w:after="0" w:line="244" w:lineRule="auto"/>
        <w:rPr>
          <w:sz w:val="20"/>
          <w:szCs w:val="20"/>
          <w:color w:val="auto"/>
        </w:rPr>
      </w:pPr>
      <w:r>
        <w:rPr>
          <w:rFonts w:ascii="Arial" w:cs="Arial" w:eastAsia="Arial" w:hAnsi="Arial"/>
          <w:sz w:val="20"/>
          <w:szCs w:val="20"/>
          <w:color w:val="auto"/>
        </w:rPr>
        <w:t>The table below shows the aggregate cash paid, and stock awards issued, to the non-employee directors in 2024 in accordance with the descriptions set forth above:</w:t>
      </w:r>
    </w:p>
    <w:p>
      <w:pPr>
        <w:spacing w:after="0" w:line="102"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2820" w:type="dxa"/>
            <w:vAlign w:val="bottom"/>
          </w:tcPr>
          <w:p>
            <w:pPr>
              <w:jc w:val="right"/>
              <w:ind w:right="25"/>
              <w:spacing w:after="0"/>
              <w:rPr>
                <w:sz w:val="20"/>
                <w:szCs w:val="20"/>
                <w:color w:val="auto"/>
              </w:rPr>
            </w:pPr>
            <w:r>
              <w:rPr>
                <w:rFonts w:ascii="Arial" w:cs="Arial" w:eastAsia="Arial" w:hAnsi="Arial"/>
                <w:sz w:val="16"/>
                <w:szCs w:val="16"/>
                <w:b w:val="1"/>
                <w:bCs w:val="1"/>
                <w:color w:val="0E3C23"/>
              </w:rPr>
              <w:t>Fees Earned</w:t>
            </w:r>
          </w:p>
        </w:tc>
        <w:tc>
          <w:tcPr>
            <w:tcW w:w="920" w:type="dxa"/>
            <w:vAlign w:val="bottom"/>
          </w:tcPr>
          <w:p>
            <w:pPr>
              <w:jc w:val="right"/>
              <w:ind w:right="25"/>
              <w:spacing w:after="0"/>
              <w:rPr>
                <w:sz w:val="20"/>
                <w:szCs w:val="20"/>
                <w:color w:val="auto"/>
              </w:rPr>
            </w:pPr>
            <w:r>
              <w:rPr>
                <w:rFonts w:ascii="Arial" w:cs="Arial" w:eastAsia="Arial" w:hAnsi="Arial"/>
                <w:sz w:val="16"/>
                <w:szCs w:val="16"/>
                <w:b w:val="1"/>
                <w:bCs w:val="1"/>
                <w:color w:val="0E3C23"/>
              </w:rPr>
              <w:t>Stock</w:t>
            </w:r>
          </w:p>
        </w:tc>
        <w:tc>
          <w:tcPr>
            <w:tcW w:w="860" w:type="dxa"/>
            <w:vAlign w:val="bottom"/>
          </w:tcPr>
          <w:p>
            <w:pPr>
              <w:spacing w:after="0"/>
              <w:rPr>
                <w:sz w:val="16"/>
                <w:szCs w:val="16"/>
                <w:color w:val="auto"/>
              </w:rPr>
            </w:pPr>
          </w:p>
        </w:tc>
      </w:tr>
      <w:tr>
        <w:trPr>
          <w:trHeight w:val="150"/>
        </w:trPr>
        <w:tc>
          <w:tcPr>
            <w:tcW w:w="3860" w:type="dxa"/>
            <w:vAlign w:val="bottom"/>
          </w:tcPr>
          <w:p>
            <w:pPr>
              <w:spacing w:after="0"/>
              <w:rPr>
                <w:sz w:val="13"/>
                <w:szCs w:val="13"/>
                <w:color w:val="auto"/>
              </w:rPr>
            </w:pPr>
          </w:p>
        </w:tc>
        <w:tc>
          <w:tcPr>
            <w:tcW w:w="2820" w:type="dxa"/>
            <w:vAlign w:val="bottom"/>
          </w:tcPr>
          <w:p>
            <w:pPr>
              <w:jc w:val="right"/>
              <w:ind w:right="25"/>
              <w:spacing w:after="0" w:line="150" w:lineRule="exact"/>
              <w:rPr>
                <w:sz w:val="20"/>
                <w:szCs w:val="20"/>
                <w:color w:val="auto"/>
              </w:rPr>
            </w:pPr>
            <w:r>
              <w:rPr>
                <w:rFonts w:ascii="Arial" w:cs="Arial" w:eastAsia="Arial" w:hAnsi="Arial"/>
                <w:sz w:val="16"/>
                <w:szCs w:val="16"/>
                <w:b w:val="1"/>
                <w:bCs w:val="1"/>
                <w:color w:val="0E3C23"/>
              </w:rPr>
              <w:t>or Paid in</w:t>
            </w:r>
          </w:p>
        </w:tc>
        <w:tc>
          <w:tcPr>
            <w:tcW w:w="920" w:type="dxa"/>
            <w:vAlign w:val="bottom"/>
          </w:tcPr>
          <w:p>
            <w:pPr>
              <w:jc w:val="right"/>
              <w:ind w:right="25"/>
              <w:spacing w:after="0" w:line="150" w:lineRule="exact"/>
              <w:rPr>
                <w:sz w:val="20"/>
                <w:szCs w:val="20"/>
                <w:color w:val="auto"/>
              </w:rPr>
            </w:pPr>
            <w:r>
              <w:rPr>
                <w:rFonts w:ascii="Arial" w:cs="Arial" w:eastAsia="Arial" w:hAnsi="Arial"/>
                <w:sz w:val="16"/>
                <w:szCs w:val="16"/>
                <w:b w:val="1"/>
                <w:bCs w:val="1"/>
                <w:color w:val="0E3C23"/>
              </w:rPr>
              <w:t>Awards</w:t>
            </w:r>
          </w:p>
        </w:tc>
        <w:tc>
          <w:tcPr>
            <w:tcW w:w="860" w:type="dxa"/>
            <w:vAlign w:val="bottom"/>
          </w:tcPr>
          <w:p>
            <w:pPr>
              <w:spacing w:after="0"/>
              <w:rPr>
                <w:sz w:val="13"/>
                <w:szCs w:val="13"/>
                <w:color w:val="auto"/>
              </w:rPr>
            </w:pPr>
          </w:p>
        </w:tc>
      </w:tr>
      <w:tr>
        <w:trPr>
          <w:trHeight w:val="217"/>
        </w:trPr>
        <w:tc>
          <w:tcPr>
            <w:tcW w:w="3860" w:type="dxa"/>
            <w:vAlign w:val="bottom"/>
            <w:tcBorders>
              <w:bottom w:val="single" w:sz="8" w:color="0E3C23"/>
            </w:tcBorders>
          </w:tcPr>
          <w:p>
            <w:pPr>
              <w:ind w:left="60"/>
              <w:spacing w:after="0"/>
              <w:rPr>
                <w:sz w:val="20"/>
                <w:szCs w:val="20"/>
                <w:color w:val="auto"/>
              </w:rPr>
            </w:pPr>
            <w:r>
              <w:rPr>
                <w:rFonts w:ascii="Arial" w:cs="Arial" w:eastAsia="Arial" w:hAnsi="Arial"/>
                <w:sz w:val="16"/>
                <w:szCs w:val="16"/>
                <w:b w:val="1"/>
                <w:bCs w:val="1"/>
                <w:color w:val="0E3C23"/>
              </w:rPr>
              <w:t>Name</w:t>
            </w:r>
          </w:p>
        </w:tc>
        <w:tc>
          <w:tcPr>
            <w:tcW w:w="2820" w:type="dxa"/>
            <w:vAlign w:val="bottom"/>
            <w:tcBorders>
              <w:bottom w:val="single" w:sz="8" w:color="0E3C23"/>
            </w:tcBorders>
          </w:tcPr>
          <w:p>
            <w:pPr>
              <w:jc w:val="right"/>
              <w:ind w:right="25"/>
              <w:spacing w:after="0"/>
              <w:rPr>
                <w:sz w:val="20"/>
                <w:szCs w:val="20"/>
                <w:color w:val="auto"/>
              </w:rPr>
            </w:pPr>
            <w:r>
              <w:rPr>
                <w:rFonts w:ascii="Arial" w:cs="Arial" w:eastAsia="Arial" w:hAnsi="Arial"/>
                <w:sz w:val="16"/>
                <w:szCs w:val="16"/>
                <w:b w:val="1"/>
                <w:bCs w:val="1"/>
                <w:color w:val="0E3C23"/>
              </w:rPr>
              <w:t>Cash ($)</w:t>
            </w:r>
          </w:p>
        </w:tc>
        <w:tc>
          <w:tcPr>
            <w:tcW w:w="920" w:type="dxa"/>
            <w:vAlign w:val="bottom"/>
            <w:tcBorders>
              <w:bottom w:val="single" w:sz="8" w:color="0E3C23"/>
            </w:tcBorders>
          </w:tcPr>
          <w:p>
            <w:pPr>
              <w:jc w:val="right"/>
              <w:ind w:right="25"/>
              <w:spacing w:after="0" w:line="217" w:lineRule="exact"/>
              <w:rPr>
                <w:sz w:val="20"/>
                <w:szCs w:val="20"/>
                <w:color w:val="auto"/>
              </w:rPr>
            </w:pPr>
            <w:r>
              <w:rPr>
                <w:rFonts w:ascii="Arial" w:cs="Arial" w:eastAsia="Arial" w:hAnsi="Arial"/>
                <w:sz w:val="16"/>
                <w:szCs w:val="16"/>
                <w:b w:val="1"/>
                <w:bCs w:val="1"/>
                <w:color w:val="0E3C23"/>
              </w:rPr>
              <w:t>($)</w:t>
            </w:r>
            <w:r>
              <w:rPr>
                <w:rFonts w:ascii="Arial" w:cs="Arial" w:eastAsia="Arial" w:hAnsi="Arial"/>
                <w:sz w:val="19"/>
                <w:szCs w:val="19"/>
                <w:b w:val="1"/>
                <w:bCs w:val="1"/>
                <w:color w:val="0E3C23"/>
                <w:vertAlign w:val="superscript"/>
              </w:rPr>
              <w:t>(1)</w:t>
            </w:r>
          </w:p>
        </w:tc>
        <w:tc>
          <w:tcPr>
            <w:tcW w:w="860" w:type="dxa"/>
            <w:vAlign w:val="bottom"/>
            <w:tcBorders>
              <w:bottom w:val="single" w:sz="8" w:color="0E3C23"/>
            </w:tcBorders>
          </w:tcPr>
          <w:p>
            <w:pPr>
              <w:jc w:val="right"/>
              <w:spacing w:after="0"/>
              <w:rPr>
                <w:sz w:val="20"/>
                <w:szCs w:val="20"/>
                <w:color w:val="auto"/>
              </w:rPr>
            </w:pPr>
            <w:r>
              <w:rPr>
                <w:rFonts w:ascii="Arial" w:cs="Arial" w:eastAsia="Arial" w:hAnsi="Arial"/>
                <w:sz w:val="16"/>
                <w:szCs w:val="16"/>
                <w:b w:val="1"/>
                <w:bCs w:val="1"/>
                <w:color w:val="0E3C23"/>
              </w:rPr>
              <w:t>Total ($)</w:t>
            </w:r>
          </w:p>
        </w:tc>
      </w:tr>
      <w:tr>
        <w:trPr>
          <w:trHeight w:val="250"/>
        </w:trPr>
        <w:tc>
          <w:tcPr>
            <w:tcW w:w="3860" w:type="dxa"/>
            <w:vAlign w:val="bottom"/>
            <w:tcBorders>
              <w:bottom w:val="single" w:sz="8" w:color="0E3C23"/>
            </w:tcBorders>
          </w:tcPr>
          <w:p>
            <w:pPr>
              <w:ind w:left="60"/>
              <w:spacing w:after="0" w:line="251" w:lineRule="exact"/>
              <w:rPr>
                <w:sz w:val="20"/>
                <w:szCs w:val="20"/>
                <w:color w:val="auto"/>
              </w:rPr>
            </w:pPr>
            <w:r>
              <w:rPr>
                <w:rFonts w:ascii="Arial" w:cs="Arial" w:eastAsia="Arial" w:hAnsi="Arial"/>
                <w:sz w:val="20"/>
                <w:szCs w:val="20"/>
                <w:color w:val="auto"/>
              </w:rPr>
              <w:t>Thomas L. Bené</w:t>
            </w:r>
            <w:r>
              <w:rPr>
                <w:rFonts w:ascii="Arial" w:cs="Arial" w:eastAsia="Arial" w:hAnsi="Arial"/>
                <w:sz w:val="25"/>
                <w:szCs w:val="25"/>
                <w:color w:val="auto"/>
                <w:vertAlign w:val="superscript"/>
              </w:rPr>
              <w:t>(2)</w:t>
            </w:r>
          </w:p>
        </w:tc>
        <w:tc>
          <w:tcPr>
            <w:tcW w:w="2820" w:type="dxa"/>
            <w:vAlign w:val="bottom"/>
            <w:tcBorders>
              <w:bottom w:val="single" w:sz="8" w:color="0E3C23"/>
            </w:tcBorders>
          </w:tcPr>
          <w:p>
            <w:pPr>
              <w:jc w:val="right"/>
              <w:ind w:right="25"/>
              <w:spacing w:after="0"/>
              <w:rPr>
                <w:sz w:val="20"/>
                <w:szCs w:val="20"/>
                <w:color w:val="auto"/>
              </w:rPr>
            </w:pPr>
            <w:r>
              <w:rPr>
                <w:rFonts w:ascii="Arial" w:cs="Arial" w:eastAsia="Arial" w:hAnsi="Arial"/>
                <w:sz w:val="20"/>
                <w:szCs w:val="20"/>
                <w:color w:val="auto"/>
              </w:rPr>
              <w:t>105,180</w:t>
            </w:r>
          </w:p>
        </w:tc>
        <w:tc>
          <w:tcPr>
            <w:tcW w:w="920" w:type="dxa"/>
            <w:vAlign w:val="bottom"/>
            <w:tcBorders>
              <w:bottom w:val="single" w:sz="8" w:color="0E3C23"/>
            </w:tcBorders>
          </w:tcPr>
          <w:p>
            <w:pPr>
              <w:jc w:val="right"/>
              <w:ind w:right="25"/>
              <w:spacing w:after="0"/>
              <w:rPr>
                <w:sz w:val="20"/>
                <w:szCs w:val="20"/>
                <w:color w:val="auto"/>
              </w:rPr>
            </w:pPr>
            <w:r>
              <w:rPr>
                <w:rFonts w:ascii="Arial" w:cs="Arial" w:eastAsia="Arial" w:hAnsi="Arial"/>
                <w:sz w:val="20"/>
                <w:szCs w:val="20"/>
                <w:color w:val="auto"/>
              </w:rPr>
              <w:t>157,672</w:t>
            </w:r>
          </w:p>
        </w:tc>
        <w:tc>
          <w:tcPr>
            <w:tcW w:w="86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262,852</w:t>
            </w:r>
          </w:p>
        </w:tc>
      </w:tr>
      <w:tr>
        <w:trPr>
          <w:trHeight w:val="233"/>
        </w:trPr>
        <w:tc>
          <w:tcPr>
            <w:tcW w:w="3860" w:type="dxa"/>
            <w:vAlign w:val="bottom"/>
            <w:tcBorders>
              <w:bottom w:val="single" w:sz="8" w:color="0E3C23"/>
            </w:tcBorders>
          </w:tcPr>
          <w:p>
            <w:pPr>
              <w:ind w:left="60"/>
              <w:spacing w:after="0" w:line="227" w:lineRule="exact"/>
              <w:rPr>
                <w:sz w:val="20"/>
                <w:szCs w:val="20"/>
                <w:color w:val="auto"/>
              </w:rPr>
            </w:pPr>
            <w:r>
              <w:rPr>
                <w:rFonts w:ascii="Arial" w:cs="Arial" w:eastAsia="Arial" w:hAnsi="Arial"/>
                <w:sz w:val="20"/>
                <w:szCs w:val="20"/>
                <w:color w:val="auto"/>
              </w:rPr>
              <w:t>Bruce E. Chinn</w:t>
            </w:r>
          </w:p>
        </w:tc>
        <w:tc>
          <w:tcPr>
            <w:tcW w:w="2820" w:type="dxa"/>
            <w:vAlign w:val="bottom"/>
            <w:tcBorders>
              <w:bottom w:val="single" w:sz="8" w:color="0E3C23"/>
            </w:tcBorders>
          </w:tcPr>
          <w:p>
            <w:pPr>
              <w:jc w:val="right"/>
              <w:ind w:right="25"/>
              <w:spacing w:after="0" w:line="227" w:lineRule="exact"/>
              <w:rPr>
                <w:sz w:val="20"/>
                <w:szCs w:val="20"/>
                <w:color w:val="auto"/>
              </w:rPr>
            </w:pPr>
            <w:r>
              <w:rPr>
                <w:rFonts w:ascii="Arial" w:cs="Arial" w:eastAsia="Arial" w:hAnsi="Arial"/>
                <w:sz w:val="20"/>
                <w:szCs w:val="20"/>
                <w:color w:val="auto"/>
              </w:rPr>
              <w:t>120,000</w:t>
            </w:r>
          </w:p>
        </w:tc>
        <w:tc>
          <w:tcPr>
            <w:tcW w:w="920" w:type="dxa"/>
            <w:vAlign w:val="bottom"/>
            <w:tcBorders>
              <w:bottom w:val="single" w:sz="8" w:color="0E3C23"/>
            </w:tcBorders>
          </w:tcPr>
          <w:p>
            <w:pPr>
              <w:jc w:val="right"/>
              <w:ind w:right="25"/>
              <w:spacing w:after="0" w:line="227" w:lineRule="exact"/>
              <w:rPr>
                <w:sz w:val="20"/>
                <w:szCs w:val="20"/>
                <w:color w:val="auto"/>
              </w:rPr>
            </w:pPr>
            <w:r>
              <w:rPr>
                <w:rFonts w:ascii="Arial" w:cs="Arial" w:eastAsia="Arial" w:hAnsi="Arial"/>
                <w:sz w:val="20"/>
                <w:szCs w:val="20"/>
                <w:color w:val="auto"/>
              </w:rPr>
              <w:t>179,862</w:t>
            </w:r>
          </w:p>
        </w:tc>
        <w:tc>
          <w:tcPr>
            <w:tcW w:w="860" w:type="dxa"/>
            <w:vAlign w:val="bottom"/>
            <w:tcBorders>
              <w:bottom w:val="single" w:sz="8" w:color="0E3C23"/>
            </w:tcBorders>
          </w:tcPr>
          <w:p>
            <w:pPr>
              <w:jc w:val="right"/>
              <w:spacing w:after="0" w:line="227" w:lineRule="exact"/>
              <w:rPr>
                <w:sz w:val="20"/>
                <w:szCs w:val="20"/>
                <w:color w:val="auto"/>
              </w:rPr>
            </w:pPr>
            <w:r>
              <w:rPr>
                <w:rFonts w:ascii="Arial" w:cs="Arial" w:eastAsia="Arial" w:hAnsi="Arial"/>
                <w:sz w:val="20"/>
                <w:szCs w:val="20"/>
                <w:color w:val="auto"/>
              </w:rPr>
              <w:t>299,862</w:t>
            </w:r>
          </w:p>
        </w:tc>
      </w:tr>
      <w:tr>
        <w:trPr>
          <w:trHeight w:val="239"/>
        </w:trPr>
        <w:tc>
          <w:tcPr>
            <w:tcW w:w="3860" w:type="dxa"/>
            <w:vAlign w:val="bottom"/>
            <w:tcBorders>
              <w:bottom w:val="single" w:sz="8" w:color="0E3C23"/>
            </w:tcBorders>
          </w:tcPr>
          <w:p>
            <w:pPr>
              <w:ind w:left="60"/>
              <w:spacing w:after="0"/>
              <w:rPr>
                <w:sz w:val="20"/>
                <w:szCs w:val="20"/>
                <w:color w:val="auto"/>
              </w:rPr>
            </w:pPr>
            <w:r>
              <w:rPr>
                <w:rFonts w:ascii="Arial" w:cs="Arial" w:eastAsia="Arial" w:hAnsi="Arial"/>
                <w:sz w:val="20"/>
                <w:szCs w:val="20"/>
                <w:color w:val="auto"/>
              </w:rPr>
              <w:t>Andrés R. Gluski</w:t>
            </w:r>
          </w:p>
        </w:tc>
        <w:tc>
          <w:tcPr>
            <w:tcW w:w="2820" w:type="dxa"/>
            <w:vAlign w:val="bottom"/>
            <w:tcBorders>
              <w:bottom w:val="single" w:sz="8" w:color="0E3C23"/>
            </w:tcBorders>
          </w:tcPr>
          <w:p>
            <w:pPr>
              <w:jc w:val="right"/>
              <w:ind w:right="25"/>
              <w:spacing w:after="0"/>
              <w:rPr>
                <w:sz w:val="20"/>
                <w:szCs w:val="20"/>
                <w:color w:val="auto"/>
              </w:rPr>
            </w:pPr>
            <w:r>
              <w:rPr>
                <w:rFonts w:ascii="Arial" w:cs="Arial" w:eastAsia="Arial" w:hAnsi="Arial"/>
                <w:sz w:val="20"/>
                <w:szCs w:val="20"/>
                <w:color w:val="auto"/>
              </w:rPr>
              <w:t>140,000</w:t>
            </w:r>
          </w:p>
        </w:tc>
        <w:tc>
          <w:tcPr>
            <w:tcW w:w="920" w:type="dxa"/>
            <w:vAlign w:val="bottom"/>
            <w:tcBorders>
              <w:bottom w:val="single" w:sz="8" w:color="0E3C23"/>
            </w:tcBorders>
          </w:tcPr>
          <w:p>
            <w:pPr>
              <w:jc w:val="right"/>
              <w:ind w:right="25"/>
              <w:spacing w:after="0"/>
              <w:rPr>
                <w:sz w:val="20"/>
                <w:szCs w:val="20"/>
                <w:color w:val="auto"/>
              </w:rPr>
            </w:pPr>
            <w:r>
              <w:rPr>
                <w:rFonts w:ascii="Arial" w:cs="Arial" w:eastAsia="Arial" w:hAnsi="Arial"/>
                <w:sz w:val="20"/>
                <w:szCs w:val="20"/>
                <w:color w:val="auto"/>
              </w:rPr>
              <w:t>179,862</w:t>
            </w:r>
          </w:p>
        </w:tc>
        <w:tc>
          <w:tcPr>
            <w:tcW w:w="86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319,862</w:t>
            </w:r>
          </w:p>
        </w:tc>
      </w:tr>
      <w:tr>
        <w:trPr>
          <w:trHeight w:val="239"/>
        </w:trPr>
        <w:tc>
          <w:tcPr>
            <w:tcW w:w="3860" w:type="dxa"/>
            <w:vAlign w:val="bottom"/>
            <w:tcBorders>
              <w:bottom w:val="single" w:sz="8" w:color="0E3C23"/>
            </w:tcBorders>
          </w:tcPr>
          <w:p>
            <w:pPr>
              <w:ind w:left="60"/>
              <w:spacing w:after="0"/>
              <w:rPr>
                <w:sz w:val="20"/>
                <w:szCs w:val="20"/>
                <w:color w:val="auto"/>
              </w:rPr>
            </w:pPr>
            <w:r>
              <w:rPr>
                <w:rFonts w:ascii="Arial" w:cs="Arial" w:eastAsia="Arial" w:hAnsi="Arial"/>
                <w:sz w:val="20"/>
                <w:szCs w:val="20"/>
                <w:color w:val="auto"/>
              </w:rPr>
              <w:t>Victoria M. Holt</w:t>
            </w:r>
          </w:p>
        </w:tc>
        <w:tc>
          <w:tcPr>
            <w:tcW w:w="2820" w:type="dxa"/>
            <w:vAlign w:val="bottom"/>
            <w:tcBorders>
              <w:bottom w:val="single" w:sz="8" w:color="0E3C23"/>
            </w:tcBorders>
          </w:tcPr>
          <w:p>
            <w:pPr>
              <w:jc w:val="right"/>
              <w:ind w:right="25"/>
              <w:spacing w:after="0"/>
              <w:rPr>
                <w:sz w:val="20"/>
                <w:szCs w:val="20"/>
                <w:color w:val="auto"/>
              </w:rPr>
            </w:pPr>
            <w:r>
              <w:rPr>
                <w:rFonts w:ascii="Arial" w:cs="Arial" w:eastAsia="Arial" w:hAnsi="Arial"/>
                <w:sz w:val="20"/>
                <w:szCs w:val="20"/>
                <w:color w:val="auto"/>
              </w:rPr>
              <w:t>140,000</w:t>
            </w:r>
          </w:p>
        </w:tc>
        <w:tc>
          <w:tcPr>
            <w:tcW w:w="920" w:type="dxa"/>
            <w:vAlign w:val="bottom"/>
            <w:tcBorders>
              <w:bottom w:val="single" w:sz="8" w:color="0E3C23"/>
            </w:tcBorders>
          </w:tcPr>
          <w:p>
            <w:pPr>
              <w:jc w:val="right"/>
              <w:ind w:right="25"/>
              <w:spacing w:after="0"/>
              <w:rPr>
                <w:sz w:val="20"/>
                <w:szCs w:val="20"/>
                <w:color w:val="auto"/>
              </w:rPr>
            </w:pPr>
            <w:r>
              <w:rPr>
                <w:rFonts w:ascii="Arial" w:cs="Arial" w:eastAsia="Arial" w:hAnsi="Arial"/>
                <w:sz w:val="20"/>
                <w:szCs w:val="20"/>
                <w:color w:val="auto"/>
              </w:rPr>
              <w:t>179,862</w:t>
            </w:r>
          </w:p>
        </w:tc>
        <w:tc>
          <w:tcPr>
            <w:tcW w:w="86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319,862</w:t>
            </w:r>
          </w:p>
        </w:tc>
      </w:tr>
      <w:tr>
        <w:trPr>
          <w:trHeight w:val="239"/>
        </w:trPr>
        <w:tc>
          <w:tcPr>
            <w:tcW w:w="3860" w:type="dxa"/>
            <w:vAlign w:val="bottom"/>
            <w:tcBorders>
              <w:bottom w:val="single" w:sz="8" w:color="0E3C23"/>
            </w:tcBorders>
          </w:tcPr>
          <w:p>
            <w:pPr>
              <w:ind w:left="60"/>
              <w:spacing w:after="0"/>
              <w:rPr>
                <w:sz w:val="20"/>
                <w:szCs w:val="20"/>
                <w:color w:val="auto"/>
              </w:rPr>
            </w:pPr>
            <w:r>
              <w:rPr>
                <w:rFonts w:ascii="Arial" w:cs="Arial" w:eastAsia="Arial" w:hAnsi="Arial"/>
                <w:sz w:val="20"/>
                <w:szCs w:val="20"/>
                <w:color w:val="auto"/>
              </w:rPr>
              <w:t>Kathleen M. Mazzarella</w:t>
            </w:r>
          </w:p>
        </w:tc>
        <w:tc>
          <w:tcPr>
            <w:tcW w:w="2820" w:type="dxa"/>
            <w:vAlign w:val="bottom"/>
            <w:tcBorders>
              <w:bottom w:val="single" w:sz="8" w:color="0E3C23"/>
            </w:tcBorders>
          </w:tcPr>
          <w:p>
            <w:pPr>
              <w:jc w:val="right"/>
              <w:ind w:right="25"/>
              <w:spacing w:after="0"/>
              <w:rPr>
                <w:sz w:val="20"/>
                <w:szCs w:val="20"/>
                <w:color w:val="auto"/>
              </w:rPr>
            </w:pPr>
            <w:r>
              <w:rPr>
                <w:rFonts w:ascii="Arial" w:cs="Arial" w:eastAsia="Arial" w:hAnsi="Arial"/>
                <w:sz w:val="20"/>
                <w:szCs w:val="20"/>
                <w:color w:val="auto"/>
              </w:rPr>
              <w:t>220,000</w:t>
            </w:r>
          </w:p>
        </w:tc>
        <w:tc>
          <w:tcPr>
            <w:tcW w:w="920" w:type="dxa"/>
            <w:vAlign w:val="bottom"/>
            <w:tcBorders>
              <w:bottom w:val="single" w:sz="8" w:color="0E3C23"/>
            </w:tcBorders>
          </w:tcPr>
          <w:p>
            <w:pPr>
              <w:jc w:val="right"/>
              <w:ind w:right="25"/>
              <w:spacing w:after="0"/>
              <w:rPr>
                <w:sz w:val="20"/>
                <w:szCs w:val="20"/>
                <w:color w:val="auto"/>
              </w:rPr>
            </w:pPr>
            <w:r>
              <w:rPr>
                <w:rFonts w:ascii="Arial" w:cs="Arial" w:eastAsia="Arial" w:hAnsi="Arial"/>
                <w:sz w:val="20"/>
                <w:szCs w:val="20"/>
                <w:color w:val="auto"/>
              </w:rPr>
              <w:t>280,093</w:t>
            </w:r>
          </w:p>
        </w:tc>
        <w:tc>
          <w:tcPr>
            <w:tcW w:w="86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500,093</w:t>
            </w:r>
          </w:p>
        </w:tc>
      </w:tr>
      <w:tr>
        <w:trPr>
          <w:trHeight w:val="239"/>
        </w:trPr>
        <w:tc>
          <w:tcPr>
            <w:tcW w:w="3860" w:type="dxa"/>
            <w:vAlign w:val="bottom"/>
            <w:tcBorders>
              <w:bottom w:val="single" w:sz="8" w:color="0E3C23"/>
            </w:tcBorders>
          </w:tcPr>
          <w:p>
            <w:pPr>
              <w:ind w:left="60"/>
              <w:spacing w:after="0"/>
              <w:rPr>
                <w:sz w:val="20"/>
                <w:szCs w:val="20"/>
                <w:color w:val="auto"/>
              </w:rPr>
            </w:pPr>
            <w:r>
              <w:rPr>
                <w:rFonts w:ascii="Arial" w:cs="Arial" w:eastAsia="Arial" w:hAnsi="Arial"/>
                <w:sz w:val="20"/>
                <w:szCs w:val="20"/>
                <w:color w:val="auto"/>
              </w:rPr>
              <w:t>Sean E. Menke</w:t>
            </w:r>
          </w:p>
        </w:tc>
        <w:tc>
          <w:tcPr>
            <w:tcW w:w="2820" w:type="dxa"/>
            <w:vAlign w:val="bottom"/>
            <w:tcBorders>
              <w:bottom w:val="single" w:sz="8" w:color="0E3C23"/>
            </w:tcBorders>
          </w:tcPr>
          <w:p>
            <w:pPr>
              <w:jc w:val="right"/>
              <w:ind w:right="25"/>
              <w:spacing w:after="0"/>
              <w:rPr>
                <w:sz w:val="20"/>
                <w:szCs w:val="20"/>
                <w:color w:val="auto"/>
              </w:rPr>
            </w:pPr>
            <w:r>
              <w:rPr>
                <w:rFonts w:ascii="Arial" w:cs="Arial" w:eastAsia="Arial" w:hAnsi="Arial"/>
                <w:sz w:val="20"/>
                <w:szCs w:val="20"/>
                <w:color w:val="auto"/>
              </w:rPr>
              <w:t>120,000</w:t>
            </w:r>
          </w:p>
        </w:tc>
        <w:tc>
          <w:tcPr>
            <w:tcW w:w="920" w:type="dxa"/>
            <w:vAlign w:val="bottom"/>
            <w:tcBorders>
              <w:bottom w:val="single" w:sz="8" w:color="0E3C23"/>
            </w:tcBorders>
          </w:tcPr>
          <w:p>
            <w:pPr>
              <w:jc w:val="right"/>
              <w:ind w:right="25"/>
              <w:spacing w:after="0"/>
              <w:rPr>
                <w:sz w:val="20"/>
                <w:szCs w:val="20"/>
                <w:color w:val="auto"/>
              </w:rPr>
            </w:pPr>
            <w:r>
              <w:rPr>
                <w:rFonts w:ascii="Arial" w:cs="Arial" w:eastAsia="Arial" w:hAnsi="Arial"/>
                <w:sz w:val="20"/>
                <w:szCs w:val="20"/>
                <w:color w:val="auto"/>
              </w:rPr>
              <w:t>179,862</w:t>
            </w:r>
          </w:p>
        </w:tc>
        <w:tc>
          <w:tcPr>
            <w:tcW w:w="86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299,862</w:t>
            </w:r>
          </w:p>
        </w:tc>
      </w:tr>
      <w:tr>
        <w:trPr>
          <w:trHeight w:val="239"/>
        </w:trPr>
        <w:tc>
          <w:tcPr>
            <w:tcW w:w="3860" w:type="dxa"/>
            <w:vAlign w:val="bottom"/>
            <w:tcBorders>
              <w:bottom w:val="single" w:sz="8" w:color="0E3C23"/>
            </w:tcBorders>
          </w:tcPr>
          <w:p>
            <w:pPr>
              <w:ind w:left="60"/>
              <w:spacing w:after="0"/>
              <w:rPr>
                <w:sz w:val="20"/>
                <w:szCs w:val="20"/>
                <w:color w:val="auto"/>
              </w:rPr>
            </w:pPr>
            <w:r>
              <w:rPr>
                <w:rFonts w:ascii="Arial" w:cs="Arial" w:eastAsia="Arial" w:hAnsi="Arial"/>
                <w:sz w:val="20"/>
                <w:szCs w:val="20"/>
                <w:color w:val="auto"/>
              </w:rPr>
              <w:t>William B. Plummer</w:t>
            </w:r>
          </w:p>
        </w:tc>
        <w:tc>
          <w:tcPr>
            <w:tcW w:w="2820" w:type="dxa"/>
            <w:vAlign w:val="bottom"/>
            <w:tcBorders>
              <w:bottom w:val="single" w:sz="8" w:color="0E3C23"/>
            </w:tcBorders>
          </w:tcPr>
          <w:p>
            <w:pPr>
              <w:jc w:val="right"/>
              <w:ind w:right="25"/>
              <w:spacing w:after="0"/>
              <w:rPr>
                <w:sz w:val="20"/>
                <w:szCs w:val="20"/>
                <w:color w:val="auto"/>
              </w:rPr>
            </w:pPr>
            <w:r>
              <w:rPr>
                <w:rFonts w:ascii="Arial" w:cs="Arial" w:eastAsia="Arial" w:hAnsi="Arial"/>
                <w:sz w:val="20"/>
                <w:szCs w:val="20"/>
                <w:color w:val="auto"/>
              </w:rPr>
              <w:t>145,000</w:t>
            </w:r>
          </w:p>
        </w:tc>
        <w:tc>
          <w:tcPr>
            <w:tcW w:w="920" w:type="dxa"/>
            <w:vAlign w:val="bottom"/>
            <w:tcBorders>
              <w:bottom w:val="single" w:sz="8" w:color="0E3C23"/>
            </w:tcBorders>
          </w:tcPr>
          <w:p>
            <w:pPr>
              <w:jc w:val="right"/>
              <w:ind w:right="25"/>
              <w:spacing w:after="0"/>
              <w:rPr>
                <w:sz w:val="20"/>
                <w:szCs w:val="20"/>
                <w:color w:val="auto"/>
              </w:rPr>
            </w:pPr>
            <w:r>
              <w:rPr>
                <w:rFonts w:ascii="Arial" w:cs="Arial" w:eastAsia="Arial" w:hAnsi="Arial"/>
                <w:sz w:val="20"/>
                <w:szCs w:val="20"/>
                <w:color w:val="auto"/>
              </w:rPr>
              <w:t>179,862</w:t>
            </w:r>
          </w:p>
        </w:tc>
        <w:tc>
          <w:tcPr>
            <w:tcW w:w="86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324,862</w:t>
            </w:r>
          </w:p>
        </w:tc>
      </w:tr>
      <w:tr>
        <w:trPr>
          <w:trHeight w:val="246"/>
        </w:trPr>
        <w:tc>
          <w:tcPr>
            <w:tcW w:w="3860" w:type="dxa"/>
            <w:vAlign w:val="bottom"/>
            <w:tcBorders>
              <w:bottom w:val="single" w:sz="8" w:color="0E3C23"/>
            </w:tcBorders>
          </w:tcPr>
          <w:p>
            <w:pPr>
              <w:ind w:left="60"/>
              <w:spacing w:after="0" w:line="246" w:lineRule="exact"/>
              <w:rPr>
                <w:sz w:val="20"/>
                <w:szCs w:val="20"/>
                <w:color w:val="auto"/>
              </w:rPr>
            </w:pPr>
            <w:r>
              <w:rPr>
                <w:rFonts w:ascii="Arial" w:cs="Arial" w:eastAsia="Arial" w:hAnsi="Arial"/>
                <w:sz w:val="20"/>
                <w:szCs w:val="20"/>
                <w:color w:val="auto"/>
              </w:rPr>
              <w:t>John C. Pope</w:t>
            </w:r>
            <w:r>
              <w:rPr>
                <w:rFonts w:ascii="Arial" w:cs="Arial" w:eastAsia="Arial" w:hAnsi="Arial"/>
                <w:sz w:val="25"/>
                <w:szCs w:val="25"/>
                <w:color w:val="auto"/>
                <w:vertAlign w:val="superscript"/>
              </w:rPr>
              <w:t>(3)</w:t>
            </w:r>
          </w:p>
        </w:tc>
        <w:tc>
          <w:tcPr>
            <w:tcW w:w="2820" w:type="dxa"/>
            <w:vAlign w:val="bottom"/>
            <w:tcBorders>
              <w:bottom w:val="single" w:sz="8" w:color="0E3C23"/>
            </w:tcBorders>
          </w:tcPr>
          <w:p>
            <w:pPr>
              <w:jc w:val="right"/>
              <w:ind w:right="25"/>
              <w:spacing w:after="0"/>
              <w:rPr>
                <w:sz w:val="20"/>
                <w:szCs w:val="20"/>
                <w:color w:val="auto"/>
              </w:rPr>
            </w:pPr>
            <w:r>
              <w:rPr>
                <w:rFonts w:ascii="Arial" w:cs="Arial" w:eastAsia="Arial" w:hAnsi="Arial"/>
                <w:sz w:val="20"/>
                <w:szCs w:val="20"/>
                <w:color w:val="auto"/>
              </w:rPr>
              <w:t>60,000</w:t>
            </w:r>
          </w:p>
        </w:tc>
        <w:tc>
          <w:tcPr>
            <w:tcW w:w="920" w:type="dxa"/>
            <w:vAlign w:val="bottom"/>
            <w:tcBorders>
              <w:bottom w:val="single" w:sz="8" w:color="0E3C23"/>
            </w:tcBorders>
          </w:tcPr>
          <w:p>
            <w:pPr>
              <w:jc w:val="right"/>
              <w:ind w:right="25"/>
              <w:spacing w:after="0"/>
              <w:rPr>
                <w:sz w:val="20"/>
                <w:szCs w:val="20"/>
                <w:color w:val="auto"/>
              </w:rPr>
            </w:pPr>
            <w:r>
              <w:rPr>
                <w:rFonts w:ascii="Arial" w:cs="Arial" w:eastAsia="Arial" w:hAnsi="Arial"/>
                <w:sz w:val="20"/>
                <w:szCs w:val="20"/>
                <w:color w:val="auto"/>
              </w:rPr>
              <w:t>89,965</w:t>
            </w:r>
          </w:p>
        </w:tc>
        <w:tc>
          <w:tcPr>
            <w:tcW w:w="86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149,965</w:t>
            </w:r>
          </w:p>
        </w:tc>
      </w:tr>
      <w:tr>
        <w:trPr>
          <w:trHeight w:val="227"/>
        </w:trPr>
        <w:tc>
          <w:tcPr>
            <w:tcW w:w="3860" w:type="dxa"/>
            <w:vAlign w:val="bottom"/>
          </w:tcPr>
          <w:p>
            <w:pPr>
              <w:ind w:left="60"/>
              <w:spacing w:after="0" w:line="227" w:lineRule="exact"/>
              <w:rPr>
                <w:sz w:val="20"/>
                <w:szCs w:val="20"/>
                <w:color w:val="auto"/>
              </w:rPr>
            </w:pPr>
            <w:r>
              <w:rPr>
                <w:rFonts w:ascii="Arial" w:cs="Arial" w:eastAsia="Arial" w:hAnsi="Arial"/>
                <w:sz w:val="20"/>
                <w:szCs w:val="20"/>
                <w:color w:val="auto"/>
              </w:rPr>
              <w:t>Maryrose T. Sylvester</w:t>
            </w:r>
          </w:p>
        </w:tc>
        <w:tc>
          <w:tcPr>
            <w:tcW w:w="2820" w:type="dxa"/>
            <w:vAlign w:val="bottom"/>
          </w:tcPr>
          <w:p>
            <w:pPr>
              <w:jc w:val="right"/>
              <w:ind w:right="25"/>
              <w:spacing w:after="0" w:line="227" w:lineRule="exact"/>
              <w:rPr>
                <w:sz w:val="20"/>
                <w:szCs w:val="20"/>
                <w:color w:val="auto"/>
              </w:rPr>
            </w:pPr>
            <w:r>
              <w:rPr>
                <w:rFonts w:ascii="Arial" w:cs="Arial" w:eastAsia="Arial" w:hAnsi="Arial"/>
                <w:sz w:val="20"/>
                <w:szCs w:val="20"/>
                <w:color w:val="auto"/>
              </w:rPr>
              <w:t>120,000</w:t>
            </w:r>
          </w:p>
        </w:tc>
        <w:tc>
          <w:tcPr>
            <w:tcW w:w="920" w:type="dxa"/>
            <w:vAlign w:val="bottom"/>
          </w:tcPr>
          <w:p>
            <w:pPr>
              <w:jc w:val="right"/>
              <w:ind w:right="25"/>
              <w:spacing w:after="0" w:line="227" w:lineRule="exact"/>
              <w:rPr>
                <w:sz w:val="20"/>
                <w:szCs w:val="20"/>
                <w:color w:val="auto"/>
              </w:rPr>
            </w:pPr>
            <w:r>
              <w:rPr>
                <w:rFonts w:ascii="Arial" w:cs="Arial" w:eastAsia="Arial" w:hAnsi="Arial"/>
                <w:sz w:val="20"/>
                <w:szCs w:val="20"/>
                <w:color w:val="auto"/>
              </w:rPr>
              <w:t>179,862</w:t>
            </w:r>
          </w:p>
        </w:tc>
        <w:tc>
          <w:tcPr>
            <w:tcW w:w="860" w:type="dxa"/>
            <w:vAlign w:val="bottom"/>
          </w:tcPr>
          <w:p>
            <w:pPr>
              <w:jc w:val="right"/>
              <w:spacing w:after="0" w:line="227" w:lineRule="exact"/>
              <w:rPr>
                <w:sz w:val="20"/>
                <w:szCs w:val="20"/>
                <w:color w:val="auto"/>
              </w:rPr>
            </w:pPr>
            <w:r>
              <w:rPr>
                <w:rFonts w:ascii="Arial" w:cs="Arial" w:eastAsia="Arial" w:hAnsi="Arial"/>
                <w:sz w:val="20"/>
                <w:szCs w:val="20"/>
                <w:color w:val="auto"/>
              </w:rPr>
              <w:t>299,862</w:t>
            </w:r>
          </w:p>
        </w:tc>
      </w:tr>
      <w:tr>
        <w:trPr>
          <w:trHeight w:val="38"/>
        </w:trPr>
        <w:tc>
          <w:tcPr>
            <w:tcW w:w="3860" w:type="dxa"/>
            <w:vAlign w:val="bottom"/>
            <w:tcBorders>
              <w:bottom w:val="single" w:sz="8" w:color="0E3C23"/>
            </w:tcBorders>
          </w:tcPr>
          <w:p>
            <w:pPr>
              <w:spacing w:after="0"/>
              <w:rPr>
                <w:sz w:val="3"/>
                <w:szCs w:val="3"/>
                <w:color w:val="auto"/>
              </w:rPr>
            </w:pPr>
          </w:p>
        </w:tc>
        <w:tc>
          <w:tcPr>
            <w:tcW w:w="282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860" w:type="dxa"/>
            <w:vAlign w:val="bottom"/>
            <w:tcBorders>
              <w:bottom w:val="single" w:sz="8" w:color="0E3C23"/>
            </w:tcBorders>
          </w:tcPr>
          <w:p>
            <w:pPr>
              <w:spacing w:after="0"/>
              <w:rPr>
                <w:sz w:val="3"/>
                <w:szCs w:val="3"/>
                <w:color w:val="auto"/>
              </w:rPr>
            </w:pPr>
          </w:p>
        </w:tc>
      </w:tr>
    </w:tbl>
    <w:p>
      <w:pPr>
        <w:spacing w:after="0" w:line="77" w:lineRule="exact"/>
        <w:rPr>
          <w:sz w:val="20"/>
          <w:szCs w:val="20"/>
          <w:color w:val="auto"/>
        </w:rPr>
      </w:pPr>
    </w:p>
    <w:p>
      <w:pPr>
        <w:jc w:val="both"/>
        <w:ind w:left="1380" w:right="200" w:hanging="404"/>
        <w:spacing w:after="0" w:line="248" w:lineRule="auto"/>
        <w:tabs>
          <w:tab w:leader="none" w:pos="13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Amounts in this column represent the grant date fair value of stock awards granted in 2024, in accordance with Financial Accounting Standards Board Accounting Standards Codification Topic 718. The grant date fair value of the awards is equal to the number of shares issued multiplied by the average of the high and low market price of our Common Stock on each date of grant; there are no assumptions used in the valuation of shares.</w:t>
      </w:r>
    </w:p>
    <w:p>
      <w:pPr>
        <w:spacing w:after="0" w:line="128" w:lineRule="exact"/>
        <w:rPr>
          <w:rFonts w:ascii="Arial" w:cs="Arial" w:eastAsia="Arial" w:hAnsi="Arial"/>
          <w:sz w:val="20"/>
          <w:szCs w:val="20"/>
          <w:color w:val="auto"/>
        </w:rPr>
      </w:pPr>
    </w:p>
    <w:p>
      <w:pPr>
        <w:jc w:val="both"/>
        <w:ind w:left="1380" w:right="200" w:hanging="404"/>
        <w:spacing w:after="0" w:line="246" w:lineRule="auto"/>
        <w:tabs>
          <w:tab w:leader="none" w:pos="13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Mr. Bené was elected to our Board effective March 1, 2024 and received prorated equity and cash compensation for service as a director from the date of election until the next regular installment of compensation payments in July 2024.</w:t>
      </w:r>
    </w:p>
    <w:p>
      <w:pPr>
        <w:spacing w:after="0" w:line="130" w:lineRule="exact"/>
        <w:rPr>
          <w:rFonts w:ascii="Arial" w:cs="Arial" w:eastAsia="Arial" w:hAnsi="Arial"/>
          <w:sz w:val="20"/>
          <w:szCs w:val="20"/>
          <w:color w:val="auto"/>
        </w:rPr>
      </w:pPr>
    </w:p>
    <w:p>
      <w:pPr>
        <w:jc w:val="both"/>
        <w:ind w:left="1380" w:right="200" w:hanging="404"/>
        <w:spacing w:after="0" w:line="246" w:lineRule="auto"/>
        <w:tabs>
          <w:tab w:leader="none" w:pos="13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As of the 2024 Annual Meeting, Mr. Pope had reached the retirement age set forth in the Company’s Corporate Governance Guidelines; therefore, he did not stand for re-election. His term as a director of the Company expired on May 14, 2024.</w:t>
      </w:r>
    </w:p>
    <w:p>
      <w:pPr>
        <w:sectPr>
          <w:pgSz w:w="13320" w:h="16920" w:orient="portrait"/>
          <w:cols w:equalWidth="0" w:num="1">
            <w:col w:w="104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-207010</wp:posOffset>
            </wp:positionV>
            <wp:extent cx="538480" cy="161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1">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21" w:name="page22"/>
    <w:bookmarkEnd w:id="21"/>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Arial" w:cs="Arial" w:eastAsia="Arial" w:hAnsi="Arial"/>
          <w:sz w:val="40"/>
          <w:szCs w:val="40"/>
          <w:color w:val="0E3C23"/>
        </w:rPr>
        <w:t>ELECTION OF DIRECTORS</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E3C23"/>
        </w:rPr>
        <w:t>(Item 1 on the Proxy Card — Director Nominees)</w:t>
      </w:r>
    </w:p>
    <w:p>
      <w:pPr>
        <w:spacing w:after="0" w:line="136" w:lineRule="exact"/>
        <w:rPr>
          <w:sz w:val="20"/>
          <w:szCs w:val="20"/>
          <w:color w:val="auto"/>
        </w:rPr>
      </w:pPr>
    </w:p>
    <w:p>
      <w:pPr>
        <w:jc w:val="both"/>
        <w:ind w:left="180" w:right="200"/>
        <w:spacing w:after="0" w:line="279" w:lineRule="auto"/>
        <w:rPr>
          <w:sz w:val="20"/>
          <w:szCs w:val="20"/>
          <w:color w:val="auto"/>
        </w:rPr>
      </w:pPr>
      <w:r>
        <w:rPr>
          <w:rFonts w:ascii="Arial" w:cs="Arial" w:eastAsia="Arial" w:hAnsi="Arial"/>
          <w:sz w:val="18"/>
          <w:szCs w:val="18"/>
          <w:color w:val="auto"/>
        </w:rPr>
        <w:t>The first item on the proxy card is the election of nine directors to serve until the 2026 Annual Meeting of Stockholders and until their respective successors have been duly elected and qualified. The Board has nominated the nine director candidates named below and recommends that you vote FOR their election. Each of the director nominees currently serves on our Board of Directors. If any nominee is unable or unwilling to serve as a director, which we do not anticipate, the Board, by resolution, may reduce the number of directors that constitute the Board or may choose a substitute. To be elected, a director must receive a majority of the votes cast with respect to that director at the meeting. Our Company’s By-laws provide that if the number of shares voted “for” any director nominee does not exceed 50% of the votes cast with respect to that director, he or she will tender his or her resignation to the Board of Directors contingent on the acceptance of such resignation by the Board. The Nominating and Governance Committee will then make a recommendation to the Board on whether to accept or reject the resignation, or whether other action should be taken. The Board will act on the resignation, taking into account the Nominating and Governance Committee’s recommendation, and publicly disclose its decision and the rationale behind it within 90 days of the date of the certification of the election results.</w:t>
      </w:r>
    </w:p>
    <w:p>
      <w:pPr>
        <w:spacing w:after="0" w:line="106" w:lineRule="exact"/>
        <w:rPr>
          <w:sz w:val="20"/>
          <w:szCs w:val="20"/>
          <w:color w:val="auto"/>
        </w:rPr>
      </w:pPr>
    </w:p>
    <w:p>
      <w:pPr>
        <w:jc w:val="both"/>
        <w:ind w:left="180" w:right="200"/>
        <w:spacing w:after="0" w:line="248" w:lineRule="auto"/>
        <w:rPr>
          <w:sz w:val="20"/>
          <w:szCs w:val="20"/>
          <w:color w:val="auto"/>
        </w:rPr>
      </w:pPr>
      <w:r>
        <w:rPr>
          <w:rFonts w:ascii="Arial" w:cs="Arial" w:eastAsia="Arial" w:hAnsi="Arial"/>
          <w:sz w:val="20"/>
          <w:szCs w:val="20"/>
          <w:color w:val="auto"/>
        </w:rPr>
        <w:t>Below we present biographical information of each director nominee, as well as information about the qualifications, skills and areas of expertise that make each of these individuals a valuable member of our Board and that were considered by the Board when nominating them for re-election. Definitions of the categories of skill and expertise presented in the following chart are provided below. This is intended as a high-level summary to support an understanding of director qualifications and is not an exhaustive list of the areas of skill and expertise that our director nominees contribute to the Board.</w:t>
      </w:r>
    </w:p>
    <w:p>
      <w:pPr>
        <w:spacing w:after="0" w:line="200" w:lineRule="exact"/>
        <w:rPr>
          <w:sz w:val="20"/>
          <w:szCs w:val="20"/>
          <w:color w:val="auto"/>
        </w:rPr>
      </w:pP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E3C23"/>
        </w:rPr>
        <w:t>BOARD COMPOSITION, SKILLS AND EXPERTISE</w:t>
      </w:r>
    </w:p>
    <w:p>
      <w:pPr>
        <w:spacing w:after="0" w:line="169" w:lineRule="exact"/>
        <w:rPr>
          <w:sz w:val="20"/>
          <w:szCs w:val="20"/>
          <w:color w:val="auto"/>
        </w:rPr>
      </w:pPr>
    </w:p>
    <w:tbl>
      <w:tblPr>
        <w:tblLayout w:type="fixed"/>
        <w:tblInd w:w="200" w:type="dxa"/>
        <w:tblCellMar>
          <w:top w:w="0" w:type="dxa"/>
          <w:left w:w="0" w:type="dxa"/>
          <w:bottom w:w="0" w:type="dxa"/>
          <w:right w:w="0" w:type="dxa"/>
        </w:tblCellMar>
      </w:tblPr>
      <w:tr>
        <w:trPr>
          <w:trHeight w:val="700"/>
        </w:trPr>
        <w:tc>
          <w:tcPr>
            <w:tcW w:w="10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2380" w:type="dxa"/>
            <w:vAlign w:val="bottom"/>
            <w:shd w:val="clear" w:color="auto" w:fill="EDEDED"/>
          </w:tcPr>
          <w:p>
            <w:pPr>
              <w:jc w:val="center"/>
              <w:ind w:right="834"/>
              <w:spacing w:after="0"/>
              <w:rPr>
                <w:sz w:val="20"/>
                <w:szCs w:val="20"/>
                <w:color w:val="auto"/>
              </w:rPr>
            </w:pPr>
            <w:r>
              <w:rPr>
                <w:rFonts w:ascii="Arial" w:cs="Arial" w:eastAsia="Arial" w:hAnsi="Arial"/>
                <w:sz w:val="16"/>
                <w:szCs w:val="16"/>
                <w:b w:val="1"/>
                <w:bCs w:val="1"/>
                <w:color w:val="0E3C23"/>
                <w:w w:val="88"/>
              </w:rPr>
              <w:t>BOARD DIVERSITY</w:t>
            </w:r>
          </w:p>
        </w:tc>
        <w:tc>
          <w:tcPr>
            <w:tcW w:w="860" w:type="dxa"/>
            <w:vAlign w:val="bottom"/>
            <w:shd w:val="clear" w:color="auto" w:fill="EDEDED"/>
          </w:tcPr>
          <w:p>
            <w:pPr>
              <w:spacing w:after="0"/>
              <w:rPr>
                <w:sz w:val="24"/>
                <w:szCs w:val="24"/>
                <w:color w:val="auto"/>
              </w:rPr>
            </w:pPr>
          </w:p>
        </w:tc>
        <w:tc>
          <w:tcPr>
            <w:tcW w:w="2080" w:type="dxa"/>
            <w:vAlign w:val="bottom"/>
            <w:gridSpan w:val="2"/>
            <w:shd w:val="clear" w:color="auto" w:fill="EDEDED"/>
          </w:tcPr>
          <w:p>
            <w:pPr>
              <w:jc w:val="right"/>
              <w:ind w:right="808"/>
              <w:spacing w:after="0"/>
              <w:rPr>
                <w:sz w:val="20"/>
                <w:szCs w:val="20"/>
                <w:color w:val="auto"/>
              </w:rPr>
            </w:pPr>
            <w:r>
              <w:rPr>
                <w:rFonts w:ascii="Arial" w:cs="Arial" w:eastAsia="Arial" w:hAnsi="Arial"/>
                <w:sz w:val="16"/>
                <w:szCs w:val="16"/>
                <w:b w:val="1"/>
                <w:bCs w:val="1"/>
                <w:color w:val="0E3C23"/>
                <w:w w:val="91"/>
              </w:rPr>
              <w:t>INDEPENDENCE</w:t>
            </w:r>
          </w:p>
        </w:tc>
        <w:tc>
          <w:tcPr>
            <w:tcW w:w="86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40" w:type="dxa"/>
            <w:vAlign w:val="bottom"/>
            <w:shd w:val="clear" w:color="auto" w:fill="EDEDED"/>
          </w:tcPr>
          <w:p>
            <w:pPr>
              <w:spacing w:after="0"/>
              <w:rPr>
                <w:sz w:val="24"/>
                <w:szCs w:val="24"/>
                <w:color w:val="auto"/>
              </w:rPr>
            </w:pPr>
          </w:p>
        </w:tc>
        <w:tc>
          <w:tcPr>
            <w:tcW w:w="2200" w:type="dxa"/>
            <w:vAlign w:val="bottom"/>
            <w:shd w:val="clear" w:color="auto" w:fill="EDEDED"/>
          </w:tcPr>
          <w:p>
            <w:pPr>
              <w:ind w:left="40"/>
              <w:spacing w:after="0"/>
              <w:rPr>
                <w:sz w:val="20"/>
                <w:szCs w:val="20"/>
                <w:color w:val="auto"/>
              </w:rPr>
            </w:pPr>
            <w:r>
              <w:rPr>
                <w:rFonts w:ascii="Arial" w:cs="Arial" w:eastAsia="Arial" w:hAnsi="Arial"/>
                <w:sz w:val="16"/>
                <w:szCs w:val="16"/>
                <w:b w:val="1"/>
                <w:bCs w:val="1"/>
                <w:color w:val="0E3C23"/>
              </w:rPr>
              <w:t>TENURE</w:t>
            </w:r>
          </w:p>
        </w:tc>
        <w:tc>
          <w:tcPr>
            <w:tcW w:w="0" w:type="dxa"/>
            <w:vAlign w:val="bottom"/>
          </w:tcPr>
          <w:p>
            <w:pPr>
              <w:spacing w:after="0"/>
              <w:rPr>
                <w:sz w:val="1"/>
                <w:szCs w:val="1"/>
                <w:color w:val="auto"/>
              </w:rPr>
            </w:pPr>
          </w:p>
        </w:tc>
      </w:tr>
      <w:tr>
        <w:trPr>
          <w:trHeight w:val="807"/>
        </w:trPr>
        <w:tc>
          <w:tcPr>
            <w:tcW w:w="10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2380" w:type="dxa"/>
            <w:vAlign w:val="bottom"/>
            <w:shd w:val="clear" w:color="auto" w:fill="EDEDED"/>
          </w:tcPr>
          <w:p>
            <w:pPr>
              <w:spacing w:after="0"/>
              <w:rPr>
                <w:sz w:val="24"/>
                <w:szCs w:val="24"/>
                <w:color w:val="auto"/>
              </w:rPr>
            </w:pPr>
          </w:p>
        </w:tc>
        <w:tc>
          <w:tcPr>
            <w:tcW w:w="2940" w:type="dxa"/>
            <w:vAlign w:val="bottom"/>
            <w:gridSpan w:val="3"/>
            <w:vMerge w:val="restart"/>
            <w:shd w:val="clear" w:color="auto" w:fill="EDEDED"/>
          </w:tcPr>
          <w:p>
            <w:pPr>
              <w:jc w:val="right"/>
              <w:ind w:right="468"/>
              <w:spacing w:after="0"/>
              <w:rPr>
                <w:sz w:val="20"/>
                <w:szCs w:val="20"/>
                <w:color w:val="auto"/>
              </w:rPr>
            </w:pPr>
            <w:r>
              <w:rPr>
                <w:rFonts w:ascii="Arial" w:cs="Arial" w:eastAsia="Arial" w:hAnsi="Arial"/>
                <w:sz w:val="18"/>
                <w:szCs w:val="18"/>
                <w:b w:val="1"/>
                <w:bCs w:val="1"/>
                <w:color w:val="FFFFFF"/>
              </w:rPr>
              <w:t>1</w:t>
            </w:r>
          </w:p>
        </w:tc>
        <w:tc>
          <w:tcPr>
            <w:tcW w:w="860" w:type="dxa"/>
            <w:vAlign w:val="bottom"/>
            <w:shd w:val="clear" w:color="auto" w:fill="EDEDED"/>
          </w:tcPr>
          <w:p>
            <w:pPr>
              <w:spacing w:after="0"/>
              <w:rPr>
                <w:sz w:val="24"/>
                <w:szCs w:val="24"/>
                <w:color w:val="auto"/>
              </w:rPr>
            </w:pPr>
          </w:p>
        </w:tc>
        <w:tc>
          <w:tcPr>
            <w:tcW w:w="2680" w:type="dxa"/>
            <w:vAlign w:val="bottom"/>
            <w:gridSpan w:val="3"/>
            <w:shd w:val="clear" w:color="auto" w:fill="EDEDED"/>
          </w:tcPr>
          <w:p>
            <w:pPr>
              <w:jc w:val="right"/>
              <w:ind w:right="1002"/>
              <w:spacing w:after="0"/>
              <w:rPr>
                <w:sz w:val="20"/>
                <w:szCs w:val="20"/>
                <w:color w:val="auto"/>
              </w:rPr>
            </w:pPr>
            <w:r>
              <w:rPr>
                <w:rFonts w:ascii="Arial" w:cs="Arial" w:eastAsia="Arial" w:hAnsi="Arial"/>
                <w:sz w:val="18"/>
                <w:szCs w:val="18"/>
                <w:b w:val="1"/>
                <w:bCs w:val="1"/>
                <w:color w:val="FFFFFF"/>
              </w:rPr>
              <w:t>4</w:t>
            </w:r>
          </w:p>
        </w:tc>
        <w:tc>
          <w:tcPr>
            <w:tcW w:w="0" w:type="dxa"/>
            <w:vAlign w:val="bottom"/>
          </w:tcPr>
          <w:p>
            <w:pPr>
              <w:spacing w:after="0"/>
              <w:rPr>
                <w:sz w:val="1"/>
                <w:szCs w:val="1"/>
                <w:color w:val="auto"/>
              </w:rPr>
            </w:pPr>
          </w:p>
        </w:tc>
      </w:tr>
      <w:tr>
        <w:trPr>
          <w:trHeight w:val="81"/>
        </w:trPr>
        <w:tc>
          <w:tcPr>
            <w:tcW w:w="1060" w:type="dxa"/>
            <w:vAlign w:val="bottom"/>
            <w:vMerge w:val="restart"/>
            <w:shd w:val="clear" w:color="auto" w:fill="EDEDED"/>
          </w:tcPr>
          <w:p>
            <w:pPr>
              <w:jc w:val="right"/>
              <w:spacing w:after="0" w:line="167" w:lineRule="exact"/>
              <w:rPr>
                <w:sz w:val="20"/>
                <w:szCs w:val="20"/>
                <w:color w:val="auto"/>
              </w:rPr>
            </w:pPr>
            <w:r>
              <w:rPr>
                <w:rFonts w:ascii="Arial" w:cs="Arial" w:eastAsia="Arial" w:hAnsi="Arial"/>
                <w:sz w:val="18"/>
                <w:szCs w:val="18"/>
                <w:b w:val="1"/>
                <w:bCs w:val="1"/>
                <w:color w:val="FFFFFF"/>
              </w:rPr>
              <w:t>3</w:t>
            </w:r>
          </w:p>
        </w:tc>
        <w:tc>
          <w:tcPr>
            <w:tcW w:w="2500" w:type="dxa"/>
            <w:vAlign w:val="bottom"/>
            <w:gridSpan w:val="2"/>
            <w:vMerge w:val="restart"/>
            <w:shd w:val="clear" w:color="auto" w:fill="EDEDED"/>
          </w:tcPr>
          <w:p>
            <w:pPr>
              <w:jc w:val="right"/>
              <w:ind w:right="574"/>
              <w:spacing w:after="0" w:line="167" w:lineRule="exact"/>
              <w:rPr>
                <w:sz w:val="20"/>
                <w:szCs w:val="20"/>
                <w:color w:val="auto"/>
              </w:rPr>
            </w:pPr>
            <w:r>
              <w:rPr>
                <w:rFonts w:ascii="Arial" w:cs="Arial" w:eastAsia="Arial" w:hAnsi="Arial"/>
                <w:sz w:val="18"/>
                <w:szCs w:val="18"/>
                <w:b w:val="1"/>
                <w:bCs w:val="1"/>
                <w:color w:val="FFFFFF"/>
              </w:rPr>
              <w:t>3</w:t>
            </w:r>
          </w:p>
        </w:tc>
        <w:tc>
          <w:tcPr>
            <w:tcW w:w="2940" w:type="dxa"/>
            <w:vAlign w:val="bottom"/>
            <w:gridSpan w:val="3"/>
            <w:vMerge w:val="continue"/>
            <w:shd w:val="clear" w:color="auto" w:fill="EDEDED"/>
          </w:tcPr>
          <w:p>
            <w:pPr>
              <w:spacing w:after="0"/>
              <w:rPr>
                <w:sz w:val="7"/>
                <w:szCs w:val="7"/>
                <w:color w:val="auto"/>
              </w:rPr>
            </w:pPr>
          </w:p>
        </w:tc>
        <w:tc>
          <w:tcPr>
            <w:tcW w:w="860" w:type="dxa"/>
            <w:vAlign w:val="bottom"/>
            <w:shd w:val="clear" w:color="auto" w:fill="EDEDED"/>
          </w:tcPr>
          <w:p>
            <w:pPr>
              <w:spacing w:after="0"/>
              <w:rPr>
                <w:sz w:val="7"/>
                <w:szCs w:val="7"/>
                <w:color w:val="auto"/>
              </w:rPr>
            </w:pPr>
          </w:p>
        </w:tc>
        <w:tc>
          <w:tcPr>
            <w:tcW w:w="340" w:type="dxa"/>
            <w:vAlign w:val="bottom"/>
            <w:shd w:val="clear" w:color="auto" w:fill="EDEDED"/>
          </w:tcPr>
          <w:p>
            <w:pPr>
              <w:spacing w:after="0"/>
              <w:rPr>
                <w:sz w:val="7"/>
                <w:szCs w:val="7"/>
                <w:color w:val="auto"/>
              </w:rPr>
            </w:pPr>
          </w:p>
        </w:tc>
        <w:tc>
          <w:tcPr>
            <w:tcW w:w="140" w:type="dxa"/>
            <w:vAlign w:val="bottom"/>
            <w:shd w:val="clear" w:color="auto" w:fill="EDEDED"/>
          </w:tcPr>
          <w:p>
            <w:pPr>
              <w:spacing w:after="0"/>
              <w:rPr>
                <w:sz w:val="7"/>
                <w:szCs w:val="7"/>
                <w:color w:val="auto"/>
              </w:rPr>
            </w:pPr>
          </w:p>
        </w:tc>
        <w:tc>
          <w:tcPr>
            <w:tcW w:w="220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60" w:type="dxa"/>
            <w:vAlign w:val="bottom"/>
            <w:vMerge w:val="continue"/>
            <w:shd w:val="clear" w:color="auto" w:fill="EDEDED"/>
          </w:tcPr>
          <w:p>
            <w:pPr>
              <w:spacing w:after="0"/>
              <w:rPr>
                <w:sz w:val="7"/>
                <w:szCs w:val="7"/>
                <w:color w:val="auto"/>
              </w:rPr>
            </w:pPr>
          </w:p>
        </w:tc>
        <w:tc>
          <w:tcPr>
            <w:tcW w:w="2500" w:type="dxa"/>
            <w:vAlign w:val="bottom"/>
            <w:gridSpan w:val="2"/>
            <w:vMerge w:val="continue"/>
            <w:shd w:val="clear" w:color="auto" w:fill="EDEDED"/>
          </w:tcPr>
          <w:p>
            <w:pPr>
              <w:spacing w:after="0"/>
              <w:rPr>
                <w:sz w:val="7"/>
                <w:szCs w:val="7"/>
                <w:color w:val="auto"/>
              </w:rPr>
            </w:pPr>
          </w:p>
        </w:tc>
        <w:tc>
          <w:tcPr>
            <w:tcW w:w="860" w:type="dxa"/>
            <w:vAlign w:val="bottom"/>
            <w:shd w:val="clear" w:color="auto" w:fill="EDEDED"/>
          </w:tcPr>
          <w:p>
            <w:pPr>
              <w:spacing w:after="0"/>
              <w:rPr>
                <w:sz w:val="7"/>
                <w:szCs w:val="7"/>
                <w:color w:val="auto"/>
              </w:rPr>
            </w:pPr>
          </w:p>
        </w:tc>
        <w:tc>
          <w:tcPr>
            <w:tcW w:w="120" w:type="dxa"/>
            <w:vAlign w:val="bottom"/>
            <w:shd w:val="clear" w:color="auto" w:fill="EDEDED"/>
          </w:tcPr>
          <w:p>
            <w:pPr>
              <w:spacing w:after="0"/>
              <w:rPr>
                <w:sz w:val="7"/>
                <w:szCs w:val="7"/>
                <w:color w:val="auto"/>
              </w:rPr>
            </w:pPr>
          </w:p>
        </w:tc>
        <w:tc>
          <w:tcPr>
            <w:tcW w:w="1960" w:type="dxa"/>
            <w:vAlign w:val="bottom"/>
            <w:shd w:val="clear" w:color="auto" w:fill="EDEDED"/>
          </w:tcPr>
          <w:p>
            <w:pPr>
              <w:spacing w:after="0"/>
              <w:rPr>
                <w:sz w:val="7"/>
                <w:szCs w:val="7"/>
                <w:color w:val="auto"/>
              </w:rPr>
            </w:pPr>
          </w:p>
        </w:tc>
        <w:tc>
          <w:tcPr>
            <w:tcW w:w="860" w:type="dxa"/>
            <w:vAlign w:val="bottom"/>
            <w:shd w:val="clear" w:color="auto" w:fill="EDEDED"/>
          </w:tcPr>
          <w:p>
            <w:pPr>
              <w:spacing w:after="0"/>
              <w:rPr>
                <w:sz w:val="7"/>
                <w:szCs w:val="7"/>
                <w:color w:val="auto"/>
              </w:rPr>
            </w:pPr>
          </w:p>
        </w:tc>
        <w:tc>
          <w:tcPr>
            <w:tcW w:w="340" w:type="dxa"/>
            <w:vAlign w:val="bottom"/>
            <w:shd w:val="clear" w:color="auto" w:fill="EDEDED"/>
          </w:tcPr>
          <w:p>
            <w:pPr>
              <w:spacing w:after="0"/>
              <w:rPr>
                <w:sz w:val="7"/>
                <w:szCs w:val="7"/>
                <w:color w:val="auto"/>
              </w:rPr>
            </w:pPr>
          </w:p>
        </w:tc>
        <w:tc>
          <w:tcPr>
            <w:tcW w:w="140" w:type="dxa"/>
            <w:vAlign w:val="bottom"/>
            <w:shd w:val="clear" w:color="auto" w:fill="EDEDED"/>
          </w:tcPr>
          <w:p>
            <w:pPr>
              <w:spacing w:after="0"/>
              <w:rPr>
                <w:sz w:val="7"/>
                <w:szCs w:val="7"/>
                <w:color w:val="auto"/>
              </w:rPr>
            </w:pPr>
          </w:p>
        </w:tc>
        <w:tc>
          <w:tcPr>
            <w:tcW w:w="220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327"/>
        </w:trPr>
        <w:tc>
          <w:tcPr>
            <w:tcW w:w="10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2380" w:type="dxa"/>
            <w:vAlign w:val="bottom"/>
            <w:shd w:val="clear" w:color="auto" w:fill="EDEDED"/>
          </w:tcPr>
          <w:p>
            <w:pPr>
              <w:ind w:left="400"/>
              <w:spacing w:after="0" w:line="327" w:lineRule="exact"/>
              <w:rPr>
                <w:sz w:val="20"/>
                <w:szCs w:val="20"/>
                <w:color w:val="auto"/>
              </w:rPr>
            </w:pPr>
            <w:r>
              <w:rPr>
                <w:rFonts w:ascii="Arial" w:cs="Arial" w:eastAsia="Arial" w:hAnsi="Arial"/>
                <w:sz w:val="29"/>
                <w:szCs w:val="29"/>
                <w:b w:val="1"/>
                <w:bCs w:val="1"/>
                <w:color w:val="0E3C23"/>
              </w:rPr>
              <w:t>6 of 9</w:t>
            </w:r>
          </w:p>
        </w:tc>
        <w:tc>
          <w:tcPr>
            <w:tcW w:w="8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1960" w:type="dxa"/>
            <w:vAlign w:val="bottom"/>
            <w:vMerge w:val="restart"/>
            <w:shd w:val="clear" w:color="auto" w:fill="EDEDED"/>
          </w:tcPr>
          <w:p>
            <w:pPr>
              <w:ind w:left="160"/>
              <w:spacing w:after="0"/>
              <w:rPr>
                <w:sz w:val="20"/>
                <w:szCs w:val="20"/>
                <w:color w:val="auto"/>
              </w:rPr>
            </w:pPr>
            <w:r>
              <w:rPr>
                <w:rFonts w:ascii="Arial" w:cs="Arial" w:eastAsia="Arial" w:hAnsi="Arial"/>
                <w:sz w:val="29"/>
                <w:szCs w:val="29"/>
                <w:b w:val="1"/>
                <w:bCs w:val="1"/>
                <w:color w:val="0E3C23"/>
              </w:rPr>
              <w:t>8 of 9</w:t>
            </w:r>
          </w:p>
        </w:tc>
        <w:tc>
          <w:tcPr>
            <w:tcW w:w="860" w:type="dxa"/>
            <w:vAlign w:val="bottom"/>
            <w:shd w:val="clear" w:color="auto" w:fill="EDEDED"/>
          </w:tcPr>
          <w:p>
            <w:pPr>
              <w:spacing w:after="0"/>
              <w:rPr>
                <w:sz w:val="24"/>
                <w:szCs w:val="24"/>
                <w:color w:val="auto"/>
              </w:rPr>
            </w:pPr>
          </w:p>
        </w:tc>
        <w:tc>
          <w:tcPr>
            <w:tcW w:w="2680" w:type="dxa"/>
            <w:vAlign w:val="bottom"/>
            <w:gridSpan w:val="3"/>
            <w:vMerge w:val="restart"/>
            <w:shd w:val="clear" w:color="auto" w:fill="EDEDED"/>
          </w:tcPr>
          <w:p>
            <w:pPr>
              <w:jc w:val="center"/>
              <w:ind w:right="962"/>
              <w:spacing w:after="0"/>
              <w:rPr>
                <w:sz w:val="20"/>
                <w:szCs w:val="20"/>
                <w:color w:val="auto"/>
              </w:rPr>
            </w:pPr>
            <w:r>
              <w:rPr>
                <w:rFonts w:ascii="Arial" w:cs="Arial" w:eastAsia="Arial" w:hAnsi="Arial"/>
                <w:sz w:val="29"/>
                <w:szCs w:val="29"/>
                <w:b w:val="1"/>
                <w:bCs w:val="1"/>
                <w:color w:val="0E3C23"/>
                <w:w w:val="94"/>
              </w:rPr>
              <w:t>6.4 Years</w:t>
            </w:r>
          </w:p>
        </w:tc>
        <w:tc>
          <w:tcPr>
            <w:tcW w:w="0" w:type="dxa"/>
            <w:vAlign w:val="bottom"/>
          </w:tcPr>
          <w:p>
            <w:pPr>
              <w:spacing w:after="0"/>
              <w:rPr>
                <w:sz w:val="1"/>
                <w:szCs w:val="1"/>
                <w:color w:val="auto"/>
              </w:rPr>
            </w:pPr>
          </w:p>
        </w:tc>
      </w:tr>
      <w:tr>
        <w:trPr>
          <w:trHeight w:val="175"/>
        </w:trPr>
        <w:tc>
          <w:tcPr>
            <w:tcW w:w="106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2380" w:type="dxa"/>
            <w:vAlign w:val="bottom"/>
            <w:shd w:val="clear" w:color="auto" w:fill="EDEDED"/>
          </w:tcPr>
          <w:p>
            <w:pPr>
              <w:jc w:val="center"/>
              <w:ind w:right="834"/>
              <w:spacing w:after="0" w:line="175" w:lineRule="exact"/>
              <w:rPr>
                <w:sz w:val="20"/>
                <w:szCs w:val="20"/>
                <w:color w:val="auto"/>
              </w:rPr>
            </w:pPr>
            <w:r>
              <w:rPr>
                <w:rFonts w:ascii="Arial" w:cs="Arial" w:eastAsia="Arial" w:hAnsi="Arial"/>
                <w:sz w:val="16"/>
                <w:szCs w:val="16"/>
                <w:color w:val="auto"/>
                <w:w w:val="93"/>
              </w:rPr>
              <w:t>Directors are</w:t>
            </w:r>
          </w:p>
        </w:tc>
        <w:tc>
          <w:tcPr>
            <w:tcW w:w="86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1960" w:type="dxa"/>
            <w:vAlign w:val="bottom"/>
            <w:vMerge w:val="continue"/>
            <w:shd w:val="clear" w:color="auto" w:fill="EDEDED"/>
          </w:tcPr>
          <w:p>
            <w:pPr>
              <w:spacing w:after="0"/>
              <w:rPr>
                <w:sz w:val="15"/>
                <w:szCs w:val="15"/>
                <w:color w:val="auto"/>
              </w:rPr>
            </w:pPr>
          </w:p>
        </w:tc>
        <w:tc>
          <w:tcPr>
            <w:tcW w:w="860" w:type="dxa"/>
            <w:vAlign w:val="bottom"/>
            <w:shd w:val="clear" w:color="auto" w:fill="EDEDED"/>
          </w:tcPr>
          <w:p>
            <w:pPr>
              <w:spacing w:after="0"/>
              <w:rPr>
                <w:sz w:val="15"/>
                <w:szCs w:val="15"/>
                <w:color w:val="auto"/>
              </w:rPr>
            </w:pPr>
          </w:p>
        </w:tc>
        <w:tc>
          <w:tcPr>
            <w:tcW w:w="2680" w:type="dxa"/>
            <w:vAlign w:val="bottom"/>
            <w:gridSpan w:val="3"/>
            <w:vMerge w:val="continue"/>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6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2380" w:type="dxa"/>
            <w:vAlign w:val="bottom"/>
            <w:shd w:val="clear" w:color="auto" w:fill="EDEDED"/>
          </w:tcPr>
          <w:p>
            <w:pPr>
              <w:jc w:val="center"/>
              <w:ind w:right="814"/>
              <w:spacing w:after="0" w:line="175" w:lineRule="exact"/>
              <w:rPr>
                <w:sz w:val="20"/>
                <w:szCs w:val="20"/>
                <w:color w:val="auto"/>
              </w:rPr>
            </w:pPr>
            <w:r>
              <w:rPr>
                <w:rFonts w:ascii="Arial" w:cs="Arial" w:eastAsia="Arial" w:hAnsi="Arial"/>
                <w:sz w:val="16"/>
                <w:szCs w:val="16"/>
                <w:color w:val="auto"/>
                <w:w w:val="91"/>
              </w:rPr>
              <w:t>diverse based on</w:t>
            </w:r>
          </w:p>
        </w:tc>
        <w:tc>
          <w:tcPr>
            <w:tcW w:w="86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1960" w:type="dxa"/>
            <w:vAlign w:val="bottom"/>
            <w:shd w:val="clear" w:color="auto" w:fill="EDEDED"/>
          </w:tcPr>
          <w:p>
            <w:pPr>
              <w:ind w:left="80"/>
              <w:spacing w:after="0" w:line="175" w:lineRule="exact"/>
              <w:rPr>
                <w:sz w:val="20"/>
                <w:szCs w:val="20"/>
                <w:color w:val="auto"/>
              </w:rPr>
            </w:pPr>
            <w:r>
              <w:rPr>
                <w:rFonts w:ascii="Arial" w:cs="Arial" w:eastAsia="Arial" w:hAnsi="Arial"/>
                <w:sz w:val="16"/>
                <w:szCs w:val="16"/>
                <w:color w:val="auto"/>
              </w:rPr>
              <w:t>Directors are</w:t>
            </w:r>
          </w:p>
        </w:tc>
        <w:tc>
          <w:tcPr>
            <w:tcW w:w="860" w:type="dxa"/>
            <w:vAlign w:val="bottom"/>
            <w:shd w:val="clear" w:color="auto" w:fill="EDEDED"/>
          </w:tcPr>
          <w:p>
            <w:pPr>
              <w:jc w:val="right"/>
              <w:ind w:right="112"/>
              <w:spacing w:after="0" w:line="176" w:lineRule="exact"/>
              <w:rPr>
                <w:sz w:val="20"/>
                <w:szCs w:val="20"/>
                <w:color w:val="auto"/>
              </w:rPr>
            </w:pPr>
            <w:r>
              <w:rPr>
                <w:rFonts w:ascii="Arial" w:cs="Arial" w:eastAsia="Arial" w:hAnsi="Arial"/>
                <w:sz w:val="18"/>
                <w:szCs w:val="18"/>
                <w:b w:val="1"/>
                <w:bCs w:val="1"/>
                <w:color w:val="FFFFFF"/>
              </w:rPr>
              <w:t>3</w:t>
            </w:r>
          </w:p>
        </w:tc>
        <w:tc>
          <w:tcPr>
            <w:tcW w:w="2680" w:type="dxa"/>
            <w:vAlign w:val="bottom"/>
            <w:gridSpan w:val="3"/>
            <w:shd w:val="clear" w:color="auto" w:fill="EDEDED"/>
          </w:tcPr>
          <w:p>
            <w:pPr>
              <w:jc w:val="center"/>
              <w:ind w:right="982"/>
              <w:spacing w:after="0" w:line="175" w:lineRule="exact"/>
              <w:rPr>
                <w:sz w:val="20"/>
                <w:szCs w:val="20"/>
                <w:color w:val="auto"/>
              </w:rPr>
            </w:pPr>
            <w:r>
              <w:rPr>
                <w:rFonts w:ascii="Arial" w:cs="Arial" w:eastAsia="Arial" w:hAnsi="Arial"/>
                <w:sz w:val="16"/>
                <w:szCs w:val="16"/>
                <w:color w:val="auto"/>
                <w:w w:val="93"/>
              </w:rPr>
              <w:t>Average director</w:t>
            </w:r>
          </w:p>
        </w:tc>
        <w:tc>
          <w:tcPr>
            <w:tcW w:w="0" w:type="dxa"/>
            <w:vAlign w:val="bottom"/>
          </w:tcPr>
          <w:p>
            <w:pPr>
              <w:spacing w:after="0"/>
              <w:rPr>
                <w:sz w:val="1"/>
                <w:szCs w:val="1"/>
                <w:color w:val="auto"/>
              </w:rPr>
            </w:pPr>
          </w:p>
        </w:tc>
      </w:tr>
      <w:tr>
        <w:trPr>
          <w:trHeight w:val="175"/>
        </w:trPr>
        <w:tc>
          <w:tcPr>
            <w:tcW w:w="106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2380" w:type="dxa"/>
            <w:vAlign w:val="bottom"/>
            <w:shd w:val="clear" w:color="auto" w:fill="EDEDED"/>
          </w:tcPr>
          <w:p>
            <w:pPr>
              <w:jc w:val="center"/>
              <w:ind w:right="814"/>
              <w:spacing w:after="0" w:line="175" w:lineRule="exact"/>
              <w:rPr>
                <w:sz w:val="20"/>
                <w:szCs w:val="20"/>
                <w:color w:val="auto"/>
              </w:rPr>
            </w:pPr>
            <w:r>
              <w:rPr>
                <w:rFonts w:ascii="Arial" w:cs="Arial" w:eastAsia="Arial" w:hAnsi="Arial"/>
                <w:sz w:val="16"/>
                <w:szCs w:val="16"/>
                <w:color w:val="auto"/>
                <w:w w:val="93"/>
              </w:rPr>
              <w:t>gender and</w:t>
            </w:r>
          </w:p>
        </w:tc>
        <w:tc>
          <w:tcPr>
            <w:tcW w:w="86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1960" w:type="dxa"/>
            <w:vAlign w:val="bottom"/>
            <w:shd w:val="clear" w:color="auto" w:fill="EDEDED"/>
          </w:tcPr>
          <w:p>
            <w:pPr>
              <w:ind w:left="100"/>
              <w:spacing w:after="0" w:line="175" w:lineRule="exact"/>
              <w:rPr>
                <w:sz w:val="20"/>
                <w:szCs w:val="20"/>
                <w:color w:val="auto"/>
              </w:rPr>
            </w:pPr>
            <w:r>
              <w:rPr>
                <w:rFonts w:ascii="Arial" w:cs="Arial" w:eastAsia="Arial" w:hAnsi="Arial"/>
                <w:sz w:val="16"/>
                <w:szCs w:val="16"/>
                <w:color w:val="auto"/>
              </w:rPr>
              <w:t>independent</w:t>
            </w:r>
          </w:p>
        </w:tc>
        <w:tc>
          <w:tcPr>
            <w:tcW w:w="860" w:type="dxa"/>
            <w:vAlign w:val="bottom"/>
            <w:shd w:val="clear" w:color="auto" w:fill="EDEDED"/>
          </w:tcPr>
          <w:p>
            <w:pPr>
              <w:spacing w:after="0"/>
              <w:rPr>
                <w:sz w:val="15"/>
                <w:szCs w:val="15"/>
                <w:color w:val="auto"/>
              </w:rPr>
            </w:pPr>
          </w:p>
        </w:tc>
        <w:tc>
          <w:tcPr>
            <w:tcW w:w="340" w:type="dxa"/>
            <w:vAlign w:val="bottom"/>
            <w:shd w:val="clear" w:color="auto" w:fill="EDEDED"/>
          </w:tcPr>
          <w:p>
            <w:pPr>
              <w:spacing w:after="0"/>
              <w:rPr>
                <w:sz w:val="15"/>
                <w:szCs w:val="15"/>
                <w:color w:val="auto"/>
              </w:rPr>
            </w:pPr>
          </w:p>
        </w:tc>
        <w:tc>
          <w:tcPr>
            <w:tcW w:w="140" w:type="dxa"/>
            <w:vAlign w:val="bottom"/>
            <w:shd w:val="clear" w:color="auto" w:fill="EDEDED"/>
          </w:tcPr>
          <w:p>
            <w:pPr>
              <w:spacing w:after="0"/>
              <w:rPr>
                <w:sz w:val="15"/>
                <w:szCs w:val="15"/>
                <w:color w:val="auto"/>
              </w:rPr>
            </w:pPr>
          </w:p>
        </w:tc>
        <w:tc>
          <w:tcPr>
            <w:tcW w:w="2200" w:type="dxa"/>
            <w:vAlign w:val="bottom"/>
            <w:shd w:val="clear" w:color="auto" w:fill="EDEDED"/>
          </w:tcPr>
          <w:p>
            <w:pPr>
              <w:jc w:val="center"/>
              <w:ind w:right="1442"/>
              <w:spacing w:after="0" w:line="175" w:lineRule="exact"/>
              <w:rPr>
                <w:sz w:val="20"/>
                <w:szCs w:val="20"/>
                <w:color w:val="auto"/>
              </w:rPr>
            </w:pPr>
            <w:r>
              <w:rPr>
                <w:rFonts w:ascii="Arial" w:cs="Arial" w:eastAsia="Arial" w:hAnsi="Arial"/>
                <w:sz w:val="16"/>
                <w:szCs w:val="16"/>
                <w:color w:val="auto"/>
                <w:w w:val="96"/>
              </w:rPr>
              <w:t>tenure</w:t>
            </w:r>
          </w:p>
        </w:tc>
        <w:tc>
          <w:tcPr>
            <w:tcW w:w="0" w:type="dxa"/>
            <w:vAlign w:val="bottom"/>
          </w:tcPr>
          <w:p>
            <w:pPr>
              <w:spacing w:after="0"/>
              <w:rPr>
                <w:sz w:val="1"/>
                <w:szCs w:val="1"/>
                <w:color w:val="auto"/>
              </w:rPr>
            </w:pPr>
          </w:p>
        </w:tc>
      </w:tr>
      <w:tr>
        <w:trPr>
          <w:trHeight w:val="174"/>
        </w:trPr>
        <w:tc>
          <w:tcPr>
            <w:tcW w:w="106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2380" w:type="dxa"/>
            <w:vAlign w:val="bottom"/>
            <w:shd w:val="clear" w:color="auto" w:fill="EDEDED"/>
          </w:tcPr>
          <w:p>
            <w:pPr>
              <w:jc w:val="center"/>
              <w:ind w:right="814"/>
              <w:spacing w:after="0" w:line="175" w:lineRule="exact"/>
              <w:rPr>
                <w:sz w:val="20"/>
                <w:szCs w:val="20"/>
                <w:color w:val="auto"/>
              </w:rPr>
            </w:pPr>
            <w:r>
              <w:rPr>
                <w:rFonts w:ascii="Arial" w:cs="Arial" w:eastAsia="Arial" w:hAnsi="Arial"/>
                <w:sz w:val="16"/>
                <w:szCs w:val="16"/>
                <w:color w:val="auto"/>
                <w:w w:val="97"/>
              </w:rPr>
              <w:t>race/ethnicity</w:t>
            </w:r>
          </w:p>
        </w:tc>
        <w:tc>
          <w:tcPr>
            <w:tcW w:w="86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1960" w:type="dxa"/>
            <w:vAlign w:val="bottom"/>
            <w:shd w:val="clear" w:color="auto" w:fill="EDEDED"/>
          </w:tcPr>
          <w:p>
            <w:pPr>
              <w:spacing w:after="0"/>
              <w:rPr>
                <w:sz w:val="15"/>
                <w:szCs w:val="15"/>
                <w:color w:val="auto"/>
              </w:rPr>
            </w:pPr>
          </w:p>
        </w:tc>
        <w:tc>
          <w:tcPr>
            <w:tcW w:w="860" w:type="dxa"/>
            <w:vAlign w:val="bottom"/>
            <w:shd w:val="clear" w:color="auto" w:fill="EDEDED"/>
          </w:tcPr>
          <w:p>
            <w:pPr>
              <w:spacing w:after="0"/>
              <w:rPr>
                <w:sz w:val="15"/>
                <w:szCs w:val="15"/>
                <w:color w:val="auto"/>
              </w:rPr>
            </w:pPr>
          </w:p>
        </w:tc>
        <w:tc>
          <w:tcPr>
            <w:tcW w:w="340" w:type="dxa"/>
            <w:vAlign w:val="bottom"/>
            <w:shd w:val="clear" w:color="auto" w:fill="EDEDED"/>
          </w:tcPr>
          <w:p>
            <w:pPr>
              <w:spacing w:after="0"/>
              <w:rPr>
                <w:sz w:val="15"/>
                <w:szCs w:val="15"/>
                <w:color w:val="auto"/>
              </w:rPr>
            </w:pPr>
          </w:p>
        </w:tc>
        <w:tc>
          <w:tcPr>
            <w:tcW w:w="140" w:type="dxa"/>
            <w:vAlign w:val="bottom"/>
            <w:shd w:val="clear" w:color="auto" w:fill="EDEDED"/>
          </w:tcPr>
          <w:p>
            <w:pPr>
              <w:spacing w:after="0"/>
              <w:rPr>
                <w:sz w:val="15"/>
                <w:szCs w:val="15"/>
                <w:color w:val="auto"/>
              </w:rPr>
            </w:pPr>
          </w:p>
        </w:tc>
        <w:tc>
          <w:tcPr>
            <w:tcW w:w="220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10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2380" w:type="dxa"/>
            <w:vAlign w:val="bottom"/>
            <w:shd w:val="clear" w:color="auto" w:fill="EDEDED"/>
          </w:tcPr>
          <w:p>
            <w:pPr>
              <w:spacing w:after="0"/>
              <w:rPr>
                <w:sz w:val="24"/>
                <w:szCs w:val="24"/>
                <w:color w:val="auto"/>
              </w:rPr>
            </w:pPr>
          </w:p>
        </w:tc>
        <w:tc>
          <w:tcPr>
            <w:tcW w:w="860" w:type="dxa"/>
            <w:vAlign w:val="bottom"/>
            <w:shd w:val="clear" w:color="auto" w:fill="EDEDED"/>
          </w:tcPr>
          <w:p>
            <w:pPr>
              <w:jc w:val="right"/>
              <w:ind w:right="12"/>
              <w:spacing w:after="0"/>
              <w:rPr>
                <w:sz w:val="20"/>
                <w:szCs w:val="20"/>
                <w:color w:val="auto"/>
              </w:rPr>
            </w:pPr>
            <w:r>
              <w:rPr>
                <w:rFonts w:ascii="Arial" w:cs="Arial" w:eastAsia="Arial" w:hAnsi="Arial"/>
                <w:sz w:val="18"/>
                <w:szCs w:val="18"/>
                <w:b w:val="1"/>
                <w:bCs w:val="1"/>
                <w:color w:val="FFFFFF"/>
              </w:rPr>
              <w:t>8</w:t>
            </w:r>
          </w:p>
        </w:tc>
        <w:tc>
          <w:tcPr>
            <w:tcW w:w="120" w:type="dxa"/>
            <w:vAlign w:val="bottom"/>
            <w:shd w:val="clear" w:color="auto" w:fill="EDEDED"/>
          </w:tcPr>
          <w:p>
            <w:pPr>
              <w:spacing w:after="0"/>
              <w:rPr>
                <w:sz w:val="24"/>
                <w:szCs w:val="24"/>
                <w:color w:val="auto"/>
              </w:rPr>
            </w:pPr>
          </w:p>
        </w:tc>
        <w:tc>
          <w:tcPr>
            <w:tcW w:w="1960" w:type="dxa"/>
            <w:vAlign w:val="bottom"/>
            <w:shd w:val="clear" w:color="auto" w:fill="EDEDED"/>
          </w:tcPr>
          <w:p>
            <w:pPr>
              <w:spacing w:after="0"/>
              <w:rPr>
                <w:sz w:val="24"/>
                <w:szCs w:val="24"/>
                <w:color w:val="auto"/>
              </w:rPr>
            </w:pPr>
          </w:p>
        </w:tc>
        <w:tc>
          <w:tcPr>
            <w:tcW w:w="86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40" w:type="dxa"/>
            <w:vAlign w:val="bottom"/>
            <w:shd w:val="clear" w:color="auto" w:fill="EDEDED"/>
          </w:tcPr>
          <w:p>
            <w:pPr>
              <w:spacing w:after="0"/>
              <w:rPr>
                <w:sz w:val="24"/>
                <w:szCs w:val="24"/>
                <w:color w:val="auto"/>
              </w:rPr>
            </w:pPr>
          </w:p>
        </w:tc>
        <w:tc>
          <w:tcPr>
            <w:tcW w:w="220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060" w:type="dxa"/>
            <w:vAlign w:val="bottom"/>
            <w:shd w:val="clear" w:color="auto" w:fill="EDEDED"/>
          </w:tcPr>
          <w:p>
            <w:pPr>
              <w:spacing w:after="0"/>
              <w:rPr>
                <w:sz w:val="24"/>
                <w:szCs w:val="24"/>
                <w:color w:val="auto"/>
              </w:rPr>
            </w:pPr>
          </w:p>
        </w:tc>
        <w:tc>
          <w:tcPr>
            <w:tcW w:w="2500" w:type="dxa"/>
            <w:vAlign w:val="bottom"/>
            <w:gridSpan w:val="2"/>
            <w:shd w:val="clear" w:color="auto" w:fill="EDEDED"/>
          </w:tcPr>
          <w:p>
            <w:pPr>
              <w:jc w:val="center"/>
              <w:ind w:right="674"/>
              <w:spacing w:after="0"/>
              <w:rPr>
                <w:sz w:val="20"/>
                <w:szCs w:val="20"/>
                <w:color w:val="auto"/>
              </w:rPr>
            </w:pPr>
            <w:r>
              <w:rPr>
                <w:rFonts w:ascii="Arial" w:cs="Arial" w:eastAsia="Arial" w:hAnsi="Arial"/>
                <w:sz w:val="18"/>
                <w:szCs w:val="18"/>
                <w:b w:val="1"/>
                <w:bCs w:val="1"/>
                <w:color w:val="FFFFFF"/>
                <w:w w:val="99"/>
              </w:rPr>
              <w:t>3</w:t>
            </w:r>
          </w:p>
        </w:tc>
        <w:tc>
          <w:tcPr>
            <w:tcW w:w="8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1960" w:type="dxa"/>
            <w:vAlign w:val="bottom"/>
            <w:shd w:val="clear" w:color="auto" w:fill="EDEDED"/>
          </w:tcPr>
          <w:p>
            <w:pPr>
              <w:spacing w:after="0"/>
              <w:rPr>
                <w:sz w:val="24"/>
                <w:szCs w:val="24"/>
                <w:color w:val="auto"/>
              </w:rPr>
            </w:pPr>
          </w:p>
        </w:tc>
        <w:tc>
          <w:tcPr>
            <w:tcW w:w="860" w:type="dxa"/>
            <w:vAlign w:val="bottom"/>
            <w:shd w:val="clear" w:color="auto" w:fill="EDEDED"/>
          </w:tcPr>
          <w:p>
            <w:pPr>
              <w:spacing w:after="0"/>
              <w:rPr>
                <w:sz w:val="24"/>
                <w:szCs w:val="24"/>
                <w:color w:val="auto"/>
              </w:rPr>
            </w:pPr>
          </w:p>
        </w:tc>
        <w:tc>
          <w:tcPr>
            <w:tcW w:w="2680" w:type="dxa"/>
            <w:vAlign w:val="bottom"/>
            <w:gridSpan w:val="3"/>
            <w:shd w:val="clear" w:color="auto" w:fill="EDEDED"/>
          </w:tcPr>
          <w:p>
            <w:pPr>
              <w:jc w:val="right"/>
              <w:ind w:right="1502"/>
              <w:spacing w:after="0"/>
              <w:rPr>
                <w:sz w:val="20"/>
                <w:szCs w:val="20"/>
                <w:color w:val="auto"/>
              </w:rPr>
            </w:pPr>
            <w:r>
              <w:rPr>
                <w:rFonts w:ascii="Arial" w:cs="Arial" w:eastAsia="Arial" w:hAnsi="Arial"/>
                <w:sz w:val="18"/>
                <w:szCs w:val="18"/>
                <w:b w:val="1"/>
                <w:bCs w:val="1"/>
                <w:color w:val="FFFFFF"/>
              </w:rPr>
              <w:t>2</w:t>
            </w:r>
          </w:p>
        </w:tc>
        <w:tc>
          <w:tcPr>
            <w:tcW w:w="0" w:type="dxa"/>
            <w:vAlign w:val="bottom"/>
          </w:tcPr>
          <w:p>
            <w:pPr>
              <w:spacing w:after="0"/>
              <w:rPr>
                <w:sz w:val="1"/>
                <w:szCs w:val="1"/>
                <w:color w:val="auto"/>
              </w:rPr>
            </w:pPr>
          </w:p>
        </w:tc>
      </w:tr>
      <w:tr>
        <w:trPr>
          <w:trHeight w:val="353"/>
        </w:trPr>
        <w:tc>
          <w:tcPr>
            <w:tcW w:w="10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2380" w:type="dxa"/>
            <w:vAlign w:val="bottom"/>
            <w:vMerge w:val="restart"/>
            <w:shd w:val="clear" w:color="auto" w:fill="EDEDED"/>
          </w:tcPr>
          <w:p>
            <w:pPr>
              <w:ind w:left="80"/>
              <w:spacing w:after="0"/>
              <w:rPr>
                <w:sz w:val="20"/>
                <w:szCs w:val="20"/>
                <w:color w:val="auto"/>
              </w:rPr>
            </w:pPr>
            <w:r>
              <w:rPr>
                <w:rFonts w:ascii="Arial" w:cs="Arial" w:eastAsia="Arial" w:hAnsi="Arial"/>
                <w:sz w:val="16"/>
                <w:szCs w:val="16"/>
                <w:color w:val="auto"/>
              </w:rPr>
              <w:t>Racial/ethnically diverse</w:t>
            </w:r>
          </w:p>
        </w:tc>
        <w:tc>
          <w:tcPr>
            <w:tcW w:w="860" w:type="dxa"/>
            <w:vAlign w:val="bottom"/>
            <w:vMerge w:val="restart"/>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1960" w:type="dxa"/>
            <w:vAlign w:val="bottom"/>
            <w:vMerge w:val="restart"/>
            <w:shd w:val="clear" w:color="auto" w:fill="EDEDED"/>
          </w:tcPr>
          <w:p>
            <w:pPr>
              <w:ind w:left="80"/>
              <w:spacing w:after="0"/>
              <w:rPr>
                <w:sz w:val="20"/>
                <w:szCs w:val="20"/>
                <w:color w:val="auto"/>
              </w:rPr>
            </w:pPr>
            <w:r>
              <w:rPr>
                <w:rFonts w:ascii="Arial" w:cs="Arial" w:eastAsia="Arial" w:hAnsi="Arial"/>
                <w:sz w:val="16"/>
                <w:szCs w:val="16"/>
                <w:color w:val="auto"/>
              </w:rPr>
              <w:t>Independent</w:t>
            </w:r>
          </w:p>
        </w:tc>
        <w:tc>
          <w:tcPr>
            <w:tcW w:w="860" w:type="dxa"/>
            <w:vAlign w:val="bottom"/>
            <w:shd w:val="clear" w:color="auto" w:fill="EDEDED"/>
          </w:tcPr>
          <w:p>
            <w:pPr>
              <w:spacing w:after="0"/>
              <w:rPr>
                <w:sz w:val="24"/>
                <w:szCs w:val="24"/>
                <w:color w:val="auto"/>
              </w:rPr>
            </w:pPr>
          </w:p>
        </w:tc>
        <w:tc>
          <w:tcPr>
            <w:tcW w:w="340" w:type="dxa"/>
            <w:vAlign w:val="bottom"/>
            <w:vMerge w:val="restart"/>
            <w:shd w:val="clear" w:color="auto" w:fill="EDEDED"/>
          </w:tcPr>
          <w:p>
            <w:pPr>
              <w:spacing w:after="0"/>
              <w:rPr>
                <w:sz w:val="24"/>
                <w:szCs w:val="24"/>
                <w:color w:val="auto"/>
              </w:rPr>
            </w:pPr>
          </w:p>
        </w:tc>
        <w:tc>
          <w:tcPr>
            <w:tcW w:w="140" w:type="dxa"/>
            <w:vAlign w:val="bottom"/>
            <w:shd w:val="clear" w:color="auto" w:fill="EDEDED"/>
          </w:tcPr>
          <w:p>
            <w:pPr>
              <w:spacing w:after="0"/>
              <w:rPr>
                <w:sz w:val="24"/>
                <w:szCs w:val="24"/>
                <w:color w:val="auto"/>
              </w:rPr>
            </w:pPr>
          </w:p>
        </w:tc>
        <w:tc>
          <w:tcPr>
            <w:tcW w:w="2200" w:type="dxa"/>
            <w:vAlign w:val="bottom"/>
            <w:vMerge w:val="restart"/>
            <w:shd w:val="clear" w:color="auto" w:fill="EDEDED"/>
          </w:tcPr>
          <w:p>
            <w:pPr>
              <w:ind w:left="60"/>
              <w:spacing w:after="0"/>
              <w:rPr>
                <w:sz w:val="20"/>
                <w:szCs w:val="20"/>
                <w:color w:val="auto"/>
              </w:rPr>
            </w:pPr>
            <w:r>
              <w:rPr>
                <w:rFonts w:ascii="Arial" w:cs="Arial" w:eastAsia="Arial" w:hAnsi="Arial"/>
                <w:sz w:val="16"/>
                <w:szCs w:val="16"/>
                <w:color w:val="auto"/>
              </w:rPr>
              <w:t>1-4 years</w:t>
            </w:r>
          </w:p>
        </w:tc>
        <w:tc>
          <w:tcPr>
            <w:tcW w:w="0" w:type="dxa"/>
            <w:vAlign w:val="bottom"/>
          </w:tcPr>
          <w:p>
            <w:pPr>
              <w:spacing w:after="0"/>
              <w:rPr>
                <w:sz w:val="1"/>
                <w:szCs w:val="1"/>
                <w:color w:val="auto"/>
              </w:rPr>
            </w:pPr>
          </w:p>
        </w:tc>
      </w:tr>
      <w:tr>
        <w:trPr>
          <w:trHeight w:val="127"/>
        </w:trPr>
        <w:tc>
          <w:tcPr>
            <w:tcW w:w="1060" w:type="dxa"/>
            <w:vAlign w:val="bottom"/>
            <w:shd w:val="clear" w:color="auto" w:fill="EDEDED"/>
          </w:tcPr>
          <w:p>
            <w:pPr>
              <w:spacing w:after="0"/>
              <w:rPr>
                <w:sz w:val="11"/>
                <w:szCs w:val="11"/>
                <w:color w:val="auto"/>
              </w:rPr>
            </w:pPr>
          </w:p>
        </w:tc>
        <w:tc>
          <w:tcPr>
            <w:tcW w:w="120" w:type="dxa"/>
            <w:vAlign w:val="bottom"/>
            <w:shd w:val="clear" w:color="auto" w:fill="0E3C23"/>
          </w:tcPr>
          <w:p>
            <w:pPr>
              <w:spacing w:after="0"/>
              <w:rPr>
                <w:sz w:val="11"/>
                <w:szCs w:val="11"/>
                <w:color w:val="auto"/>
              </w:rPr>
            </w:pPr>
          </w:p>
        </w:tc>
        <w:tc>
          <w:tcPr>
            <w:tcW w:w="2380" w:type="dxa"/>
            <w:vAlign w:val="bottom"/>
            <w:vMerge w:val="continue"/>
            <w:shd w:val="clear" w:color="auto" w:fill="EDEDED"/>
          </w:tcPr>
          <w:p>
            <w:pPr>
              <w:spacing w:after="0"/>
              <w:rPr>
                <w:sz w:val="11"/>
                <w:szCs w:val="11"/>
                <w:color w:val="auto"/>
              </w:rPr>
            </w:pPr>
          </w:p>
        </w:tc>
        <w:tc>
          <w:tcPr>
            <w:tcW w:w="860" w:type="dxa"/>
            <w:vAlign w:val="bottom"/>
            <w:vMerge w:val="continue"/>
            <w:shd w:val="clear" w:color="auto" w:fill="EDEDED"/>
          </w:tcPr>
          <w:p>
            <w:pPr>
              <w:spacing w:after="0"/>
              <w:rPr>
                <w:sz w:val="11"/>
                <w:szCs w:val="11"/>
                <w:color w:val="auto"/>
              </w:rPr>
            </w:pPr>
          </w:p>
        </w:tc>
        <w:tc>
          <w:tcPr>
            <w:tcW w:w="120" w:type="dxa"/>
            <w:vAlign w:val="bottom"/>
            <w:shd w:val="clear" w:color="auto" w:fill="0E3C23"/>
          </w:tcPr>
          <w:p>
            <w:pPr>
              <w:spacing w:after="0"/>
              <w:rPr>
                <w:sz w:val="11"/>
                <w:szCs w:val="11"/>
                <w:color w:val="auto"/>
              </w:rPr>
            </w:pPr>
          </w:p>
        </w:tc>
        <w:tc>
          <w:tcPr>
            <w:tcW w:w="1960" w:type="dxa"/>
            <w:vAlign w:val="bottom"/>
            <w:vMerge w:val="continue"/>
            <w:shd w:val="clear" w:color="auto" w:fill="EDEDED"/>
          </w:tcPr>
          <w:p>
            <w:pPr>
              <w:spacing w:after="0"/>
              <w:rPr>
                <w:sz w:val="11"/>
                <w:szCs w:val="11"/>
                <w:color w:val="auto"/>
              </w:rPr>
            </w:pPr>
          </w:p>
        </w:tc>
        <w:tc>
          <w:tcPr>
            <w:tcW w:w="860" w:type="dxa"/>
            <w:vAlign w:val="bottom"/>
            <w:shd w:val="clear" w:color="auto" w:fill="EDEDED"/>
          </w:tcPr>
          <w:p>
            <w:pPr>
              <w:spacing w:after="0"/>
              <w:rPr>
                <w:sz w:val="11"/>
                <w:szCs w:val="11"/>
                <w:color w:val="auto"/>
              </w:rPr>
            </w:pPr>
          </w:p>
        </w:tc>
        <w:tc>
          <w:tcPr>
            <w:tcW w:w="340" w:type="dxa"/>
            <w:vAlign w:val="bottom"/>
            <w:vMerge w:val="continue"/>
            <w:shd w:val="clear" w:color="auto" w:fill="EDEDED"/>
          </w:tcPr>
          <w:p>
            <w:pPr>
              <w:spacing w:after="0"/>
              <w:rPr>
                <w:sz w:val="11"/>
                <w:szCs w:val="11"/>
                <w:color w:val="auto"/>
              </w:rPr>
            </w:pPr>
          </w:p>
        </w:tc>
        <w:tc>
          <w:tcPr>
            <w:tcW w:w="140" w:type="dxa"/>
            <w:vAlign w:val="bottom"/>
            <w:shd w:val="clear" w:color="auto" w:fill="0E3C23"/>
          </w:tcPr>
          <w:p>
            <w:pPr>
              <w:spacing w:after="0"/>
              <w:rPr>
                <w:sz w:val="11"/>
                <w:szCs w:val="11"/>
                <w:color w:val="auto"/>
              </w:rPr>
            </w:pPr>
          </w:p>
        </w:tc>
        <w:tc>
          <w:tcPr>
            <w:tcW w:w="2200" w:type="dxa"/>
            <w:vAlign w:val="bottom"/>
            <w:vMerge w:val="continue"/>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06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2380" w:type="dxa"/>
            <w:vAlign w:val="bottom"/>
            <w:vMerge w:val="restart"/>
            <w:shd w:val="clear" w:color="auto" w:fill="EDEDED"/>
          </w:tcPr>
          <w:p>
            <w:pPr>
              <w:ind w:left="80"/>
              <w:spacing w:after="0"/>
              <w:rPr>
                <w:sz w:val="20"/>
                <w:szCs w:val="20"/>
                <w:color w:val="auto"/>
              </w:rPr>
            </w:pPr>
            <w:r>
              <w:rPr>
                <w:rFonts w:ascii="Arial" w:cs="Arial" w:eastAsia="Arial" w:hAnsi="Arial"/>
                <w:sz w:val="16"/>
                <w:szCs w:val="16"/>
                <w:color w:val="auto"/>
              </w:rPr>
              <w:t>Women</w:t>
            </w:r>
          </w:p>
        </w:tc>
        <w:tc>
          <w:tcPr>
            <w:tcW w:w="860" w:type="dxa"/>
            <w:vAlign w:val="bottom"/>
            <w:vMerge w:val="restart"/>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1960" w:type="dxa"/>
            <w:vAlign w:val="bottom"/>
            <w:vMerge w:val="restart"/>
            <w:shd w:val="clear" w:color="auto" w:fill="EDEDED"/>
          </w:tcPr>
          <w:p>
            <w:pPr>
              <w:ind w:left="80"/>
              <w:spacing w:after="0"/>
              <w:rPr>
                <w:sz w:val="20"/>
                <w:szCs w:val="20"/>
                <w:color w:val="auto"/>
              </w:rPr>
            </w:pPr>
            <w:r>
              <w:rPr>
                <w:rFonts w:ascii="Arial" w:cs="Arial" w:eastAsia="Arial" w:hAnsi="Arial"/>
                <w:sz w:val="16"/>
                <w:szCs w:val="16"/>
                <w:color w:val="auto"/>
              </w:rPr>
              <w:t>President and CEO</w:t>
            </w:r>
          </w:p>
        </w:tc>
        <w:tc>
          <w:tcPr>
            <w:tcW w:w="860" w:type="dxa"/>
            <w:vAlign w:val="bottom"/>
            <w:shd w:val="clear" w:color="auto" w:fill="EDEDED"/>
          </w:tcPr>
          <w:p>
            <w:pPr>
              <w:spacing w:after="0"/>
              <w:rPr>
                <w:sz w:val="9"/>
                <w:szCs w:val="9"/>
                <w:color w:val="auto"/>
              </w:rPr>
            </w:pPr>
          </w:p>
        </w:tc>
        <w:tc>
          <w:tcPr>
            <w:tcW w:w="340" w:type="dxa"/>
            <w:vAlign w:val="bottom"/>
            <w:vMerge w:val="restart"/>
            <w:shd w:val="clear" w:color="auto" w:fill="EDEDED"/>
          </w:tcPr>
          <w:p>
            <w:pPr>
              <w:spacing w:after="0"/>
              <w:rPr>
                <w:sz w:val="9"/>
                <w:szCs w:val="9"/>
                <w:color w:val="auto"/>
              </w:rPr>
            </w:pPr>
          </w:p>
        </w:tc>
        <w:tc>
          <w:tcPr>
            <w:tcW w:w="140" w:type="dxa"/>
            <w:vAlign w:val="bottom"/>
            <w:shd w:val="clear" w:color="auto" w:fill="EDEDED"/>
          </w:tcPr>
          <w:p>
            <w:pPr>
              <w:spacing w:after="0"/>
              <w:rPr>
                <w:sz w:val="9"/>
                <w:szCs w:val="9"/>
                <w:color w:val="auto"/>
              </w:rPr>
            </w:pPr>
          </w:p>
        </w:tc>
        <w:tc>
          <w:tcPr>
            <w:tcW w:w="2200" w:type="dxa"/>
            <w:vAlign w:val="bottom"/>
            <w:vMerge w:val="restart"/>
            <w:shd w:val="clear" w:color="auto" w:fill="EDEDED"/>
          </w:tcPr>
          <w:p>
            <w:pPr>
              <w:ind w:left="60"/>
              <w:spacing w:after="0"/>
              <w:rPr>
                <w:sz w:val="20"/>
                <w:szCs w:val="20"/>
                <w:color w:val="auto"/>
              </w:rPr>
            </w:pPr>
            <w:r>
              <w:rPr>
                <w:rFonts w:ascii="Arial" w:cs="Arial" w:eastAsia="Arial" w:hAnsi="Arial"/>
                <w:sz w:val="16"/>
                <w:szCs w:val="16"/>
                <w:color w:val="auto"/>
              </w:rPr>
              <w:t>5-8 years</w:t>
            </w:r>
          </w:p>
        </w:tc>
        <w:tc>
          <w:tcPr>
            <w:tcW w:w="0" w:type="dxa"/>
            <w:vAlign w:val="bottom"/>
          </w:tcPr>
          <w:p>
            <w:pPr>
              <w:spacing w:after="0"/>
              <w:rPr>
                <w:sz w:val="1"/>
                <w:szCs w:val="1"/>
                <w:color w:val="auto"/>
              </w:rPr>
            </w:pPr>
          </w:p>
        </w:tc>
      </w:tr>
      <w:tr>
        <w:trPr>
          <w:trHeight w:val="127"/>
        </w:trPr>
        <w:tc>
          <w:tcPr>
            <w:tcW w:w="1060" w:type="dxa"/>
            <w:vAlign w:val="bottom"/>
            <w:shd w:val="clear" w:color="auto" w:fill="EDEDED"/>
          </w:tcPr>
          <w:p>
            <w:pPr>
              <w:spacing w:after="0"/>
              <w:rPr>
                <w:sz w:val="11"/>
                <w:szCs w:val="11"/>
                <w:color w:val="auto"/>
              </w:rPr>
            </w:pPr>
          </w:p>
        </w:tc>
        <w:tc>
          <w:tcPr>
            <w:tcW w:w="120" w:type="dxa"/>
            <w:vAlign w:val="bottom"/>
            <w:shd w:val="clear" w:color="auto" w:fill="9CA58D"/>
          </w:tcPr>
          <w:p>
            <w:pPr>
              <w:spacing w:after="0"/>
              <w:rPr>
                <w:sz w:val="11"/>
                <w:szCs w:val="11"/>
                <w:color w:val="auto"/>
              </w:rPr>
            </w:pPr>
          </w:p>
        </w:tc>
        <w:tc>
          <w:tcPr>
            <w:tcW w:w="2380" w:type="dxa"/>
            <w:vAlign w:val="bottom"/>
            <w:vMerge w:val="continue"/>
            <w:shd w:val="clear" w:color="auto" w:fill="EDEDED"/>
          </w:tcPr>
          <w:p>
            <w:pPr>
              <w:spacing w:after="0"/>
              <w:rPr>
                <w:sz w:val="11"/>
                <w:szCs w:val="11"/>
                <w:color w:val="auto"/>
              </w:rPr>
            </w:pPr>
          </w:p>
        </w:tc>
        <w:tc>
          <w:tcPr>
            <w:tcW w:w="860" w:type="dxa"/>
            <w:vAlign w:val="bottom"/>
            <w:vMerge w:val="continue"/>
            <w:shd w:val="clear" w:color="auto" w:fill="EDEDED"/>
          </w:tcPr>
          <w:p>
            <w:pPr>
              <w:spacing w:after="0"/>
              <w:rPr>
                <w:sz w:val="11"/>
                <w:szCs w:val="11"/>
                <w:color w:val="auto"/>
              </w:rPr>
            </w:pPr>
          </w:p>
        </w:tc>
        <w:tc>
          <w:tcPr>
            <w:tcW w:w="120" w:type="dxa"/>
            <w:vAlign w:val="bottom"/>
            <w:shd w:val="clear" w:color="auto" w:fill="666666"/>
          </w:tcPr>
          <w:p>
            <w:pPr>
              <w:spacing w:after="0"/>
              <w:rPr>
                <w:sz w:val="11"/>
                <w:szCs w:val="11"/>
                <w:color w:val="auto"/>
              </w:rPr>
            </w:pPr>
          </w:p>
        </w:tc>
        <w:tc>
          <w:tcPr>
            <w:tcW w:w="1960" w:type="dxa"/>
            <w:vAlign w:val="bottom"/>
            <w:vMerge w:val="continue"/>
            <w:shd w:val="clear" w:color="auto" w:fill="EDEDED"/>
          </w:tcPr>
          <w:p>
            <w:pPr>
              <w:spacing w:after="0"/>
              <w:rPr>
                <w:sz w:val="11"/>
                <w:szCs w:val="11"/>
                <w:color w:val="auto"/>
              </w:rPr>
            </w:pPr>
          </w:p>
        </w:tc>
        <w:tc>
          <w:tcPr>
            <w:tcW w:w="860" w:type="dxa"/>
            <w:vAlign w:val="bottom"/>
            <w:shd w:val="clear" w:color="auto" w:fill="EDEDED"/>
          </w:tcPr>
          <w:p>
            <w:pPr>
              <w:spacing w:after="0"/>
              <w:rPr>
                <w:sz w:val="11"/>
                <w:szCs w:val="11"/>
                <w:color w:val="auto"/>
              </w:rPr>
            </w:pPr>
          </w:p>
        </w:tc>
        <w:tc>
          <w:tcPr>
            <w:tcW w:w="340" w:type="dxa"/>
            <w:vAlign w:val="bottom"/>
            <w:vMerge w:val="continue"/>
            <w:shd w:val="clear" w:color="auto" w:fill="EDEDED"/>
          </w:tcPr>
          <w:p>
            <w:pPr>
              <w:spacing w:after="0"/>
              <w:rPr>
                <w:sz w:val="11"/>
                <w:szCs w:val="11"/>
                <w:color w:val="auto"/>
              </w:rPr>
            </w:pPr>
          </w:p>
        </w:tc>
        <w:tc>
          <w:tcPr>
            <w:tcW w:w="140" w:type="dxa"/>
            <w:vAlign w:val="bottom"/>
            <w:shd w:val="clear" w:color="auto" w:fill="9CA58D"/>
          </w:tcPr>
          <w:p>
            <w:pPr>
              <w:spacing w:after="0"/>
              <w:rPr>
                <w:sz w:val="11"/>
                <w:szCs w:val="11"/>
                <w:color w:val="auto"/>
              </w:rPr>
            </w:pPr>
          </w:p>
        </w:tc>
        <w:tc>
          <w:tcPr>
            <w:tcW w:w="2200" w:type="dxa"/>
            <w:vAlign w:val="bottom"/>
            <w:vMerge w:val="continue"/>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06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2380" w:type="dxa"/>
            <w:vAlign w:val="bottom"/>
            <w:shd w:val="clear" w:color="auto" w:fill="EDEDED"/>
          </w:tcPr>
          <w:p>
            <w:pPr>
              <w:spacing w:after="0"/>
              <w:rPr>
                <w:sz w:val="9"/>
                <w:szCs w:val="9"/>
                <w:color w:val="auto"/>
              </w:rPr>
            </w:pPr>
          </w:p>
        </w:tc>
        <w:tc>
          <w:tcPr>
            <w:tcW w:w="86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1960" w:type="dxa"/>
            <w:vAlign w:val="bottom"/>
            <w:shd w:val="clear" w:color="auto" w:fill="EDEDED"/>
          </w:tcPr>
          <w:p>
            <w:pPr>
              <w:spacing w:after="0"/>
              <w:rPr>
                <w:sz w:val="9"/>
                <w:szCs w:val="9"/>
                <w:color w:val="auto"/>
              </w:rPr>
            </w:pPr>
          </w:p>
        </w:tc>
        <w:tc>
          <w:tcPr>
            <w:tcW w:w="860" w:type="dxa"/>
            <w:vAlign w:val="bottom"/>
            <w:shd w:val="clear" w:color="auto" w:fill="EDEDED"/>
          </w:tcPr>
          <w:p>
            <w:pPr>
              <w:spacing w:after="0"/>
              <w:rPr>
                <w:sz w:val="9"/>
                <w:szCs w:val="9"/>
                <w:color w:val="auto"/>
              </w:rPr>
            </w:pPr>
          </w:p>
        </w:tc>
        <w:tc>
          <w:tcPr>
            <w:tcW w:w="340" w:type="dxa"/>
            <w:vAlign w:val="bottom"/>
            <w:shd w:val="clear" w:color="auto" w:fill="EDEDED"/>
          </w:tcPr>
          <w:p>
            <w:pPr>
              <w:spacing w:after="0"/>
              <w:rPr>
                <w:sz w:val="9"/>
                <w:szCs w:val="9"/>
                <w:color w:val="auto"/>
              </w:rPr>
            </w:pPr>
          </w:p>
        </w:tc>
        <w:tc>
          <w:tcPr>
            <w:tcW w:w="140" w:type="dxa"/>
            <w:vAlign w:val="bottom"/>
            <w:shd w:val="clear" w:color="auto" w:fill="EDEDED"/>
          </w:tcPr>
          <w:p>
            <w:pPr>
              <w:spacing w:after="0"/>
              <w:rPr>
                <w:sz w:val="9"/>
                <w:szCs w:val="9"/>
                <w:color w:val="auto"/>
              </w:rPr>
            </w:pPr>
          </w:p>
        </w:tc>
        <w:tc>
          <w:tcPr>
            <w:tcW w:w="2200" w:type="dxa"/>
            <w:vAlign w:val="bottom"/>
            <w:vMerge w:val="restart"/>
            <w:shd w:val="clear" w:color="auto" w:fill="EDEDED"/>
          </w:tcPr>
          <w:p>
            <w:pPr>
              <w:ind w:left="60"/>
              <w:spacing w:after="0"/>
              <w:rPr>
                <w:sz w:val="20"/>
                <w:szCs w:val="20"/>
                <w:color w:val="auto"/>
              </w:rPr>
            </w:pPr>
            <w:r>
              <w:rPr>
                <w:rFonts w:ascii="Arial" w:cs="Arial" w:eastAsia="Arial" w:hAnsi="Arial"/>
                <w:sz w:val="16"/>
                <w:szCs w:val="16"/>
                <w:color w:val="auto"/>
              </w:rPr>
              <w:t>9-12 years</w:t>
            </w:r>
          </w:p>
        </w:tc>
        <w:tc>
          <w:tcPr>
            <w:tcW w:w="0" w:type="dxa"/>
            <w:vAlign w:val="bottom"/>
          </w:tcPr>
          <w:p>
            <w:pPr>
              <w:spacing w:after="0"/>
              <w:rPr>
                <w:sz w:val="1"/>
                <w:szCs w:val="1"/>
                <w:color w:val="auto"/>
              </w:rPr>
            </w:pPr>
          </w:p>
        </w:tc>
      </w:tr>
      <w:tr>
        <w:trPr>
          <w:trHeight w:val="127"/>
        </w:trPr>
        <w:tc>
          <w:tcPr>
            <w:tcW w:w="1060" w:type="dxa"/>
            <w:vAlign w:val="bottom"/>
            <w:shd w:val="clear" w:color="auto" w:fill="EDEDED"/>
          </w:tcPr>
          <w:p>
            <w:pPr>
              <w:spacing w:after="0"/>
              <w:rPr>
                <w:sz w:val="11"/>
                <w:szCs w:val="11"/>
                <w:color w:val="auto"/>
              </w:rPr>
            </w:pPr>
          </w:p>
        </w:tc>
        <w:tc>
          <w:tcPr>
            <w:tcW w:w="120" w:type="dxa"/>
            <w:vAlign w:val="bottom"/>
            <w:shd w:val="clear" w:color="auto" w:fill="EDEDED"/>
          </w:tcPr>
          <w:p>
            <w:pPr>
              <w:spacing w:after="0"/>
              <w:rPr>
                <w:sz w:val="11"/>
                <w:szCs w:val="11"/>
                <w:color w:val="auto"/>
              </w:rPr>
            </w:pPr>
          </w:p>
        </w:tc>
        <w:tc>
          <w:tcPr>
            <w:tcW w:w="2380" w:type="dxa"/>
            <w:vAlign w:val="bottom"/>
            <w:shd w:val="clear" w:color="auto" w:fill="EDEDED"/>
          </w:tcPr>
          <w:p>
            <w:pPr>
              <w:spacing w:after="0"/>
              <w:rPr>
                <w:sz w:val="11"/>
                <w:szCs w:val="11"/>
                <w:color w:val="auto"/>
              </w:rPr>
            </w:pPr>
          </w:p>
        </w:tc>
        <w:tc>
          <w:tcPr>
            <w:tcW w:w="860" w:type="dxa"/>
            <w:vAlign w:val="bottom"/>
            <w:shd w:val="clear" w:color="auto" w:fill="EDEDED"/>
          </w:tcPr>
          <w:p>
            <w:pPr>
              <w:spacing w:after="0"/>
              <w:rPr>
                <w:sz w:val="11"/>
                <w:szCs w:val="11"/>
                <w:color w:val="auto"/>
              </w:rPr>
            </w:pPr>
          </w:p>
        </w:tc>
        <w:tc>
          <w:tcPr>
            <w:tcW w:w="120" w:type="dxa"/>
            <w:vAlign w:val="bottom"/>
            <w:shd w:val="clear" w:color="auto" w:fill="EDEDED"/>
          </w:tcPr>
          <w:p>
            <w:pPr>
              <w:spacing w:after="0"/>
              <w:rPr>
                <w:sz w:val="11"/>
                <w:szCs w:val="11"/>
                <w:color w:val="auto"/>
              </w:rPr>
            </w:pPr>
          </w:p>
        </w:tc>
        <w:tc>
          <w:tcPr>
            <w:tcW w:w="1960" w:type="dxa"/>
            <w:vAlign w:val="bottom"/>
            <w:shd w:val="clear" w:color="auto" w:fill="EDEDED"/>
          </w:tcPr>
          <w:p>
            <w:pPr>
              <w:spacing w:after="0"/>
              <w:rPr>
                <w:sz w:val="11"/>
                <w:szCs w:val="11"/>
                <w:color w:val="auto"/>
              </w:rPr>
            </w:pPr>
          </w:p>
        </w:tc>
        <w:tc>
          <w:tcPr>
            <w:tcW w:w="860" w:type="dxa"/>
            <w:vAlign w:val="bottom"/>
            <w:shd w:val="clear" w:color="auto" w:fill="EDEDED"/>
          </w:tcPr>
          <w:p>
            <w:pPr>
              <w:spacing w:after="0"/>
              <w:rPr>
                <w:sz w:val="11"/>
                <w:szCs w:val="11"/>
                <w:color w:val="auto"/>
              </w:rPr>
            </w:pPr>
          </w:p>
        </w:tc>
        <w:tc>
          <w:tcPr>
            <w:tcW w:w="340" w:type="dxa"/>
            <w:vAlign w:val="bottom"/>
            <w:shd w:val="clear" w:color="auto" w:fill="EDEDED"/>
          </w:tcPr>
          <w:p>
            <w:pPr>
              <w:spacing w:after="0"/>
              <w:rPr>
                <w:sz w:val="11"/>
                <w:szCs w:val="11"/>
                <w:color w:val="auto"/>
              </w:rPr>
            </w:pPr>
          </w:p>
        </w:tc>
        <w:tc>
          <w:tcPr>
            <w:tcW w:w="140" w:type="dxa"/>
            <w:vAlign w:val="bottom"/>
            <w:shd w:val="clear" w:color="auto" w:fill="666666"/>
          </w:tcPr>
          <w:p>
            <w:pPr>
              <w:spacing w:after="0"/>
              <w:rPr>
                <w:sz w:val="11"/>
                <w:szCs w:val="11"/>
                <w:color w:val="auto"/>
              </w:rPr>
            </w:pPr>
          </w:p>
        </w:tc>
        <w:tc>
          <w:tcPr>
            <w:tcW w:w="2200" w:type="dxa"/>
            <w:vAlign w:val="bottom"/>
            <w:vMerge w:val="continue"/>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532"/>
        </w:trPr>
        <w:tc>
          <w:tcPr>
            <w:tcW w:w="10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2380" w:type="dxa"/>
            <w:vAlign w:val="bottom"/>
            <w:shd w:val="clear" w:color="auto" w:fill="EDEDED"/>
          </w:tcPr>
          <w:p>
            <w:pPr>
              <w:spacing w:after="0"/>
              <w:rPr>
                <w:sz w:val="24"/>
                <w:szCs w:val="24"/>
                <w:color w:val="auto"/>
              </w:rPr>
            </w:pPr>
          </w:p>
        </w:tc>
        <w:tc>
          <w:tcPr>
            <w:tcW w:w="86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1960" w:type="dxa"/>
            <w:vAlign w:val="bottom"/>
            <w:shd w:val="clear" w:color="auto" w:fill="EDEDED"/>
          </w:tcPr>
          <w:p>
            <w:pPr>
              <w:spacing w:after="0"/>
              <w:rPr>
                <w:sz w:val="24"/>
                <w:szCs w:val="24"/>
                <w:color w:val="auto"/>
              </w:rPr>
            </w:pPr>
          </w:p>
        </w:tc>
        <w:tc>
          <w:tcPr>
            <w:tcW w:w="86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40" w:type="dxa"/>
            <w:vAlign w:val="bottom"/>
            <w:shd w:val="clear" w:color="auto" w:fill="EDEDED"/>
          </w:tcPr>
          <w:p>
            <w:pPr>
              <w:spacing w:after="0"/>
              <w:rPr>
                <w:sz w:val="24"/>
                <w:szCs w:val="24"/>
                <w:color w:val="auto"/>
              </w:rPr>
            </w:pPr>
          </w:p>
        </w:tc>
        <w:tc>
          <w:tcPr>
            <w:tcW w:w="220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-2638425</wp:posOffset>
            </wp:positionV>
            <wp:extent cx="5819140" cy="18986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2">
                      <a:extLst>
                        <a:ext uri="{28A0092B-C50C-407E-A947-70E740481C1C}"/>
                      </a:extLst>
                    </a:blip>
                    <a:srcRect/>
                    <a:stretch>
                      <a:fillRect/>
                    </a:stretch>
                  </pic:blipFill>
                  <pic:spPr bwMode="auto">
                    <a:xfrm>
                      <a:off x="0" y="0"/>
                      <a:ext cx="5819140" cy="1898650"/>
                    </a:xfrm>
                    <a:prstGeom prst="rect">
                      <a:avLst/>
                    </a:prstGeom>
                    <a:noFill/>
                  </pic:spPr>
                </pic:pic>
              </a:graphicData>
            </a:graphic>
          </wp:anchor>
        </w:drawing>
      </w:r>
    </w:p>
    <w:p>
      <w:pPr>
        <w:sectPr>
          <w:pgSz w:w="13320" w:h="16920" w:orient="portrait"/>
          <w:cols w:equalWidth="0" w:num="1">
            <w:col w:w="10440"/>
          </w:cols>
          <w:pgMar w:left="1440" w:top="1440"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3">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4">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440" w:right="1440" w:bottom="1036" w:gutter="0" w:footer="0" w:header="0"/>
          <w:type w:val="continuous"/>
        </w:sectPr>
      </w:pPr>
    </w:p>
    <w:bookmarkStart w:id="22" w:name="page23"/>
    <w:bookmarkEnd w:id="22"/>
    <w:p>
      <w:pPr>
        <w:jc w:val="right"/>
        <w:ind w:right="2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1027430</wp:posOffset>
            </wp:positionH>
            <wp:positionV relativeFrom="page">
              <wp:posOffset>774065</wp:posOffset>
            </wp:positionV>
            <wp:extent cx="6386830"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5">
                      <a:extLst>
                        <a:ext uri="{28A0092B-C50C-407E-A947-70E740481C1C}"/>
                      </a:extLst>
                    </a:blip>
                    <a:srcRect/>
                    <a:stretch>
                      <a:fillRect/>
                    </a:stretch>
                  </pic:blipFill>
                  <pic:spPr bwMode="auto">
                    <a:xfrm>
                      <a:off x="0" y="0"/>
                      <a:ext cx="6386830" cy="12700"/>
                    </a:xfrm>
                    <a:prstGeom prst="rect">
                      <a:avLst/>
                    </a:prstGeom>
                    <a:noFill/>
                  </pic:spPr>
                </pic:pic>
              </a:graphicData>
            </a:graphic>
          </wp:anchor>
        </w:drawing>
        <w:t>ELECTION OF DIRECTORS</w:t>
      </w:r>
    </w:p>
    <w:p>
      <w:pPr>
        <w:spacing w:after="0" w:line="232" w:lineRule="exact"/>
        <w:rPr>
          <w:sz w:val="20"/>
          <w:szCs w:val="20"/>
          <w:color w:val="auto"/>
        </w:rPr>
      </w:pPr>
    </w:p>
    <w:tbl>
      <w:tblPr>
        <w:tblLayout w:type="fixed"/>
        <w:tblInd w:w="180" w:type="dxa"/>
        <w:tblCellMar>
          <w:top w:w="0" w:type="dxa"/>
          <w:left w:w="0" w:type="dxa"/>
          <w:bottom w:w="0" w:type="dxa"/>
          <w:right w:w="0" w:type="dxa"/>
        </w:tblCellMar>
      </w:tblPr>
      <w:tr>
        <w:trPr>
          <w:trHeight w:val="1448"/>
        </w:trPr>
        <w:tc>
          <w:tcPr>
            <w:tcW w:w="1900" w:type="dxa"/>
            <w:vAlign w:val="bottom"/>
            <w:tcBorders>
              <w:top w:val="single" w:sz="8" w:color="0E3C23"/>
            </w:tcBorders>
          </w:tcPr>
          <w:p>
            <w:pPr>
              <w:spacing w:after="0"/>
              <w:rPr>
                <w:sz w:val="24"/>
                <w:szCs w:val="24"/>
                <w:color w:val="auto"/>
              </w:rPr>
            </w:pPr>
          </w:p>
        </w:tc>
        <w:tc>
          <w:tcPr>
            <w:tcW w:w="900" w:type="dxa"/>
            <w:vAlign w:val="bottom"/>
            <w:tcBorders>
              <w:top w:val="single" w:sz="8" w:color="0E3C23"/>
            </w:tcBorders>
            <w:textDirection w:val="btLr"/>
            <w:shd w:val="clear" w:color="auto" w:fill="F2F2F2"/>
          </w:tcPr>
          <w:p>
            <w:pPr>
              <w:ind w:left="329"/>
              <w:spacing w:after="0"/>
              <w:rPr>
                <w:sz w:val="20"/>
                <w:szCs w:val="20"/>
                <w:color w:val="auto"/>
              </w:rPr>
            </w:pPr>
            <w:r>
              <w:rPr>
                <w:rFonts w:ascii="Arial" w:cs="Arial" w:eastAsia="Arial" w:hAnsi="Arial"/>
                <w:sz w:val="22"/>
                <w:szCs w:val="22"/>
                <w:b w:val="1"/>
                <w:bCs w:val="1"/>
                <w:color w:val="0E3C23"/>
                <w:w w:val="89"/>
              </w:rPr>
              <w:t>Bené</w:t>
            </w:r>
          </w:p>
        </w:tc>
        <w:tc>
          <w:tcPr>
            <w:tcW w:w="900" w:type="dxa"/>
            <w:vAlign w:val="bottom"/>
            <w:tcBorders>
              <w:top w:val="single" w:sz="8" w:color="0E3C23"/>
            </w:tcBorders>
            <w:textDirection w:val="btLr"/>
          </w:tcPr>
          <w:p>
            <w:pPr>
              <w:ind w:left="327"/>
              <w:spacing w:after="0"/>
              <w:rPr>
                <w:sz w:val="20"/>
                <w:szCs w:val="20"/>
                <w:color w:val="auto"/>
              </w:rPr>
            </w:pPr>
            <w:r>
              <w:rPr>
                <w:rFonts w:ascii="Arial" w:cs="Arial" w:eastAsia="Arial" w:hAnsi="Arial"/>
                <w:sz w:val="22"/>
                <w:szCs w:val="22"/>
                <w:b w:val="1"/>
                <w:bCs w:val="1"/>
                <w:color w:val="0E3C23"/>
                <w:w w:val="86"/>
              </w:rPr>
              <w:t>Chinn</w:t>
            </w:r>
          </w:p>
        </w:tc>
        <w:tc>
          <w:tcPr>
            <w:tcW w:w="900" w:type="dxa"/>
            <w:vAlign w:val="bottom"/>
            <w:tcBorders>
              <w:top w:val="single" w:sz="8" w:color="0E3C23"/>
            </w:tcBorders>
            <w:textDirection w:val="btLr"/>
            <w:shd w:val="clear" w:color="auto" w:fill="F2F2F2"/>
          </w:tcPr>
          <w:p>
            <w:pPr>
              <w:ind w:left="325"/>
              <w:spacing w:after="0"/>
              <w:rPr>
                <w:sz w:val="20"/>
                <w:szCs w:val="20"/>
                <w:color w:val="auto"/>
              </w:rPr>
            </w:pPr>
            <w:r>
              <w:rPr>
                <w:rFonts w:ascii="Arial" w:cs="Arial" w:eastAsia="Arial" w:hAnsi="Arial"/>
                <w:sz w:val="22"/>
                <w:szCs w:val="22"/>
                <w:b w:val="1"/>
                <w:bCs w:val="1"/>
                <w:color w:val="0E3C23"/>
                <w:w w:val="88"/>
              </w:rPr>
              <w:t>Fish</w:t>
            </w:r>
          </w:p>
        </w:tc>
        <w:tc>
          <w:tcPr>
            <w:tcW w:w="900" w:type="dxa"/>
            <w:vAlign w:val="bottom"/>
            <w:tcBorders>
              <w:top w:val="single" w:sz="8" w:color="0E3C23"/>
            </w:tcBorders>
            <w:textDirection w:val="btLr"/>
          </w:tcPr>
          <w:p>
            <w:pPr>
              <w:ind w:left="323"/>
              <w:spacing w:after="0"/>
              <w:rPr>
                <w:sz w:val="20"/>
                <w:szCs w:val="20"/>
                <w:color w:val="auto"/>
              </w:rPr>
            </w:pPr>
            <w:r>
              <w:rPr>
                <w:rFonts w:ascii="Arial" w:cs="Arial" w:eastAsia="Arial" w:hAnsi="Arial"/>
                <w:sz w:val="22"/>
                <w:szCs w:val="22"/>
                <w:b w:val="1"/>
                <w:bCs w:val="1"/>
                <w:color w:val="0E3C23"/>
                <w:w w:val="89"/>
              </w:rPr>
              <w:t>Gluski</w:t>
            </w:r>
          </w:p>
        </w:tc>
        <w:tc>
          <w:tcPr>
            <w:tcW w:w="900" w:type="dxa"/>
            <w:vAlign w:val="bottom"/>
            <w:tcBorders>
              <w:top w:val="single" w:sz="8" w:color="0E3C23"/>
            </w:tcBorders>
            <w:textDirection w:val="btLr"/>
            <w:shd w:val="clear" w:color="auto" w:fill="F2F2F2"/>
          </w:tcPr>
          <w:p>
            <w:pPr>
              <w:ind w:left="321"/>
              <w:spacing w:after="0"/>
              <w:rPr>
                <w:sz w:val="20"/>
                <w:szCs w:val="20"/>
                <w:color w:val="auto"/>
              </w:rPr>
            </w:pPr>
            <w:r>
              <w:rPr>
                <w:rFonts w:ascii="Arial" w:cs="Arial" w:eastAsia="Arial" w:hAnsi="Arial"/>
                <w:sz w:val="22"/>
                <w:szCs w:val="22"/>
                <w:b w:val="1"/>
                <w:bCs w:val="1"/>
                <w:color w:val="0E3C23"/>
                <w:w w:val="93"/>
              </w:rPr>
              <w:t>Holt</w:t>
            </w:r>
          </w:p>
        </w:tc>
        <w:tc>
          <w:tcPr>
            <w:tcW w:w="900" w:type="dxa"/>
            <w:vAlign w:val="bottom"/>
            <w:tcBorders>
              <w:top w:val="single" w:sz="8" w:color="0E3C23"/>
            </w:tcBorders>
            <w:textDirection w:val="btLr"/>
          </w:tcPr>
          <w:p>
            <w:pPr>
              <w:ind w:left="319"/>
              <w:spacing w:after="0"/>
              <w:rPr>
                <w:sz w:val="20"/>
                <w:szCs w:val="20"/>
                <w:color w:val="auto"/>
              </w:rPr>
            </w:pPr>
            <w:r>
              <w:rPr>
                <w:rFonts w:ascii="Arial" w:cs="Arial" w:eastAsia="Arial" w:hAnsi="Arial"/>
                <w:sz w:val="22"/>
                <w:szCs w:val="22"/>
                <w:b w:val="1"/>
                <w:bCs w:val="1"/>
                <w:color w:val="0E3C23"/>
                <w:w w:val="96"/>
              </w:rPr>
              <w:t>Mazzarella</w:t>
            </w:r>
          </w:p>
        </w:tc>
        <w:tc>
          <w:tcPr>
            <w:tcW w:w="880" w:type="dxa"/>
            <w:vAlign w:val="bottom"/>
            <w:tcBorders>
              <w:top w:val="single" w:sz="8" w:color="0E3C23"/>
            </w:tcBorders>
            <w:textDirection w:val="btLr"/>
            <w:shd w:val="clear" w:color="auto" w:fill="F2F2F2"/>
          </w:tcPr>
          <w:p>
            <w:pPr>
              <w:ind w:left="317"/>
              <w:spacing w:after="0"/>
              <w:rPr>
                <w:sz w:val="20"/>
                <w:szCs w:val="20"/>
                <w:color w:val="auto"/>
              </w:rPr>
            </w:pPr>
            <w:r>
              <w:rPr>
                <w:rFonts w:ascii="Arial" w:cs="Arial" w:eastAsia="Arial" w:hAnsi="Arial"/>
                <w:sz w:val="22"/>
                <w:szCs w:val="22"/>
                <w:b w:val="1"/>
                <w:bCs w:val="1"/>
                <w:color w:val="0E3C23"/>
                <w:w w:val="93"/>
              </w:rPr>
              <w:t>Menke</w:t>
            </w:r>
          </w:p>
        </w:tc>
        <w:tc>
          <w:tcPr>
            <w:tcW w:w="900" w:type="dxa"/>
            <w:vAlign w:val="bottom"/>
            <w:tcBorders>
              <w:top w:val="single" w:sz="8" w:color="0E3C23"/>
            </w:tcBorders>
            <w:textDirection w:val="btLr"/>
          </w:tcPr>
          <w:p>
            <w:pPr>
              <w:ind w:left="335"/>
              <w:spacing w:after="0"/>
              <w:rPr>
                <w:sz w:val="20"/>
                <w:szCs w:val="20"/>
                <w:color w:val="auto"/>
              </w:rPr>
            </w:pPr>
            <w:r>
              <w:rPr>
                <w:rFonts w:ascii="Arial" w:cs="Arial" w:eastAsia="Arial" w:hAnsi="Arial"/>
                <w:sz w:val="22"/>
                <w:szCs w:val="22"/>
                <w:b w:val="1"/>
                <w:bCs w:val="1"/>
                <w:color w:val="0E3C23"/>
                <w:w w:val="95"/>
              </w:rPr>
              <w:t>Plummer</w:t>
            </w:r>
          </w:p>
        </w:tc>
        <w:tc>
          <w:tcPr>
            <w:tcW w:w="980" w:type="dxa"/>
            <w:vAlign w:val="bottom"/>
            <w:tcBorders>
              <w:top w:val="single" w:sz="8" w:color="0E3C23"/>
            </w:tcBorders>
            <w:textDirection w:val="btLr"/>
            <w:shd w:val="clear" w:color="auto" w:fill="F2F2F2"/>
          </w:tcPr>
          <w:p>
            <w:pPr>
              <w:ind w:left="333"/>
              <w:spacing w:after="0"/>
              <w:rPr>
                <w:sz w:val="20"/>
                <w:szCs w:val="20"/>
                <w:color w:val="auto"/>
              </w:rPr>
            </w:pPr>
            <w:r>
              <w:rPr>
                <w:rFonts w:ascii="Arial" w:cs="Arial" w:eastAsia="Arial" w:hAnsi="Arial"/>
                <w:sz w:val="22"/>
                <w:szCs w:val="22"/>
                <w:b w:val="1"/>
                <w:bCs w:val="1"/>
                <w:color w:val="0E3C23"/>
                <w:w w:val="93"/>
              </w:rPr>
              <w:t>Sylvester</w:t>
            </w:r>
          </w:p>
        </w:tc>
      </w:tr>
      <w:tr>
        <w:trPr>
          <w:trHeight w:val="168"/>
        </w:trPr>
        <w:tc>
          <w:tcPr>
            <w:tcW w:w="1900" w:type="dxa"/>
            <w:vAlign w:val="bottom"/>
          </w:tcPr>
          <w:p>
            <w:pPr>
              <w:spacing w:after="0"/>
              <w:rPr>
                <w:sz w:val="14"/>
                <w:szCs w:val="14"/>
                <w:color w:val="auto"/>
              </w:rPr>
            </w:pPr>
          </w:p>
        </w:tc>
        <w:tc>
          <w:tcPr>
            <w:tcW w:w="900" w:type="dxa"/>
            <w:vAlign w:val="bottom"/>
            <w:shd w:val="clear" w:color="auto" w:fill="F2F2F2"/>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shd w:val="clear" w:color="auto" w:fill="F2F2F2"/>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shd w:val="clear" w:color="auto" w:fill="F2F2F2"/>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shd w:val="clear" w:color="auto" w:fill="F2F2F2"/>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shd w:val="clear" w:color="auto" w:fill="F2F2F2"/>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0</wp:posOffset>
            </wp:positionV>
            <wp:extent cx="6386830" cy="384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6">
                      <a:extLst>
                        <a:ext uri="{28A0092B-C50C-407E-A947-70E740481C1C}"/>
                      </a:extLst>
                    </a:blip>
                    <a:srcRect/>
                    <a:stretch>
                      <a:fillRect/>
                    </a:stretch>
                  </pic:blipFill>
                  <pic:spPr bwMode="auto">
                    <a:xfrm>
                      <a:off x="0" y="0"/>
                      <a:ext cx="6386830" cy="3840480"/>
                    </a:xfrm>
                    <a:prstGeom prst="rect">
                      <a:avLst/>
                    </a:prstGeom>
                    <a:noFill/>
                  </pic:spPr>
                </pic:pic>
              </a:graphicData>
            </a:graphic>
          </wp:anchor>
        </w:drawing>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FFFFFF"/>
        </w:rPr>
        <w:t>SKILLS AND EXPERIENCE</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Leadership</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Public Company</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and</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Governance</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Strategic Planning</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Operational</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Excellence</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Financial Expertise</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and Capital Allocation</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Human Capital</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Sustainability/</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Environmental/</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Renewable Energy</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Digital / Information</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Technology /</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Cybersecurity</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Management</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FFFFFF"/>
        </w:rPr>
        <w:t>DEMOGRAPHICS</w:t>
      </w:r>
    </w:p>
    <w:p>
      <w:pPr>
        <w:spacing w:after="0" w:line="59" w:lineRule="exact"/>
        <w:rPr>
          <w:sz w:val="20"/>
          <w:szCs w:val="20"/>
          <w:color w:val="auto"/>
        </w:rPr>
      </w:pPr>
    </w:p>
    <w:tbl>
      <w:tblPr>
        <w:tblLayout w:type="fixed"/>
        <w:tblInd w:w="180" w:type="dxa"/>
        <w:tblCellMar>
          <w:top w:w="0" w:type="dxa"/>
          <w:left w:w="0" w:type="dxa"/>
          <w:bottom w:w="0" w:type="dxa"/>
          <w:right w:w="0" w:type="dxa"/>
        </w:tblCellMar>
      </w:tblPr>
      <w:tr>
        <w:trPr>
          <w:trHeight w:val="292"/>
        </w:trPr>
        <w:tc>
          <w:tcPr>
            <w:tcW w:w="1900" w:type="dxa"/>
            <w:vAlign w:val="bottom"/>
            <w:tcBorders>
              <w:top w:val="single" w:sz="8" w:color="0E3C23"/>
            </w:tcBorders>
          </w:tcPr>
          <w:p>
            <w:pPr>
              <w:ind w:left="120"/>
              <w:spacing w:after="0"/>
              <w:rPr>
                <w:sz w:val="20"/>
                <w:szCs w:val="20"/>
                <w:color w:val="auto"/>
              </w:rPr>
            </w:pPr>
            <w:r>
              <w:rPr>
                <w:rFonts w:ascii="Arial" w:cs="Arial" w:eastAsia="Arial" w:hAnsi="Arial"/>
                <w:sz w:val="18"/>
                <w:szCs w:val="18"/>
                <w:b w:val="1"/>
                <w:bCs w:val="1"/>
                <w:color w:val="auto"/>
              </w:rPr>
              <w:t>Gender</w:t>
            </w:r>
          </w:p>
        </w:tc>
        <w:tc>
          <w:tcPr>
            <w:tcW w:w="900" w:type="dxa"/>
            <w:vAlign w:val="bottom"/>
            <w:tcBorders>
              <w:top w:val="single" w:sz="8" w:color="0E3C23"/>
            </w:tcBorders>
            <w:shd w:val="clear" w:color="auto" w:fill="F2F2F2"/>
          </w:tcPr>
          <w:p>
            <w:pPr>
              <w:jc w:val="center"/>
              <w:spacing w:after="0"/>
              <w:rPr>
                <w:sz w:val="20"/>
                <w:szCs w:val="20"/>
                <w:color w:val="auto"/>
              </w:rPr>
            </w:pPr>
            <w:r>
              <w:rPr>
                <w:rFonts w:ascii="Arial" w:cs="Arial" w:eastAsia="Arial" w:hAnsi="Arial"/>
                <w:sz w:val="18"/>
                <w:szCs w:val="18"/>
                <w:color w:val="auto"/>
                <w:w w:val="92"/>
              </w:rPr>
              <w:t>Male</w:t>
            </w:r>
          </w:p>
        </w:tc>
        <w:tc>
          <w:tcPr>
            <w:tcW w:w="900" w:type="dxa"/>
            <w:vAlign w:val="bottom"/>
            <w:tcBorders>
              <w:top w:val="single" w:sz="8" w:color="0E3C23"/>
            </w:tcBorders>
          </w:tcPr>
          <w:p>
            <w:pPr>
              <w:jc w:val="center"/>
              <w:spacing w:after="0"/>
              <w:rPr>
                <w:sz w:val="20"/>
                <w:szCs w:val="20"/>
                <w:color w:val="auto"/>
              </w:rPr>
            </w:pPr>
            <w:r>
              <w:rPr>
                <w:rFonts w:ascii="Arial" w:cs="Arial" w:eastAsia="Arial" w:hAnsi="Arial"/>
                <w:sz w:val="18"/>
                <w:szCs w:val="18"/>
                <w:color w:val="auto"/>
                <w:w w:val="97"/>
              </w:rPr>
              <w:t>Male</w:t>
            </w:r>
          </w:p>
        </w:tc>
        <w:tc>
          <w:tcPr>
            <w:tcW w:w="900" w:type="dxa"/>
            <w:vAlign w:val="bottom"/>
            <w:tcBorders>
              <w:top w:val="single" w:sz="8" w:color="0E3C23"/>
            </w:tcBorders>
            <w:shd w:val="clear" w:color="auto" w:fill="F2F2F2"/>
          </w:tcPr>
          <w:p>
            <w:pPr>
              <w:jc w:val="center"/>
              <w:spacing w:after="0"/>
              <w:rPr>
                <w:sz w:val="20"/>
                <w:szCs w:val="20"/>
                <w:color w:val="auto"/>
              </w:rPr>
            </w:pPr>
            <w:r>
              <w:rPr>
                <w:rFonts w:ascii="Arial" w:cs="Arial" w:eastAsia="Arial" w:hAnsi="Arial"/>
                <w:sz w:val="18"/>
                <w:szCs w:val="18"/>
                <w:color w:val="auto"/>
                <w:w w:val="97"/>
              </w:rPr>
              <w:t>Male</w:t>
            </w:r>
          </w:p>
        </w:tc>
        <w:tc>
          <w:tcPr>
            <w:tcW w:w="900" w:type="dxa"/>
            <w:vAlign w:val="bottom"/>
            <w:tcBorders>
              <w:top w:val="single" w:sz="8" w:color="0E3C23"/>
            </w:tcBorders>
          </w:tcPr>
          <w:p>
            <w:pPr>
              <w:jc w:val="center"/>
              <w:spacing w:after="0"/>
              <w:rPr>
                <w:sz w:val="20"/>
                <w:szCs w:val="20"/>
                <w:color w:val="auto"/>
              </w:rPr>
            </w:pPr>
            <w:r>
              <w:rPr>
                <w:rFonts w:ascii="Arial" w:cs="Arial" w:eastAsia="Arial" w:hAnsi="Arial"/>
                <w:sz w:val="18"/>
                <w:szCs w:val="18"/>
                <w:color w:val="auto"/>
                <w:w w:val="92"/>
              </w:rPr>
              <w:t>Male</w:t>
            </w:r>
          </w:p>
        </w:tc>
        <w:tc>
          <w:tcPr>
            <w:tcW w:w="900" w:type="dxa"/>
            <w:vAlign w:val="bottom"/>
            <w:tcBorders>
              <w:top w:val="single" w:sz="8" w:color="0E3C23"/>
            </w:tcBorders>
            <w:shd w:val="clear" w:color="auto" w:fill="F2F2F2"/>
          </w:tcPr>
          <w:p>
            <w:pPr>
              <w:jc w:val="center"/>
              <w:spacing w:after="0"/>
              <w:rPr>
                <w:sz w:val="20"/>
                <w:szCs w:val="20"/>
                <w:color w:val="auto"/>
              </w:rPr>
            </w:pPr>
            <w:r>
              <w:rPr>
                <w:rFonts w:ascii="Arial" w:cs="Arial" w:eastAsia="Arial" w:hAnsi="Arial"/>
                <w:sz w:val="18"/>
                <w:szCs w:val="18"/>
                <w:color w:val="auto"/>
                <w:w w:val="96"/>
              </w:rPr>
              <w:t>Female</w:t>
            </w:r>
          </w:p>
        </w:tc>
        <w:tc>
          <w:tcPr>
            <w:tcW w:w="900" w:type="dxa"/>
            <w:vAlign w:val="bottom"/>
            <w:tcBorders>
              <w:top w:val="single" w:sz="8" w:color="0E3C23"/>
            </w:tcBorders>
          </w:tcPr>
          <w:p>
            <w:pPr>
              <w:jc w:val="center"/>
              <w:spacing w:after="0"/>
              <w:rPr>
                <w:sz w:val="20"/>
                <w:szCs w:val="20"/>
                <w:color w:val="auto"/>
              </w:rPr>
            </w:pPr>
            <w:r>
              <w:rPr>
                <w:rFonts w:ascii="Arial" w:cs="Arial" w:eastAsia="Arial" w:hAnsi="Arial"/>
                <w:sz w:val="18"/>
                <w:szCs w:val="18"/>
                <w:color w:val="auto"/>
                <w:w w:val="93"/>
              </w:rPr>
              <w:t>Female</w:t>
            </w:r>
          </w:p>
        </w:tc>
        <w:tc>
          <w:tcPr>
            <w:tcW w:w="880" w:type="dxa"/>
            <w:vAlign w:val="bottom"/>
            <w:tcBorders>
              <w:top w:val="single" w:sz="8" w:color="0E3C23"/>
            </w:tcBorders>
            <w:shd w:val="clear" w:color="auto" w:fill="F2F2F2"/>
          </w:tcPr>
          <w:p>
            <w:pPr>
              <w:jc w:val="center"/>
              <w:spacing w:after="0"/>
              <w:rPr>
                <w:sz w:val="20"/>
                <w:szCs w:val="20"/>
                <w:color w:val="auto"/>
              </w:rPr>
            </w:pPr>
            <w:r>
              <w:rPr>
                <w:rFonts w:ascii="Arial" w:cs="Arial" w:eastAsia="Arial" w:hAnsi="Arial"/>
                <w:sz w:val="18"/>
                <w:szCs w:val="18"/>
                <w:color w:val="auto"/>
                <w:w w:val="92"/>
              </w:rPr>
              <w:t>Male</w:t>
            </w:r>
          </w:p>
        </w:tc>
        <w:tc>
          <w:tcPr>
            <w:tcW w:w="900" w:type="dxa"/>
            <w:vAlign w:val="bottom"/>
            <w:tcBorders>
              <w:top w:val="single" w:sz="8" w:color="0E3C23"/>
            </w:tcBorders>
          </w:tcPr>
          <w:p>
            <w:pPr>
              <w:jc w:val="center"/>
              <w:spacing w:after="0"/>
              <w:rPr>
                <w:sz w:val="20"/>
                <w:szCs w:val="20"/>
                <w:color w:val="auto"/>
              </w:rPr>
            </w:pPr>
            <w:r>
              <w:rPr>
                <w:rFonts w:ascii="Arial" w:cs="Arial" w:eastAsia="Arial" w:hAnsi="Arial"/>
                <w:sz w:val="18"/>
                <w:szCs w:val="18"/>
                <w:color w:val="auto"/>
                <w:w w:val="92"/>
              </w:rPr>
              <w:t>Male</w:t>
            </w:r>
          </w:p>
        </w:tc>
        <w:tc>
          <w:tcPr>
            <w:tcW w:w="980" w:type="dxa"/>
            <w:vAlign w:val="bottom"/>
            <w:tcBorders>
              <w:top w:val="single" w:sz="8" w:color="0E3C23"/>
            </w:tcBorders>
            <w:shd w:val="clear" w:color="auto" w:fill="F2F2F2"/>
          </w:tcPr>
          <w:p>
            <w:pPr>
              <w:jc w:val="center"/>
              <w:spacing w:after="0"/>
              <w:rPr>
                <w:sz w:val="20"/>
                <w:szCs w:val="20"/>
                <w:color w:val="auto"/>
              </w:rPr>
            </w:pPr>
            <w:r>
              <w:rPr>
                <w:rFonts w:ascii="Arial" w:cs="Arial" w:eastAsia="Arial" w:hAnsi="Arial"/>
                <w:sz w:val="18"/>
                <w:szCs w:val="18"/>
                <w:color w:val="auto"/>
                <w:w w:val="93"/>
              </w:rPr>
              <w:t>Female</w:t>
            </w:r>
          </w:p>
        </w:tc>
      </w:tr>
      <w:tr>
        <w:trPr>
          <w:trHeight w:val="73"/>
        </w:trPr>
        <w:tc>
          <w:tcPr>
            <w:tcW w:w="1900" w:type="dxa"/>
            <w:vAlign w:val="bottom"/>
            <w:tcBorders>
              <w:bottom w:val="single" w:sz="8" w:color="0E3C23"/>
            </w:tcBorders>
          </w:tcPr>
          <w:p>
            <w:pPr>
              <w:spacing w:after="0"/>
              <w:rPr>
                <w:sz w:val="6"/>
                <w:szCs w:val="6"/>
                <w:color w:val="auto"/>
              </w:rPr>
            </w:pPr>
          </w:p>
        </w:tc>
        <w:tc>
          <w:tcPr>
            <w:tcW w:w="900" w:type="dxa"/>
            <w:vAlign w:val="bottom"/>
            <w:tcBorders>
              <w:bottom w:val="single" w:sz="8" w:color="0E3C23"/>
            </w:tcBorders>
            <w:shd w:val="clear" w:color="auto" w:fill="F2F2F2"/>
          </w:tcPr>
          <w:p>
            <w:pPr>
              <w:spacing w:after="0"/>
              <w:rPr>
                <w:sz w:val="6"/>
                <w:szCs w:val="6"/>
                <w:color w:val="auto"/>
              </w:rPr>
            </w:pPr>
          </w:p>
        </w:tc>
        <w:tc>
          <w:tcPr>
            <w:tcW w:w="900" w:type="dxa"/>
            <w:vAlign w:val="bottom"/>
            <w:tcBorders>
              <w:bottom w:val="single" w:sz="8" w:color="0E3C23"/>
            </w:tcBorders>
          </w:tcPr>
          <w:p>
            <w:pPr>
              <w:spacing w:after="0"/>
              <w:rPr>
                <w:sz w:val="6"/>
                <w:szCs w:val="6"/>
                <w:color w:val="auto"/>
              </w:rPr>
            </w:pPr>
          </w:p>
        </w:tc>
        <w:tc>
          <w:tcPr>
            <w:tcW w:w="900" w:type="dxa"/>
            <w:vAlign w:val="bottom"/>
            <w:tcBorders>
              <w:bottom w:val="single" w:sz="8" w:color="0E3C23"/>
            </w:tcBorders>
            <w:shd w:val="clear" w:color="auto" w:fill="F2F2F2"/>
          </w:tcPr>
          <w:p>
            <w:pPr>
              <w:spacing w:after="0"/>
              <w:rPr>
                <w:sz w:val="6"/>
                <w:szCs w:val="6"/>
                <w:color w:val="auto"/>
              </w:rPr>
            </w:pPr>
          </w:p>
        </w:tc>
        <w:tc>
          <w:tcPr>
            <w:tcW w:w="900" w:type="dxa"/>
            <w:vAlign w:val="bottom"/>
            <w:tcBorders>
              <w:bottom w:val="single" w:sz="8" w:color="0E3C23"/>
            </w:tcBorders>
          </w:tcPr>
          <w:p>
            <w:pPr>
              <w:spacing w:after="0"/>
              <w:rPr>
                <w:sz w:val="6"/>
                <w:szCs w:val="6"/>
                <w:color w:val="auto"/>
              </w:rPr>
            </w:pPr>
          </w:p>
        </w:tc>
        <w:tc>
          <w:tcPr>
            <w:tcW w:w="900" w:type="dxa"/>
            <w:vAlign w:val="bottom"/>
            <w:tcBorders>
              <w:bottom w:val="single" w:sz="8" w:color="0E3C23"/>
            </w:tcBorders>
            <w:shd w:val="clear" w:color="auto" w:fill="F2F2F2"/>
          </w:tcPr>
          <w:p>
            <w:pPr>
              <w:spacing w:after="0"/>
              <w:rPr>
                <w:sz w:val="6"/>
                <w:szCs w:val="6"/>
                <w:color w:val="auto"/>
              </w:rPr>
            </w:pPr>
          </w:p>
        </w:tc>
        <w:tc>
          <w:tcPr>
            <w:tcW w:w="900" w:type="dxa"/>
            <w:vAlign w:val="bottom"/>
            <w:tcBorders>
              <w:bottom w:val="single" w:sz="8" w:color="0E3C23"/>
            </w:tcBorders>
          </w:tcPr>
          <w:p>
            <w:pPr>
              <w:spacing w:after="0"/>
              <w:rPr>
                <w:sz w:val="6"/>
                <w:szCs w:val="6"/>
                <w:color w:val="auto"/>
              </w:rPr>
            </w:pPr>
          </w:p>
        </w:tc>
        <w:tc>
          <w:tcPr>
            <w:tcW w:w="880" w:type="dxa"/>
            <w:vAlign w:val="bottom"/>
            <w:tcBorders>
              <w:bottom w:val="single" w:sz="8" w:color="0E3C23"/>
            </w:tcBorders>
            <w:shd w:val="clear" w:color="auto" w:fill="F2F2F2"/>
          </w:tcPr>
          <w:p>
            <w:pPr>
              <w:spacing w:after="0"/>
              <w:rPr>
                <w:sz w:val="6"/>
                <w:szCs w:val="6"/>
                <w:color w:val="auto"/>
              </w:rPr>
            </w:pPr>
          </w:p>
        </w:tc>
        <w:tc>
          <w:tcPr>
            <w:tcW w:w="900" w:type="dxa"/>
            <w:vAlign w:val="bottom"/>
            <w:tcBorders>
              <w:bottom w:val="single" w:sz="8" w:color="0E3C23"/>
            </w:tcBorders>
          </w:tcPr>
          <w:p>
            <w:pPr>
              <w:spacing w:after="0"/>
              <w:rPr>
                <w:sz w:val="6"/>
                <w:szCs w:val="6"/>
                <w:color w:val="auto"/>
              </w:rPr>
            </w:pPr>
          </w:p>
        </w:tc>
        <w:tc>
          <w:tcPr>
            <w:tcW w:w="980" w:type="dxa"/>
            <w:vAlign w:val="bottom"/>
            <w:tcBorders>
              <w:bottom w:val="single" w:sz="8" w:color="0E3C23"/>
            </w:tcBorders>
            <w:shd w:val="clear" w:color="auto" w:fill="F2F2F2"/>
          </w:tcPr>
          <w:p>
            <w:pPr>
              <w:spacing w:after="0"/>
              <w:rPr>
                <w:sz w:val="6"/>
                <w:szCs w:val="6"/>
                <w:color w:val="auto"/>
              </w:rPr>
            </w:pPr>
          </w:p>
        </w:tc>
      </w:tr>
      <w:tr>
        <w:trPr>
          <w:trHeight w:val="272"/>
        </w:trPr>
        <w:tc>
          <w:tcPr>
            <w:tcW w:w="1900" w:type="dxa"/>
            <w:vAlign w:val="bottom"/>
          </w:tcPr>
          <w:p>
            <w:pPr>
              <w:ind w:left="120"/>
              <w:spacing w:after="0"/>
              <w:rPr>
                <w:sz w:val="20"/>
                <w:szCs w:val="20"/>
                <w:color w:val="auto"/>
              </w:rPr>
            </w:pPr>
            <w:r>
              <w:rPr>
                <w:rFonts w:ascii="Arial" w:cs="Arial" w:eastAsia="Arial" w:hAnsi="Arial"/>
                <w:sz w:val="18"/>
                <w:szCs w:val="18"/>
                <w:b w:val="1"/>
                <w:bCs w:val="1"/>
                <w:color w:val="auto"/>
              </w:rPr>
              <w:t>Race/Ethnicity</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7"/>
              </w:rPr>
              <w:t>White/</w:t>
            </w:r>
          </w:p>
        </w:tc>
        <w:tc>
          <w:tcPr>
            <w:tcW w:w="900" w:type="dxa"/>
            <w:vAlign w:val="bottom"/>
          </w:tcPr>
          <w:p>
            <w:pPr>
              <w:jc w:val="center"/>
              <w:spacing w:after="0"/>
              <w:rPr>
                <w:sz w:val="20"/>
                <w:szCs w:val="20"/>
                <w:color w:val="auto"/>
              </w:rPr>
            </w:pPr>
            <w:r>
              <w:rPr>
                <w:rFonts w:ascii="Arial" w:cs="Arial" w:eastAsia="Arial" w:hAnsi="Arial"/>
                <w:sz w:val="18"/>
                <w:szCs w:val="18"/>
                <w:color w:val="auto"/>
              </w:rPr>
              <w:t>Black/</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7"/>
              </w:rPr>
              <w:t>White/</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Hispanic</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7"/>
              </w:rPr>
              <w:t>White/</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White/</w:t>
            </w:r>
          </w:p>
        </w:tc>
        <w:tc>
          <w:tcPr>
            <w:tcW w:w="88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White/</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Black/</w:t>
            </w:r>
          </w:p>
        </w:tc>
        <w:tc>
          <w:tcPr>
            <w:tcW w:w="98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White/</w:t>
            </w:r>
          </w:p>
        </w:tc>
      </w:tr>
      <w:tr>
        <w:trPr>
          <w:trHeight w:val="211"/>
        </w:trPr>
        <w:tc>
          <w:tcPr>
            <w:tcW w:w="1900" w:type="dxa"/>
            <w:vAlign w:val="bottom"/>
          </w:tcPr>
          <w:p>
            <w:pPr>
              <w:spacing w:after="0"/>
              <w:rPr>
                <w:sz w:val="18"/>
                <w:szCs w:val="18"/>
                <w:color w:val="auto"/>
              </w:rPr>
            </w:pP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Caucasian</w:t>
            </w: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African</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Caucasian</w:t>
            </w:r>
          </w:p>
        </w:tc>
        <w:tc>
          <w:tcPr>
            <w:tcW w:w="900" w:type="dxa"/>
            <w:vAlign w:val="bottom"/>
          </w:tcPr>
          <w:p>
            <w:pPr>
              <w:spacing w:after="0"/>
              <w:rPr>
                <w:sz w:val="18"/>
                <w:szCs w:val="18"/>
                <w:color w:val="auto"/>
              </w:rPr>
            </w:pP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Caucasian</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Caucasian</w:t>
            </w:r>
          </w:p>
        </w:tc>
        <w:tc>
          <w:tcPr>
            <w:tcW w:w="8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4"/>
              </w:rPr>
              <w:t>Caucasian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African</w:t>
            </w:r>
          </w:p>
        </w:tc>
        <w:tc>
          <w:tcPr>
            <w:tcW w:w="9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Caucasian</w:t>
            </w:r>
          </w:p>
        </w:tc>
      </w:tr>
      <w:tr>
        <w:trPr>
          <w:trHeight w:val="215"/>
        </w:trPr>
        <w:tc>
          <w:tcPr>
            <w:tcW w:w="1900" w:type="dxa"/>
            <w:vAlign w:val="bottom"/>
          </w:tcPr>
          <w:p>
            <w:pPr>
              <w:spacing w:after="0"/>
              <w:rPr>
                <w:sz w:val="18"/>
                <w:szCs w:val="18"/>
                <w:color w:val="auto"/>
              </w:rPr>
            </w:pPr>
          </w:p>
        </w:tc>
        <w:tc>
          <w:tcPr>
            <w:tcW w:w="900" w:type="dxa"/>
            <w:vAlign w:val="bottom"/>
            <w:shd w:val="clear" w:color="auto" w:fill="F2F2F2"/>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American</w:t>
            </w:r>
          </w:p>
        </w:tc>
        <w:tc>
          <w:tcPr>
            <w:tcW w:w="900" w:type="dxa"/>
            <w:vAlign w:val="bottom"/>
            <w:shd w:val="clear" w:color="auto" w:fill="F2F2F2"/>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shd w:val="clear" w:color="auto" w:fill="F2F2F2"/>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shd w:val="clear" w:color="auto" w:fill="F2F2F2"/>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American</w:t>
            </w:r>
          </w:p>
        </w:tc>
        <w:tc>
          <w:tcPr>
            <w:tcW w:w="980" w:type="dxa"/>
            <w:vAlign w:val="bottom"/>
            <w:shd w:val="clear" w:color="auto" w:fill="F2F2F2"/>
          </w:tcPr>
          <w:p>
            <w:pPr>
              <w:spacing w:after="0"/>
              <w:rPr>
                <w:sz w:val="18"/>
                <w:szCs w:val="18"/>
                <w:color w:val="auto"/>
              </w:rPr>
            </w:pPr>
          </w:p>
        </w:tc>
      </w:tr>
      <w:tr>
        <w:trPr>
          <w:trHeight w:val="82"/>
        </w:trPr>
        <w:tc>
          <w:tcPr>
            <w:tcW w:w="1900" w:type="dxa"/>
            <w:vAlign w:val="bottom"/>
            <w:tcBorders>
              <w:bottom w:val="single" w:sz="8" w:color="0E3C23"/>
            </w:tcBorders>
          </w:tcPr>
          <w:p>
            <w:pPr>
              <w:spacing w:after="0"/>
              <w:rPr>
                <w:sz w:val="7"/>
                <w:szCs w:val="7"/>
                <w:color w:val="auto"/>
              </w:rPr>
            </w:pPr>
          </w:p>
        </w:tc>
        <w:tc>
          <w:tcPr>
            <w:tcW w:w="900" w:type="dxa"/>
            <w:vAlign w:val="bottom"/>
            <w:tcBorders>
              <w:bottom w:val="single" w:sz="8" w:color="0E3C23"/>
            </w:tcBorders>
            <w:shd w:val="clear" w:color="auto" w:fill="F2F2F2"/>
          </w:tcPr>
          <w:p>
            <w:pPr>
              <w:spacing w:after="0"/>
              <w:rPr>
                <w:sz w:val="7"/>
                <w:szCs w:val="7"/>
                <w:color w:val="auto"/>
              </w:rPr>
            </w:pPr>
          </w:p>
        </w:tc>
        <w:tc>
          <w:tcPr>
            <w:tcW w:w="900" w:type="dxa"/>
            <w:vAlign w:val="bottom"/>
            <w:tcBorders>
              <w:bottom w:val="single" w:sz="8" w:color="0E3C23"/>
            </w:tcBorders>
          </w:tcPr>
          <w:p>
            <w:pPr>
              <w:spacing w:after="0"/>
              <w:rPr>
                <w:sz w:val="7"/>
                <w:szCs w:val="7"/>
                <w:color w:val="auto"/>
              </w:rPr>
            </w:pPr>
          </w:p>
        </w:tc>
        <w:tc>
          <w:tcPr>
            <w:tcW w:w="900" w:type="dxa"/>
            <w:vAlign w:val="bottom"/>
            <w:tcBorders>
              <w:bottom w:val="single" w:sz="8" w:color="0E3C23"/>
            </w:tcBorders>
            <w:shd w:val="clear" w:color="auto" w:fill="F2F2F2"/>
          </w:tcPr>
          <w:p>
            <w:pPr>
              <w:spacing w:after="0"/>
              <w:rPr>
                <w:sz w:val="7"/>
                <w:szCs w:val="7"/>
                <w:color w:val="auto"/>
              </w:rPr>
            </w:pPr>
          </w:p>
        </w:tc>
        <w:tc>
          <w:tcPr>
            <w:tcW w:w="900" w:type="dxa"/>
            <w:vAlign w:val="bottom"/>
            <w:tcBorders>
              <w:bottom w:val="single" w:sz="8" w:color="0E3C23"/>
            </w:tcBorders>
          </w:tcPr>
          <w:p>
            <w:pPr>
              <w:spacing w:after="0"/>
              <w:rPr>
                <w:sz w:val="7"/>
                <w:szCs w:val="7"/>
                <w:color w:val="auto"/>
              </w:rPr>
            </w:pPr>
          </w:p>
        </w:tc>
        <w:tc>
          <w:tcPr>
            <w:tcW w:w="900" w:type="dxa"/>
            <w:vAlign w:val="bottom"/>
            <w:tcBorders>
              <w:bottom w:val="single" w:sz="8" w:color="0E3C23"/>
            </w:tcBorders>
            <w:shd w:val="clear" w:color="auto" w:fill="F2F2F2"/>
          </w:tcPr>
          <w:p>
            <w:pPr>
              <w:spacing w:after="0"/>
              <w:rPr>
                <w:sz w:val="7"/>
                <w:szCs w:val="7"/>
                <w:color w:val="auto"/>
              </w:rPr>
            </w:pPr>
          </w:p>
        </w:tc>
        <w:tc>
          <w:tcPr>
            <w:tcW w:w="900" w:type="dxa"/>
            <w:vAlign w:val="bottom"/>
            <w:tcBorders>
              <w:bottom w:val="single" w:sz="8" w:color="0E3C23"/>
            </w:tcBorders>
          </w:tcPr>
          <w:p>
            <w:pPr>
              <w:spacing w:after="0"/>
              <w:rPr>
                <w:sz w:val="7"/>
                <w:szCs w:val="7"/>
                <w:color w:val="auto"/>
              </w:rPr>
            </w:pPr>
          </w:p>
        </w:tc>
        <w:tc>
          <w:tcPr>
            <w:tcW w:w="880" w:type="dxa"/>
            <w:vAlign w:val="bottom"/>
            <w:tcBorders>
              <w:bottom w:val="single" w:sz="8" w:color="0E3C23"/>
            </w:tcBorders>
            <w:shd w:val="clear" w:color="auto" w:fill="F2F2F2"/>
          </w:tcPr>
          <w:p>
            <w:pPr>
              <w:spacing w:after="0"/>
              <w:rPr>
                <w:sz w:val="7"/>
                <w:szCs w:val="7"/>
                <w:color w:val="auto"/>
              </w:rPr>
            </w:pPr>
          </w:p>
        </w:tc>
        <w:tc>
          <w:tcPr>
            <w:tcW w:w="900" w:type="dxa"/>
            <w:vAlign w:val="bottom"/>
            <w:tcBorders>
              <w:bottom w:val="single" w:sz="8" w:color="0E3C23"/>
            </w:tcBorders>
          </w:tcPr>
          <w:p>
            <w:pPr>
              <w:spacing w:after="0"/>
              <w:rPr>
                <w:sz w:val="7"/>
                <w:szCs w:val="7"/>
                <w:color w:val="auto"/>
              </w:rPr>
            </w:pPr>
          </w:p>
        </w:tc>
        <w:tc>
          <w:tcPr>
            <w:tcW w:w="980" w:type="dxa"/>
            <w:vAlign w:val="bottom"/>
            <w:tcBorders>
              <w:bottom w:val="single" w:sz="8" w:color="0E3C23"/>
            </w:tcBorders>
            <w:shd w:val="clear" w:color="auto" w:fill="F2F2F2"/>
          </w:tcPr>
          <w:p>
            <w:pPr>
              <w:spacing w:after="0"/>
              <w:rPr>
                <w:sz w:val="7"/>
                <w:szCs w:val="7"/>
                <w:color w:val="auto"/>
              </w:rPr>
            </w:pPr>
          </w:p>
        </w:tc>
      </w:tr>
    </w:tbl>
    <w:p>
      <w:pPr>
        <w:spacing w:after="0" w:line="197" w:lineRule="exact"/>
        <w:rPr>
          <w:sz w:val="20"/>
          <w:szCs w:val="20"/>
          <w:color w:val="auto"/>
        </w:rPr>
      </w:pPr>
    </w:p>
    <w:p>
      <w:pPr>
        <w:sectPr>
          <w:pgSz w:w="13320" w:h="16920" w:orient="portrait"/>
          <w:cols w:equalWidth="0" w:num="1">
            <w:col w:w="10440"/>
          </w:cols>
          <w:pgMar w:left="1440" w:top="1232" w:right="1440" w:bottom="1036" w:gutter="0" w:footer="0" w:header="0"/>
        </w:sectPr>
      </w:pPr>
    </w:p>
    <w:p>
      <w:pPr>
        <w:spacing w:after="0" w:line="20" w:lineRule="exact"/>
        <w:rPr>
          <w:sz w:val="20"/>
          <w:szCs w:val="20"/>
          <w:color w:val="auto"/>
        </w:rPr>
      </w:pPr>
    </w:p>
    <w:p>
      <w:pPr>
        <w:jc w:val="both"/>
        <w:ind w:left="580"/>
        <w:spacing w:after="0" w:line="280" w:lineRule="auto"/>
        <w:rPr>
          <w:sz w:val="20"/>
          <w:szCs w:val="20"/>
          <w:color w:val="auto"/>
        </w:rPr>
      </w:pPr>
      <w:r>
        <w:rPr>
          <w:rFonts w:ascii="Arial" w:cs="Arial" w:eastAsia="Arial" w:hAnsi="Arial"/>
          <w:sz w:val="18"/>
          <w:szCs w:val="18"/>
          <w:color w:val="auto"/>
        </w:rPr>
        <w:t>Each director nominee’s identification of the top four categories of skill and expertise through which they contribute to the Board. This is not an indication that any director nominee does not possess any particular category of skill or expertise, but rather, a targeted reflection of the key areas through which each director nominee supports the effectiveness of the Board and furthers the long-term success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-1223645</wp:posOffset>
            </wp:positionV>
            <wp:extent cx="130810" cy="1257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7">
                      <a:extLst>
                        <a:ext uri="{28A0092B-C50C-407E-A947-70E740481C1C}"/>
                      </a:extLst>
                    </a:blip>
                    <a:srcRect/>
                    <a:stretch>
                      <a:fillRect/>
                    </a:stretch>
                  </pic:blipFill>
                  <pic:spPr bwMode="auto">
                    <a:xfrm>
                      <a:off x="0" y="0"/>
                      <a:ext cx="130810" cy="12573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-1219200</wp:posOffset>
            </wp:positionV>
            <wp:extent cx="108585" cy="1085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8">
                      <a:extLst>
                        <a:ext uri="{28A0092B-C50C-407E-A947-70E740481C1C}"/>
                      </a:extLst>
                    </a:blip>
                    <a:srcRect/>
                    <a:stretch>
                      <a:fillRect/>
                    </a:stretch>
                  </pic:blipFill>
                  <pic:spPr bwMode="auto">
                    <a:xfrm>
                      <a:off x="0" y="0"/>
                      <a:ext cx="108585" cy="1085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00"/>
        <w:spacing w:after="0" w:line="257" w:lineRule="auto"/>
        <w:rPr>
          <w:sz w:val="20"/>
          <w:szCs w:val="20"/>
          <w:color w:val="auto"/>
        </w:rPr>
      </w:pPr>
      <w:r>
        <w:rPr>
          <w:rFonts w:ascii="Arial" w:cs="Arial" w:eastAsia="Arial" w:hAnsi="Arial"/>
          <w:sz w:val="20"/>
          <w:szCs w:val="20"/>
          <w:color w:val="auto"/>
        </w:rPr>
        <w:t>Each director nominee’s identification of additional categories of skill and expertise in which they have substantial experience and in-depth knowledge</w:t>
      </w:r>
    </w:p>
    <w:p>
      <w:pPr>
        <w:spacing w:after="0" w:line="1413" w:lineRule="exact"/>
        <w:rPr>
          <w:sz w:val="20"/>
          <w:szCs w:val="20"/>
          <w:color w:val="auto"/>
        </w:rPr>
      </w:pPr>
    </w:p>
    <w:p>
      <w:pPr>
        <w:sectPr>
          <w:pgSz w:w="13320" w:h="16920" w:orient="portrait"/>
          <w:cols w:equalWidth="0" w:num="2">
            <w:col w:w="5080" w:space="640"/>
            <w:col w:w="4720"/>
          </w:cols>
          <w:pgMar w:left="1440" w:top="1232" w:right="1440" w:bottom="103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-207010</wp:posOffset>
            </wp:positionV>
            <wp:extent cx="538480" cy="161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9">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23" w:name="page24"/>
    <w:bookmarkEnd w:id="23"/>
    <w:p>
      <w:pPr>
        <w:ind w:left="1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1027430</wp:posOffset>
            </wp:positionH>
            <wp:positionV relativeFrom="page">
              <wp:posOffset>774065</wp:posOffset>
            </wp:positionV>
            <wp:extent cx="6386830"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0">
                      <a:extLst>
                        <a:ext uri="{28A0092B-C50C-407E-A947-70E740481C1C}"/>
                      </a:extLst>
                    </a:blip>
                    <a:srcRect/>
                    <a:stretch>
                      <a:fillRect/>
                    </a:stretch>
                  </pic:blipFill>
                  <pic:spPr bwMode="auto">
                    <a:xfrm>
                      <a:off x="0" y="0"/>
                      <a:ext cx="6386830" cy="12700"/>
                    </a:xfrm>
                    <a:prstGeom prst="rect">
                      <a:avLst/>
                    </a:prstGeom>
                    <a:noFill/>
                  </pic:spPr>
                </pic:pic>
              </a:graphicData>
            </a:graphic>
          </wp:anchor>
        </w:drawing>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160020</wp:posOffset>
            </wp:positionV>
            <wp:extent cx="6386830" cy="764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71">
                      <a:extLst>
                        <a:ext uri="{28A0092B-C50C-407E-A947-70E740481C1C}"/>
                      </a:extLst>
                    </a:blip>
                    <a:srcRect/>
                    <a:stretch>
                      <a:fillRect/>
                    </a:stretch>
                  </pic:blipFill>
                  <pic:spPr bwMode="auto">
                    <a:xfrm>
                      <a:off x="0" y="0"/>
                      <a:ext cx="6386830" cy="7646035"/>
                    </a:xfrm>
                    <a:prstGeom prst="rect">
                      <a:avLst/>
                    </a:prstGeom>
                    <a:noFill/>
                  </pic:spPr>
                </pic:pic>
              </a:graphicData>
            </a:graphic>
          </wp:anchor>
        </w:drawing>
      </w:r>
    </w:p>
    <w:p>
      <w:pPr>
        <w:spacing w:after="0" w:line="232" w:lineRule="exact"/>
        <w:rPr>
          <w:sz w:val="20"/>
          <w:szCs w:val="20"/>
          <w:color w:val="auto"/>
        </w:rPr>
      </w:pPr>
    </w:p>
    <w:tbl>
      <w:tblPr>
        <w:tblLayout w:type="fixed"/>
        <w:tblInd w:w="180" w:type="dxa"/>
        <w:tblCellMar>
          <w:top w:w="0" w:type="dxa"/>
          <w:left w:w="0" w:type="dxa"/>
          <w:bottom w:w="0" w:type="dxa"/>
          <w:right w:w="0" w:type="dxa"/>
        </w:tblCellMar>
      </w:tblPr>
      <w:tr>
        <w:trPr>
          <w:trHeight w:val="341"/>
        </w:trPr>
        <w:tc>
          <w:tcPr>
            <w:tcW w:w="800" w:type="dxa"/>
            <w:vAlign w:val="bottom"/>
            <w:shd w:val="clear" w:color="auto" w:fill="0E3C23"/>
          </w:tcPr>
          <w:p>
            <w:pPr>
              <w:spacing w:after="0"/>
              <w:rPr>
                <w:sz w:val="24"/>
                <w:szCs w:val="24"/>
                <w:color w:val="auto"/>
              </w:rPr>
            </w:pPr>
          </w:p>
        </w:tc>
        <w:tc>
          <w:tcPr>
            <w:tcW w:w="2560" w:type="dxa"/>
            <w:vAlign w:val="bottom"/>
            <w:shd w:val="clear" w:color="auto" w:fill="E6E6E6"/>
          </w:tcPr>
          <w:p>
            <w:pPr>
              <w:ind w:left="100"/>
              <w:spacing w:after="0"/>
              <w:rPr>
                <w:sz w:val="20"/>
                <w:szCs w:val="20"/>
                <w:color w:val="auto"/>
              </w:rPr>
            </w:pPr>
            <w:r>
              <w:rPr>
                <w:rFonts w:ascii="Arial" w:cs="Arial" w:eastAsia="Arial" w:hAnsi="Arial"/>
                <w:sz w:val="18"/>
                <w:szCs w:val="18"/>
                <w:b w:val="1"/>
                <w:bCs w:val="1"/>
                <w:color w:val="0E3C23"/>
              </w:rPr>
              <w:t>Executive</w:t>
            </w:r>
          </w:p>
        </w:tc>
        <w:tc>
          <w:tcPr>
            <w:tcW w:w="780" w:type="dxa"/>
            <w:vAlign w:val="bottom"/>
            <w:shd w:val="clear" w:color="auto" w:fill="0E3C23"/>
          </w:tcPr>
          <w:p>
            <w:pPr>
              <w:spacing w:after="0"/>
              <w:rPr>
                <w:sz w:val="24"/>
                <w:szCs w:val="24"/>
                <w:color w:val="auto"/>
              </w:rPr>
            </w:pPr>
          </w:p>
        </w:tc>
        <w:tc>
          <w:tcPr>
            <w:tcW w:w="2560" w:type="dxa"/>
            <w:vAlign w:val="bottom"/>
            <w:shd w:val="clear" w:color="auto" w:fill="E6E8DE"/>
          </w:tcPr>
          <w:p>
            <w:pPr>
              <w:ind w:left="80"/>
              <w:spacing w:after="0"/>
              <w:rPr>
                <w:sz w:val="20"/>
                <w:szCs w:val="20"/>
                <w:color w:val="auto"/>
              </w:rPr>
            </w:pPr>
            <w:r>
              <w:rPr>
                <w:rFonts w:ascii="Arial" w:cs="Arial" w:eastAsia="Arial" w:hAnsi="Arial"/>
                <w:sz w:val="18"/>
                <w:szCs w:val="18"/>
                <w:b w:val="1"/>
                <w:bCs w:val="1"/>
                <w:color w:val="0E3C23"/>
              </w:rPr>
              <w:t>Public Company Board</w:t>
            </w:r>
          </w:p>
        </w:tc>
        <w:tc>
          <w:tcPr>
            <w:tcW w:w="780" w:type="dxa"/>
            <w:vAlign w:val="bottom"/>
            <w:shd w:val="clear" w:color="auto" w:fill="0E3C23"/>
          </w:tcPr>
          <w:p>
            <w:pPr>
              <w:spacing w:after="0"/>
              <w:rPr>
                <w:sz w:val="24"/>
                <w:szCs w:val="24"/>
                <w:color w:val="auto"/>
              </w:rPr>
            </w:pPr>
          </w:p>
        </w:tc>
        <w:tc>
          <w:tcPr>
            <w:tcW w:w="1380" w:type="dxa"/>
            <w:vAlign w:val="bottom"/>
            <w:gridSpan w:val="3"/>
            <w:shd w:val="clear" w:color="auto" w:fill="E6E6E6"/>
          </w:tcPr>
          <w:p>
            <w:pPr>
              <w:ind w:left="80"/>
              <w:spacing w:after="0"/>
              <w:rPr>
                <w:sz w:val="20"/>
                <w:szCs w:val="20"/>
                <w:color w:val="auto"/>
              </w:rPr>
            </w:pPr>
            <w:r>
              <w:rPr>
                <w:rFonts w:ascii="Arial" w:cs="Arial" w:eastAsia="Arial" w:hAnsi="Arial"/>
                <w:sz w:val="18"/>
                <w:szCs w:val="18"/>
                <w:b w:val="1"/>
                <w:bCs w:val="1"/>
                <w:color w:val="0E3C23"/>
              </w:rPr>
              <w:t>Strategic</w:t>
            </w:r>
          </w:p>
        </w:tc>
        <w:tc>
          <w:tcPr>
            <w:tcW w:w="1200" w:type="dxa"/>
            <w:vAlign w:val="bottom"/>
            <w:shd w:val="clear" w:color="auto" w:fill="E6E6E6"/>
          </w:tcPr>
          <w:p>
            <w:pPr>
              <w:spacing w:after="0"/>
              <w:rPr>
                <w:sz w:val="24"/>
                <w:szCs w:val="24"/>
                <w:color w:val="auto"/>
              </w:rPr>
            </w:pPr>
          </w:p>
        </w:tc>
      </w:tr>
      <w:tr>
        <w:trPr>
          <w:trHeight w:val="219"/>
        </w:trPr>
        <w:tc>
          <w:tcPr>
            <w:tcW w:w="800" w:type="dxa"/>
            <w:vAlign w:val="bottom"/>
            <w:shd w:val="clear" w:color="auto" w:fill="0E3C23"/>
          </w:tcPr>
          <w:p>
            <w:pPr>
              <w:spacing w:after="0"/>
              <w:rPr>
                <w:sz w:val="19"/>
                <w:szCs w:val="19"/>
                <w:color w:val="auto"/>
              </w:rPr>
            </w:pPr>
          </w:p>
        </w:tc>
        <w:tc>
          <w:tcPr>
            <w:tcW w:w="2560" w:type="dxa"/>
            <w:vAlign w:val="bottom"/>
            <w:shd w:val="clear" w:color="auto" w:fill="E6E6E6"/>
          </w:tcPr>
          <w:p>
            <w:pPr>
              <w:ind w:left="100"/>
              <w:spacing w:after="0"/>
              <w:rPr>
                <w:sz w:val="20"/>
                <w:szCs w:val="20"/>
                <w:color w:val="auto"/>
              </w:rPr>
            </w:pPr>
            <w:r>
              <w:rPr>
                <w:rFonts w:ascii="Arial" w:cs="Arial" w:eastAsia="Arial" w:hAnsi="Arial"/>
                <w:sz w:val="18"/>
                <w:szCs w:val="18"/>
                <w:b w:val="1"/>
                <w:bCs w:val="1"/>
                <w:color w:val="0E3C23"/>
              </w:rPr>
              <w:t>Leadership</w:t>
            </w:r>
          </w:p>
        </w:tc>
        <w:tc>
          <w:tcPr>
            <w:tcW w:w="780" w:type="dxa"/>
            <w:vAlign w:val="bottom"/>
            <w:shd w:val="clear" w:color="auto" w:fill="0E3C23"/>
          </w:tcPr>
          <w:p>
            <w:pPr>
              <w:spacing w:after="0"/>
              <w:rPr>
                <w:sz w:val="19"/>
                <w:szCs w:val="19"/>
                <w:color w:val="auto"/>
              </w:rPr>
            </w:pPr>
          </w:p>
        </w:tc>
        <w:tc>
          <w:tcPr>
            <w:tcW w:w="2560" w:type="dxa"/>
            <w:vAlign w:val="bottom"/>
            <w:shd w:val="clear" w:color="auto" w:fill="E6E8DE"/>
          </w:tcPr>
          <w:p>
            <w:pPr>
              <w:ind w:left="80"/>
              <w:spacing w:after="0"/>
              <w:rPr>
                <w:sz w:val="20"/>
                <w:szCs w:val="20"/>
                <w:color w:val="auto"/>
              </w:rPr>
            </w:pPr>
            <w:r>
              <w:rPr>
                <w:rFonts w:ascii="Arial" w:cs="Arial" w:eastAsia="Arial" w:hAnsi="Arial"/>
                <w:sz w:val="18"/>
                <w:szCs w:val="18"/>
                <w:b w:val="1"/>
                <w:bCs w:val="1"/>
                <w:color w:val="0E3C23"/>
              </w:rPr>
              <w:t>and Governance</w:t>
            </w:r>
          </w:p>
        </w:tc>
        <w:tc>
          <w:tcPr>
            <w:tcW w:w="780" w:type="dxa"/>
            <w:vAlign w:val="bottom"/>
            <w:shd w:val="clear" w:color="auto" w:fill="0E3C23"/>
          </w:tcPr>
          <w:p>
            <w:pPr>
              <w:spacing w:after="0"/>
              <w:rPr>
                <w:sz w:val="19"/>
                <w:szCs w:val="19"/>
                <w:color w:val="auto"/>
              </w:rPr>
            </w:pPr>
          </w:p>
        </w:tc>
        <w:tc>
          <w:tcPr>
            <w:tcW w:w="1380" w:type="dxa"/>
            <w:vAlign w:val="bottom"/>
            <w:gridSpan w:val="3"/>
            <w:shd w:val="clear" w:color="auto" w:fill="E6E6E6"/>
          </w:tcPr>
          <w:p>
            <w:pPr>
              <w:ind w:left="80"/>
              <w:spacing w:after="0"/>
              <w:rPr>
                <w:sz w:val="20"/>
                <w:szCs w:val="20"/>
                <w:color w:val="auto"/>
              </w:rPr>
            </w:pPr>
            <w:r>
              <w:rPr>
                <w:rFonts w:ascii="Arial" w:cs="Arial" w:eastAsia="Arial" w:hAnsi="Arial"/>
                <w:sz w:val="18"/>
                <w:szCs w:val="18"/>
                <w:b w:val="1"/>
                <w:bCs w:val="1"/>
                <w:color w:val="0E3C23"/>
              </w:rPr>
              <w:t>Planning</w:t>
            </w:r>
          </w:p>
        </w:tc>
        <w:tc>
          <w:tcPr>
            <w:tcW w:w="1200" w:type="dxa"/>
            <w:vAlign w:val="bottom"/>
            <w:shd w:val="clear" w:color="auto" w:fill="E6E6E6"/>
          </w:tcPr>
          <w:p>
            <w:pPr>
              <w:spacing w:after="0"/>
              <w:rPr>
                <w:sz w:val="19"/>
                <w:szCs w:val="19"/>
                <w:color w:val="auto"/>
              </w:rPr>
            </w:pPr>
          </w:p>
        </w:tc>
      </w:tr>
      <w:tr>
        <w:trPr>
          <w:trHeight w:val="138"/>
        </w:trPr>
        <w:tc>
          <w:tcPr>
            <w:tcW w:w="800" w:type="dxa"/>
            <w:vAlign w:val="bottom"/>
            <w:shd w:val="clear" w:color="auto" w:fill="0E3C23"/>
          </w:tcPr>
          <w:p>
            <w:pPr>
              <w:spacing w:after="0"/>
              <w:rPr>
                <w:sz w:val="11"/>
                <w:szCs w:val="11"/>
                <w:color w:val="auto"/>
              </w:rPr>
            </w:pPr>
          </w:p>
        </w:tc>
        <w:tc>
          <w:tcPr>
            <w:tcW w:w="2560" w:type="dxa"/>
            <w:vAlign w:val="bottom"/>
            <w:shd w:val="clear" w:color="auto" w:fill="E6E6E6"/>
          </w:tcPr>
          <w:p>
            <w:pPr>
              <w:spacing w:after="0"/>
              <w:rPr>
                <w:sz w:val="11"/>
                <w:szCs w:val="11"/>
                <w:color w:val="auto"/>
              </w:rPr>
            </w:pPr>
          </w:p>
        </w:tc>
        <w:tc>
          <w:tcPr>
            <w:tcW w:w="780" w:type="dxa"/>
            <w:vAlign w:val="bottom"/>
            <w:shd w:val="clear" w:color="auto" w:fill="0E3C23"/>
          </w:tcPr>
          <w:p>
            <w:pPr>
              <w:spacing w:after="0"/>
              <w:rPr>
                <w:sz w:val="11"/>
                <w:szCs w:val="11"/>
                <w:color w:val="auto"/>
              </w:rPr>
            </w:pPr>
          </w:p>
        </w:tc>
        <w:tc>
          <w:tcPr>
            <w:tcW w:w="2560" w:type="dxa"/>
            <w:vAlign w:val="bottom"/>
            <w:shd w:val="clear" w:color="auto" w:fill="E6E8DE"/>
          </w:tcPr>
          <w:p>
            <w:pPr>
              <w:spacing w:after="0"/>
              <w:rPr>
                <w:sz w:val="11"/>
                <w:szCs w:val="11"/>
                <w:color w:val="auto"/>
              </w:rPr>
            </w:pPr>
          </w:p>
        </w:tc>
        <w:tc>
          <w:tcPr>
            <w:tcW w:w="780" w:type="dxa"/>
            <w:vAlign w:val="bottom"/>
            <w:shd w:val="clear" w:color="auto" w:fill="0E3C23"/>
          </w:tcPr>
          <w:p>
            <w:pPr>
              <w:spacing w:after="0"/>
              <w:rPr>
                <w:sz w:val="11"/>
                <w:szCs w:val="11"/>
                <w:color w:val="auto"/>
              </w:rPr>
            </w:pPr>
          </w:p>
        </w:tc>
        <w:tc>
          <w:tcPr>
            <w:tcW w:w="2580" w:type="dxa"/>
            <w:vAlign w:val="bottom"/>
            <w:gridSpan w:val="4"/>
            <w:shd w:val="clear" w:color="auto" w:fill="E6E6E6"/>
          </w:tcPr>
          <w:p>
            <w:pPr>
              <w:spacing w:after="0"/>
              <w:rPr>
                <w:sz w:val="11"/>
                <w:szCs w:val="11"/>
                <w:color w:val="auto"/>
              </w:rPr>
            </w:pPr>
          </w:p>
        </w:tc>
      </w:tr>
      <w:tr>
        <w:trPr>
          <w:trHeight w:val="305"/>
        </w:trPr>
        <w:tc>
          <w:tcPr>
            <w:tcW w:w="336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Directors  who  hold  or  have  held</w:t>
            </w:r>
          </w:p>
        </w:tc>
        <w:tc>
          <w:tcPr>
            <w:tcW w:w="334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Directors with a history of service on other</w:t>
            </w:r>
          </w:p>
        </w:tc>
        <w:tc>
          <w:tcPr>
            <w:tcW w:w="3360" w:type="dxa"/>
            <w:vAlign w:val="bottom"/>
            <w:gridSpan w:val="5"/>
            <w:shd w:val="clear" w:color="auto" w:fill="F2F2F2"/>
          </w:tcPr>
          <w:p>
            <w:pPr>
              <w:ind w:left="240"/>
              <w:spacing w:after="0"/>
              <w:rPr>
                <w:sz w:val="20"/>
                <w:szCs w:val="20"/>
                <w:color w:val="auto"/>
              </w:rPr>
            </w:pPr>
            <w:r>
              <w:rPr>
                <w:rFonts w:ascii="Arial" w:cs="Arial" w:eastAsia="Arial" w:hAnsi="Arial"/>
                <w:sz w:val="16"/>
                <w:szCs w:val="16"/>
                <w:color w:val="auto"/>
              </w:rPr>
              <w:t>Directors with experience developing and</w:t>
            </w:r>
          </w:p>
        </w:tc>
      </w:tr>
      <w:tr>
        <w:trPr>
          <w:trHeight w:val="191"/>
        </w:trPr>
        <w:tc>
          <w:tcPr>
            <w:tcW w:w="336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significant executive leadership positions</w:t>
            </w:r>
          </w:p>
        </w:tc>
        <w:tc>
          <w:tcPr>
            <w:tcW w:w="334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public company boards help our Board</w:t>
            </w:r>
          </w:p>
        </w:tc>
        <w:tc>
          <w:tcPr>
            <w:tcW w:w="3360" w:type="dxa"/>
            <w:vAlign w:val="bottom"/>
            <w:gridSpan w:val="5"/>
            <w:shd w:val="clear" w:color="auto" w:fill="F2F2F2"/>
          </w:tcPr>
          <w:p>
            <w:pPr>
              <w:ind w:left="240"/>
              <w:spacing w:after="0"/>
              <w:rPr>
                <w:sz w:val="20"/>
                <w:szCs w:val="20"/>
                <w:color w:val="auto"/>
              </w:rPr>
            </w:pPr>
            <w:r>
              <w:rPr>
                <w:rFonts w:ascii="Arial" w:cs="Arial" w:eastAsia="Arial" w:hAnsi="Arial"/>
                <w:sz w:val="16"/>
                <w:szCs w:val="16"/>
                <w:color w:val="auto"/>
              </w:rPr>
              <w:t>driving the strategic direction and growth</w:t>
            </w:r>
          </w:p>
        </w:tc>
      </w:tr>
      <w:tr>
        <w:trPr>
          <w:trHeight w:val="191"/>
        </w:trPr>
        <w:tc>
          <w:tcPr>
            <w:tcW w:w="336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with large organizations provide unique</w:t>
            </w:r>
          </w:p>
        </w:tc>
        <w:tc>
          <w:tcPr>
            <w:tcW w:w="334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function   effectively   by   drawing   on</w:t>
            </w:r>
          </w:p>
        </w:tc>
        <w:tc>
          <w:tcPr>
            <w:tcW w:w="3360" w:type="dxa"/>
            <w:vAlign w:val="bottom"/>
            <w:gridSpan w:val="5"/>
            <w:shd w:val="clear" w:color="auto" w:fill="F2F2F2"/>
          </w:tcPr>
          <w:p>
            <w:pPr>
              <w:ind w:left="240"/>
              <w:spacing w:after="0"/>
              <w:rPr>
                <w:sz w:val="20"/>
                <w:szCs w:val="20"/>
                <w:color w:val="auto"/>
              </w:rPr>
            </w:pPr>
            <w:r>
              <w:rPr>
                <w:rFonts w:ascii="Arial" w:cs="Arial" w:eastAsia="Arial" w:hAnsi="Arial"/>
                <w:sz w:val="16"/>
                <w:szCs w:val="16"/>
                <w:color w:val="auto"/>
              </w:rPr>
              <w:t>of large organizations provide valuable</w:t>
            </w:r>
          </w:p>
        </w:tc>
      </w:tr>
      <w:tr>
        <w:trPr>
          <w:trHeight w:val="191"/>
        </w:trPr>
        <w:tc>
          <w:tcPr>
            <w:tcW w:w="336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insights. These individuals have valuable</w:t>
            </w:r>
          </w:p>
        </w:tc>
        <w:tc>
          <w:tcPr>
            <w:tcW w:w="334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knowledge of governance best practices.</w:t>
            </w:r>
          </w:p>
        </w:tc>
        <w:tc>
          <w:tcPr>
            <w:tcW w:w="3360" w:type="dxa"/>
            <w:vAlign w:val="bottom"/>
            <w:gridSpan w:val="5"/>
            <w:shd w:val="clear" w:color="auto" w:fill="F2F2F2"/>
          </w:tcPr>
          <w:p>
            <w:pPr>
              <w:ind w:left="240"/>
              <w:spacing w:after="0"/>
              <w:rPr>
                <w:sz w:val="20"/>
                <w:szCs w:val="20"/>
                <w:color w:val="auto"/>
              </w:rPr>
            </w:pPr>
            <w:r>
              <w:rPr>
                <w:rFonts w:ascii="Arial" w:cs="Arial" w:eastAsia="Arial" w:hAnsi="Arial"/>
                <w:sz w:val="16"/>
                <w:szCs w:val="16"/>
                <w:color w:val="auto"/>
              </w:rPr>
              <w:t>guidance  to  the  Company’s  senior</w:t>
            </w:r>
          </w:p>
        </w:tc>
      </w:tr>
      <w:tr>
        <w:trPr>
          <w:trHeight w:val="191"/>
        </w:trPr>
        <w:tc>
          <w:tcPr>
            <w:tcW w:w="336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experience developing talent and solving</w:t>
            </w:r>
          </w:p>
        </w:tc>
        <w:tc>
          <w:tcPr>
            <w:tcW w:w="334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These  individuals  bring  a  practical</w:t>
            </w:r>
          </w:p>
        </w:tc>
        <w:tc>
          <w:tcPr>
            <w:tcW w:w="3360" w:type="dxa"/>
            <w:vAlign w:val="bottom"/>
            <w:gridSpan w:val="5"/>
            <w:shd w:val="clear" w:color="auto" w:fill="F2F2F2"/>
          </w:tcPr>
          <w:p>
            <w:pPr>
              <w:ind w:left="240"/>
              <w:spacing w:after="0"/>
              <w:rPr>
                <w:sz w:val="20"/>
                <w:szCs w:val="20"/>
                <w:color w:val="auto"/>
              </w:rPr>
            </w:pPr>
            <w:r>
              <w:rPr>
                <w:rFonts w:ascii="Arial" w:cs="Arial" w:eastAsia="Arial" w:hAnsi="Arial"/>
                <w:sz w:val="16"/>
                <w:szCs w:val="16"/>
                <w:color w:val="auto"/>
              </w:rPr>
              <w:t>leadership team. These individuals have</w:t>
            </w:r>
          </w:p>
        </w:tc>
      </w:tr>
      <w:tr>
        <w:trPr>
          <w:trHeight w:val="191"/>
        </w:trPr>
        <w:tc>
          <w:tcPr>
            <w:tcW w:w="336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problems in large, complex organizations</w:t>
            </w:r>
          </w:p>
        </w:tc>
        <w:tc>
          <w:tcPr>
            <w:tcW w:w="334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understanding   of   organizations   and</w:t>
            </w:r>
          </w:p>
        </w:tc>
        <w:tc>
          <w:tcPr>
            <w:tcW w:w="900" w:type="dxa"/>
            <w:vAlign w:val="bottom"/>
            <w:gridSpan w:val="2"/>
            <w:shd w:val="clear" w:color="auto" w:fill="F2F2F2"/>
          </w:tcPr>
          <w:p>
            <w:pPr>
              <w:ind w:left="240"/>
              <w:spacing w:after="0"/>
              <w:rPr>
                <w:sz w:val="20"/>
                <w:szCs w:val="20"/>
                <w:color w:val="auto"/>
              </w:rPr>
            </w:pPr>
            <w:r>
              <w:rPr>
                <w:rFonts w:ascii="Arial" w:cs="Arial" w:eastAsia="Arial" w:hAnsi="Arial"/>
                <w:sz w:val="16"/>
                <w:szCs w:val="16"/>
                <w:color w:val="auto"/>
                <w:w w:val="98"/>
              </w:rPr>
              <w:t>expertise</w:t>
            </w:r>
          </w:p>
        </w:tc>
        <w:tc>
          <w:tcPr>
            <w:tcW w:w="460" w:type="dxa"/>
            <w:vAlign w:val="bottom"/>
            <w:shd w:val="clear" w:color="auto" w:fill="F2F2F2"/>
          </w:tcPr>
          <w:p>
            <w:pPr>
              <w:ind w:left="340"/>
              <w:spacing w:after="0"/>
              <w:rPr>
                <w:sz w:val="20"/>
                <w:szCs w:val="20"/>
                <w:color w:val="auto"/>
              </w:rPr>
            </w:pPr>
            <w:r>
              <w:rPr>
                <w:rFonts w:ascii="Arial" w:cs="Arial" w:eastAsia="Arial" w:hAnsi="Arial"/>
                <w:sz w:val="16"/>
                <w:szCs w:val="16"/>
                <w:color w:val="auto"/>
                <w:w w:val="79"/>
              </w:rPr>
              <w:t>in</w:t>
            </w:r>
          </w:p>
        </w:tc>
        <w:tc>
          <w:tcPr>
            <w:tcW w:w="800" w:type="dxa"/>
            <w:vAlign w:val="bottom"/>
            <w:shd w:val="clear" w:color="auto" w:fill="F2F2F2"/>
          </w:tcPr>
          <w:p>
            <w:pPr>
              <w:ind w:left="340"/>
              <w:spacing w:after="0"/>
              <w:rPr>
                <w:sz w:val="20"/>
                <w:szCs w:val="20"/>
                <w:color w:val="auto"/>
              </w:rPr>
            </w:pPr>
            <w:r>
              <w:rPr>
                <w:rFonts w:ascii="Arial" w:cs="Arial" w:eastAsia="Arial" w:hAnsi="Arial"/>
                <w:sz w:val="16"/>
                <w:szCs w:val="16"/>
                <w:color w:val="auto"/>
              </w:rPr>
              <w:t>areas</w:t>
            </w:r>
          </w:p>
        </w:tc>
        <w:tc>
          <w:tcPr>
            <w:tcW w:w="1200" w:type="dxa"/>
            <w:vAlign w:val="bottom"/>
            <w:shd w:val="clear" w:color="auto" w:fill="F2F2F2"/>
          </w:tcPr>
          <w:p>
            <w:pPr>
              <w:jc w:val="right"/>
              <w:ind w:right="200"/>
              <w:spacing w:after="0"/>
              <w:rPr>
                <w:sz w:val="20"/>
                <w:szCs w:val="20"/>
                <w:color w:val="auto"/>
              </w:rPr>
            </w:pPr>
            <w:r>
              <w:rPr>
                <w:rFonts w:ascii="Arial" w:cs="Arial" w:eastAsia="Arial" w:hAnsi="Arial"/>
                <w:sz w:val="16"/>
                <w:szCs w:val="16"/>
                <w:color w:val="auto"/>
              </w:rPr>
              <w:t>including</w:t>
            </w:r>
          </w:p>
        </w:tc>
      </w:tr>
      <w:tr>
        <w:trPr>
          <w:trHeight w:val="191"/>
        </w:trPr>
        <w:tc>
          <w:tcPr>
            <w:tcW w:w="336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and can capably and confidently advise</w:t>
            </w:r>
          </w:p>
        </w:tc>
        <w:tc>
          <w:tcPr>
            <w:tcW w:w="334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processes   and   the   importance   of</w:t>
            </w:r>
          </w:p>
        </w:tc>
        <w:tc>
          <w:tcPr>
            <w:tcW w:w="1360" w:type="dxa"/>
            <w:vAlign w:val="bottom"/>
            <w:gridSpan w:val="3"/>
            <w:shd w:val="clear" w:color="auto" w:fill="F2F2F2"/>
          </w:tcPr>
          <w:p>
            <w:pPr>
              <w:ind w:left="240"/>
              <w:spacing w:after="0"/>
              <w:rPr>
                <w:sz w:val="20"/>
                <w:szCs w:val="20"/>
                <w:color w:val="auto"/>
              </w:rPr>
            </w:pPr>
            <w:r>
              <w:rPr>
                <w:rFonts w:ascii="Arial" w:cs="Arial" w:eastAsia="Arial" w:hAnsi="Arial"/>
                <w:sz w:val="16"/>
                <w:szCs w:val="16"/>
                <w:color w:val="auto"/>
              </w:rPr>
              <w:t>transformation,</w:t>
            </w:r>
          </w:p>
        </w:tc>
        <w:tc>
          <w:tcPr>
            <w:tcW w:w="800" w:type="dxa"/>
            <w:vAlign w:val="bottom"/>
            <w:shd w:val="clear" w:color="auto" w:fill="F2F2F2"/>
          </w:tcPr>
          <w:p>
            <w:pPr>
              <w:ind w:left="60"/>
              <w:spacing w:after="0"/>
              <w:rPr>
                <w:sz w:val="20"/>
                <w:szCs w:val="20"/>
                <w:color w:val="auto"/>
              </w:rPr>
            </w:pPr>
            <w:r>
              <w:rPr>
                <w:rFonts w:ascii="Arial" w:cs="Arial" w:eastAsia="Arial" w:hAnsi="Arial"/>
                <w:sz w:val="16"/>
                <w:szCs w:val="16"/>
                <w:color w:val="auto"/>
                <w:w w:val="98"/>
              </w:rPr>
              <w:t>innovation</w:t>
            </w:r>
          </w:p>
        </w:tc>
        <w:tc>
          <w:tcPr>
            <w:tcW w:w="1200" w:type="dxa"/>
            <w:vAlign w:val="bottom"/>
            <w:shd w:val="clear" w:color="auto" w:fill="F2F2F2"/>
          </w:tcPr>
          <w:p>
            <w:pPr>
              <w:jc w:val="right"/>
              <w:ind w:right="200"/>
              <w:spacing w:after="0"/>
              <w:rPr>
                <w:sz w:val="20"/>
                <w:szCs w:val="20"/>
                <w:color w:val="auto"/>
              </w:rPr>
            </w:pPr>
            <w:r>
              <w:rPr>
                <w:rFonts w:ascii="Arial" w:cs="Arial" w:eastAsia="Arial" w:hAnsi="Arial"/>
                <w:sz w:val="16"/>
                <w:szCs w:val="16"/>
                <w:color w:val="auto"/>
              </w:rPr>
              <w:t>and change</w:t>
            </w:r>
          </w:p>
        </w:tc>
      </w:tr>
      <w:tr>
        <w:trPr>
          <w:trHeight w:val="191"/>
        </w:trPr>
        <w:tc>
          <w:tcPr>
            <w:tcW w:w="336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the Company’s senior leadership team on</w:t>
            </w:r>
          </w:p>
        </w:tc>
        <w:tc>
          <w:tcPr>
            <w:tcW w:w="334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management accountability, transparency,</w:t>
            </w:r>
          </w:p>
        </w:tc>
        <w:tc>
          <w:tcPr>
            <w:tcW w:w="3360" w:type="dxa"/>
            <w:vAlign w:val="bottom"/>
            <w:gridSpan w:val="5"/>
            <w:shd w:val="clear" w:color="auto" w:fill="F2F2F2"/>
          </w:tcPr>
          <w:p>
            <w:pPr>
              <w:ind w:left="240"/>
              <w:spacing w:after="0"/>
              <w:rPr>
                <w:sz w:val="20"/>
                <w:szCs w:val="20"/>
                <w:color w:val="auto"/>
              </w:rPr>
            </w:pPr>
            <w:r>
              <w:rPr>
                <w:rFonts w:ascii="Arial" w:cs="Arial" w:eastAsia="Arial" w:hAnsi="Arial"/>
                <w:sz w:val="16"/>
                <w:szCs w:val="16"/>
                <w:color w:val="auto"/>
              </w:rPr>
              <w:t>management. These individuals often also</w:t>
            </w:r>
          </w:p>
        </w:tc>
      </w:tr>
      <w:tr>
        <w:trPr>
          <w:trHeight w:val="191"/>
        </w:trPr>
        <w:tc>
          <w:tcPr>
            <w:tcW w:w="336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a wide range of issues. These individuals</w:t>
            </w:r>
          </w:p>
        </w:tc>
        <w:tc>
          <w:tcPr>
            <w:tcW w:w="334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and the protection of stockholder interests.</w:t>
            </w:r>
          </w:p>
        </w:tc>
        <w:tc>
          <w:tcPr>
            <w:tcW w:w="3360" w:type="dxa"/>
            <w:vAlign w:val="bottom"/>
            <w:gridSpan w:val="5"/>
            <w:shd w:val="clear" w:color="auto" w:fill="F2F2F2"/>
          </w:tcPr>
          <w:p>
            <w:pPr>
              <w:ind w:left="240"/>
              <w:spacing w:after="0"/>
              <w:rPr>
                <w:sz w:val="20"/>
                <w:szCs w:val="20"/>
                <w:color w:val="auto"/>
              </w:rPr>
            </w:pPr>
            <w:r>
              <w:rPr>
                <w:rFonts w:ascii="Arial" w:cs="Arial" w:eastAsia="Arial" w:hAnsi="Arial"/>
                <w:sz w:val="16"/>
                <w:szCs w:val="16"/>
                <w:color w:val="auto"/>
              </w:rPr>
              <w:t>have sophisticated experience in growth</w:t>
            </w:r>
          </w:p>
        </w:tc>
      </w:tr>
      <w:tr>
        <w:trPr>
          <w:trHeight w:val="191"/>
        </w:trPr>
        <w:tc>
          <w:tcPr>
            <w:tcW w:w="336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often possess extraordinary leadership</w:t>
            </w:r>
          </w:p>
        </w:tc>
        <w:tc>
          <w:tcPr>
            <w:tcW w:w="334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These individuals help our Board structure</w:t>
            </w:r>
          </w:p>
        </w:tc>
        <w:tc>
          <w:tcPr>
            <w:tcW w:w="900" w:type="dxa"/>
            <w:vAlign w:val="bottom"/>
            <w:gridSpan w:val="2"/>
            <w:shd w:val="clear" w:color="auto" w:fill="F2F2F2"/>
          </w:tcPr>
          <w:p>
            <w:pPr>
              <w:ind w:left="240"/>
              <w:spacing w:after="0"/>
              <w:rPr>
                <w:sz w:val="20"/>
                <w:szCs w:val="20"/>
                <w:color w:val="auto"/>
              </w:rPr>
            </w:pPr>
            <w:r>
              <w:rPr>
                <w:rFonts w:ascii="Arial" w:cs="Arial" w:eastAsia="Arial" w:hAnsi="Arial"/>
                <w:sz w:val="16"/>
                <w:szCs w:val="16"/>
                <w:color w:val="auto"/>
              </w:rPr>
              <w:t>through</w:t>
            </w:r>
          </w:p>
        </w:tc>
        <w:tc>
          <w:tcPr>
            <w:tcW w:w="460" w:type="dxa"/>
            <w:vAlign w:val="bottom"/>
            <w:shd w:val="clear" w:color="auto" w:fill="F2F2F2"/>
          </w:tcPr>
          <w:p>
            <w:pPr>
              <w:spacing w:after="0"/>
              <w:rPr>
                <w:sz w:val="20"/>
                <w:szCs w:val="20"/>
                <w:color w:val="auto"/>
              </w:rPr>
            </w:pPr>
            <w:r>
              <w:rPr>
                <w:rFonts w:ascii="Arial" w:cs="Arial" w:eastAsia="Arial" w:hAnsi="Arial"/>
                <w:sz w:val="16"/>
                <w:szCs w:val="16"/>
                <w:color w:val="auto"/>
              </w:rPr>
              <w:t>large</w:t>
            </w:r>
          </w:p>
        </w:tc>
        <w:tc>
          <w:tcPr>
            <w:tcW w:w="800" w:type="dxa"/>
            <w:vAlign w:val="bottom"/>
            <w:shd w:val="clear" w:color="auto" w:fill="F2F2F2"/>
          </w:tcPr>
          <w:p>
            <w:pPr>
              <w:ind w:left="20"/>
              <w:spacing w:after="0"/>
              <w:rPr>
                <w:sz w:val="20"/>
                <w:szCs w:val="20"/>
                <w:color w:val="auto"/>
              </w:rPr>
            </w:pPr>
            <w:r>
              <w:rPr>
                <w:rFonts w:ascii="Arial" w:cs="Arial" w:eastAsia="Arial" w:hAnsi="Arial"/>
                <w:sz w:val="16"/>
                <w:szCs w:val="16"/>
                <w:color w:val="auto"/>
              </w:rPr>
              <w:t>corporate</w:t>
            </w:r>
          </w:p>
        </w:tc>
        <w:tc>
          <w:tcPr>
            <w:tcW w:w="1200" w:type="dxa"/>
            <w:vAlign w:val="bottom"/>
            <w:shd w:val="clear" w:color="auto" w:fill="F2F2F2"/>
          </w:tcPr>
          <w:p>
            <w:pPr>
              <w:jc w:val="right"/>
              <w:ind w:right="200"/>
              <w:spacing w:after="0"/>
              <w:rPr>
                <w:sz w:val="20"/>
                <w:szCs w:val="20"/>
                <w:color w:val="auto"/>
              </w:rPr>
            </w:pPr>
            <w:r>
              <w:rPr>
                <w:rFonts w:ascii="Arial" w:cs="Arial" w:eastAsia="Arial" w:hAnsi="Arial"/>
                <w:sz w:val="16"/>
                <w:szCs w:val="16"/>
                <w:color w:val="auto"/>
                <w:w w:val="99"/>
              </w:rPr>
              <w:t>transactions,</w:t>
            </w:r>
          </w:p>
        </w:tc>
      </w:tr>
      <w:tr>
        <w:trPr>
          <w:trHeight w:val="191"/>
        </w:trPr>
        <w:tc>
          <w:tcPr>
            <w:tcW w:w="336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qualities and have the ability to identify</w:t>
            </w:r>
          </w:p>
        </w:tc>
        <w:tc>
          <w:tcPr>
            <w:tcW w:w="334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and execute its independent oversight of</w:t>
            </w:r>
          </w:p>
        </w:tc>
        <w:tc>
          <w:tcPr>
            <w:tcW w:w="3360" w:type="dxa"/>
            <w:vAlign w:val="bottom"/>
            <w:gridSpan w:val="5"/>
            <w:shd w:val="clear" w:color="auto" w:fill="F2F2F2"/>
          </w:tcPr>
          <w:p>
            <w:pPr>
              <w:ind w:left="240"/>
              <w:spacing w:after="0"/>
              <w:rPr>
                <w:sz w:val="20"/>
                <w:szCs w:val="20"/>
                <w:color w:val="auto"/>
              </w:rPr>
            </w:pPr>
            <w:r>
              <w:rPr>
                <w:rFonts w:ascii="Arial" w:cs="Arial" w:eastAsia="Arial" w:hAnsi="Arial"/>
                <w:sz w:val="16"/>
                <w:szCs w:val="16"/>
                <w:color w:val="auto"/>
              </w:rPr>
              <w:t>including mergers &amp; acquisitions.</w:t>
            </w:r>
          </w:p>
        </w:tc>
      </w:tr>
      <w:tr>
        <w:trPr>
          <w:trHeight w:val="191"/>
        </w:trPr>
        <w:tc>
          <w:tcPr>
            <w:tcW w:w="336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and develop these qualities in others.</w:t>
            </w:r>
          </w:p>
        </w:tc>
        <w:tc>
          <w:tcPr>
            <w:tcW w:w="334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management.</w:t>
            </w:r>
          </w:p>
        </w:tc>
        <w:tc>
          <w:tcPr>
            <w:tcW w:w="78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460" w:type="dxa"/>
            <w:vAlign w:val="bottom"/>
            <w:shd w:val="clear" w:color="auto" w:fill="F2F2F2"/>
          </w:tcPr>
          <w:p>
            <w:pPr>
              <w:spacing w:after="0"/>
              <w:rPr>
                <w:sz w:val="16"/>
                <w:szCs w:val="16"/>
                <w:color w:val="auto"/>
              </w:rPr>
            </w:pPr>
          </w:p>
        </w:tc>
        <w:tc>
          <w:tcPr>
            <w:tcW w:w="80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r>
      <w:tr>
        <w:trPr>
          <w:trHeight w:val="155"/>
        </w:trPr>
        <w:tc>
          <w:tcPr>
            <w:tcW w:w="800" w:type="dxa"/>
            <w:vAlign w:val="bottom"/>
            <w:shd w:val="clear" w:color="auto" w:fill="F2F2F2"/>
          </w:tcPr>
          <w:p>
            <w:pPr>
              <w:spacing w:after="0"/>
              <w:rPr>
                <w:sz w:val="13"/>
                <w:szCs w:val="13"/>
                <w:color w:val="auto"/>
              </w:rPr>
            </w:pPr>
          </w:p>
        </w:tc>
        <w:tc>
          <w:tcPr>
            <w:tcW w:w="2560" w:type="dxa"/>
            <w:vAlign w:val="bottom"/>
            <w:shd w:val="clear" w:color="auto" w:fill="F2F2F2"/>
          </w:tcPr>
          <w:p>
            <w:pPr>
              <w:spacing w:after="0"/>
              <w:rPr>
                <w:sz w:val="13"/>
                <w:szCs w:val="13"/>
                <w:color w:val="auto"/>
              </w:rPr>
            </w:pPr>
          </w:p>
        </w:tc>
        <w:tc>
          <w:tcPr>
            <w:tcW w:w="780" w:type="dxa"/>
            <w:vAlign w:val="bottom"/>
            <w:shd w:val="clear" w:color="auto" w:fill="F2F3EE"/>
          </w:tcPr>
          <w:p>
            <w:pPr>
              <w:spacing w:after="0"/>
              <w:rPr>
                <w:sz w:val="13"/>
                <w:szCs w:val="13"/>
                <w:color w:val="auto"/>
              </w:rPr>
            </w:pPr>
          </w:p>
        </w:tc>
        <w:tc>
          <w:tcPr>
            <w:tcW w:w="2560" w:type="dxa"/>
            <w:vAlign w:val="bottom"/>
            <w:shd w:val="clear" w:color="auto" w:fill="F2F3EE"/>
          </w:tcPr>
          <w:p>
            <w:pPr>
              <w:spacing w:after="0"/>
              <w:rPr>
                <w:sz w:val="13"/>
                <w:szCs w:val="13"/>
                <w:color w:val="auto"/>
              </w:rPr>
            </w:pPr>
          </w:p>
        </w:tc>
        <w:tc>
          <w:tcPr>
            <w:tcW w:w="780" w:type="dxa"/>
            <w:vAlign w:val="bottom"/>
            <w:shd w:val="clear" w:color="auto" w:fill="F2F2F2"/>
          </w:tcPr>
          <w:p>
            <w:pPr>
              <w:spacing w:after="0"/>
              <w:rPr>
                <w:sz w:val="13"/>
                <w:szCs w:val="13"/>
                <w:color w:val="auto"/>
              </w:rPr>
            </w:pPr>
          </w:p>
        </w:tc>
        <w:tc>
          <w:tcPr>
            <w:tcW w:w="120" w:type="dxa"/>
            <w:vAlign w:val="bottom"/>
            <w:shd w:val="clear" w:color="auto" w:fill="F2F2F2"/>
          </w:tcPr>
          <w:p>
            <w:pPr>
              <w:spacing w:after="0"/>
              <w:rPr>
                <w:sz w:val="13"/>
                <w:szCs w:val="13"/>
                <w:color w:val="auto"/>
              </w:rPr>
            </w:pPr>
          </w:p>
        </w:tc>
        <w:tc>
          <w:tcPr>
            <w:tcW w:w="460" w:type="dxa"/>
            <w:vAlign w:val="bottom"/>
            <w:shd w:val="clear" w:color="auto" w:fill="F2F2F2"/>
          </w:tcPr>
          <w:p>
            <w:pPr>
              <w:spacing w:after="0"/>
              <w:rPr>
                <w:sz w:val="13"/>
                <w:szCs w:val="13"/>
                <w:color w:val="auto"/>
              </w:rPr>
            </w:pPr>
          </w:p>
        </w:tc>
        <w:tc>
          <w:tcPr>
            <w:tcW w:w="800" w:type="dxa"/>
            <w:vAlign w:val="bottom"/>
            <w:shd w:val="clear" w:color="auto" w:fill="F2F2F2"/>
          </w:tcPr>
          <w:p>
            <w:pPr>
              <w:spacing w:after="0"/>
              <w:rPr>
                <w:sz w:val="13"/>
                <w:szCs w:val="13"/>
                <w:color w:val="auto"/>
              </w:rPr>
            </w:pPr>
          </w:p>
        </w:tc>
        <w:tc>
          <w:tcPr>
            <w:tcW w:w="1200" w:type="dxa"/>
            <w:vAlign w:val="bottom"/>
            <w:shd w:val="clear" w:color="auto" w:fill="F2F2F2"/>
          </w:tcPr>
          <w:p>
            <w:pPr>
              <w:spacing w:after="0"/>
              <w:rPr>
                <w:sz w:val="13"/>
                <w:szCs w:val="13"/>
                <w:color w:val="auto"/>
              </w:rPr>
            </w:pPr>
          </w:p>
        </w:tc>
      </w:tr>
    </w:tbl>
    <w:p>
      <w:pPr>
        <w:spacing w:after="0" w:line="20" w:lineRule="exact"/>
        <w:rPr>
          <w:sz w:val="20"/>
          <w:szCs w:val="20"/>
          <w:color w:val="auto"/>
        </w:rPr>
      </w:pPr>
    </w:p>
    <w:tbl>
      <w:tblPr>
        <w:tblLayout w:type="fixed"/>
        <w:tblInd w:w="180" w:type="dxa"/>
        <w:tblCellMar>
          <w:top w:w="0" w:type="dxa"/>
          <w:left w:w="0" w:type="dxa"/>
          <w:bottom w:w="0" w:type="dxa"/>
          <w:right w:w="0" w:type="dxa"/>
        </w:tblCellMar>
      </w:tblPr>
      <w:tr>
        <w:trPr>
          <w:trHeight w:val="391"/>
        </w:trPr>
        <w:tc>
          <w:tcPr>
            <w:tcW w:w="800" w:type="dxa"/>
            <w:vAlign w:val="bottom"/>
            <w:shd w:val="clear" w:color="auto" w:fill="0E3C23"/>
          </w:tcPr>
          <w:p>
            <w:pPr>
              <w:spacing w:after="0"/>
              <w:rPr>
                <w:sz w:val="24"/>
                <w:szCs w:val="24"/>
                <w:color w:val="auto"/>
              </w:rPr>
            </w:pPr>
          </w:p>
        </w:tc>
        <w:tc>
          <w:tcPr>
            <w:tcW w:w="1880" w:type="dxa"/>
            <w:vAlign w:val="bottom"/>
            <w:gridSpan w:val="2"/>
            <w:shd w:val="clear" w:color="auto" w:fill="E6E8DE"/>
          </w:tcPr>
          <w:p>
            <w:pPr>
              <w:ind w:left="100"/>
              <w:spacing w:after="0"/>
              <w:rPr>
                <w:sz w:val="20"/>
                <w:szCs w:val="20"/>
                <w:color w:val="auto"/>
              </w:rPr>
            </w:pPr>
            <w:r>
              <w:rPr>
                <w:rFonts w:ascii="Arial" w:cs="Arial" w:eastAsia="Arial" w:hAnsi="Arial"/>
                <w:sz w:val="18"/>
                <w:szCs w:val="18"/>
                <w:b w:val="1"/>
                <w:bCs w:val="1"/>
                <w:color w:val="0E3C23"/>
              </w:rPr>
              <w:t>Operational</w:t>
            </w:r>
          </w:p>
        </w:tc>
        <w:tc>
          <w:tcPr>
            <w:tcW w:w="680" w:type="dxa"/>
            <w:vAlign w:val="bottom"/>
            <w:shd w:val="clear" w:color="auto" w:fill="E6E8DE"/>
          </w:tcPr>
          <w:p>
            <w:pPr>
              <w:spacing w:after="0"/>
              <w:rPr>
                <w:sz w:val="24"/>
                <w:szCs w:val="24"/>
                <w:color w:val="auto"/>
              </w:rPr>
            </w:pPr>
          </w:p>
        </w:tc>
        <w:tc>
          <w:tcPr>
            <w:tcW w:w="780" w:type="dxa"/>
            <w:vAlign w:val="bottom"/>
            <w:shd w:val="clear" w:color="auto" w:fill="0E3C23"/>
          </w:tcPr>
          <w:p>
            <w:pPr>
              <w:spacing w:after="0"/>
              <w:rPr>
                <w:sz w:val="24"/>
                <w:szCs w:val="24"/>
                <w:color w:val="auto"/>
              </w:rPr>
            </w:pPr>
          </w:p>
        </w:tc>
        <w:tc>
          <w:tcPr>
            <w:tcW w:w="2560" w:type="dxa"/>
            <w:vAlign w:val="bottom"/>
            <w:gridSpan w:val="6"/>
            <w:shd w:val="clear" w:color="auto" w:fill="E6E6E6"/>
          </w:tcPr>
          <w:p>
            <w:pPr>
              <w:ind w:left="80"/>
              <w:spacing w:after="0"/>
              <w:rPr>
                <w:sz w:val="20"/>
                <w:szCs w:val="20"/>
                <w:color w:val="auto"/>
              </w:rPr>
            </w:pPr>
            <w:r>
              <w:rPr>
                <w:rFonts w:ascii="Arial" w:cs="Arial" w:eastAsia="Arial" w:hAnsi="Arial"/>
                <w:sz w:val="18"/>
                <w:szCs w:val="18"/>
                <w:b w:val="1"/>
                <w:bCs w:val="1"/>
                <w:color w:val="0E3C23"/>
              </w:rPr>
              <w:t>Financial Expertise and</w:t>
            </w:r>
          </w:p>
        </w:tc>
        <w:tc>
          <w:tcPr>
            <w:tcW w:w="780" w:type="dxa"/>
            <w:vAlign w:val="bottom"/>
            <w:shd w:val="clear" w:color="auto" w:fill="0E3C23"/>
          </w:tcPr>
          <w:p>
            <w:pPr>
              <w:spacing w:after="0"/>
              <w:rPr>
                <w:sz w:val="24"/>
                <w:szCs w:val="24"/>
                <w:color w:val="auto"/>
              </w:rPr>
            </w:pPr>
          </w:p>
        </w:tc>
        <w:tc>
          <w:tcPr>
            <w:tcW w:w="2580" w:type="dxa"/>
            <w:vAlign w:val="bottom"/>
            <w:shd w:val="clear" w:color="auto" w:fill="E6E8DE"/>
          </w:tcPr>
          <w:p>
            <w:pPr>
              <w:ind w:left="80"/>
              <w:spacing w:after="0"/>
              <w:rPr>
                <w:sz w:val="20"/>
                <w:szCs w:val="20"/>
                <w:color w:val="auto"/>
              </w:rPr>
            </w:pPr>
            <w:r>
              <w:rPr>
                <w:rFonts w:ascii="Arial" w:cs="Arial" w:eastAsia="Arial" w:hAnsi="Arial"/>
                <w:sz w:val="18"/>
                <w:szCs w:val="18"/>
                <w:b w:val="1"/>
                <w:bCs w:val="1"/>
                <w:color w:val="0E3C23"/>
              </w:rPr>
              <w:t>Human Capital</w:t>
            </w:r>
          </w:p>
        </w:tc>
      </w:tr>
      <w:tr>
        <w:trPr>
          <w:trHeight w:val="219"/>
        </w:trPr>
        <w:tc>
          <w:tcPr>
            <w:tcW w:w="800" w:type="dxa"/>
            <w:vAlign w:val="bottom"/>
            <w:shd w:val="clear" w:color="auto" w:fill="0E3C23"/>
          </w:tcPr>
          <w:p>
            <w:pPr>
              <w:spacing w:after="0"/>
              <w:rPr>
                <w:sz w:val="19"/>
                <w:szCs w:val="19"/>
                <w:color w:val="auto"/>
              </w:rPr>
            </w:pPr>
          </w:p>
        </w:tc>
        <w:tc>
          <w:tcPr>
            <w:tcW w:w="1880" w:type="dxa"/>
            <w:vAlign w:val="bottom"/>
            <w:gridSpan w:val="2"/>
            <w:shd w:val="clear" w:color="auto" w:fill="E6E8DE"/>
          </w:tcPr>
          <w:p>
            <w:pPr>
              <w:ind w:left="100"/>
              <w:spacing w:after="0"/>
              <w:rPr>
                <w:sz w:val="20"/>
                <w:szCs w:val="20"/>
                <w:color w:val="auto"/>
              </w:rPr>
            </w:pPr>
            <w:r>
              <w:rPr>
                <w:rFonts w:ascii="Arial" w:cs="Arial" w:eastAsia="Arial" w:hAnsi="Arial"/>
                <w:sz w:val="18"/>
                <w:szCs w:val="18"/>
                <w:b w:val="1"/>
                <w:bCs w:val="1"/>
                <w:color w:val="0E3C23"/>
              </w:rPr>
              <w:t>Excellence</w:t>
            </w:r>
          </w:p>
        </w:tc>
        <w:tc>
          <w:tcPr>
            <w:tcW w:w="680" w:type="dxa"/>
            <w:vAlign w:val="bottom"/>
            <w:shd w:val="clear" w:color="auto" w:fill="E6E8DE"/>
          </w:tcPr>
          <w:p>
            <w:pPr>
              <w:spacing w:after="0"/>
              <w:rPr>
                <w:sz w:val="19"/>
                <w:szCs w:val="19"/>
                <w:color w:val="auto"/>
              </w:rPr>
            </w:pPr>
          </w:p>
        </w:tc>
        <w:tc>
          <w:tcPr>
            <w:tcW w:w="780" w:type="dxa"/>
            <w:vAlign w:val="bottom"/>
            <w:shd w:val="clear" w:color="auto" w:fill="0E3C23"/>
          </w:tcPr>
          <w:p>
            <w:pPr>
              <w:spacing w:after="0"/>
              <w:rPr>
                <w:sz w:val="19"/>
                <w:szCs w:val="19"/>
                <w:color w:val="auto"/>
              </w:rPr>
            </w:pPr>
          </w:p>
        </w:tc>
        <w:tc>
          <w:tcPr>
            <w:tcW w:w="1560" w:type="dxa"/>
            <w:vAlign w:val="bottom"/>
            <w:gridSpan w:val="4"/>
            <w:shd w:val="clear" w:color="auto" w:fill="E6E6E6"/>
          </w:tcPr>
          <w:p>
            <w:pPr>
              <w:ind w:left="80"/>
              <w:spacing w:after="0"/>
              <w:rPr>
                <w:sz w:val="20"/>
                <w:szCs w:val="20"/>
                <w:color w:val="auto"/>
              </w:rPr>
            </w:pPr>
            <w:r>
              <w:rPr>
                <w:rFonts w:ascii="Arial" w:cs="Arial" w:eastAsia="Arial" w:hAnsi="Arial"/>
                <w:sz w:val="18"/>
                <w:szCs w:val="18"/>
                <w:b w:val="1"/>
                <w:bCs w:val="1"/>
                <w:color w:val="0E3C23"/>
                <w:w w:val="96"/>
              </w:rPr>
              <w:t>Capital Allocation</w:t>
            </w: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780" w:type="dxa"/>
            <w:vAlign w:val="bottom"/>
            <w:shd w:val="clear" w:color="auto" w:fill="0E3C23"/>
          </w:tcPr>
          <w:p>
            <w:pPr>
              <w:spacing w:after="0"/>
              <w:rPr>
                <w:sz w:val="19"/>
                <w:szCs w:val="19"/>
                <w:color w:val="auto"/>
              </w:rPr>
            </w:pPr>
          </w:p>
        </w:tc>
        <w:tc>
          <w:tcPr>
            <w:tcW w:w="2580" w:type="dxa"/>
            <w:vAlign w:val="bottom"/>
            <w:shd w:val="clear" w:color="auto" w:fill="E6E8DE"/>
          </w:tcPr>
          <w:p>
            <w:pPr>
              <w:ind w:left="80"/>
              <w:spacing w:after="0"/>
              <w:rPr>
                <w:sz w:val="20"/>
                <w:szCs w:val="20"/>
                <w:color w:val="auto"/>
              </w:rPr>
            </w:pPr>
            <w:r>
              <w:rPr>
                <w:rFonts w:ascii="Arial" w:cs="Arial" w:eastAsia="Arial" w:hAnsi="Arial"/>
                <w:sz w:val="18"/>
                <w:szCs w:val="18"/>
                <w:b w:val="1"/>
                <w:bCs w:val="1"/>
                <w:color w:val="0E3C23"/>
              </w:rPr>
              <w:t>Management</w:t>
            </w:r>
          </w:p>
        </w:tc>
      </w:tr>
      <w:tr>
        <w:trPr>
          <w:trHeight w:val="178"/>
        </w:trPr>
        <w:tc>
          <w:tcPr>
            <w:tcW w:w="800" w:type="dxa"/>
            <w:vAlign w:val="bottom"/>
            <w:shd w:val="clear" w:color="auto" w:fill="0E3C23"/>
          </w:tcPr>
          <w:p>
            <w:pPr>
              <w:spacing w:after="0"/>
              <w:rPr>
                <w:sz w:val="15"/>
                <w:szCs w:val="15"/>
                <w:color w:val="auto"/>
              </w:rPr>
            </w:pPr>
          </w:p>
        </w:tc>
        <w:tc>
          <w:tcPr>
            <w:tcW w:w="2560" w:type="dxa"/>
            <w:vAlign w:val="bottom"/>
            <w:gridSpan w:val="3"/>
            <w:shd w:val="clear" w:color="auto" w:fill="E6E8DE"/>
          </w:tcPr>
          <w:p>
            <w:pPr>
              <w:spacing w:after="0"/>
              <w:rPr>
                <w:sz w:val="15"/>
                <w:szCs w:val="15"/>
                <w:color w:val="auto"/>
              </w:rPr>
            </w:pPr>
          </w:p>
        </w:tc>
        <w:tc>
          <w:tcPr>
            <w:tcW w:w="780" w:type="dxa"/>
            <w:vAlign w:val="bottom"/>
            <w:shd w:val="clear" w:color="auto" w:fill="0E3C23"/>
          </w:tcPr>
          <w:p>
            <w:pPr>
              <w:spacing w:after="0"/>
              <w:rPr>
                <w:sz w:val="15"/>
                <w:szCs w:val="15"/>
                <w:color w:val="auto"/>
              </w:rPr>
            </w:pPr>
          </w:p>
        </w:tc>
        <w:tc>
          <w:tcPr>
            <w:tcW w:w="2560" w:type="dxa"/>
            <w:vAlign w:val="bottom"/>
            <w:gridSpan w:val="6"/>
            <w:shd w:val="clear" w:color="auto" w:fill="E6E6E6"/>
          </w:tcPr>
          <w:p>
            <w:pPr>
              <w:spacing w:after="0"/>
              <w:rPr>
                <w:sz w:val="15"/>
                <w:szCs w:val="15"/>
                <w:color w:val="auto"/>
              </w:rPr>
            </w:pPr>
          </w:p>
        </w:tc>
        <w:tc>
          <w:tcPr>
            <w:tcW w:w="780" w:type="dxa"/>
            <w:vAlign w:val="bottom"/>
            <w:shd w:val="clear" w:color="auto" w:fill="0E3C23"/>
          </w:tcPr>
          <w:p>
            <w:pPr>
              <w:spacing w:after="0"/>
              <w:rPr>
                <w:sz w:val="15"/>
                <w:szCs w:val="15"/>
                <w:color w:val="auto"/>
              </w:rPr>
            </w:pPr>
          </w:p>
        </w:tc>
        <w:tc>
          <w:tcPr>
            <w:tcW w:w="2580" w:type="dxa"/>
            <w:vAlign w:val="bottom"/>
            <w:shd w:val="clear" w:color="auto" w:fill="E6E8DE"/>
          </w:tcPr>
          <w:p>
            <w:pPr>
              <w:spacing w:after="0"/>
              <w:rPr>
                <w:sz w:val="15"/>
                <w:szCs w:val="15"/>
                <w:color w:val="auto"/>
              </w:rPr>
            </w:pPr>
          </w:p>
        </w:tc>
      </w:tr>
      <w:tr>
        <w:trPr>
          <w:trHeight w:val="305"/>
        </w:trPr>
        <w:tc>
          <w:tcPr>
            <w:tcW w:w="3360" w:type="dxa"/>
            <w:vAlign w:val="bottom"/>
            <w:gridSpan w:val="4"/>
            <w:shd w:val="clear" w:color="auto" w:fill="F2F3EE"/>
          </w:tcPr>
          <w:p>
            <w:pPr>
              <w:ind w:left="280"/>
              <w:spacing w:after="0"/>
              <w:rPr>
                <w:sz w:val="20"/>
                <w:szCs w:val="20"/>
                <w:color w:val="auto"/>
              </w:rPr>
            </w:pPr>
            <w:r>
              <w:rPr>
                <w:rFonts w:ascii="Arial" w:cs="Arial" w:eastAsia="Arial" w:hAnsi="Arial"/>
                <w:sz w:val="16"/>
                <w:szCs w:val="16"/>
                <w:color w:val="auto"/>
              </w:rPr>
              <w:t>Directors with experience in a significant</w:t>
            </w:r>
          </w:p>
        </w:tc>
        <w:tc>
          <w:tcPr>
            <w:tcW w:w="3340" w:type="dxa"/>
            <w:vAlign w:val="bottom"/>
            <w:gridSpan w:val="7"/>
            <w:shd w:val="clear" w:color="auto" w:fill="F2F2F2"/>
          </w:tcPr>
          <w:p>
            <w:pPr>
              <w:ind w:left="260"/>
              <w:spacing w:after="0"/>
              <w:rPr>
                <w:sz w:val="20"/>
                <w:szCs w:val="20"/>
                <w:color w:val="auto"/>
              </w:rPr>
            </w:pPr>
            <w:r>
              <w:rPr>
                <w:rFonts w:ascii="Arial" w:cs="Arial" w:eastAsia="Arial" w:hAnsi="Arial"/>
                <w:sz w:val="16"/>
                <w:szCs w:val="16"/>
                <w:color w:val="auto"/>
              </w:rPr>
              <w:t>Directors with a deep understanding of</w:t>
            </w:r>
          </w:p>
        </w:tc>
        <w:tc>
          <w:tcPr>
            <w:tcW w:w="3360" w:type="dxa"/>
            <w:vAlign w:val="bottom"/>
            <w:gridSpan w:val="2"/>
            <w:shd w:val="clear" w:color="auto" w:fill="F2F3EE"/>
          </w:tcPr>
          <w:p>
            <w:pPr>
              <w:ind w:left="240"/>
              <w:spacing w:after="0"/>
              <w:rPr>
                <w:sz w:val="20"/>
                <w:szCs w:val="20"/>
                <w:color w:val="auto"/>
              </w:rPr>
            </w:pPr>
            <w:r>
              <w:rPr>
                <w:rFonts w:ascii="Arial" w:cs="Arial" w:eastAsia="Arial" w:hAnsi="Arial"/>
                <w:sz w:val="16"/>
                <w:szCs w:val="16"/>
                <w:color w:val="auto"/>
              </w:rPr>
              <w:t>Directors  with  experience  in  human</w:t>
            </w:r>
          </w:p>
        </w:tc>
      </w:tr>
      <w:tr>
        <w:trPr>
          <w:trHeight w:val="191"/>
        </w:trPr>
        <w:tc>
          <w:tcPr>
            <w:tcW w:w="3360" w:type="dxa"/>
            <w:vAlign w:val="bottom"/>
            <w:gridSpan w:val="4"/>
            <w:shd w:val="clear" w:color="auto" w:fill="F2F3EE"/>
          </w:tcPr>
          <w:p>
            <w:pPr>
              <w:ind w:left="280"/>
              <w:spacing w:after="0"/>
              <w:rPr>
                <w:sz w:val="20"/>
                <w:szCs w:val="20"/>
                <w:color w:val="auto"/>
              </w:rPr>
            </w:pPr>
            <w:r>
              <w:rPr>
                <w:rFonts w:ascii="Arial" w:cs="Arial" w:eastAsia="Arial" w:hAnsi="Arial"/>
                <w:sz w:val="16"/>
                <w:szCs w:val="16"/>
                <w:color w:val="auto"/>
              </w:rPr>
              <w:t>operations  role  help  the  Company  to</w:t>
            </w:r>
          </w:p>
        </w:tc>
        <w:tc>
          <w:tcPr>
            <w:tcW w:w="3340" w:type="dxa"/>
            <w:vAlign w:val="bottom"/>
            <w:gridSpan w:val="7"/>
            <w:shd w:val="clear" w:color="auto" w:fill="F2F2F2"/>
          </w:tcPr>
          <w:p>
            <w:pPr>
              <w:ind w:left="260"/>
              <w:spacing w:after="0"/>
              <w:rPr>
                <w:sz w:val="20"/>
                <w:szCs w:val="20"/>
                <w:color w:val="auto"/>
              </w:rPr>
            </w:pPr>
            <w:r>
              <w:rPr>
                <w:rFonts w:ascii="Arial" w:cs="Arial" w:eastAsia="Arial" w:hAnsi="Arial"/>
                <w:sz w:val="16"/>
                <w:szCs w:val="16"/>
                <w:color w:val="auto"/>
              </w:rPr>
              <w:t>finance and financial reporting lead our</w:t>
            </w:r>
          </w:p>
        </w:tc>
        <w:tc>
          <w:tcPr>
            <w:tcW w:w="3360" w:type="dxa"/>
            <w:vAlign w:val="bottom"/>
            <w:gridSpan w:val="2"/>
            <w:shd w:val="clear" w:color="auto" w:fill="F2F3EE"/>
          </w:tcPr>
          <w:p>
            <w:pPr>
              <w:ind w:left="240"/>
              <w:spacing w:after="0"/>
              <w:rPr>
                <w:sz w:val="20"/>
                <w:szCs w:val="20"/>
                <w:color w:val="auto"/>
              </w:rPr>
            </w:pPr>
            <w:r>
              <w:rPr>
                <w:rFonts w:ascii="Arial" w:cs="Arial" w:eastAsia="Arial" w:hAnsi="Arial"/>
                <w:sz w:val="16"/>
                <w:szCs w:val="16"/>
                <w:color w:val="auto"/>
              </w:rPr>
              <w:t>capital  management  provide  valuable</w:t>
            </w:r>
          </w:p>
        </w:tc>
      </w:tr>
      <w:tr>
        <w:trPr>
          <w:trHeight w:val="191"/>
        </w:trPr>
        <w:tc>
          <w:tcPr>
            <w:tcW w:w="3360" w:type="dxa"/>
            <w:vAlign w:val="bottom"/>
            <w:gridSpan w:val="4"/>
            <w:shd w:val="clear" w:color="auto" w:fill="F2F3EE"/>
          </w:tcPr>
          <w:p>
            <w:pPr>
              <w:ind w:left="280"/>
              <w:spacing w:after="0"/>
              <w:rPr>
                <w:sz w:val="20"/>
                <w:szCs w:val="20"/>
                <w:color w:val="auto"/>
              </w:rPr>
            </w:pPr>
            <w:r>
              <w:rPr>
                <w:rFonts w:ascii="Arial" w:cs="Arial" w:eastAsia="Arial" w:hAnsi="Arial"/>
                <w:sz w:val="16"/>
                <w:szCs w:val="16"/>
                <w:color w:val="auto"/>
              </w:rPr>
              <w:t>develop,  implement  and  assess  its</w:t>
            </w:r>
          </w:p>
        </w:tc>
        <w:tc>
          <w:tcPr>
            <w:tcW w:w="960" w:type="dxa"/>
            <w:vAlign w:val="bottom"/>
            <w:gridSpan w:val="2"/>
            <w:shd w:val="clear" w:color="auto" w:fill="F2F2F2"/>
          </w:tcPr>
          <w:p>
            <w:pPr>
              <w:ind w:left="260"/>
              <w:spacing w:after="0"/>
              <w:rPr>
                <w:sz w:val="20"/>
                <w:szCs w:val="20"/>
                <w:color w:val="auto"/>
              </w:rPr>
            </w:pPr>
            <w:r>
              <w:rPr>
                <w:rFonts w:ascii="Arial" w:cs="Arial" w:eastAsia="Arial" w:hAnsi="Arial"/>
                <w:sz w:val="16"/>
                <w:szCs w:val="16"/>
                <w:color w:val="auto"/>
              </w:rPr>
              <w:t>Board’s</w:t>
            </w:r>
          </w:p>
        </w:tc>
        <w:tc>
          <w:tcPr>
            <w:tcW w:w="820" w:type="dxa"/>
            <w:vAlign w:val="bottom"/>
            <w:gridSpan w:val="2"/>
            <w:shd w:val="clear" w:color="auto" w:fill="F2F2F2"/>
          </w:tcPr>
          <w:p>
            <w:pPr>
              <w:ind w:left="120"/>
              <w:spacing w:after="0"/>
              <w:rPr>
                <w:sz w:val="20"/>
                <w:szCs w:val="20"/>
                <w:color w:val="auto"/>
              </w:rPr>
            </w:pPr>
            <w:r>
              <w:rPr>
                <w:rFonts w:ascii="Arial" w:cs="Arial" w:eastAsia="Arial" w:hAnsi="Arial"/>
                <w:sz w:val="16"/>
                <w:szCs w:val="16"/>
                <w:color w:val="auto"/>
              </w:rPr>
              <w:t>oversight</w:t>
            </w:r>
          </w:p>
        </w:tc>
        <w:tc>
          <w:tcPr>
            <w:tcW w:w="560" w:type="dxa"/>
            <w:vAlign w:val="bottom"/>
            <w:shd w:val="clear" w:color="auto" w:fill="F2F2F2"/>
          </w:tcPr>
          <w:p>
            <w:pPr>
              <w:jc w:val="right"/>
              <w:ind w:right="80"/>
              <w:spacing w:after="0"/>
              <w:rPr>
                <w:sz w:val="20"/>
                <w:szCs w:val="20"/>
                <w:color w:val="auto"/>
              </w:rPr>
            </w:pPr>
            <w:r>
              <w:rPr>
                <w:rFonts w:ascii="Arial" w:cs="Arial" w:eastAsia="Arial" w:hAnsi="Arial"/>
                <w:sz w:val="16"/>
                <w:szCs w:val="16"/>
                <w:color w:val="auto"/>
              </w:rPr>
              <w:t>of</w:t>
            </w:r>
          </w:p>
        </w:tc>
        <w:tc>
          <w:tcPr>
            <w:tcW w:w="1000" w:type="dxa"/>
            <w:vAlign w:val="bottom"/>
            <w:gridSpan w:val="2"/>
            <w:shd w:val="clear" w:color="auto" w:fill="F2F2F2"/>
          </w:tcPr>
          <w:p>
            <w:pPr>
              <w:jc w:val="right"/>
              <w:ind w:right="180"/>
              <w:spacing w:after="0"/>
              <w:rPr>
                <w:sz w:val="20"/>
                <w:szCs w:val="20"/>
                <w:color w:val="auto"/>
              </w:rPr>
            </w:pPr>
            <w:r>
              <w:rPr>
                <w:rFonts w:ascii="Arial" w:cs="Arial" w:eastAsia="Arial" w:hAnsi="Arial"/>
                <w:sz w:val="16"/>
                <w:szCs w:val="16"/>
                <w:color w:val="auto"/>
              </w:rPr>
              <w:t>financial</w:t>
            </w:r>
          </w:p>
        </w:tc>
        <w:tc>
          <w:tcPr>
            <w:tcW w:w="3360" w:type="dxa"/>
            <w:vAlign w:val="bottom"/>
            <w:gridSpan w:val="2"/>
            <w:shd w:val="clear" w:color="auto" w:fill="F2F3EE"/>
          </w:tcPr>
          <w:p>
            <w:pPr>
              <w:ind w:left="240"/>
              <w:spacing w:after="0"/>
              <w:rPr>
                <w:sz w:val="20"/>
                <w:szCs w:val="20"/>
                <w:color w:val="auto"/>
              </w:rPr>
            </w:pPr>
            <w:r>
              <w:rPr>
                <w:rFonts w:ascii="Arial" w:cs="Arial" w:eastAsia="Arial" w:hAnsi="Arial"/>
                <w:sz w:val="16"/>
                <w:szCs w:val="16"/>
                <w:color w:val="auto"/>
              </w:rPr>
              <w:t>guidance in support of the Company’s</w:t>
            </w:r>
          </w:p>
        </w:tc>
      </w:tr>
      <w:tr>
        <w:trPr>
          <w:trHeight w:val="191"/>
        </w:trPr>
        <w:tc>
          <w:tcPr>
            <w:tcW w:w="3360" w:type="dxa"/>
            <w:vAlign w:val="bottom"/>
            <w:gridSpan w:val="4"/>
            <w:shd w:val="clear" w:color="auto" w:fill="F2F3EE"/>
          </w:tcPr>
          <w:p>
            <w:pPr>
              <w:ind w:left="280"/>
              <w:spacing w:after="0"/>
              <w:rPr>
                <w:sz w:val="20"/>
                <w:szCs w:val="20"/>
                <w:color w:val="auto"/>
              </w:rPr>
            </w:pPr>
            <w:r>
              <w:rPr>
                <w:rFonts w:ascii="Arial" w:cs="Arial" w:eastAsia="Arial" w:hAnsi="Arial"/>
                <w:sz w:val="16"/>
                <w:szCs w:val="16"/>
                <w:color w:val="auto"/>
              </w:rPr>
              <w:t>operating  plan  and  capital  plan  and</w:t>
            </w:r>
          </w:p>
        </w:tc>
        <w:tc>
          <w:tcPr>
            <w:tcW w:w="3340" w:type="dxa"/>
            <w:vAlign w:val="bottom"/>
            <w:gridSpan w:val="7"/>
            <w:shd w:val="clear" w:color="auto" w:fill="F2F2F2"/>
          </w:tcPr>
          <w:p>
            <w:pPr>
              <w:ind w:left="260"/>
              <w:spacing w:after="0"/>
              <w:rPr>
                <w:sz w:val="20"/>
                <w:szCs w:val="20"/>
                <w:color w:val="auto"/>
              </w:rPr>
            </w:pPr>
            <w:r>
              <w:rPr>
                <w:rFonts w:ascii="Arial" w:cs="Arial" w:eastAsia="Arial" w:hAnsi="Arial"/>
                <w:sz w:val="16"/>
                <w:szCs w:val="16"/>
                <w:color w:val="auto"/>
              </w:rPr>
              <w:t>performance and robust internal controls.</w:t>
            </w:r>
          </w:p>
        </w:tc>
        <w:tc>
          <w:tcPr>
            <w:tcW w:w="3360" w:type="dxa"/>
            <w:vAlign w:val="bottom"/>
            <w:gridSpan w:val="2"/>
            <w:shd w:val="clear" w:color="auto" w:fill="F2F3EE"/>
          </w:tcPr>
          <w:p>
            <w:pPr>
              <w:ind w:left="240"/>
              <w:spacing w:after="0"/>
              <w:rPr>
                <w:sz w:val="20"/>
                <w:szCs w:val="20"/>
                <w:color w:val="auto"/>
              </w:rPr>
            </w:pPr>
            <w:r>
              <w:rPr>
                <w:rFonts w:ascii="Arial" w:cs="Arial" w:eastAsia="Arial" w:hAnsi="Arial"/>
                <w:sz w:val="16"/>
                <w:szCs w:val="16"/>
                <w:color w:val="auto"/>
              </w:rPr>
              <w:t>People First strategy. These individuals</w:t>
            </w:r>
          </w:p>
        </w:tc>
      </w:tr>
      <w:tr>
        <w:trPr>
          <w:trHeight w:val="191"/>
        </w:trPr>
        <w:tc>
          <w:tcPr>
            <w:tcW w:w="3360" w:type="dxa"/>
            <w:vAlign w:val="bottom"/>
            <w:gridSpan w:val="4"/>
            <w:shd w:val="clear" w:color="auto" w:fill="F2F3EE"/>
          </w:tcPr>
          <w:p>
            <w:pPr>
              <w:ind w:left="280"/>
              <w:spacing w:after="0"/>
              <w:rPr>
                <w:sz w:val="20"/>
                <w:szCs w:val="20"/>
                <w:color w:val="auto"/>
              </w:rPr>
            </w:pPr>
            <w:r>
              <w:rPr>
                <w:rFonts w:ascii="Arial" w:cs="Arial" w:eastAsia="Arial" w:hAnsi="Arial"/>
                <w:sz w:val="16"/>
                <w:szCs w:val="16"/>
                <w:color w:val="auto"/>
              </w:rPr>
              <w:t>execute   on   commitments   to   cost</w:t>
            </w:r>
          </w:p>
        </w:tc>
        <w:tc>
          <w:tcPr>
            <w:tcW w:w="3340" w:type="dxa"/>
            <w:vAlign w:val="bottom"/>
            <w:gridSpan w:val="7"/>
            <w:shd w:val="clear" w:color="auto" w:fill="F2F2F2"/>
          </w:tcPr>
          <w:p>
            <w:pPr>
              <w:ind w:left="260"/>
              <w:spacing w:after="0"/>
              <w:rPr>
                <w:sz w:val="20"/>
                <w:szCs w:val="20"/>
                <w:color w:val="auto"/>
              </w:rPr>
            </w:pPr>
            <w:r>
              <w:rPr>
                <w:rFonts w:ascii="Arial" w:cs="Arial" w:eastAsia="Arial" w:hAnsi="Arial"/>
                <w:sz w:val="16"/>
                <w:szCs w:val="16"/>
                <w:color w:val="auto"/>
              </w:rPr>
              <w:t>These  individuals  have  expertise  in</w:t>
            </w:r>
          </w:p>
        </w:tc>
        <w:tc>
          <w:tcPr>
            <w:tcW w:w="3360" w:type="dxa"/>
            <w:vAlign w:val="bottom"/>
            <w:gridSpan w:val="2"/>
            <w:shd w:val="clear" w:color="auto" w:fill="F2F3EE"/>
          </w:tcPr>
          <w:p>
            <w:pPr>
              <w:ind w:left="240"/>
              <w:spacing w:after="0"/>
              <w:rPr>
                <w:sz w:val="20"/>
                <w:szCs w:val="20"/>
                <w:color w:val="auto"/>
              </w:rPr>
            </w:pPr>
            <w:r>
              <w:rPr>
                <w:rFonts w:ascii="Arial" w:cs="Arial" w:eastAsia="Arial" w:hAnsi="Arial"/>
                <w:sz w:val="16"/>
                <w:szCs w:val="16"/>
                <w:color w:val="auto"/>
              </w:rPr>
              <w:t>understand the dynamics of attracting,</w:t>
            </w:r>
          </w:p>
        </w:tc>
      </w:tr>
      <w:tr>
        <w:trPr>
          <w:trHeight w:val="191"/>
        </w:trPr>
        <w:tc>
          <w:tcPr>
            <w:tcW w:w="3360" w:type="dxa"/>
            <w:vAlign w:val="bottom"/>
            <w:gridSpan w:val="4"/>
            <w:shd w:val="clear" w:color="auto" w:fill="F2F3EE"/>
          </w:tcPr>
          <w:p>
            <w:pPr>
              <w:ind w:left="280"/>
              <w:spacing w:after="0"/>
              <w:rPr>
                <w:sz w:val="20"/>
                <w:szCs w:val="20"/>
                <w:color w:val="auto"/>
              </w:rPr>
            </w:pPr>
            <w:r>
              <w:rPr>
                <w:rFonts w:ascii="Arial" w:cs="Arial" w:eastAsia="Arial" w:hAnsi="Arial"/>
                <w:sz w:val="16"/>
                <w:szCs w:val="16"/>
                <w:color w:val="auto"/>
              </w:rPr>
              <w:t>optimization and continuous improvement.</w:t>
            </w:r>
          </w:p>
        </w:tc>
        <w:tc>
          <w:tcPr>
            <w:tcW w:w="960" w:type="dxa"/>
            <w:vAlign w:val="bottom"/>
            <w:gridSpan w:val="2"/>
            <w:shd w:val="clear" w:color="auto" w:fill="F2F2F2"/>
          </w:tcPr>
          <w:p>
            <w:pPr>
              <w:ind w:left="260"/>
              <w:spacing w:after="0"/>
              <w:rPr>
                <w:sz w:val="20"/>
                <w:szCs w:val="20"/>
                <w:color w:val="auto"/>
              </w:rPr>
            </w:pPr>
            <w:r>
              <w:rPr>
                <w:rFonts w:ascii="Arial" w:cs="Arial" w:eastAsia="Arial" w:hAnsi="Arial"/>
                <w:sz w:val="16"/>
                <w:szCs w:val="16"/>
                <w:color w:val="auto"/>
                <w:w w:val="99"/>
              </w:rPr>
              <w:t>designing</w:t>
            </w:r>
          </w:p>
        </w:tc>
        <w:tc>
          <w:tcPr>
            <w:tcW w:w="380" w:type="dxa"/>
            <w:vAlign w:val="bottom"/>
            <w:shd w:val="clear" w:color="auto" w:fill="F2F2F2"/>
          </w:tcPr>
          <w:p>
            <w:pPr>
              <w:ind w:left="60"/>
              <w:spacing w:after="0"/>
              <w:rPr>
                <w:sz w:val="20"/>
                <w:szCs w:val="20"/>
                <w:color w:val="auto"/>
              </w:rPr>
            </w:pPr>
            <w:r>
              <w:rPr>
                <w:rFonts w:ascii="Arial" w:cs="Arial" w:eastAsia="Arial" w:hAnsi="Arial"/>
                <w:sz w:val="16"/>
                <w:szCs w:val="16"/>
                <w:color w:val="auto"/>
              </w:rPr>
              <w:t>and</w:t>
            </w:r>
          </w:p>
        </w:tc>
        <w:tc>
          <w:tcPr>
            <w:tcW w:w="1000" w:type="dxa"/>
            <w:vAlign w:val="bottom"/>
            <w:gridSpan w:val="2"/>
            <w:shd w:val="clear" w:color="auto" w:fill="F2F2F2"/>
          </w:tcPr>
          <w:p>
            <w:pPr>
              <w:jc w:val="right"/>
              <w:spacing w:after="0"/>
              <w:rPr>
                <w:sz w:val="20"/>
                <w:szCs w:val="20"/>
                <w:color w:val="auto"/>
              </w:rPr>
            </w:pPr>
            <w:r>
              <w:rPr>
                <w:rFonts w:ascii="Arial" w:cs="Arial" w:eastAsia="Arial" w:hAnsi="Arial"/>
                <w:sz w:val="16"/>
                <w:szCs w:val="16"/>
                <w:color w:val="auto"/>
              </w:rPr>
              <w:t>implementing</w:t>
            </w:r>
          </w:p>
        </w:tc>
        <w:tc>
          <w:tcPr>
            <w:tcW w:w="1000" w:type="dxa"/>
            <w:vAlign w:val="bottom"/>
            <w:gridSpan w:val="2"/>
            <w:shd w:val="clear" w:color="auto" w:fill="F2F2F2"/>
          </w:tcPr>
          <w:p>
            <w:pPr>
              <w:jc w:val="right"/>
              <w:ind w:right="180"/>
              <w:spacing w:after="0"/>
              <w:rPr>
                <w:sz w:val="20"/>
                <w:szCs w:val="20"/>
                <w:color w:val="auto"/>
              </w:rPr>
            </w:pPr>
            <w:r>
              <w:rPr>
                <w:rFonts w:ascii="Arial" w:cs="Arial" w:eastAsia="Arial" w:hAnsi="Arial"/>
                <w:sz w:val="16"/>
                <w:szCs w:val="16"/>
                <w:color w:val="auto"/>
              </w:rPr>
              <w:t>financing</w:t>
            </w:r>
          </w:p>
        </w:tc>
        <w:tc>
          <w:tcPr>
            <w:tcW w:w="3360" w:type="dxa"/>
            <w:vAlign w:val="bottom"/>
            <w:gridSpan w:val="2"/>
            <w:shd w:val="clear" w:color="auto" w:fill="F2F3EE"/>
          </w:tcPr>
          <w:p>
            <w:pPr>
              <w:ind w:left="240"/>
              <w:spacing w:after="0"/>
              <w:rPr>
                <w:sz w:val="20"/>
                <w:szCs w:val="20"/>
                <w:color w:val="auto"/>
              </w:rPr>
            </w:pPr>
            <w:r>
              <w:rPr>
                <w:rFonts w:ascii="Arial" w:cs="Arial" w:eastAsia="Arial" w:hAnsi="Arial"/>
                <w:sz w:val="16"/>
                <w:szCs w:val="16"/>
                <w:color w:val="auto"/>
              </w:rPr>
              <w:t>motivating, and retaining talented and</w:t>
            </w:r>
          </w:p>
        </w:tc>
      </w:tr>
      <w:tr>
        <w:trPr>
          <w:trHeight w:val="191"/>
        </w:trPr>
        <w:tc>
          <w:tcPr>
            <w:tcW w:w="1540" w:type="dxa"/>
            <w:vAlign w:val="bottom"/>
            <w:gridSpan w:val="2"/>
            <w:shd w:val="clear" w:color="auto" w:fill="F2F3EE"/>
          </w:tcPr>
          <w:p>
            <w:pPr>
              <w:ind w:left="280"/>
              <w:spacing w:after="0"/>
              <w:rPr>
                <w:sz w:val="20"/>
                <w:szCs w:val="20"/>
                <w:color w:val="auto"/>
              </w:rPr>
            </w:pPr>
            <w:r>
              <w:rPr>
                <w:rFonts w:ascii="Arial" w:cs="Arial" w:eastAsia="Arial" w:hAnsi="Arial"/>
                <w:sz w:val="16"/>
                <w:szCs w:val="16"/>
                <w:color w:val="auto"/>
              </w:rPr>
              <w:t>Individuals  with</w:t>
            </w:r>
          </w:p>
        </w:tc>
        <w:tc>
          <w:tcPr>
            <w:tcW w:w="1820" w:type="dxa"/>
            <w:vAlign w:val="bottom"/>
            <w:gridSpan w:val="2"/>
            <w:shd w:val="clear" w:color="auto" w:fill="F2F3EE"/>
          </w:tcPr>
          <w:p>
            <w:pPr>
              <w:jc w:val="right"/>
              <w:ind w:right="180"/>
              <w:spacing w:after="0"/>
              <w:rPr>
                <w:sz w:val="20"/>
                <w:szCs w:val="20"/>
                <w:color w:val="auto"/>
              </w:rPr>
            </w:pPr>
            <w:r>
              <w:rPr>
                <w:rFonts w:ascii="Arial" w:cs="Arial" w:eastAsia="Arial" w:hAnsi="Arial"/>
                <w:sz w:val="16"/>
                <w:szCs w:val="16"/>
                <w:color w:val="auto"/>
                <w:w w:val="98"/>
              </w:rPr>
              <w:t>extensive  operational</w:t>
            </w:r>
          </w:p>
        </w:tc>
        <w:tc>
          <w:tcPr>
            <w:tcW w:w="1340" w:type="dxa"/>
            <w:vAlign w:val="bottom"/>
            <w:gridSpan w:val="3"/>
            <w:shd w:val="clear" w:color="auto" w:fill="F2F2F2"/>
          </w:tcPr>
          <w:p>
            <w:pPr>
              <w:ind w:left="260"/>
              <w:spacing w:after="0"/>
              <w:rPr>
                <w:sz w:val="20"/>
                <w:szCs w:val="20"/>
                <w:color w:val="auto"/>
              </w:rPr>
            </w:pPr>
            <w:r>
              <w:rPr>
                <w:rFonts w:ascii="Arial" w:cs="Arial" w:eastAsia="Arial" w:hAnsi="Arial"/>
                <w:sz w:val="16"/>
                <w:szCs w:val="16"/>
                <w:color w:val="auto"/>
              </w:rPr>
              <w:t>and   capital</w:t>
            </w:r>
          </w:p>
        </w:tc>
        <w:tc>
          <w:tcPr>
            <w:tcW w:w="1000" w:type="dxa"/>
            <w:vAlign w:val="bottom"/>
            <w:gridSpan w:val="2"/>
            <w:shd w:val="clear" w:color="auto" w:fill="F2F2F2"/>
          </w:tcPr>
          <w:p>
            <w:pPr>
              <w:jc w:val="right"/>
              <w:ind w:right="140"/>
              <w:spacing w:after="0"/>
              <w:rPr>
                <w:sz w:val="20"/>
                <w:szCs w:val="20"/>
                <w:color w:val="auto"/>
              </w:rPr>
            </w:pPr>
            <w:r>
              <w:rPr>
                <w:rFonts w:ascii="Arial" w:cs="Arial" w:eastAsia="Arial" w:hAnsi="Arial"/>
                <w:sz w:val="16"/>
                <w:szCs w:val="16"/>
                <w:color w:val="auto"/>
              </w:rPr>
              <w:t>allocation</w:t>
            </w:r>
          </w:p>
        </w:tc>
        <w:tc>
          <w:tcPr>
            <w:tcW w:w="1000" w:type="dxa"/>
            <w:vAlign w:val="bottom"/>
            <w:gridSpan w:val="2"/>
            <w:shd w:val="clear" w:color="auto" w:fill="F2F2F2"/>
          </w:tcPr>
          <w:p>
            <w:pPr>
              <w:jc w:val="right"/>
              <w:ind w:right="180"/>
              <w:spacing w:after="0"/>
              <w:rPr>
                <w:sz w:val="20"/>
                <w:szCs w:val="20"/>
                <w:color w:val="auto"/>
              </w:rPr>
            </w:pPr>
            <w:r>
              <w:rPr>
                <w:rFonts w:ascii="Arial" w:cs="Arial" w:eastAsia="Arial" w:hAnsi="Arial"/>
                <w:sz w:val="16"/>
                <w:szCs w:val="16"/>
                <w:color w:val="auto"/>
                <w:w w:val="97"/>
              </w:rPr>
              <w:t>strategies,</w:t>
            </w:r>
          </w:p>
        </w:tc>
        <w:tc>
          <w:tcPr>
            <w:tcW w:w="3360" w:type="dxa"/>
            <w:vAlign w:val="bottom"/>
            <w:gridSpan w:val="2"/>
            <w:shd w:val="clear" w:color="auto" w:fill="F2F3EE"/>
          </w:tcPr>
          <w:p>
            <w:pPr>
              <w:ind w:left="240"/>
              <w:spacing w:after="0"/>
              <w:rPr>
                <w:sz w:val="20"/>
                <w:szCs w:val="20"/>
                <w:color w:val="auto"/>
              </w:rPr>
            </w:pPr>
            <w:r>
              <w:rPr>
                <w:rFonts w:ascii="Arial" w:cs="Arial" w:eastAsia="Arial" w:hAnsi="Arial"/>
                <w:sz w:val="16"/>
                <w:szCs w:val="16"/>
                <w:color w:val="auto"/>
              </w:rPr>
              <w:t>engaged employees. These individuals</w:t>
            </w:r>
          </w:p>
        </w:tc>
      </w:tr>
      <w:tr>
        <w:trPr>
          <w:trHeight w:val="191"/>
        </w:trPr>
        <w:tc>
          <w:tcPr>
            <w:tcW w:w="3360" w:type="dxa"/>
            <w:vAlign w:val="bottom"/>
            <w:gridSpan w:val="4"/>
            <w:shd w:val="clear" w:color="auto" w:fill="F2F3EE"/>
          </w:tcPr>
          <w:p>
            <w:pPr>
              <w:ind w:left="280"/>
              <w:spacing w:after="0"/>
              <w:rPr>
                <w:sz w:val="20"/>
                <w:szCs w:val="20"/>
                <w:color w:val="auto"/>
              </w:rPr>
            </w:pPr>
            <w:r>
              <w:rPr>
                <w:rFonts w:ascii="Arial" w:cs="Arial" w:eastAsia="Arial" w:hAnsi="Arial"/>
                <w:sz w:val="16"/>
                <w:szCs w:val="16"/>
                <w:color w:val="auto"/>
              </w:rPr>
              <w:t>experience in heavily regulated industries,</w:t>
            </w:r>
          </w:p>
        </w:tc>
        <w:tc>
          <w:tcPr>
            <w:tcW w:w="2660" w:type="dxa"/>
            <w:vAlign w:val="bottom"/>
            <w:gridSpan w:val="6"/>
            <w:shd w:val="clear" w:color="auto" w:fill="F2F2F2"/>
          </w:tcPr>
          <w:p>
            <w:pPr>
              <w:ind w:left="260"/>
              <w:spacing w:after="0"/>
              <w:rPr>
                <w:sz w:val="20"/>
                <w:szCs w:val="20"/>
                <w:color w:val="auto"/>
              </w:rPr>
            </w:pPr>
            <w:r>
              <w:rPr>
                <w:rFonts w:ascii="Arial" w:cs="Arial" w:eastAsia="Arial" w:hAnsi="Arial"/>
                <w:sz w:val="16"/>
                <w:szCs w:val="16"/>
                <w:color w:val="auto"/>
              </w:rPr>
              <w:t>evaluating  stockholder  returns</w:t>
            </w:r>
          </w:p>
        </w:tc>
        <w:tc>
          <w:tcPr>
            <w:tcW w:w="680" w:type="dxa"/>
            <w:vAlign w:val="bottom"/>
            <w:shd w:val="clear" w:color="auto" w:fill="F2F2F2"/>
          </w:tcPr>
          <w:p>
            <w:pPr>
              <w:jc w:val="right"/>
              <w:ind w:right="180"/>
              <w:spacing w:after="0"/>
              <w:rPr>
                <w:sz w:val="20"/>
                <w:szCs w:val="20"/>
                <w:color w:val="auto"/>
              </w:rPr>
            </w:pPr>
            <w:r>
              <w:rPr>
                <w:rFonts w:ascii="Arial" w:cs="Arial" w:eastAsia="Arial" w:hAnsi="Arial"/>
                <w:sz w:val="16"/>
                <w:szCs w:val="16"/>
                <w:color w:val="auto"/>
              </w:rPr>
              <w:t>and</w:t>
            </w:r>
          </w:p>
        </w:tc>
        <w:tc>
          <w:tcPr>
            <w:tcW w:w="3360" w:type="dxa"/>
            <w:vAlign w:val="bottom"/>
            <w:gridSpan w:val="2"/>
            <w:shd w:val="clear" w:color="auto" w:fill="F2F3EE"/>
          </w:tcPr>
          <w:p>
            <w:pPr>
              <w:ind w:left="240"/>
              <w:spacing w:after="0"/>
              <w:rPr>
                <w:sz w:val="20"/>
                <w:szCs w:val="20"/>
                <w:color w:val="auto"/>
              </w:rPr>
            </w:pPr>
            <w:r>
              <w:rPr>
                <w:rFonts w:ascii="Arial" w:cs="Arial" w:eastAsia="Arial" w:hAnsi="Arial"/>
                <w:sz w:val="16"/>
                <w:szCs w:val="16"/>
                <w:color w:val="auto"/>
              </w:rPr>
              <w:t>have expertise in talent management,</w:t>
            </w:r>
          </w:p>
        </w:tc>
      </w:tr>
      <w:tr>
        <w:trPr>
          <w:trHeight w:val="191"/>
        </w:trPr>
        <w:tc>
          <w:tcPr>
            <w:tcW w:w="3360" w:type="dxa"/>
            <w:vAlign w:val="bottom"/>
            <w:gridSpan w:val="4"/>
            <w:shd w:val="clear" w:color="auto" w:fill="F2F3EE"/>
          </w:tcPr>
          <w:p>
            <w:pPr>
              <w:ind w:left="280"/>
              <w:spacing w:after="0"/>
              <w:rPr>
                <w:sz w:val="20"/>
                <w:szCs w:val="20"/>
                <w:color w:val="auto"/>
              </w:rPr>
            </w:pPr>
            <w:r>
              <w:rPr>
                <w:rFonts w:ascii="Arial" w:cs="Arial" w:eastAsia="Arial" w:hAnsi="Arial"/>
                <w:sz w:val="16"/>
                <w:szCs w:val="16"/>
                <w:color w:val="auto"/>
              </w:rPr>
              <w:t>including a focus on capital intensive and</w:t>
            </w:r>
          </w:p>
        </w:tc>
        <w:tc>
          <w:tcPr>
            <w:tcW w:w="960" w:type="dxa"/>
            <w:vAlign w:val="bottom"/>
            <w:gridSpan w:val="2"/>
            <w:shd w:val="clear" w:color="auto" w:fill="F2F2F2"/>
          </w:tcPr>
          <w:p>
            <w:pPr>
              <w:ind w:left="260"/>
              <w:spacing w:after="0"/>
              <w:rPr>
                <w:sz w:val="20"/>
                <w:szCs w:val="20"/>
                <w:color w:val="auto"/>
              </w:rPr>
            </w:pPr>
            <w:r>
              <w:rPr>
                <w:rFonts w:ascii="Arial" w:cs="Arial" w:eastAsia="Arial" w:hAnsi="Arial"/>
                <w:sz w:val="16"/>
                <w:szCs w:val="16"/>
                <w:color w:val="auto"/>
                <w:w w:val="95"/>
              </w:rPr>
              <w:t>accessing</w:t>
            </w:r>
          </w:p>
        </w:tc>
        <w:tc>
          <w:tcPr>
            <w:tcW w:w="820" w:type="dxa"/>
            <w:vAlign w:val="bottom"/>
            <w:gridSpan w:val="2"/>
            <w:shd w:val="clear" w:color="auto" w:fill="F2F2F2"/>
          </w:tcPr>
          <w:p>
            <w:pPr>
              <w:ind w:left="200"/>
              <w:spacing w:after="0"/>
              <w:rPr>
                <w:sz w:val="20"/>
                <w:szCs w:val="20"/>
                <w:color w:val="auto"/>
              </w:rPr>
            </w:pPr>
            <w:r>
              <w:rPr>
                <w:rFonts w:ascii="Arial" w:cs="Arial" w:eastAsia="Arial" w:hAnsi="Arial"/>
                <w:sz w:val="16"/>
                <w:szCs w:val="16"/>
                <w:color w:val="auto"/>
              </w:rPr>
              <w:t>capital</w:t>
            </w:r>
          </w:p>
        </w:tc>
        <w:tc>
          <w:tcPr>
            <w:tcW w:w="880" w:type="dxa"/>
            <w:vAlign w:val="bottom"/>
            <w:gridSpan w:val="2"/>
            <w:shd w:val="clear" w:color="auto" w:fill="F2F2F2"/>
          </w:tcPr>
          <w:p>
            <w:pPr>
              <w:ind w:left="60"/>
              <w:spacing w:after="0"/>
              <w:rPr>
                <w:sz w:val="20"/>
                <w:szCs w:val="20"/>
                <w:color w:val="auto"/>
              </w:rPr>
            </w:pPr>
            <w:r>
              <w:rPr>
                <w:rFonts w:ascii="Arial" w:cs="Arial" w:eastAsia="Arial" w:hAnsi="Arial"/>
                <w:sz w:val="16"/>
                <w:szCs w:val="16"/>
                <w:color w:val="auto"/>
              </w:rPr>
              <w:t>markets.</w:t>
            </w:r>
          </w:p>
        </w:tc>
        <w:tc>
          <w:tcPr>
            <w:tcW w:w="680" w:type="dxa"/>
            <w:vAlign w:val="bottom"/>
            <w:shd w:val="clear" w:color="auto" w:fill="F2F2F2"/>
          </w:tcPr>
          <w:p>
            <w:pPr>
              <w:jc w:val="right"/>
              <w:ind w:right="180"/>
              <w:spacing w:after="0"/>
              <w:rPr>
                <w:sz w:val="20"/>
                <w:szCs w:val="20"/>
                <w:color w:val="auto"/>
              </w:rPr>
            </w:pPr>
            <w:r>
              <w:rPr>
                <w:rFonts w:ascii="Arial" w:cs="Arial" w:eastAsia="Arial" w:hAnsi="Arial"/>
                <w:sz w:val="16"/>
                <w:szCs w:val="16"/>
                <w:color w:val="auto"/>
                <w:w w:val="89"/>
              </w:rPr>
              <w:t>These</w:t>
            </w:r>
          </w:p>
        </w:tc>
        <w:tc>
          <w:tcPr>
            <w:tcW w:w="3360" w:type="dxa"/>
            <w:vAlign w:val="bottom"/>
            <w:gridSpan w:val="2"/>
            <w:shd w:val="clear" w:color="auto" w:fill="F2F3EE"/>
          </w:tcPr>
          <w:p>
            <w:pPr>
              <w:ind w:left="240"/>
              <w:spacing w:after="0"/>
              <w:rPr>
                <w:sz w:val="20"/>
                <w:szCs w:val="20"/>
                <w:color w:val="auto"/>
              </w:rPr>
            </w:pPr>
            <w:r>
              <w:rPr>
                <w:rFonts w:ascii="Arial" w:cs="Arial" w:eastAsia="Arial" w:hAnsi="Arial"/>
                <w:sz w:val="16"/>
                <w:szCs w:val="16"/>
                <w:color w:val="auto"/>
              </w:rPr>
              <w:t>succession  planning  and  creating  a</w:t>
            </w:r>
          </w:p>
        </w:tc>
      </w:tr>
      <w:tr>
        <w:trPr>
          <w:trHeight w:val="191"/>
        </w:trPr>
        <w:tc>
          <w:tcPr>
            <w:tcW w:w="800" w:type="dxa"/>
            <w:vAlign w:val="bottom"/>
            <w:shd w:val="clear" w:color="auto" w:fill="F2F3EE"/>
          </w:tcPr>
          <w:p>
            <w:pPr>
              <w:ind w:left="280"/>
              <w:spacing w:after="0"/>
              <w:rPr>
                <w:sz w:val="20"/>
                <w:szCs w:val="20"/>
                <w:color w:val="auto"/>
              </w:rPr>
            </w:pPr>
            <w:r>
              <w:rPr>
                <w:rFonts w:ascii="Arial" w:cs="Arial" w:eastAsia="Arial" w:hAnsi="Arial"/>
                <w:sz w:val="16"/>
                <w:szCs w:val="16"/>
                <w:color w:val="auto"/>
              </w:rPr>
              <w:t>labor</w:t>
            </w:r>
          </w:p>
        </w:tc>
        <w:tc>
          <w:tcPr>
            <w:tcW w:w="740" w:type="dxa"/>
            <w:vAlign w:val="bottom"/>
            <w:shd w:val="clear" w:color="auto" w:fill="F2F3EE"/>
          </w:tcPr>
          <w:p>
            <w:pPr>
              <w:ind w:left="100"/>
              <w:spacing w:after="0"/>
              <w:rPr>
                <w:sz w:val="20"/>
                <w:szCs w:val="20"/>
                <w:color w:val="auto"/>
              </w:rPr>
            </w:pPr>
            <w:r>
              <w:rPr>
                <w:rFonts w:ascii="Arial" w:cs="Arial" w:eastAsia="Arial" w:hAnsi="Arial"/>
                <w:sz w:val="16"/>
                <w:szCs w:val="16"/>
                <w:color w:val="auto"/>
                <w:w w:val="98"/>
              </w:rPr>
              <w:t>intensive</w:t>
            </w:r>
          </w:p>
        </w:tc>
        <w:tc>
          <w:tcPr>
            <w:tcW w:w="1140" w:type="dxa"/>
            <w:vAlign w:val="bottom"/>
            <w:shd w:val="clear" w:color="auto" w:fill="F2F3EE"/>
          </w:tcPr>
          <w:p>
            <w:pPr>
              <w:ind w:left="240"/>
              <w:spacing w:after="0"/>
              <w:rPr>
                <w:sz w:val="20"/>
                <w:szCs w:val="20"/>
                <w:color w:val="auto"/>
              </w:rPr>
            </w:pPr>
            <w:r>
              <w:rPr>
                <w:rFonts w:ascii="Arial" w:cs="Arial" w:eastAsia="Arial" w:hAnsi="Arial"/>
                <w:sz w:val="16"/>
                <w:szCs w:val="16"/>
                <w:color w:val="auto"/>
              </w:rPr>
              <w:t>businesses</w:t>
            </w:r>
          </w:p>
        </w:tc>
        <w:tc>
          <w:tcPr>
            <w:tcW w:w="680" w:type="dxa"/>
            <w:vAlign w:val="bottom"/>
            <w:shd w:val="clear" w:color="auto" w:fill="F2F3EE"/>
          </w:tcPr>
          <w:p>
            <w:pPr>
              <w:jc w:val="right"/>
              <w:ind w:right="180"/>
              <w:spacing w:after="0"/>
              <w:rPr>
                <w:sz w:val="20"/>
                <w:szCs w:val="20"/>
                <w:color w:val="auto"/>
              </w:rPr>
            </w:pPr>
            <w:r>
              <w:rPr>
                <w:rFonts w:ascii="Arial" w:cs="Arial" w:eastAsia="Arial" w:hAnsi="Arial"/>
                <w:sz w:val="16"/>
                <w:szCs w:val="16"/>
                <w:color w:val="auto"/>
              </w:rPr>
              <w:t>with</w:t>
            </w:r>
          </w:p>
        </w:tc>
        <w:tc>
          <w:tcPr>
            <w:tcW w:w="3340" w:type="dxa"/>
            <w:vAlign w:val="bottom"/>
            <w:gridSpan w:val="7"/>
            <w:shd w:val="clear" w:color="auto" w:fill="F2F2F2"/>
          </w:tcPr>
          <w:p>
            <w:pPr>
              <w:ind w:left="260"/>
              <w:spacing w:after="0"/>
              <w:rPr>
                <w:sz w:val="20"/>
                <w:szCs w:val="20"/>
                <w:color w:val="auto"/>
              </w:rPr>
            </w:pPr>
            <w:r>
              <w:rPr>
                <w:rFonts w:ascii="Arial" w:cs="Arial" w:eastAsia="Arial" w:hAnsi="Arial"/>
                <w:sz w:val="16"/>
                <w:szCs w:val="16"/>
                <w:color w:val="auto"/>
              </w:rPr>
              <w:t>individuals have knowledge of corporate</w:t>
            </w:r>
          </w:p>
        </w:tc>
        <w:tc>
          <w:tcPr>
            <w:tcW w:w="3360" w:type="dxa"/>
            <w:vAlign w:val="bottom"/>
            <w:gridSpan w:val="2"/>
            <w:shd w:val="clear" w:color="auto" w:fill="F2F3EE"/>
          </w:tcPr>
          <w:p>
            <w:pPr>
              <w:ind w:left="240"/>
              <w:spacing w:after="0"/>
              <w:rPr>
                <w:sz w:val="20"/>
                <w:szCs w:val="20"/>
                <w:color w:val="auto"/>
              </w:rPr>
            </w:pPr>
            <w:r>
              <w:rPr>
                <w:rFonts w:ascii="Arial" w:cs="Arial" w:eastAsia="Arial" w:hAnsi="Arial"/>
                <w:sz w:val="16"/>
                <w:szCs w:val="16"/>
                <w:color w:val="auto"/>
              </w:rPr>
              <w:t>diverse  and  inclusive  workplace  that</w:t>
            </w:r>
          </w:p>
        </w:tc>
      </w:tr>
      <w:tr>
        <w:trPr>
          <w:trHeight w:val="191"/>
        </w:trPr>
        <w:tc>
          <w:tcPr>
            <w:tcW w:w="3360" w:type="dxa"/>
            <w:vAlign w:val="bottom"/>
            <w:gridSpan w:val="4"/>
            <w:shd w:val="clear" w:color="auto" w:fill="F2F3EE"/>
          </w:tcPr>
          <w:p>
            <w:pPr>
              <w:ind w:left="280"/>
              <w:spacing w:after="0"/>
              <w:rPr>
                <w:sz w:val="20"/>
                <w:szCs w:val="20"/>
                <w:color w:val="auto"/>
              </w:rPr>
            </w:pPr>
            <w:r>
              <w:rPr>
                <w:rFonts w:ascii="Arial" w:cs="Arial" w:eastAsia="Arial" w:hAnsi="Arial"/>
                <w:sz w:val="16"/>
                <w:szCs w:val="16"/>
                <w:color w:val="auto"/>
              </w:rPr>
              <w:t>sophisticated logistics, transportation and</w:t>
            </w:r>
          </w:p>
        </w:tc>
        <w:tc>
          <w:tcPr>
            <w:tcW w:w="960" w:type="dxa"/>
            <w:vAlign w:val="bottom"/>
            <w:gridSpan w:val="2"/>
            <w:shd w:val="clear" w:color="auto" w:fill="F2F2F2"/>
          </w:tcPr>
          <w:p>
            <w:pPr>
              <w:ind w:left="260"/>
              <w:spacing w:after="0"/>
              <w:rPr>
                <w:sz w:val="20"/>
                <w:szCs w:val="20"/>
                <w:color w:val="auto"/>
              </w:rPr>
            </w:pPr>
            <w:r>
              <w:rPr>
                <w:rFonts w:ascii="Arial" w:cs="Arial" w:eastAsia="Arial" w:hAnsi="Arial"/>
                <w:sz w:val="16"/>
                <w:szCs w:val="16"/>
                <w:color w:val="auto"/>
              </w:rPr>
              <w:t>finance</w:t>
            </w:r>
          </w:p>
        </w:tc>
        <w:tc>
          <w:tcPr>
            <w:tcW w:w="380" w:type="dxa"/>
            <w:vAlign w:val="bottom"/>
            <w:shd w:val="clear" w:color="auto" w:fill="F2F2F2"/>
          </w:tcPr>
          <w:p>
            <w:pPr>
              <w:spacing w:after="0"/>
              <w:rPr>
                <w:sz w:val="20"/>
                <w:szCs w:val="20"/>
                <w:color w:val="auto"/>
              </w:rPr>
            </w:pPr>
            <w:r>
              <w:rPr>
                <w:rFonts w:ascii="Arial" w:cs="Arial" w:eastAsia="Arial" w:hAnsi="Arial"/>
                <w:sz w:val="16"/>
                <w:szCs w:val="16"/>
                <w:color w:val="auto"/>
              </w:rPr>
              <w:t>and</w:t>
            </w:r>
          </w:p>
        </w:tc>
        <w:tc>
          <w:tcPr>
            <w:tcW w:w="1000" w:type="dxa"/>
            <w:vAlign w:val="bottom"/>
            <w:gridSpan w:val="2"/>
            <w:shd w:val="clear" w:color="auto" w:fill="F2F2F2"/>
          </w:tcPr>
          <w:p>
            <w:pPr>
              <w:jc w:val="right"/>
              <w:ind w:right="80"/>
              <w:spacing w:after="0"/>
              <w:rPr>
                <w:sz w:val="20"/>
                <w:szCs w:val="20"/>
                <w:color w:val="auto"/>
              </w:rPr>
            </w:pPr>
            <w:r>
              <w:rPr>
                <w:rFonts w:ascii="Arial" w:cs="Arial" w:eastAsia="Arial" w:hAnsi="Arial"/>
                <w:sz w:val="16"/>
                <w:szCs w:val="16"/>
                <w:color w:val="auto"/>
              </w:rPr>
              <w:t>accounting</w:t>
            </w:r>
          </w:p>
        </w:tc>
        <w:tc>
          <w:tcPr>
            <w:tcW w:w="1000" w:type="dxa"/>
            <w:vAlign w:val="bottom"/>
            <w:gridSpan w:val="2"/>
            <w:shd w:val="clear" w:color="auto" w:fill="F2F2F2"/>
          </w:tcPr>
          <w:p>
            <w:pPr>
              <w:jc w:val="right"/>
              <w:ind w:right="180"/>
              <w:spacing w:after="0"/>
              <w:rPr>
                <w:sz w:val="20"/>
                <w:szCs w:val="20"/>
                <w:color w:val="auto"/>
              </w:rPr>
            </w:pPr>
            <w:r>
              <w:rPr>
                <w:rFonts w:ascii="Arial" w:cs="Arial" w:eastAsia="Arial" w:hAnsi="Arial"/>
                <w:sz w:val="16"/>
                <w:szCs w:val="16"/>
                <w:color w:val="auto"/>
              </w:rPr>
              <w:t>standards</w:t>
            </w:r>
          </w:p>
        </w:tc>
        <w:tc>
          <w:tcPr>
            <w:tcW w:w="3360" w:type="dxa"/>
            <w:vAlign w:val="bottom"/>
            <w:gridSpan w:val="2"/>
            <w:shd w:val="clear" w:color="auto" w:fill="F2F3EE"/>
          </w:tcPr>
          <w:p>
            <w:pPr>
              <w:ind w:left="240"/>
              <w:spacing w:after="0"/>
              <w:rPr>
                <w:sz w:val="20"/>
                <w:szCs w:val="20"/>
                <w:color w:val="auto"/>
              </w:rPr>
            </w:pPr>
            <w:r>
              <w:rPr>
                <w:rFonts w:ascii="Arial" w:cs="Arial" w:eastAsia="Arial" w:hAnsi="Arial"/>
                <w:sz w:val="16"/>
                <w:szCs w:val="16"/>
                <w:color w:val="auto"/>
              </w:rPr>
              <w:t>prioritizes safety as a core value.</w:t>
            </w:r>
          </w:p>
        </w:tc>
      </w:tr>
      <w:tr>
        <w:trPr>
          <w:trHeight w:val="191"/>
        </w:trPr>
        <w:tc>
          <w:tcPr>
            <w:tcW w:w="3360" w:type="dxa"/>
            <w:vAlign w:val="bottom"/>
            <w:gridSpan w:val="4"/>
            <w:shd w:val="clear" w:color="auto" w:fill="F2F3EE"/>
          </w:tcPr>
          <w:p>
            <w:pPr>
              <w:ind w:left="280"/>
              <w:spacing w:after="0"/>
              <w:rPr>
                <w:sz w:val="20"/>
                <w:szCs w:val="20"/>
                <w:color w:val="auto"/>
              </w:rPr>
            </w:pPr>
            <w:r>
              <w:rPr>
                <w:rFonts w:ascii="Arial" w:cs="Arial" w:eastAsia="Arial" w:hAnsi="Arial"/>
                <w:sz w:val="16"/>
                <w:szCs w:val="16"/>
                <w:color w:val="auto"/>
              </w:rPr>
              <w:t>supply chain elements, provide valuable</w:t>
            </w:r>
          </w:p>
        </w:tc>
        <w:tc>
          <w:tcPr>
            <w:tcW w:w="3340" w:type="dxa"/>
            <w:vAlign w:val="bottom"/>
            <w:gridSpan w:val="7"/>
            <w:shd w:val="clear" w:color="auto" w:fill="F2F2F2"/>
          </w:tcPr>
          <w:p>
            <w:pPr>
              <w:ind w:left="260"/>
              <w:spacing w:after="0"/>
              <w:rPr>
                <w:sz w:val="20"/>
                <w:szCs w:val="20"/>
                <w:color w:val="auto"/>
              </w:rPr>
            </w:pPr>
            <w:r>
              <w:rPr>
                <w:rFonts w:ascii="Arial" w:cs="Arial" w:eastAsia="Arial" w:hAnsi="Arial"/>
                <w:sz w:val="16"/>
                <w:szCs w:val="16"/>
                <w:color w:val="auto"/>
              </w:rPr>
              <w:t>necessary for effective oversight of public</w:t>
            </w:r>
          </w:p>
        </w:tc>
        <w:tc>
          <w:tcPr>
            <w:tcW w:w="780" w:type="dxa"/>
            <w:vAlign w:val="bottom"/>
            <w:shd w:val="clear" w:color="auto" w:fill="F2F3EE"/>
          </w:tcPr>
          <w:p>
            <w:pPr>
              <w:spacing w:after="0"/>
              <w:rPr>
                <w:sz w:val="16"/>
                <w:szCs w:val="16"/>
                <w:color w:val="auto"/>
              </w:rPr>
            </w:pPr>
          </w:p>
        </w:tc>
        <w:tc>
          <w:tcPr>
            <w:tcW w:w="2580" w:type="dxa"/>
            <w:vAlign w:val="bottom"/>
            <w:shd w:val="clear" w:color="auto" w:fill="F2F3EE"/>
          </w:tcPr>
          <w:p>
            <w:pPr>
              <w:spacing w:after="0"/>
              <w:rPr>
                <w:sz w:val="16"/>
                <w:szCs w:val="16"/>
                <w:color w:val="auto"/>
              </w:rPr>
            </w:pPr>
          </w:p>
        </w:tc>
      </w:tr>
      <w:tr>
        <w:trPr>
          <w:trHeight w:val="191"/>
        </w:trPr>
        <w:tc>
          <w:tcPr>
            <w:tcW w:w="3360" w:type="dxa"/>
            <w:vAlign w:val="bottom"/>
            <w:gridSpan w:val="4"/>
            <w:shd w:val="clear" w:color="auto" w:fill="F2F3EE"/>
          </w:tcPr>
          <w:p>
            <w:pPr>
              <w:ind w:left="280"/>
              <w:spacing w:after="0"/>
              <w:rPr>
                <w:sz w:val="20"/>
                <w:szCs w:val="20"/>
                <w:color w:val="auto"/>
              </w:rPr>
            </w:pPr>
            <w:r>
              <w:rPr>
                <w:rFonts w:ascii="Arial" w:cs="Arial" w:eastAsia="Arial" w:hAnsi="Arial"/>
                <w:sz w:val="16"/>
                <w:szCs w:val="16"/>
                <w:color w:val="auto"/>
              </w:rPr>
              <w:t>insights  on  management’s  ability  to</w:t>
            </w:r>
          </w:p>
        </w:tc>
        <w:tc>
          <w:tcPr>
            <w:tcW w:w="2340" w:type="dxa"/>
            <w:vAlign w:val="bottom"/>
            <w:gridSpan w:val="5"/>
            <w:shd w:val="clear" w:color="auto" w:fill="F2F2F2"/>
          </w:tcPr>
          <w:p>
            <w:pPr>
              <w:ind w:left="260"/>
              <w:spacing w:after="0"/>
              <w:rPr>
                <w:sz w:val="20"/>
                <w:szCs w:val="20"/>
                <w:color w:val="auto"/>
              </w:rPr>
            </w:pPr>
            <w:r>
              <w:rPr>
                <w:rFonts w:ascii="Arial" w:cs="Arial" w:eastAsia="Arial" w:hAnsi="Arial"/>
                <w:sz w:val="16"/>
                <w:szCs w:val="16"/>
                <w:color w:val="auto"/>
              </w:rPr>
              <w:t>company financial reporting.</w:t>
            </w:r>
          </w:p>
        </w:tc>
        <w:tc>
          <w:tcPr>
            <w:tcW w:w="320" w:type="dxa"/>
            <w:vAlign w:val="bottom"/>
            <w:shd w:val="clear" w:color="auto" w:fill="F2F2F2"/>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780" w:type="dxa"/>
            <w:vAlign w:val="bottom"/>
            <w:shd w:val="clear" w:color="auto" w:fill="F2F3EE"/>
          </w:tcPr>
          <w:p>
            <w:pPr>
              <w:spacing w:after="0"/>
              <w:rPr>
                <w:sz w:val="16"/>
                <w:szCs w:val="16"/>
                <w:color w:val="auto"/>
              </w:rPr>
            </w:pPr>
          </w:p>
        </w:tc>
        <w:tc>
          <w:tcPr>
            <w:tcW w:w="2580" w:type="dxa"/>
            <w:vAlign w:val="bottom"/>
            <w:shd w:val="clear" w:color="auto" w:fill="F2F3EE"/>
          </w:tcPr>
          <w:p>
            <w:pPr>
              <w:spacing w:after="0"/>
              <w:rPr>
                <w:sz w:val="16"/>
                <w:szCs w:val="16"/>
                <w:color w:val="auto"/>
              </w:rPr>
            </w:pPr>
          </w:p>
        </w:tc>
      </w:tr>
      <w:tr>
        <w:trPr>
          <w:trHeight w:val="191"/>
        </w:trPr>
        <w:tc>
          <w:tcPr>
            <w:tcW w:w="2680" w:type="dxa"/>
            <w:vAlign w:val="bottom"/>
            <w:gridSpan w:val="3"/>
            <w:shd w:val="clear" w:color="auto" w:fill="F2F3EE"/>
          </w:tcPr>
          <w:p>
            <w:pPr>
              <w:ind w:left="280"/>
              <w:spacing w:after="0"/>
              <w:rPr>
                <w:sz w:val="20"/>
                <w:szCs w:val="20"/>
                <w:color w:val="auto"/>
              </w:rPr>
            </w:pPr>
            <w:r>
              <w:rPr>
                <w:rFonts w:ascii="Arial" w:cs="Arial" w:eastAsia="Arial" w:hAnsi="Arial"/>
                <w:sz w:val="16"/>
                <w:szCs w:val="16"/>
                <w:color w:val="auto"/>
              </w:rPr>
              <w:t>operate effectively and efficiently.</w:t>
            </w:r>
          </w:p>
        </w:tc>
        <w:tc>
          <w:tcPr>
            <w:tcW w:w="680" w:type="dxa"/>
            <w:vAlign w:val="bottom"/>
            <w:shd w:val="clear" w:color="auto" w:fill="F2F3EE"/>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180" w:type="dxa"/>
            <w:vAlign w:val="bottom"/>
            <w:shd w:val="clear" w:color="auto" w:fill="F2F2F2"/>
          </w:tcPr>
          <w:p>
            <w:pPr>
              <w:spacing w:after="0"/>
              <w:rPr>
                <w:sz w:val="16"/>
                <w:szCs w:val="16"/>
                <w:color w:val="auto"/>
              </w:rPr>
            </w:pPr>
          </w:p>
        </w:tc>
        <w:tc>
          <w:tcPr>
            <w:tcW w:w="38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560" w:type="dxa"/>
            <w:vAlign w:val="bottom"/>
            <w:shd w:val="clear" w:color="auto" w:fill="F2F2F2"/>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780" w:type="dxa"/>
            <w:vAlign w:val="bottom"/>
            <w:shd w:val="clear" w:color="auto" w:fill="F2F3EE"/>
          </w:tcPr>
          <w:p>
            <w:pPr>
              <w:spacing w:after="0"/>
              <w:rPr>
                <w:sz w:val="16"/>
                <w:szCs w:val="16"/>
                <w:color w:val="auto"/>
              </w:rPr>
            </w:pPr>
          </w:p>
        </w:tc>
        <w:tc>
          <w:tcPr>
            <w:tcW w:w="2580" w:type="dxa"/>
            <w:vAlign w:val="bottom"/>
            <w:shd w:val="clear" w:color="auto" w:fill="F2F3EE"/>
          </w:tcPr>
          <w:p>
            <w:pPr>
              <w:spacing w:after="0"/>
              <w:rPr>
                <w:sz w:val="16"/>
                <w:szCs w:val="16"/>
                <w:color w:val="auto"/>
              </w:rPr>
            </w:pPr>
          </w:p>
        </w:tc>
      </w:tr>
      <w:tr>
        <w:trPr>
          <w:trHeight w:val="155"/>
        </w:trPr>
        <w:tc>
          <w:tcPr>
            <w:tcW w:w="800" w:type="dxa"/>
            <w:vAlign w:val="bottom"/>
            <w:shd w:val="clear" w:color="auto" w:fill="F2F3EE"/>
          </w:tcPr>
          <w:p>
            <w:pPr>
              <w:spacing w:after="0"/>
              <w:rPr>
                <w:sz w:val="13"/>
                <w:szCs w:val="13"/>
                <w:color w:val="auto"/>
              </w:rPr>
            </w:pPr>
          </w:p>
        </w:tc>
        <w:tc>
          <w:tcPr>
            <w:tcW w:w="740" w:type="dxa"/>
            <w:vAlign w:val="bottom"/>
            <w:shd w:val="clear" w:color="auto" w:fill="F2F3EE"/>
          </w:tcPr>
          <w:p>
            <w:pPr>
              <w:spacing w:after="0"/>
              <w:rPr>
                <w:sz w:val="13"/>
                <w:szCs w:val="13"/>
                <w:color w:val="auto"/>
              </w:rPr>
            </w:pPr>
          </w:p>
        </w:tc>
        <w:tc>
          <w:tcPr>
            <w:tcW w:w="1140" w:type="dxa"/>
            <w:vAlign w:val="bottom"/>
            <w:shd w:val="clear" w:color="auto" w:fill="F2F3EE"/>
          </w:tcPr>
          <w:p>
            <w:pPr>
              <w:spacing w:after="0"/>
              <w:rPr>
                <w:sz w:val="13"/>
                <w:szCs w:val="13"/>
                <w:color w:val="auto"/>
              </w:rPr>
            </w:pPr>
          </w:p>
        </w:tc>
        <w:tc>
          <w:tcPr>
            <w:tcW w:w="680" w:type="dxa"/>
            <w:vAlign w:val="bottom"/>
            <w:shd w:val="clear" w:color="auto" w:fill="F2F3EE"/>
          </w:tcPr>
          <w:p>
            <w:pPr>
              <w:spacing w:after="0"/>
              <w:rPr>
                <w:sz w:val="13"/>
                <w:szCs w:val="13"/>
                <w:color w:val="auto"/>
              </w:rPr>
            </w:pPr>
          </w:p>
        </w:tc>
        <w:tc>
          <w:tcPr>
            <w:tcW w:w="780" w:type="dxa"/>
            <w:vAlign w:val="bottom"/>
            <w:shd w:val="clear" w:color="auto" w:fill="F2F2F2"/>
          </w:tcPr>
          <w:p>
            <w:pPr>
              <w:spacing w:after="0"/>
              <w:rPr>
                <w:sz w:val="13"/>
                <w:szCs w:val="13"/>
                <w:color w:val="auto"/>
              </w:rPr>
            </w:pPr>
          </w:p>
        </w:tc>
        <w:tc>
          <w:tcPr>
            <w:tcW w:w="180" w:type="dxa"/>
            <w:vAlign w:val="bottom"/>
            <w:shd w:val="clear" w:color="auto" w:fill="F2F2F2"/>
          </w:tcPr>
          <w:p>
            <w:pPr>
              <w:spacing w:after="0"/>
              <w:rPr>
                <w:sz w:val="13"/>
                <w:szCs w:val="13"/>
                <w:color w:val="auto"/>
              </w:rPr>
            </w:pPr>
          </w:p>
        </w:tc>
        <w:tc>
          <w:tcPr>
            <w:tcW w:w="380" w:type="dxa"/>
            <w:vAlign w:val="bottom"/>
            <w:shd w:val="clear" w:color="auto" w:fill="F2F2F2"/>
          </w:tcPr>
          <w:p>
            <w:pPr>
              <w:spacing w:after="0"/>
              <w:rPr>
                <w:sz w:val="13"/>
                <w:szCs w:val="13"/>
                <w:color w:val="auto"/>
              </w:rPr>
            </w:pPr>
          </w:p>
        </w:tc>
        <w:tc>
          <w:tcPr>
            <w:tcW w:w="440" w:type="dxa"/>
            <w:vAlign w:val="bottom"/>
            <w:shd w:val="clear" w:color="auto" w:fill="F2F2F2"/>
          </w:tcPr>
          <w:p>
            <w:pPr>
              <w:spacing w:after="0"/>
              <w:rPr>
                <w:sz w:val="13"/>
                <w:szCs w:val="13"/>
                <w:color w:val="auto"/>
              </w:rPr>
            </w:pPr>
          </w:p>
        </w:tc>
        <w:tc>
          <w:tcPr>
            <w:tcW w:w="560" w:type="dxa"/>
            <w:vAlign w:val="bottom"/>
            <w:shd w:val="clear" w:color="auto" w:fill="F2F2F2"/>
          </w:tcPr>
          <w:p>
            <w:pPr>
              <w:spacing w:after="0"/>
              <w:rPr>
                <w:sz w:val="13"/>
                <w:szCs w:val="13"/>
                <w:color w:val="auto"/>
              </w:rPr>
            </w:pPr>
          </w:p>
        </w:tc>
        <w:tc>
          <w:tcPr>
            <w:tcW w:w="320" w:type="dxa"/>
            <w:vAlign w:val="bottom"/>
            <w:shd w:val="clear" w:color="auto" w:fill="F2F2F2"/>
          </w:tcPr>
          <w:p>
            <w:pPr>
              <w:spacing w:after="0"/>
              <w:rPr>
                <w:sz w:val="13"/>
                <w:szCs w:val="13"/>
                <w:color w:val="auto"/>
              </w:rPr>
            </w:pPr>
          </w:p>
        </w:tc>
        <w:tc>
          <w:tcPr>
            <w:tcW w:w="680" w:type="dxa"/>
            <w:vAlign w:val="bottom"/>
            <w:shd w:val="clear" w:color="auto" w:fill="F2F2F2"/>
          </w:tcPr>
          <w:p>
            <w:pPr>
              <w:spacing w:after="0"/>
              <w:rPr>
                <w:sz w:val="13"/>
                <w:szCs w:val="13"/>
                <w:color w:val="auto"/>
              </w:rPr>
            </w:pPr>
          </w:p>
        </w:tc>
        <w:tc>
          <w:tcPr>
            <w:tcW w:w="780" w:type="dxa"/>
            <w:vAlign w:val="bottom"/>
            <w:shd w:val="clear" w:color="auto" w:fill="F2F3EE"/>
          </w:tcPr>
          <w:p>
            <w:pPr>
              <w:spacing w:after="0"/>
              <w:rPr>
                <w:sz w:val="13"/>
                <w:szCs w:val="13"/>
                <w:color w:val="auto"/>
              </w:rPr>
            </w:pPr>
          </w:p>
        </w:tc>
        <w:tc>
          <w:tcPr>
            <w:tcW w:w="2580" w:type="dxa"/>
            <w:vAlign w:val="bottom"/>
            <w:shd w:val="clear" w:color="auto" w:fill="F2F3EE"/>
          </w:tcPr>
          <w:p>
            <w:pPr>
              <w:spacing w:after="0"/>
              <w:rPr>
                <w:sz w:val="13"/>
                <w:szCs w:val="13"/>
                <w:color w:val="auto"/>
              </w:rPr>
            </w:pPr>
          </w:p>
        </w:tc>
      </w:tr>
    </w:tbl>
    <w:p>
      <w:pPr>
        <w:spacing w:after="0" w:line="20" w:lineRule="exact"/>
        <w:rPr>
          <w:sz w:val="20"/>
          <w:szCs w:val="20"/>
          <w:color w:val="auto"/>
        </w:rPr>
      </w:pPr>
    </w:p>
    <w:tbl>
      <w:tblPr>
        <w:tblLayout w:type="fixed"/>
        <w:tblInd w:w="180" w:type="dxa"/>
        <w:tblCellMar>
          <w:top w:w="0" w:type="dxa"/>
          <w:left w:w="0" w:type="dxa"/>
          <w:bottom w:w="0" w:type="dxa"/>
          <w:right w:w="0" w:type="dxa"/>
        </w:tblCellMar>
      </w:tblPr>
      <w:tr>
        <w:trPr>
          <w:trHeight w:val="371"/>
        </w:trPr>
        <w:tc>
          <w:tcPr>
            <w:tcW w:w="800" w:type="dxa"/>
            <w:vAlign w:val="bottom"/>
            <w:shd w:val="clear" w:color="auto" w:fill="0E3C23"/>
          </w:tcPr>
          <w:p>
            <w:pPr>
              <w:spacing w:after="0"/>
              <w:rPr>
                <w:sz w:val="24"/>
                <w:szCs w:val="24"/>
                <w:color w:val="auto"/>
              </w:rPr>
            </w:pPr>
          </w:p>
        </w:tc>
        <w:tc>
          <w:tcPr>
            <w:tcW w:w="2560" w:type="dxa"/>
            <w:vAlign w:val="bottom"/>
            <w:gridSpan w:val="6"/>
            <w:shd w:val="clear" w:color="auto" w:fill="E6E6E6"/>
          </w:tcPr>
          <w:p>
            <w:pPr>
              <w:ind w:left="100"/>
              <w:spacing w:after="0"/>
              <w:rPr>
                <w:sz w:val="20"/>
                <w:szCs w:val="20"/>
                <w:color w:val="auto"/>
              </w:rPr>
            </w:pPr>
            <w:r>
              <w:rPr>
                <w:rFonts w:ascii="Arial" w:cs="Arial" w:eastAsia="Arial" w:hAnsi="Arial"/>
                <w:sz w:val="18"/>
                <w:szCs w:val="18"/>
                <w:b w:val="1"/>
                <w:bCs w:val="1"/>
                <w:color w:val="0E3C23"/>
                <w:w w:val="96"/>
              </w:rPr>
              <w:t>Sustainability/Environmental/</w:t>
            </w:r>
          </w:p>
        </w:tc>
        <w:tc>
          <w:tcPr>
            <w:tcW w:w="780" w:type="dxa"/>
            <w:vAlign w:val="bottom"/>
            <w:shd w:val="clear" w:color="auto" w:fill="0E3C23"/>
          </w:tcPr>
          <w:p>
            <w:pPr>
              <w:spacing w:after="0"/>
              <w:rPr>
                <w:sz w:val="24"/>
                <w:szCs w:val="24"/>
                <w:color w:val="auto"/>
              </w:rPr>
            </w:pPr>
          </w:p>
        </w:tc>
        <w:tc>
          <w:tcPr>
            <w:tcW w:w="1840" w:type="dxa"/>
            <w:vAlign w:val="bottom"/>
            <w:gridSpan w:val="5"/>
            <w:shd w:val="clear" w:color="auto" w:fill="E6E8DE"/>
          </w:tcPr>
          <w:p>
            <w:pPr>
              <w:ind w:left="80"/>
              <w:spacing w:after="0"/>
              <w:rPr>
                <w:sz w:val="20"/>
                <w:szCs w:val="20"/>
                <w:color w:val="auto"/>
              </w:rPr>
            </w:pPr>
            <w:r>
              <w:rPr>
                <w:rFonts w:ascii="Arial" w:cs="Arial" w:eastAsia="Arial" w:hAnsi="Arial"/>
                <w:sz w:val="18"/>
                <w:szCs w:val="18"/>
                <w:b w:val="1"/>
                <w:bCs w:val="1"/>
                <w:color w:val="0E3C23"/>
              </w:rPr>
              <w:t>Digital/Information</w:t>
            </w:r>
          </w:p>
        </w:tc>
        <w:tc>
          <w:tcPr>
            <w:tcW w:w="720" w:type="dxa"/>
            <w:vAlign w:val="bottom"/>
            <w:shd w:val="clear" w:color="auto" w:fill="E6E8DE"/>
          </w:tcPr>
          <w:p>
            <w:pPr>
              <w:spacing w:after="0"/>
              <w:rPr>
                <w:sz w:val="24"/>
                <w:szCs w:val="24"/>
                <w:color w:val="auto"/>
              </w:rPr>
            </w:pPr>
          </w:p>
        </w:tc>
        <w:tc>
          <w:tcPr>
            <w:tcW w:w="780" w:type="dxa"/>
            <w:vAlign w:val="bottom"/>
            <w:shd w:val="clear" w:color="auto" w:fill="0E3C23"/>
          </w:tcPr>
          <w:p>
            <w:pPr>
              <w:spacing w:after="0"/>
              <w:rPr>
                <w:sz w:val="24"/>
                <w:szCs w:val="24"/>
                <w:color w:val="auto"/>
              </w:rPr>
            </w:pPr>
          </w:p>
        </w:tc>
        <w:tc>
          <w:tcPr>
            <w:tcW w:w="660" w:type="dxa"/>
            <w:vAlign w:val="bottom"/>
            <w:gridSpan w:val="2"/>
            <w:shd w:val="clear" w:color="auto" w:fill="E6E6E6"/>
          </w:tcPr>
          <w:p>
            <w:pPr>
              <w:ind w:left="80"/>
              <w:spacing w:after="0"/>
              <w:rPr>
                <w:sz w:val="20"/>
                <w:szCs w:val="20"/>
                <w:color w:val="auto"/>
              </w:rPr>
            </w:pPr>
            <w:r>
              <w:rPr>
                <w:rFonts w:ascii="Arial" w:cs="Arial" w:eastAsia="Arial" w:hAnsi="Arial"/>
                <w:sz w:val="18"/>
                <w:szCs w:val="18"/>
                <w:b w:val="1"/>
                <w:bCs w:val="1"/>
                <w:color w:val="0E3C23"/>
              </w:rPr>
              <w:t>Risk</w:t>
            </w:r>
          </w:p>
        </w:tc>
        <w:tc>
          <w:tcPr>
            <w:tcW w:w="680" w:type="dxa"/>
            <w:vAlign w:val="bottom"/>
            <w:shd w:val="clear" w:color="auto" w:fill="E6E6E6"/>
          </w:tcPr>
          <w:p>
            <w:pPr>
              <w:spacing w:after="0"/>
              <w:rPr>
                <w:sz w:val="24"/>
                <w:szCs w:val="24"/>
                <w:color w:val="auto"/>
              </w:rPr>
            </w:pPr>
          </w:p>
        </w:tc>
        <w:tc>
          <w:tcPr>
            <w:tcW w:w="520" w:type="dxa"/>
            <w:vAlign w:val="bottom"/>
            <w:shd w:val="clear" w:color="auto" w:fill="E6E6E6"/>
          </w:tcPr>
          <w:p>
            <w:pPr>
              <w:spacing w:after="0"/>
              <w:rPr>
                <w:sz w:val="24"/>
                <w:szCs w:val="24"/>
                <w:color w:val="auto"/>
              </w:rPr>
            </w:pPr>
          </w:p>
        </w:tc>
        <w:tc>
          <w:tcPr>
            <w:tcW w:w="720" w:type="dxa"/>
            <w:vAlign w:val="bottom"/>
            <w:shd w:val="clear" w:color="auto" w:fill="E6E6E6"/>
          </w:tcPr>
          <w:p>
            <w:pPr>
              <w:spacing w:after="0"/>
              <w:rPr>
                <w:sz w:val="24"/>
                <w:szCs w:val="24"/>
                <w:color w:val="auto"/>
              </w:rPr>
            </w:pPr>
          </w:p>
        </w:tc>
      </w:tr>
      <w:tr>
        <w:trPr>
          <w:trHeight w:val="219"/>
        </w:trPr>
        <w:tc>
          <w:tcPr>
            <w:tcW w:w="800" w:type="dxa"/>
            <w:vAlign w:val="bottom"/>
            <w:shd w:val="clear" w:color="auto" w:fill="0E3C23"/>
          </w:tcPr>
          <w:p>
            <w:pPr>
              <w:spacing w:after="0"/>
              <w:rPr>
                <w:sz w:val="19"/>
                <w:szCs w:val="19"/>
                <w:color w:val="auto"/>
              </w:rPr>
            </w:pPr>
          </w:p>
        </w:tc>
        <w:tc>
          <w:tcPr>
            <w:tcW w:w="1480" w:type="dxa"/>
            <w:vAlign w:val="bottom"/>
            <w:gridSpan w:val="4"/>
            <w:shd w:val="clear" w:color="auto" w:fill="E6E6E6"/>
          </w:tcPr>
          <w:p>
            <w:pPr>
              <w:ind w:left="100"/>
              <w:spacing w:after="0"/>
              <w:rPr>
                <w:sz w:val="20"/>
                <w:szCs w:val="20"/>
                <w:color w:val="auto"/>
              </w:rPr>
            </w:pPr>
            <w:r>
              <w:rPr>
                <w:rFonts w:ascii="Arial" w:cs="Arial" w:eastAsia="Arial" w:hAnsi="Arial"/>
                <w:sz w:val="18"/>
                <w:szCs w:val="18"/>
                <w:b w:val="1"/>
                <w:bCs w:val="1"/>
                <w:color w:val="0E3C23"/>
                <w:w w:val="84"/>
              </w:rPr>
              <w:t>Renewable Energy</w:t>
            </w:r>
          </w:p>
        </w:tc>
        <w:tc>
          <w:tcPr>
            <w:tcW w:w="500" w:type="dxa"/>
            <w:vAlign w:val="bottom"/>
            <w:shd w:val="clear" w:color="auto" w:fill="E6E6E6"/>
          </w:tcPr>
          <w:p>
            <w:pPr>
              <w:spacing w:after="0"/>
              <w:rPr>
                <w:sz w:val="19"/>
                <w:szCs w:val="19"/>
                <w:color w:val="auto"/>
              </w:rPr>
            </w:pPr>
          </w:p>
        </w:tc>
        <w:tc>
          <w:tcPr>
            <w:tcW w:w="580" w:type="dxa"/>
            <w:vAlign w:val="bottom"/>
            <w:shd w:val="clear" w:color="auto" w:fill="E6E6E6"/>
          </w:tcPr>
          <w:p>
            <w:pPr>
              <w:spacing w:after="0"/>
              <w:rPr>
                <w:sz w:val="19"/>
                <w:szCs w:val="19"/>
                <w:color w:val="auto"/>
              </w:rPr>
            </w:pPr>
          </w:p>
        </w:tc>
        <w:tc>
          <w:tcPr>
            <w:tcW w:w="780" w:type="dxa"/>
            <w:vAlign w:val="bottom"/>
            <w:shd w:val="clear" w:color="auto" w:fill="0E3C23"/>
          </w:tcPr>
          <w:p>
            <w:pPr>
              <w:spacing w:after="0"/>
              <w:rPr>
                <w:sz w:val="19"/>
                <w:szCs w:val="19"/>
                <w:color w:val="auto"/>
              </w:rPr>
            </w:pPr>
          </w:p>
        </w:tc>
        <w:tc>
          <w:tcPr>
            <w:tcW w:w="2560" w:type="dxa"/>
            <w:vAlign w:val="bottom"/>
            <w:gridSpan w:val="6"/>
            <w:shd w:val="clear" w:color="auto" w:fill="E6E8DE"/>
          </w:tcPr>
          <w:p>
            <w:pPr>
              <w:ind w:left="80"/>
              <w:spacing w:after="0"/>
              <w:rPr>
                <w:sz w:val="20"/>
                <w:szCs w:val="20"/>
                <w:color w:val="auto"/>
              </w:rPr>
            </w:pPr>
            <w:r>
              <w:rPr>
                <w:rFonts w:ascii="Arial" w:cs="Arial" w:eastAsia="Arial" w:hAnsi="Arial"/>
                <w:sz w:val="18"/>
                <w:szCs w:val="18"/>
                <w:b w:val="1"/>
                <w:bCs w:val="1"/>
                <w:color w:val="0E3C23"/>
              </w:rPr>
              <w:t>Technology/ Cybersecurity</w:t>
            </w:r>
          </w:p>
        </w:tc>
        <w:tc>
          <w:tcPr>
            <w:tcW w:w="780" w:type="dxa"/>
            <w:vAlign w:val="bottom"/>
            <w:shd w:val="clear" w:color="auto" w:fill="0E3C23"/>
          </w:tcPr>
          <w:p>
            <w:pPr>
              <w:spacing w:after="0"/>
              <w:rPr>
                <w:sz w:val="19"/>
                <w:szCs w:val="19"/>
                <w:color w:val="auto"/>
              </w:rPr>
            </w:pPr>
          </w:p>
        </w:tc>
        <w:tc>
          <w:tcPr>
            <w:tcW w:w="1340" w:type="dxa"/>
            <w:vAlign w:val="bottom"/>
            <w:gridSpan w:val="3"/>
            <w:shd w:val="clear" w:color="auto" w:fill="E6E6E6"/>
          </w:tcPr>
          <w:p>
            <w:pPr>
              <w:ind w:left="80"/>
              <w:spacing w:after="0"/>
              <w:rPr>
                <w:sz w:val="20"/>
                <w:szCs w:val="20"/>
                <w:color w:val="auto"/>
              </w:rPr>
            </w:pPr>
            <w:r>
              <w:rPr>
                <w:rFonts w:ascii="Arial" w:cs="Arial" w:eastAsia="Arial" w:hAnsi="Arial"/>
                <w:sz w:val="18"/>
                <w:szCs w:val="18"/>
                <w:b w:val="1"/>
                <w:bCs w:val="1"/>
                <w:color w:val="0E3C23"/>
              </w:rPr>
              <w:t>Management</w:t>
            </w:r>
          </w:p>
        </w:tc>
        <w:tc>
          <w:tcPr>
            <w:tcW w:w="52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r>
      <w:tr>
        <w:trPr>
          <w:trHeight w:val="158"/>
        </w:trPr>
        <w:tc>
          <w:tcPr>
            <w:tcW w:w="800" w:type="dxa"/>
            <w:vAlign w:val="bottom"/>
            <w:shd w:val="clear" w:color="auto" w:fill="0E3C23"/>
          </w:tcPr>
          <w:p>
            <w:pPr>
              <w:spacing w:after="0"/>
              <w:rPr>
                <w:sz w:val="13"/>
                <w:szCs w:val="13"/>
                <w:color w:val="auto"/>
              </w:rPr>
            </w:pPr>
          </w:p>
        </w:tc>
        <w:tc>
          <w:tcPr>
            <w:tcW w:w="180" w:type="dxa"/>
            <w:vAlign w:val="bottom"/>
            <w:shd w:val="clear" w:color="auto" w:fill="E6E6E6"/>
          </w:tcPr>
          <w:p>
            <w:pPr>
              <w:spacing w:after="0"/>
              <w:rPr>
                <w:sz w:val="13"/>
                <w:szCs w:val="13"/>
                <w:color w:val="auto"/>
              </w:rPr>
            </w:pPr>
          </w:p>
        </w:tc>
        <w:tc>
          <w:tcPr>
            <w:tcW w:w="400" w:type="dxa"/>
            <w:vAlign w:val="bottom"/>
            <w:shd w:val="clear" w:color="auto" w:fill="E6E6E6"/>
          </w:tcPr>
          <w:p>
            <w:pPr>
              <w:spacing w:after="0"/>
              <w:rPr>
                <w:sz w:val="13"/>
                <w:szCs w:val="13"/>
                <w:color w:val="auto"/>
              </w:rPr>
            </w:pPr>
          </w:p>
        </w:tc>
        <w:tc>
          <w:tcPr>
            <w:tcW w:w="900" w:type="dxa"/>
            <w:vAlign w:val="bottom"/>
            <w:gridSpan w:val="2"/>
            <w:shd w:val="clear" w:color="auto" w:fill="E6E6E6"/>
          </w:tcPr>
          <w:p>
            <w:pPr>
              <w:spacing w:after="0"/>
              <w:rPr>
                <w:sz w:val="13"/>
                <w:szCs w:val="13"/>
                <w:color w:val="auto"/>
              </w:rPr>
            </w:pPr>
          </w:p>
        </w:tc>
        <w:tc>
          <w:tcPr>
            <w:tcW w:w="1080" w:type="dxa"/>
            <w:vAlign w:val="bottom"/>
            <w:gridSpan w:val="2"/>
            <w:shd w:val="clear" w:color="auto" w:fill="E6E6E6"/>
          </w:tcPr>
          <w:p>
            <w:pPr>
              <w:spacing w:after="0"/>
              <w:rPr>
                <w:sz w:val="13"/>
                <w:szCs w:val="13"/>
                <w:color w:val="auto"/>
              </w:rPr>
            </w:pPr>
          </w:p>
        </w:tc>
        <w:tc>
          <w:tcPr>
            <w:tcW w:w="780" w:type="dxa"/>
            <w:vAlign w:val="bottom"/>
            <w:shd w:val="clear" w:color="auto" w:fill="0E3C23"/>
          </w:tcPr>
          <w:p>
            <w:pPr>
              <w:spacing w:after="0"/>
              <w:rPr>
                <w:sz w:val="13"/>
                <w:szCs w:val="13"/>
                <w:color w:val="auto"/>
              </w:rPr>
            </w:pPr>
          </w:p>
        </w:tc>
        <w:tc>
          <w:tcPr>
            <w:tcW w:w="2560" w:type="dxa"/>
            <w:vAlign w:val="bottom"/>
            <w:gridSpan w:val="6"/>
            <w:shd w:val="clear" w:color="auto" w:fill="E6E8DE"/>
          </w:tcPr>
          <w:p>
            <w:pPr>
              <w:spacing w:after="0"/>
              <w:rPr>
                <w:sz w:val="13"/>
                <w:szCs w:val="13"/>
                <w:color w:val="auto"/>
              </w:rPr>
            </w:pPr>
          </w:p>
        </w:tc>
        <w:tc>
          <w:tcPr>
            <w:tcW w:w="780" w:type="dxa"/>
            <w:vAlign w:val="bottom"/>
            <w:shd w:val="clear" w:color="auto" w:fill="0E3C23"/>
          </w:tcPr>
          <w:p>
            <w:pPr>
              <w:spacing w:after="0"/>
              <w:rPr>
                <w:sz w:val="13"/>
                <w:szCs w:val="13"/>
                <w:color w:val="auto"/>
              </w:rPr>
            </w:pPr>
          </w:p>
        </w:tc>
        <w:tc>
          <w:tcPr>
            <w:tcW w:w="2580" w:type="dxa"/>
            <w:vAlign w:val="bottom"/>
            <w:gridSpan w:val="5"/>
            <w:shd w:val="clear" w:color="auto" w:fill="E6E6E6"/>
          </w:tcPr>
          <w:p>
            <w:pPr>
              <w:spacing w:after="0"/>
              <w:rPr>
                <w:sz w:val="13"/>
                <w:szCs w:val="13"/>
                <w:color w:val="auto"/>
              </w:rPr>
            </w:pPr>
          </w:p>
        </w:tc>
      </w:tr>
      <w:tr>
        <w:trPr>
          <w:trHeight w:val="306"/>
        </w:trPr>
        <w:tc>
          <w:tcPr>
            <w:tcW w:w="98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Directors</w:t>
            </w:r>
          </w:p>
        </w:tc>
        <w:tc>
          <w:tcPr>
            <w:tcW w:w="400" w:type="dxa"/>
            <w:vAlign w:val="bottom"/>
            <w:shd w:val="clear" w:color="auto" w:fill="F2F2F2"/>
          </w:tcPr>
          <w:p>
            <w:pPr>
              <w:ind w:left="60"/>
              <w:spacing w:after="0"/>
              <w:rPr>
                <w:sz w:val="20"/>
                <w:szCs w:val="20"/>
                <w:color w:val="auto"/>
              </w:rPr>
            </w:pPr>
            <w:r>
              <w:rPr>
                <w:rFonts w:ascii="Arial" w:cs="Arial" w:eastAsia="Arial" w:hAnsi="Arial"/>
                <w:sz w:val="16"/>
                <w:szCs w:val="16"/>
                <w:color w:val="auto"/>
              </w:rPr>
              <w:t>with</w:t>
            </w:r>
          </w:p>
        </w:tc>
        <w:tc>
          <w:tcPr>
            <w:tcW w:w="900" w:type="dxa"/>
            <w:vAlign w:val="bottom"/>
            <w:gridSpan w:val="2"/>
            <w:shd w:val="clear" w:color="auto" w:fill="F2F2F2"/>
          </w:tcPr>
          <w:p>
            <w:pPr>
              <w:ind w:left="80"/>
              <w:spacing w:after="0"/>
              <w:rPr>
                <w:sz w:val="20"/>
                <w:szCs w:val="20"/>
                <w:color w:val="auto"/>
              </w:rPr>
            </w:pPr>
            <w:r>
              <w:rPr>
                <w:rFonts w:ascii="Arial" w:cs="Arial" w:eastAsia="Arial" w:hAnsi="Arial"/>
                <w:sz w:val="16"/>
                <w:szCs w:val="16"/>
                <w:color w:val="auto"/>
              </w:rPr>
              <w:t>experience</w:t>
            </w:r>
          </w:p>
        </w:tc>
        <w:tc>
          <w:tcPr>
            <w:tcW w:w="1080" w:type="dxa"/>
            <w:vAlign w:val="bottom"/>
            <w:gridSpan w:val="2"/>
            <w:shd w:val="clear" w:color="auto" w:fill="F2F2F2"/>
          </w:tcPr>
          <w:p>
            <w:pPr>
              <w:jc w:val="right"/>
              <w:ind w:right="180"/>
              <w:spacing w:after="0"/>
              <w:rPr>
                <w:sz w:val="20"/>
                <w:szCs w:val="20"/>
                <w:color w:val="auto"/>
              </w:rPr>
            </w:pPr>
            <w:r>
              <w:rPr>
                <w:rFonts w:ascii="Arial" w:cs="Arial" w:eastAsia="Arial" w:hAnsi="Arial"/>
                <w:sz w:val="16"/>
                <w:szCs w:val="16"/>
                <w:color w:val="auto"/>
              </w:rPr>
              <w:t>overseeing</w:t>
            </w:r>
          </w:p>
        </w:tc>
        <w:tc>
          <w:tcPr>
            <w:tcW w:w="3340" w:type="dxa"/>
            <w:vAlign w:val="bottom"/>
            <w:gridSpan w:val="7"/>
            <w:shd w:val="clear" w:color="auto" w:fill="F2F3EE"/>
          </w:tcPr>
          <w:p>
            <w:pPr>
              <w:ind w:left="260"/>
              <w:spacing w:after="0"/>
              <w:rPr>
                <w:sz w:val="20"/>
                <w:szCs w:val="20"/>
                <w:color w:val="auto"/>
              </w:rPr>
            </w:pPr>
            <w:r>
              <w:rPr>
                <w:rFonts w:ascii="Arial" w:cs="Arial" w:eastAsia="Arial" w:hAnsi="Arial"/>
                <w:sz w:val="16"/>
                <w:szCs w:val="16"/>
                <w:color w:val="auto"/>
              </w:rPr>
              <w:t>Directors with experience in digital and</w:t>
            </w:r>
          </w:p>
        </w:tc>
        <w:tc>
          <w:tcPr>
            <w:tcW w:w="3360" w:type="dxa"/>
            <w:vAlign w:val="bottom"/>
            <w:gridSpan w:val="6"/>
            <w:shd w:val="clear" w:color="auto" w:fill="F2F2F2"/>
          </w:tcPr>
          <w:p>
            <w:pPr>
              <w:ind w:left="240"/>
              <w:spacing w:after="0"/>
              <w:rPr>
                <w:sz w:val="20"/>
                <w:szCs w:val="20"/>
                <w:color w:val="auto"/>
              </w:rPr>
            </w:pPr>
            <w:r>
              <w:rPr>
                <w:rFonts w:ascii="Arial" w:cs="Arial" w:eastAsia="Arial" w:hAnsi="Arial"/>
                <w:sz w:val="16"/>
                <w:szCs w:val="16"/>
                <w:color w:val="auto"/>
              </w:rPr>
              <w:t>Directors  that  have  participated  in</w:t>
            </w:r>
          </w:p>
        </w:tc>
      </w:tr>
      <w:tr>
        <w:trPr>
          <w:trHeight w:val="191"/>
        </w:trPr>
        <w:tc>
          <w:tcPr>
            <w:tcW w:w="1380" w:type="dxa"/>
            <w:vAlign w:val="bottom"/>
            <w:gridSpan w:val="3"/>
            <w:shd w:val="clear" w:color="auto" w:fill="F2F2F2"/>
          </w:tcPr>
          <w:p>
            <w:pPr>
              <w:ind w:left="280"/>
              <w:spacing w:after="0"/>
              <w:rPr>
                <w:sz w:val="20"/>
                <w:szCs w:val="20"/>
                <w:color w:val="auto"/>
              </w:rPr>
            </w:pPr>
            <w:r>
              <w:rPr>
                <w:rFonts w:ascii="Arial" w:cs="Arial" w:eastAsia="Arial" w:hAnsi="Arial"/>
                <w:sz w:val="16"/>
                <w:szCs w:val="16"/>
                <w:color w:val="auto"/>
              </w:rPr>
              <w:t>development,</w:t>
            </w:r>
          </w:p>
        </w:tc>
        <w:tc>
          <w:tcPr>
            <w:tcW w:w="1400" w:type="dxa"/>
            <w:vAlign w:val="bottom"/>
            <w:gridSpan w:val="3"/>
            <w:shd w:val="clear" w:color="auto" w:fill="F2F2F2"/>
          </w:tcPr>
          <w:p>
            <w:pPr>
              <w:ind w:left="100"/>
              <w:spacing w:after="0"/>
              <w:rPr>
                <w:sz w:val="20"/>
                <w:szCs w:val="20"/>
                <w:color w:val="auto"/>
              </w:rPr>
            </w:pPr>
            <w:r>
              <w:rPr>
                <w:rFonts w:ascii="Arial" w:cs="Arial" w:eastAsia="Arial" w:hAnsi="Arial"/>
                <w:sz w:val="16"/>
                <w:szCs w:val="16"/>
                <w:color w:val="auto"/>
              </w:rPr>
              <w:t>implementation</w:t>
            </w:r>
          </w:p>
        </w:tc>
        <w:tc>
          <w:tcPr>
            <w:tcW w:w="580" w:type="dxa"/>
            <w:vAlign w:val="bottom"/>
            <w:shd w:val="clear" w:color="auto" w:fill="F2F2F2"/>
          </w:tcPr>
          <w:p>
            <w:pPr>
              <w:jc w:val="right"/>
              <w:ind w:right="160"/>
              <w:spacing w:after="0"/>
              <w:rPr>
                <w:sz w:val="20"/>
                <w:szCs w:val="20"/>
                <w:color w:val="auto"/>
              </w:rPr>
            </w:pPr>
            <w:r>
              <w:rPr>
                <w:rFonts w:ascii="Arial" w:cs="Arial" w:eastAsia="Arial" w:hAnsi="Arial"/>
                <w:sz w:val="16"/>
                <w:szCs w:val="16"/>
                <w:color w:val="auto"/>
              </w:rPr>
              <w:t>and</w:t>
            </w:r>
          </w:p>
        </w:tc>
        <w:tc>
          <w:tcPr>
            <w:tcW w:w="1260" w:type="dxa"/>
            <w:vAlign w:val="bottom"/>
            <w:gridSpan w:val="3"/>
            <w:shd w:val="clear" w:color="auto" w:fill="F2F3EE"/>
          </w:tcPr>
          <w:p>
            <w:pPr>
              <w:ind w:left="260"/>
              <w:spacing w:after="0"/>
              <w:rPr>
                <w:sz w:val="20"/>
                <w:szCs w:val="20"/>
                <w:color w:val="auto"/>
              </w:rPr>
            </w:pPr>
            <w:r>
              <w:rPr>
                <w:rFonts w:ascii="Arial" w:cs="Arial" w:eastAsia="Arial" w:hAnsi="Arial"/>
                <w:sz w:val="16"/>
                <w:szCs w:val="16"/>
                <w:color w:val="auto"/>
              </w:rPr>
              <w:t>information</w:t>
            </w:r>
          </w:p>
        </w:tc>
        <w:tc>
          <w:tcPr>
            <w:tcW w:w="1060" w:type="dxa"/>
            <w:vAlign w:val="bottom"/>
            <w:gridSpan w:val="2"/>
            <w:shd w:val="clear" w:color="auto" w:fill="F2F3EE"/>
          </w:tcPr>
          <w:p>
            <w:pPr>
              <w:ind w:left="60"/>
              <w:spacing w:after="0"/>
              <w:rPr>
                <w:sz w:val="20"/>
                <w:szCs w:val="20"/>
                <w:color w:val="auto"/>
              </w:rPr>
            </w:pPr>
            <w:r>
              <w:rPr>
                <w:rFonts w:ascii="Arial" w:cs="Arial" w:eastAsia="Arial" w:hAnsi="Arial"/>
                <w:sz w:val="16"/>
                <w:szCs w:val="16"/>
                <w:color w:val="auto"/>
              </w:rPr>
              <w:t>technology</w:t>
            </w:r>
          </w:p>
        </w:tc>
        <w:tc>
          <w:tcPr>
            <w:tcW w:w="1020" w:type="dxa"/>
            <w:vAlign w:val="bottom"/>
            <w:gridSpan w:val="2"/>
            <w:shd w:val="clear" w:color="auto" w:fill="F2F3EE"/>
          </w:tcPr>
          <w:p>
            <w:pPr>
              <w:jc w:val="right"/>
              <w:ind w:right="180"/>
              <w:spacing w:after="0"/>
              <w:rPr>
                <w:sz w:val="20"/>
                <w:szCs w:val="20"/>
                <w:color w:val="auto"/>
              </w:rPr>
            </w:pPr>
            <w:r>
              <w:rPr>
                <w:rFonts w:ascii="Arial" w:cs="Arial" w:eastAsia="Arial" w:hAnsi="Arial"/>
                <w:sz w:val="16"/>
                <w:szCs w:val="16"/>
                <w:color w:val="auto"/>
              </w:rPr>
              <w:t>leadership</w:t>
            </w:r>
          </w:p>
        </w:tc>
        <w:tc>
          <w:tcPr>
            <w:tcW w:w="1440" w:type="dxa"/>
            <w:vAlign w:val="bottom"/>
            <w:gridSpan w:val="3"/>
            <w:shd w:val="clear" w:color="auto" w:fill="F2F2F2"/>
          </w:tcPr>
          <w:p>
            <w:pPr>
              <w:ind w:left="240"/>
              <w:spacing w:after="0"/>
              <w:rPr>
                <w:sz w:val="20"/>
                <w:szCs w:val="20"/>
                <w:color w:val="auto"/>
              </w:rPr>
            </w:pPr>
            <w:r>
              <w:rPr>
                <w:rFonts w:ascii="Arial" w:cs="Arial" w:eastAsia="Arial" w:hAnsi="Arial"/>
                <w:sz w:val="16"/>
                <w:szCs w:val="16"/>
                <w:color w:val="auto"/>
              </w:rPr>
              <w:t>development,</w:t>
            </w:r>
          </w:p>
        </w:tc>
        <w:tc>
          <w:tcPr>
            <w:tcW w:w="1200" w:type="dxa"/>
            <w:vAlign w:val="bottom"/>
            <w:gridSpan w:val="2"/>
            <w:shd w:val="clear" w:color="auto" w:fill="F2F2F2"/>
          </w:tcPr>
          <w:p>
            <w:pPr>
              <w:jc w:val="right"/>
              <w:spacing w:after="0"/>
              <w:rPr>
                <w:sz w:val="20"/>
                <w:szCs w:val="20"/>
                <w:color w:val="auto"/>
              </w:rPr>
            </w:pPr>
            <w:r>
              <w:rPr>
                <w:rFonts w:ascii="Arial" w:cs="Arial" w:eastAsia="Arial" w:hAnsi="Arial"/>
                <w:sz w:val="16"/>
                <w:szCs w:val="16"/>
                <w:color w:val="auto"/>
              </w:rPr>
              <w:t>implementation</w:t>
            </w:r>
          </w:p>
        </w:tc>
        <w:tc>
          <w:tcPr>
            <w:tcW w:w="720" w:type="dxa"/>
            <w:vAlign w:val="bottom"/>
            <w:shd w:val="clear" w:color="auto" w:fill="F2F2F2"/>
          </w:tcPr>
          <w:p>
            <w:pPr>
              <w:jc w:val="right"/>
              <w:ind w:right="200"/>
              <w:spacing w:after="0"/>
              <w:rPr>
                <w:sz w:val="20"/>
                <w:szCs w:val="20"/>
                <w:color w:val="auto"/>
              </w:rPr>
            </w:pPr>
            <w:r>
              <w:rPr>
                <w:rFonts w:ascii="Arial" w:cs="Arial" w:eastAsia="Arial" w:hAnsi="Arial"/>
                <w:sz w:val="16"/>
                <w:szCs w:val="16"/>
                <w:color w:val="auto"/>
              </w:rPr>
              <w:t>and</w:t>
            </w: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assessment of sustainability strategies,</w:t>
            </w:r>
          </w:p>
        </w:tc>
        <w:tc>
          <w:tcPr>
            <w:tcW w:w="98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rPr>
              <w:t>provide</w:t>
            </w:r>
          </w:p>
        </w:tc>
        <w:tc>
          <w:tcPr>
            <w:tcW w:w="820" w:type="dxa"/>
            <w:vAlign w:val="bottom"/>
            <w:gridSpan w:val="2"/>
            <w:shd w:val="clear" w:color="auto" w:fill="F2F3EE"/>
          </w:tcPr>
          <w:p>
            <w:pPr>
              <w:ind w:left="20"/>
              <w:spacing w:after="0"/>
              <w:rPr>
                <w:sz w:val="20"/>
                <w:szCs w:val="20"/>
                <w:color w:val="auto"/>
              </w:rPr>
            </w:pPr>
            <w:r>
              <w:rPr>
                <w:rFonts w:ascii="Arial" w:cs="Arial" w:eastAsia="Arial" w:hAnsi="Arial"/>
                <w:sz w:val="16"/>
                <w:szCs w:val="16"/>
                <w:color w:val="auto"/>
              </w:rPr>
              <w:t>valuable</w:t>
            </w:r>
          </w:p>
        </w:tc>
        <w:tc>
          <w:tcPr>
            <w:tcW w:w="1540" w:type="dxa"/>
            <w:vAlign w:val="bottom"/>
            <w:gridSpan w:val="3"/>
            <w:shd w:val="clear" w:color="auto" w:fill="F2F3EE"/>
          </w:tcPr>
          <w:p>
            <w:pPr>
              <w:jc w:val="right"/>
              <w:ind w:right="180"/>
              <w:spacing w:after="0"/>
              <w:rPr>
                <w:sz w:val="20"/>
                <w:szCs w:val="20"/>
                <w:color w:val="auto"/>
              </w:rPr>
            </w:pPr>
            <w:r>
              <w:rPr>
                <w:rFonts w:ascii="Arial" w:cs="Arial" w:eastAsia="Arial" w:hAnsi="Arial"/>
                <w:sz w:val="16"/>
                <w:szCs w:val="16"/>
                <w:color w:val="auto"/>
              </w:rPr>
              <w:t>perspectives   on</w:t>
            </w:r>
          </w:p>
        </w:tc>
        <w:tc>
          <w:tcPr>
            <w:tcW w:w="1000" w:type="dxa"/>
            <w:vAlign w:val="bottom"/>
            <w:gridSpan w:val="2"/>
            <w:shd w:val="clear" w:color="auto" w:fill="F2F2F2"/>
          </w:tcPr>
          <w:p>
            <w:pPr>
              <w:ind w:left="240"/>
              <w:spacing w:after="0"/>
              <w:rPr>
                <w:sz w:val="20"/>
                <w:szCs w:val="20"/>
                <w:color w:val="auto"/>
              </w:rPr>
            </w:pPr>
            <w:r>
              <w:rPr>
                <w:rFonts w:ascii="Arial" w:cs="Arial" w:eastAsia="Arial" w:hAnsi="Arial"/>
                <w:sz w:val="16"/>
                <w:szCs w:val="16"/>
                <w:color w:val="auto"/>
              </w:rPr>
              <w:t>evaluation</w:t>
            </w:r>
          </w:p>
        </w:tc>
        <w:tc>
          <w:tcPr>
            <w:tcW w:w="440" w:type="dxa"/>
            <w:vAlign w:val="bottom"/>
            <w:shd w:val="clear" w:color="auto" w:fill="F2F2F2"/>
          </w:tcPr>
          <w:p>
            <w:pPr>
              <w:jc w:val="center"/>
              <w:ind w:left="60"/>
              <w:spacing w:after="0"/>
              <w:rPr>
                <w:sz w:val="20"/>
                <w:szCs w:val="20"/>
                <w:color w:val="auto"/>
              </w:rPr>
            </w:pPr>
            <w:r>
              <w:rPr>
                <w:rFonts w:ascii="Arial" w:cs="Arial" w:eastAsia="Arial" w:hAnsi="Arial"/>
                <w:sz w:val="16"/>
                <w:szCs w:val="16"/>
                <w:color w:val="auto"/>
              </w:rPr>
              <w:t>of</w:t>
            </w:r>
          </w:p>
        </w:tc>
        <w:tc>
          <w:tcPr>
            <w:tcW w:w="1200" w:type="dxa"/>
            <w:vAlign w:val="bottom"/>
            <w:gridSpan w:val="2"/>
            <w:shd w:val="clear" w:color="auto" w:fill="F2F2F2"/>
          </w:tcPr>
          <w:p>
            <w:pPr>
              <w:jc w:val="right"/>
              <w:ind w:right="20"/>
              <w:spacing w:after="0"/>
              <w:rPr>
                <w:sz w:val="20"/>
                <w:szCs w:val="20"/>
                <w:color w:val="auto"/>
              </w:rPr>
            </w:pPr>
            <w:r>
              <w:rPr>
                <w:rFonts w:ascii="Arial" w:cs="Arial" w:eastAsia="Arial" w:hAnsi="Arial"/>
                <w:sz w:val="16"/>
                <w:szCs w:val="16"/>
                <w:color w:val="auto"/>
              </w:rPr>
              <w:t>sophisticated</w:t>
            </w:r>
          </w:p>
        </w:tc>
        <w:tc>
          <w:tcPr>
            <w:tcW w:w="720" w:type="dxa"/>
            <w:vAlign w:val="bottom"/>
            <w:shd w:val="clear" w:color="auto" w:fill="F2F2F2"/>
          </w:tcPr>
          <w:p>
            <w:pPr>
              <w:jc w:val="right"/>
              <w:ind w:right="200"/>
              <w:spacing w:after="0"/>
              <w:rPr>
                <w:sz w:val="20"/>
                <w:szCs w:val="20"/>
                <w:color w:val="auto"/>
              </w:rPr>
            </w:pPr>
            <w:r>
              <w:rPr>
                <w:rFonts w:ascii="Arial" w:cs="Arial" w:eastAsia="Arial" w:hAnsi="Arial"/>
                <w:sz w:val="16"/>
                <w:szCs w:val="16"/>
                <w:color w:val="auto"/>
              </w:rPr>
              <w:t>risk</w:t>
            </w: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and risks and opportunities related to</w:t>
            </w:r>
          </w:p>
        </w:tc>
        <w:tc>
          <w:tcPr>
            <w:tcW w:w="3340" w:type="dxa"/>
            <w:vAlign w:val="bottom"/>
            <w:gridSpan w:val="7"/>
            <w:shd w:val="clear" w:color="auto" w:fill="F2F3EE"/>
          </w:tcPr>
          <w:p>
            <w:pPr>
              <w:ind w:left="260"/>
              <w:spacing w:after="0"/>
              <w:rPr>
                <w:sz w:val="20"/>
                <w:szCs w:val="20"/>
                <w:color w:val="auto"/>
              </w:rPr>
            </w:pPr>
            <w:r>
              <w:rPr>
                <w:rFonts w:ascii="Arial" w:cs="Arial" w:eastAsia="Arial" w:hAnsi="Arial"/>
                <w:sz w:val="16"/>
                <w:szCs w:val="16"/>
                <w:color w:val="auto"/>
              </w:rPr>
              <w:t>technology innovation, digital solutions,</w:t>
            </w:r>
          </w:p>
        </w:tc>
        <w:tc>
          <w:tcPr>
            <w:tcW w:w="3360" w:type="dxa"/>
            <w:vAlign w:val="bottom"/>
            <w:gridSpan w:val="6"/>
            <w:shd w:val="clear" w:color="auto" w:fill="F2F2F2"/>
          </w:tcPr>
          <w:p>
            <w:pPr>
              <w:ind w:left="240"/>
              <w:spacing w:after="0"/>
              <w:rPr>
                <w:sz w:val="20"/>
                <w:szCs w:val="20"/>
                <w:color w:val="auto"/>
              </w:rPr>
            </w:pPr>
            <w:r>
              <w:rPr>
                <w:rFonts w:ascii="Arial" w:cs="Arial" w:eastAsia="Arial" w:hAnsi="Arial"/>
                <w:sz w:val="16"/>
                <w:szCs w:val="16"/>
                <w:color w:val="auto"/>
              </w:rPr>
              <w:t>management  programs  are  critical  in</w:t>
            </w:r>
          </w:p>
        </w:tc>
      </w:tr>
      <w:tr>
        <w:trPr>
          <w:trHeight w:val="191"/>
        </w:trPr>
        <w:tc>
          <w:tcPr>
            <w:tcW w:w="1380" w:type="dxa"/>
            <w:vAlign w:val="bottom"/>
            <w:gridSpan w:val="3"/>
            <w:shd w:val="clear" w:color="auto" w:fill="F2F2F2"/>
          </w:tcPr>
          <w:p>
            <w:pPr>
              <w:ind w:left="280"/>
              <w:spacing w:after="0"/>
              <w:rPr>
                <w:sz w:val="20"/>
                <w:szCs w:val="20"/>
                <w:color w:val="auto"/>
              </w:rPr>
            </w:pPr>
            <w:r>
              <w:rPr>
                <w:rFonts w:ascii="Arial" w:cs="Arial" w:eastAsia="Arial" w:hAnsi="Arial"/>
                <w:sz w:val="16"/>
                <w:szCs w:val="16"/>
                <w:color w:val="auto"/>
              </w:rPr>
              <w:t>sustainability</w:t>
            </w:r>
          </w:p>
        </w:tc>
        <w:tc>
          <w:tcPr>
            <w:tcW w:w="400" w:type="dxa"/>
            <w:vAlign w:val="bottom"/>
            <w:shd w:val="clear" w:color="auto" w:fill="F2F2F2"/>
          </w:tcPr>
          <w:p>
            <w:pPr>
              <w:ind w:left="120"/>
              <w:spacing w:after="0"/>
              <w:rPr>
                <w:sz w:val="20"/>
                <w:szCs w:val="20"/>
                <w:color w:val="auto"/>
              </w:rPr>
            </w:pPr>
            <w:r>
              <w:rPr>
                <w:rFonts w:ascii="Arial" w:cs="Arial" w:eastAsia="Arial" w:hAnsi="Arial"/>
                <w:sz w:val="16"/>
                <w:szCs w:val="16"/>
                <w:color w:val="auto"/>
                <w:w w:val="97"/>
              </w:rPr>
              <w:t>and</w:t>
            </w:r>
          </w:p>
        </w:tc>
        <w:tc>
          <w:tcPr>
            <w:tcW w:w="1000" w:type="dxa"/>
            <w:vAlign w:val="bottom"/>
            <w:gridSpan w:val="2"/>
            <w:shd w:val="clear" w:color="auto" w:fill="F2F2F2"/>
          </w:tcPr>
          <w:p>
            <w:pPr>
              <w:ind w:left="260"/>
              <w:spacing w:after="0"/>
              <w:rPr>
                <w:sz w:val="20"/>
                <w:szCs w:val="20"/>
                <w:color w:val="auto"/>
              </w:rPr>
            </w:pPr>
            <w:r>
              <w:rPr>
                <w:rFonts w:ascii="Arial" w:cs="Arial" w:eastAsia="Arial" w:hAnsi="Arial"/>
                <w:sz w:val="16"/>
                <w:szCs w:val="16"/>
                <w:color w:val="auto"/>
              </w:rPr>
              <w:t>provision</w:t>
            </w:r>
          </w:p>
        </w:tc>
        <w:tc>
          <w:tcPr>
            <w:tcW w:w="580" w:type="dxa"/>
            <w:vAlign w:val="bottom"/>
            <w:shd w:val="clear" w:color="auto" w:fill="F2F2F2"/>
          </w:tcPr>
          <w:p>
            <w:pPr>
              <w:jc w:val="right"/>
              <w:ind w:right="180"/>
              <w:spacing w:after="0"/>
              <w:rPr>
                <w:sz w:val="20"/>
                <w:szCs w:val="20"/>
                <w:color w:val="auto"/>
              </w:rPr>
            </w:pPr>
            <w:r>
              <w:rPr>
                <w:rFonts w:ascii="Arial" w:cs="Arial" w:eastAsia="Arial" w:hAnsi="Arial"/>
                <w:sz w:val="16"/>
                <w:szCs w:val="16"/>
                <w:color w:val="auto"/>
              </w:rPr>
              <w:t>of</w:t>
            </w:r>
          </w:p>
        </w:tc>
        <w:tc>
          <w:tcPr>
            <w:tcW w:w="980" w:type="dxa"/>
            <w:vAlign w:val="bottom"/>
            <w:gridSpan w:val="2"/>
            <w:shd w:val="clear" w:color="auto" w:fill="F2F3EE"/>
          </w:tcPr>
          <w:p>
            <w:pPr>
              <w:ind w:left="260"/>
              <w:spacing w:after="0"/>
              <w:rPr>
                <w:sz w:val="20"/>
                <w:szCs w:val="20"/>
                <w:color w:val="auto"/>
              </w:rPr>
            </w:pPr>
            <w:r>
              <w:rPr>
                <w:rFonts w:ascii="Arial" w:cs="Arial" w:eastAsia="Arial" w:hAnsi="Arial"/>
                <w:sz w:val="16"/>
                <w:szCs w:val="16"/>
                <w:color w:val="auto"/>
                <w:w w:val="97"/>
              </w:rPr>
              <w:t>innovative</w:t>
            </w:r>
          </w:p>
        </w:tc>
        <w:tc>
          <w:tcPr>
            <w:tcW w:w="820" w:type="dxa"/>
            <w:vAlign w:val="bottom"/>
            <w:gridSpan w:val="2"/>
            <w:shd w:val="clear" w:color="auto" w:fill="F2F3EE"/>
          </w:tcPr>
          <w:p>
            <w:pPr>
              <w:ind w:left="200"/>
              <w:spacing w:after="0"/>
              <w:rPr>
                <w:sz w:val="20"/>
                <w:szCs w:val="20"/>
                <w:color w:val="auto"/>
              </w:rPr>
            </w:pPr>
            <w:r>
              <w:rPr>
                <w:rFonts w:ascii="Arial" w:cs="Arial" w:eastAsia="Arial" w:hAnsi="Arial"/>
                <w:sz w:val="16"/>
                <w:szCs w:val="16"/>
                <w:color w:val="auto"/>
                <w:w w:val="94"/>
              </w:rPr>
              <w:t>business</w:t>
            </w:r>
          </w:p>
        </w:tc>
        <w:tc>
          <w:tcPr>
            <w:tcW w:w="820" w:type="dxa"/>
            <w:vAlign w:val="bottom"/>
            <w:gridSpan w:val="2"/>
            <w:shd w:val="clear" w:color="auto" w:fill="F2F3EE"/>
          </w:tcPr>
          <w:p>
            <w:pPr>
              <w:ind w:left="220"/>
              <w:spacing w:after="0"/>
              <w:rPr>
                <w:sz w:val="20"/>
                <w:szCs w:val="20"/>
                <w:color w:val="auto"/>
              </w:rPr>
            </w:pPr>
            <w:r>
              <w:rPr>
                <w:rFonts w:ascii="Arial" w:cs="Arial" w:eastAsia="Arial" w:hAnsi="Arial"/>
                <w:sz w:val="16"/>
                <w:szCs w:val="16"/>
                <w:color w:val="auto"/>
              </w:rPr>
              <w:t>models,</w:t>
            </w:r>
          </w:p>
        </w:tc>
        <w:tc>
          <w:tcPr>
            <w:tcW w:w="720" w:type="dxa"/>
            <w:vAlign w:val="bottom"/>
            <w:shd w:val="clear" w:color="auto" w:fill="F2F3EE"/>
          </w:tcPr>
          <w:p>
            <w:pPr>
              <w:jc w:val="right"/>
              <w:ind w:right="180"/>
              <w:spacing w:after="0"/>
              <w:rPr>
                <w:sz w:val="20"/>
                <w:szCs w:val="20"/>
                <w:color w:val="auto"/>
              </w:rPr>
            </w:pPr>
            <w:r>
              <w:rPr>
                <w:rFonts w:ascii="Arial" w:cs="Arial" w:eastAsia="Arial" w:hAnsi="Arial"/>
                <w:sz w:val="16"/>
                <w:szCs w:val="16"/>
                <w:color w:val="auto"/>
              </w:rPr>
              <w:t>data</w:t>
            </w:r>
          </w:p>
        </w:tc>
        <w:tc>
          <w:tcPr>
            <w:tcW w:w="1000" w:type="dxa"/>
            <w:vAlign w:val="bottom"/>
            <w:gridSpan w:val="2"/>
            <w:shd w:val="clear" w:color="auto" w:fill="F2F2F2"/>
          </w:tcPr>
          <w:p>
            <w:pPr>
              <w:ind w:left="240"/>
              <w:spacing w:after="0"/>
              <w:rPr>
                <w:sz w:val="20"/>
                <w:szCs w:val="20"/>
                <w:color w:val="auto"/>
              </w:rPr>
            </w:pPr>
            <w:r>
              <w:rPr>
                <w:rFonts w:ascii="Arial" w:cs="Arial" w:eastAsia="Arial" w:hAnsi="Arial"/>
                <w:sz w:val="16"/>
                <w:szCs w:val="16"/>
                <w:color w:val="auto"/>
              </w:rPr>
              <w:t>helping</w:t>
            </w:r>
          </w:p>
        </w:tc>
        <w:tc>
          <w:tcPr>
            <w:tcW w:w="440" w:type="dxa"/>
            <w:vAlign w:val="bottom"/>
            <w:shd w:val="clear" w:color="auto" w:fill="F2F2F2"/>
          </w:tcPr>
          <w:p>
            <w:pPr>
              <w:ind w:left="40"/>
              <w:spacing w:after="0"/>
              <w:rPr>
                <w:sz w:val="20"/>
                <w:szCs w:val="20"/>
                <w:color w:val="auto"/>
              </w:rPr>
            </w:pPr>
            <w:r>
              <w:rPr>
                <w:rFonts w:ascii="Arial" w:cs="Arial" w:eastAsia="Arial" w:hAnsi="Arial"/>
                <w:sz w:val="16"/>
                <w:szCs w:val="16"/>
                <w:color w:val="auto"/>
              </w:rPr>
              <w:t>our</w:t>
            </w:r>
          </w:p>
        </w:tc>
        <w:tc>
          <w:tcPr>
            <w:tcW w:w="680" w:type="dxa"/>
            <w:vAlign w:val="bottom"/>
            <w:shd w:val="clear" w:color="auto" w:fill="F2F2F2"/>
          </w:tcPr>
          <w:p>
            <w:pPr>
              <w:ind w:left="120"/>
              <w:spacing w:after="0"/>
              <w:rPr>
                <w:sz w:val="20"/>
                <w:szCs w:val="20"/>
                <w:color w:val="auto"/>
              </w:rPr>
            </w:pPr>
            <w:r>
              <w:rPr>
                <w:rFonts w:ascii="Arial" w:cs="Arial" w:eastAsia="Arial" w:hAnsi="Arial"/>
                <w:sz w:val="16"/>
                <w:szCs w:val="16"/>
                <w:color w:val="auto"/>
              </w:rPr>
              <w:t>Board</w:t>
            </w:r>
          </w:p>
        </w:tc>
        <w:tc>
          <w:tcPr>
            <w:tcW w:w="5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fulfill</w:t>
            </w:r>
          </w:p>
        </w:tc>
        <w:tc>
          <w:tcPr>
            <w:tcW w:w="720" w:type="dxa"/>
            <w:vAlign w:val="bottom"/>
            <w:shd w:val="clear" w:color="auto" w:fill="F2F2F2"/>
          </w:tcPr>
          <w:p>
            <w:pPr>
              <w:jc w:val="right"/>
              <w:ind w:right="200"/>
              <w:spacing w:after="0"/>
              <w:rPr>
                <w:sz w:val="20"/>
                <w:szCs w:val="20"/>
                <w:color w:val="auto"/>
              </w:rPr>
            </w:pPr>
            <w:r>
              <w:rPr>
                <w:rFonts w:ascii="Arial" w:cs="Arial" w:eastAsia="Arial" w:hAnsi="Arial"/>
                <w:sz w:val="16"/>
                <w:szCs w:val="16"/>
                <w:color w:val="auto"/>
              </w:rPr>
              <w:t>its</w:t>
            </w:r>
          </w:p>
        </w:tc>
      </w:tr>
      <w:tr>
        <w:trPr>
          <w:trHeight w:val="191"/>
        </w:trPr>
        <w:tc>
          <w:tcPr>
            <w:tcW w:w="1380" w:type="dxa"/>
            <w:vAlign w:val="bottom"/>
            <w:gridSpan w:val="3"/>
            <w:shd w:val="clear" w:color="auto" w:fill="F2F2F2"/>
          </w:tcPr>
          <w:p>
            <w:pPr>
              <w:ind w:left="280"/>
              <w:spacing w:after="0"/>
              <w:rPr>
                <w:sz w:val="20"/>
                <w:szCs w:val="20"/>
                <w:color w:val="auto"/>
              </w:rPr>
            </w:pPr>
            <w:r>
              <w:rPr>
                <w:rFonts w:ascii="Arial" w:cs="Arial" w:eastAsia="Arial" w:hAnsi="Arial"/>
                <w:sz w:val="16"/>
                <w:szCs w:val="16"/>
                <w:color w:val="auto"/>
              </w:rPr>
              <w:t>environmental</w:t>
            </w:r>
          </w:p>
        </w:tc>
        <w:tc>
          <w:tcPr>
            <w:tcW w:w="1400" w:type="dxa"/>
            <w:vAlign w:val="bottom"/>
            <w:gridSpan w:val="3"/>
            <w:shd w:val="clear" w:color="auto" w:fill="F2F2F2"/>
          </w:tcPr>
          <w:p>
            <w:pPr>
              <w:ind w:left="60"/>
              <w:spacing w:after="0"/>
              <w:rPr>
                <w:sz w:val="20"/>
                <w:szCs w:val="20"/>
                <w:color w:val="auto"/>
              </w:rPr>
            </w:pPr>
            <w:r>
              <w:rPr>
                <w:rFonts w:ascii="Arial" w:cs="Arial" w:eastAsia="Arial" w:hAnsi="Arial"/>
                <w:sz w:val="16"/>
                <w:szCs w:val="16"/>
                <w:color w:val="auto"/>
              </w:rPr>
              <w:t>services,  support</w:t>
            </w:r>
          </w:p>
        </w:tc>
        <w:tc>
          <w:tcPr>
            <w:tcW w:w="580" w:type="dxa"/>
            <w:vAlign w:val="bottom"/>
            <w:shd w:val="clear" w:color="auto" w:fill="F2F2F2"/>
          </w:tcPr>
          <w:p>
            <w:pPr>
              <w:jc w:val="right"/>
              <w:ind w:right="180"/>
              <w:spacing w:after="0"/>
              <w:rPr>
                <w:sz w:val="20"/>
                <w:szCs w:val="20"/>
                <w:color w:val="auto"/>
              </w:rPr>
            </w:pPr>
            <w:r>
              <w:rPr>
                <w:rFonts w:ascii="Arial" w:cs="Arial" w:eastAsia="Arial" w:hAnsi="Arial"/>
                <w:sz w:val="16"/>
                <w:szCs w:val="16"/>
                <w:color w:val="auto"/>
              </w:rPr>
              <w:t>the</w:t>
            </w:r>
          </w:p>
        </w:tc>
        <w:tc>
          <w:tcPr>
            <w:tcW w:w="3340" w:type="dxa"/>
            <w:vAlign w:val="bottom"/>
            <w:gridSpan w:val="7"/>
            <w:shd w:val="clear" w:color="auto" w:fill="F2F3EE"/>
          </w:tcPr>
          <w:p>
            <w:pPr>
              <w:ind w:left="260"/>
              <w:spacing w:after="0"/>
              <w:rPr>
                <w:sz w:val="20"/>
                <w:szCs w:val="20"/>
                <w:color w:val="auto"/>
              </w:rPr>
            </w:pPr>
            <w:r>
              <w:rPr>
                <w:rFonts w:ascii="Arial" w:cs="Arial" w:eastAsia="Arial" w:hAnsi="Arial"/>
                <w:sz w:val="16"/>
                <w:szCs w:val="16"/>
                <w:color w:val="auto"/>
              </w:rPr>
              <w:t>analytics,   e-commerce   applications,</w:t>
            </w:r>
          </w:p>
        </w:tc>
        <w:tc>
          <w:tcPr>
            <w:tcW w:w="3360" w:type="dxa"/>
            <w:vAlign w:val="bottom"/>
            <w:gridSpan w:val="6"/>
            <w:shd w:val="clear" w:color="auto" w:fill="F2F2F2"/>
          </w:tcPr>
          <w:p>
            <w:pPr>
              <w:ind w:left="240"/>
              <w:spacing w:after="0"/>
              <w:rPr>
                <w:sz w:val="20"/>
                <w:szCs w:val="20"/>
                <w:color w:val="auto"/>
              </w:rPr>
            </w:pPr>
            <w:r>
              <w:rPr>
                <w:rFonts w:ascii="Arial" w:cs="Arial" w:eastAsia="Arial" w:hAnsi="Arial"/>
                <w:sz w:val="16"/>
                <w:szCs w:val="16"/>
                <w:color w:val="auto"/>
              </w:rPr>
              <w:t>responsibilities  with  respect  to  risk</w:t>
            </w: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Company’s  ability  to  deliver  on  its</w:t>
            </w:r>
          </w:p>
        </w:tc>
        <w:tc>
          <w:tcPr>
            <w:tcW w:w="3340" w:type="dxa"/>
            <w:vAlign w:val="bottom"/>
            <w:gridSpan w:val="7"/>
            <w:shd w:val="clear" w:color="auto" w:fill="F2F3EE"/>
          </w:tcPr>
          <w:p>
            <w:pPr>
              <w:ind w:left="260"/>
              <w:spacing w:after="0"/>
              <w:rPr>
                <w:sz w:val="20"/>
                <w:szCs w:val="20"/>
                <w:color w:val="auto"/>
              </w:rPr>
            </w:pPr>
            <w:r>
              <w:rPr>
                <w:rFonts w:ascii="Arial" w:cs="Arial" w:eastAsia="Arial" w:hAnsi="Arial"/>
                <w:sz w:val="16"/>
                <w:szCs w:val="16"/>
                <w:color w:val="auto"/>
              </w:rPr>
              <w:t>marketing strategy and cyber risks. These</w:t>
            </w:r>
          </w:p>
        </w:tc>
        <w:tc>
          <w:tcPr>
            <w:tcW w:w="1000" w:type="dxa"/>
            <w:vAlign w:val="bottom"/>
            <w:gridSpan w:val="2"/>
            <w:shd w:val="clear" w:color="auto" w:fill="F2F2F2"/>
          </w:tcPr>
          <w:p>
            <w:pPr>
              <w:ind w:left="240"/>
              <w:spacing w:after="0"/>
              <w:rPr>
                <w:sz w:val="20"/>
                <w:szCs w:val="20"/>
                <w:color w:val="auto"/>
              </w:rPr>
            </w:pPr>
            <w:r>
              <w:rPr>
                <w:rFonts w:ascii="Arial" w:cs="Arial" w:eastAsia="Arial" w:hAnsi="Arial"/>
                <w:sz w:val="16"/>
                <w:szCs w:val="16"/>
                <w:color w:val="auto"/>
              </w:rPr>
              <w:t>oversight</w:t>
            </w:r>
          </w:p>
        </w:tc>
        <w:tc>
          <w:tcPr>
            <w:tcW w:w="440" w:type="dxa"/>
            <w:vAlign w:val="bottom"/>
            <w:shd w:val="clear" w:color="auto" w:fill="F2F2F2"/>
          </w:tcPr>
          <w:p>
            <w:pPr>
              <w:jc w:val="center"/>
              <w:ind w:left="40"/>
              <w:spacing w:after="0"/>
              <w:rPr>
                <w:sz w:val="20"/>
                <w:szCs w:val="20"/>
                <w:color w:val="auto"/>
              </w:rPr>
            </w:pPr>
            <w:r>
              <w:rPr>
                <w:rFonts w:ascii="Arial" w:cs="Arial" w:eastAsia="Arial" w:hAnsi="Arial"/>
                <w:sz w:val="16"/>
                <w:szCs w:val="16"/>
                <w:color w:val="auto"/>
                <w:w w:val="89"/>
              </w:rPr>
              <w:t>and</w:t>
            </w:r>
          </w:p>
        </w:tc>
        <w:tc>
          <w:tcPr>
            <w:tcW w:w="1200" w:type="dxa"/>
            <w:vAlign w:val="bottom"/>
            <w:gridSpan w:val="2"/>
            <w:shd w:val="clear" w:color="auto" w:fill="F2F2F2"/>
          </w:tcPr>
          <w:p>
            <w:pPr>
              <w:jc w:val="right"/>
              <w:ind w:right="160"/>
              <w:spacing w:after="0"/>
              <w:rPr>
                <w:sz w:val="20"/>
                <w:szCs w:val="20"/>
                <w:color w:val="auto"/>
              </w:rPr>
            </w:pPr>
            <w:r>
              <w:rPr>
                <w:rFonts w:ascii="Arial" w:cs="Arial" w:eastAsia="Arial" w:hAnsi="Arial"/>
                <w:sz w:val="16"/>
                <w:szCs w:val="16"/>
                <w:color w:val="auto"/>
              </w:rPr>
              <w:t>mitigation.</w:t>
            </w:r>
          </w:p>
        </w:tc>
        <w:tc>
          <w:tcPr>
            <w:tcW w:w="720" w:type="dxa"/>
            <w:vAlign w:val="bottom"/>
            <w:shd w:val="clear" w:color="auto" w:fill="F2F2F2"/>
          </w:tcPr>
          <w:p>
            <w:pPr>
              <w:jc w:val="right"/>
              <w:ind w:right="200"/>
              <w:spacing w:after="0"/>
              <w:rPr>
                <w:sz w:val="20"/>
                <w:szCs w:val="20"/>
                <w:color w:val="auto"/>
              </w:rPr>
            </w:pPr>
            <w:r>
              <w:rPr>
                <w:rFonts w:ascii="Arial" w:cs="Arial" w:eastAsia="Arial" w:hAnsi="Arial"/>
                <w:sz w:val="16"/>
                <w:szCs w:val="16"/>
                <w:color w:val="auto"/>
                <w:w w:val="94"/>
              </w:rPr>
              <w:t>These</w:t>
            </w: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sustainability growth strategy, goals and</w:t>
            </w:r>
          </w:p>
        </w:tc>
        <w:tc>
          <w:tcPr>
            <w:tcW w:w="3340" w:type="dxa"/>
            <w:vAlign w:val="bottom"/>
            <w:gridSpan w:val="7"/>
            <w:shd w:val="clear" w:color="auto" w:fill="F2F3EE"/>
          </w:tcPr>
          <w:p>
            <w:pPr>
              <w:ind w:left="260"/>
              <w:spacing w:after="0"/>
              <w:rPr>
                <w:sz w:val="20"/>
                <w:szCs w:val="20"/>
                <w:color w:val="auto"/>
              </w:rPr>
            </w:pPr>
            <w:r>
              <w:rPr>
                <w:rFonts w:ascii="Arial" w:cs="Arial" w:eastAsia="Arial" w:hAnsi="Arial"/>
                <w:sz w:val="16"/>
                <w:szCs w:val="16"/>
                <w:color w:val="auto"/>
              </w:rPr>
              <w:t>individuals are particularly engaged in</w:t>
            </w:r>
          </w:p>
        </w:tc>
        <w:tc>
          <w:tcPr>
            <w:tcW w:w="3360" w:type="dxa"/>
            <w:vAlign w:val="bottom"/>
            <w:gridSpan w:val="6"/>
            <w:shd w:val="clear" w:color="auto" w:fill="F2F2F2"/>
          </w:tcPr>
          <w:p>
            <w:pPr>
              <w:ind w:left="240"/>
              <w:spacing w:after="0"/>
              <w:rPr>
                <w:sz w:val="20"/>
                <w:szCs w:val="20"/>
                <w:color w:val="auto"/>
              </w:rPr>
            </w:pPr>
            <w:r>
              <w:rPr>
                <w:rFonts w:ascii="Arial" w:cs="Arial" w:eastAsia="Arial" w:hAnsi="Arial"/>
                <w:sz w:val="16"/>
                <w:szCs w:val="16"/>
                <w:color w:val="auto"/>
              </w:rPr>
              <w:t>individuals have experience in effectively</w:t>
            </w:r>
          </w:p>
        </w:tc>
      </w:tr>
      <w:tr>
        <w:trPr>
          <w:trHeight w:val="191"/>
        </w:trPr>
        <w:tc>
          <w:tcPr>
            <w:tcW w:w="1380" w:type="dxa"/>
            <w:vAlign w:val="bottom"/>
            <w:gridSpan w:val="3"/>
            <w:shd w:val="clear" w:color="auto" w:fill="F2F2F2"/>
          </w:tcPr>
          <w:p>
            <w:pPr>
              <w:ind w:left="280"/>
              <w:spacing w:after="0"/>
              <w:rPr>
                <w:sz w:val="20"/>
                <w:szCs w:val="20"/>
                <w:color w:val="auto"/>
              </w:rPr>
            </w:pPr>
            <w:r>
              <w:rPr>
                <w:rFonts w:ascii="Arial" w:cs="Arial" w:eastAsia="Arial" w:hAnsi="Arial"/>
                <w:sz w:val="16"/>
                <w:szCs w:val="16"/>
                <w:color w:val="auto"/>
              </w:rPr>
              <w:t>commitments.</w:t>
            </w:r>
          </w:p>
        </w:tc>
        <w:tc>
          <w:tcPr>
            <w:tcW w:w="900" w:type="dxa"/>
            <w:vAlign w:val="bottom"/>
            <w:gridSpan w:val="2"/>
            <w:shd w:val="clear" w:color="auto" w:fill="F2F2F2"/>
          </w:tcPr>
          <w:p>
            <w:pPr>
              <w:ind w:left="220"/>
              <w:spacing w:after="0"/>
              <w:rPr>
                <w:sz w:val="20"/>
                <w:szCs w:val="20"/>
                <w:color w:val="auto"/>
              </w:rPr>
            </w:pPr>
            <w:r>
              <w:rPr>
                <w:rFonts w:ascii="Arial" w:cs="Arial" w:eastAsia="Arial" w:hAnsi="Arial"/>
                <w:sz w:val="16"/>
                <w:szCs w:val="16"/>
                <w:color w:val="auto"/>
              </w:rPr>
              <w:t>These</w:t>
            </w:r>
          </w:p>
        </w:tc>
        <w:tc>
          <w:tcPr>
            <w:tcW w:w="1080" w:type="dxa"/>
            <w:vAlign w:val="bottom"/>
            <w:gridSpan w:val="2"/>
            <w:shd w:val="clear" w:color="auto" w:fill="F2F2F2"/>
          </w:tcPr>
          <w:p>
            <w:pPr>
              <w:jc w:val="right"/>
              <w:ind w:right="160"/>
              <w:spacing w:after="0"/>
              <w:rPr>
                <w:sz w:val="20"/>
                <w:szCs w:val="20"/>
                <w:color w:val="auto"/>
              </w:rPr>
            </w:pPr>
            <w:r>
              <w:rPr>
                <w:rFonts w:ascii="Arial" w:cs="Arial" w:eastAsia="Arial" w:hAnsi="Arial"/>
                <w:sz w:val="16"/>
                <w:szCs w:val="16"/>
                <w:color w:val="auto"/>
              </w:rPr>
              <w:t>individuals</w:t>
            </w:r>
          </w:p>
        </w:tc>
        <w:tc>
          <w:tcPr>
            <w:tcW w:w="3340" w:type="dxa"/>
            <w:vAlign w:val="bottom"/>
            <w:gridSpan w:val="7"/>
            <w:shd w:val="clear" w:color="auto" w:fill="F2F3EE"/>
          </w:tcPr>
          <w:p>
            <w:pPr>
              <w:ind w:left="260"/>
              <w:spacing w:after="0"/>
              <w:rPr>
                <w:sz w:val="20"/>
                <w:szCs w:val="20"/>
                <w:color w:val="auto"/>
              </w:rPr>
            </w:pPr>
            <w:r>
              <w:rPr>
                <w:rFonts w:ascii="Arial" w:cs="Arial" w:eastAsia="Arial" w:hAnsi="Arial"/>
                <w:sz w:val="16"/>
                <w:szCs w:val="16"/>
                <w:color w:val="auto"/>
              </w:rPr>
              <w:t>our Board’s oversight of the Company’s</w:t>
            </w:r>
          </w:p>
        </w:tc>
        <w:tc>
          <w:tcPr>
            <w:tcW w:w="3360" w:type="dxa"/>
            <w:vAlign w:val="bottom"/>
            <w:gridSpan w:val="6"/>
            <w:shd w:val="clear" w:color="auto" w:fill="F2F2F2"/>
          </w:tcPr>
          <w:p>
            <w:pPr>
              <w:ind w:left="240"/>
              <w:spacing w:after="0"/>
              <w:rPr>
                <w:sz w:val="20"/>
                <w:szCs w:val="20"/>
                <w:color w:val="auto"/>
              </w:rPr>
            </w:pPr>
            <w:r>
              <w:rPr>
                <w:rFonts w:ascii="Arial" w:cs="Arial" w:eastAsia="Arial" w:hAnsi="Arial"/>
                <w:sz w:val="16"/>
                <w:szCs w:val="16"/>
                <w:color w:val="auto"/>
              </w:rPr>
              <w:t>identifying, prioritizing and managing a</w:t>
            </w: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understand  the  importance  of  linking</w:t>
            </w:r>
          </w:p>
        </w:tc>
        <w:tc>
          <w:tcPr>
            <w:tcW w:w="3340" w:type="dxa"/>
            <w:vAlign w:val="bottom"/>
            <w:gridSpan w:val="7"/>
            <w:shd w:val="clear" w:color="auto" w:fill="F2F3EE"/>
          </w:tcPr>
          <w:p>
            <w:pPr>
              <w:ind w:left="260"/>
              <w:spacing w:after="0"/>
              <w:rPr>
                <w:sz w:val="20"/>
                <w:szCs w:val="20"/>
                <w:color w:val="auto"/>
              </w:rPr>
            </w:pPr>
            <w:r>
              <w:rPr>
                <w:rFonts w:ascii="Arial" w:cs="Arial" w:eastAsia="Arial" w:hAnsi="Arial"/>
                <w:sz w:val="16"/>
                <w:szCs w:val="16"/>
                <w:color w:val="auto"/>
              </w:rPr>
              <w:t>comprehensive information security and</w:t>
            </w:r>
          </w:p>
        </w:tc>
        <w:tc>
          <w:tcPr>
            <w:tcW w:w="3360" w:type="dxa"/>
            <w:vAlign w:val="bottom"/>
            <w:gridSpan w:val="6"/>
            <w:shd w:val="clear" w:color="auto" w:fill="F2F2F2"/>
          </w:tcPr>
          <w:p>
            <w:pPr>
              <w:ind w:left="240"/>
              <w:spacing w:after="0"/>
              <w:rPr>
                <w:sz w:val="20"/>
                <w:szCs w:val="20"/>
                <w:color w:val="auto"/>
              </w:rPr>
            </w:pPr>
            <w:r>
              <w:rPr>
                <w:rFonts w:ascii="Arial" w:cs="Arial" w:eastAsia="Arial" w:hAnsi="Arial"/>
                <w:sz w:val="16"/>
                <w:szCs w:val="16"/>
                <w:color w:val="auto"/>
              </w:rPr>
              <w:t>broad   spectrum   of   complex   and</w:t>
            </w: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sustainability and renewable energy to</w:t>
            </w:r>
          </w:p>
        </w:tc>
        <w:tc>
          <w:tcPr>
            <w:tcW w:w="1260" w:type="dxa"/>
            <w:vAlign w:val="bottom"/>
            <w:gridSpan w:val="3"/>
            <w:shd w:val="clear" w:color="auto" w:fill="F2F3EE"/>
          </w:tcPr>
          <w:p>
            <w:pPr>
              <w:ind w:left="260"/>
              <w:spacing w:after="0"/>
              <w:rPr>
                <w:sz w:val="20"/>
                <w:szCs w:val="20"/>
                <w:color w:val="auto"/>
              </w:rPr>
            </w:pPr>
            <w:r>
              <w:rPr>
                <w:rFonts w:ascii="Arial" w:cs="Arial" w:eastAsia="Arial" w:hAnsi="Arial"/>
                <w:sz w:val="16"/>
                <w:szCs w:val="16"/>
                <w:color w:val="auto"/>
              </w:rPr>
              <w:t>cybersecurity</w:t>
            </w:r>
          </w:p>
        </w:tc>
        <w:tc>
          <w:tcPr>
            <w:tcW w:w="1060" w:type="dxa"/>
            <w:vAlign w:val="bottom"/>
            <w:gridSpan w:val="2"/>
            <w:shd w:val="clear" w:color="auto" w:fill="F2F3EE"/>
          </w:tcPr>
          <w:p>
            <w:pPr>
              <w:ind w:left="320"/>
              <w:spacing w:after="0"/>
              <w:rPr>
                <w:sz w:val="20"/>
                <w:szCs w:val="20"/>
                <w:color w:val="auto"/>
              </w:rPr>
            </w:pPr>
            <w:r>
              <w:rPr>
                <w:rFonts w:ascii="Arial" w:cs="Arial" w:eastAsia="Arial" w:hAnsi="Arial"/>
                <w:sz w:val="16"/>
                <w:szCs w:val="16"/>
                <w:color w:val="auto"/>
                <w:w w:val="99"/>
              </w:rPr>
              <w:t>programs.</w:t>
            </w:r>
          </w:p>
        </w:tc>
        <w:tc>
          <w:tcPr>
            <w:tcW w:w="300" w:type="dxa"/>
            <w:vAlign w:val="bottom"/>
            <w:shd w:val="clear" w:color="auto" w:fill="F2F3EE"/>
          </w:tcPr>
          <w:p>
            <w:pPr>
              <w:spacing w:after="0"/>
              <w:rPr>
                <w:sz w:val="16"/>
                <w:szCs w:val="16"/>
                <w:color w:val="auto"/>
              </w:rPr>
            </w:pPr>
          </w:p>
        </w:tc>
        <w:tc>
          <w:tcPr>
            <w:tcW w:w="720" w:type="dxa"/>
            <w:vAlign w:val="bottom"/>
            <w:shd w:val="clear" w:color="auto" w:fill="F2F3EE"/>
          </w:tcPr>
          <w:p>
            <w:pPr>
              <w:jc w:val="right"/>
              <w:ind w:right="180"/>
              <w:spacing w:after="0"/>
              <w:rPr>
                <w:sz w:val="20"/>
                <w:szCs w:val="20"/>
                <w:color w:val="auto"/>
              </w:rPr>
            </w:pPr>
            <w:r>
              <w:rPr>
                <w:rFonts w:ascii="Arial" w:cs="Arial" w:eastAsia="Arial" w:hAnsi="Arial"/>
                <w:sz w:val="16"/>
                <w:szCs w:val="16"/>
                <w:color w:val="auto"/>
                <w:w w:val="98"/>
              </w:rPr>
              <w:t>These</w:t>
            </w:r>
          </w:p>
        </w:tc>
        <w:tc>
          <w:tcPr>
            <w:tcW w:w="3360" w:type="dxa"/>
            <w:vAlign w:val="bottom"/>
            <w:gridSpan w:val="6"/>
            <w:shd w:val="clear" w:color="auto" w:fill="F2F2F2"/>
          </w:tcPr>
          <w:p>
            <w:pPr>
              <w:ind w:left="240"/>
              <w:spacing w:after="0"/>
              <w:rPr>
                <w:sz w:val="20"/>
                <w:szCs w:val="20"/>
                <w:color w:val="auto"/>
              </w:rPr>
            </w:pPr>
            <w:r>
              <w:rPr>
                <w:rFonts w:ascii="Arial" w:cs="Arial" w:eastAsia="Arial" w:hAnsi="Arial"/>
                <w:sz w:val="16"/>
                <w:szCs w:val="16"/>
                <w:color w:val="auto"/>
              </w:rPr>
              <w:t>significant risks facing a large public</w:t>
            </w: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the creation of long-term stockholder</w:t>
            </w:r>
          </w:p>
        </w:tc>
        <w:tc>
          <w:tcPr>
            <w:tcW w:w="3340" w:type="dxa"/>
            <w:vAlign w:val="bottom"/>
            <w:gridSpan w:val="7"/>
            <w:shd w:val="clear" w:color="auto" w:fill="F2F3EE"/>
          </w:tcPr>
          <w:p>
            <w:pPr>
              <w:ind w:left="260"/>
              <w:spacing w:after="0"/>
              <w:rPr>
                <w:sz w:val="20"/>
                <w:szCs w:val="20"/>
                <w:color w:val="auto"/>
              </w:rPr>
            </w:pPr>
            <w:r>
              <w:rPr>
                <w:rFonts w:ascii="Arial" w:cs="Arial" w:eastAsia="Arial" w:hAnsi="Arial"/>
                <w:sz w:val="16"/>
                <w:szCs w:val="16"/>
                <w:color w:val="auto"/>
              </w:rPr>
              <w:t>individuals also bring knowledge of use of</w:t>
            </w:r>
          </w:p>
        </w:tc>
        <w:tc>
          <w:tcPr>
            <w:tcW w:w="1000" w:type="dxa"/>
            <w:vAlign w:val="bottom"/>
            <w:gridSpan w:val="2"/>
            <w:shd w:val="clear" w:color="auto" w:fill="F2F2F2"/>
          </w:tcPr>
          <w:p>
            <w:pPr>
              <w:ind w:left="240"/>
              <w:spacing w:after="0"/>
              <w:rPr>
                <w:sz w:val="20"/>
                <w:szCs w:val="20"/>
                <w:color w:val="auto"/>
              </w:rPr>
            </w:pPr>
            <w:r>
              <w:rPr>
                <w:rFonts w:ascii="Arial" w:cs="Arial" w:eastAsia="Arial" w:hAnsi="Arial"/>
                <w:sz w:val="16"/>
                <w:szCs w:val="16"/>
                <w:color w:val="auto"/>
              </w:rPr>
              <w:t>company.</w:t>
            </w:r>
          </w:p>
        </w:tc>
        <w:tc>
          <w:tcPr>
            <w:tcW w:w="440" w:type="dxa"/>
            <w:vAlign w:val="bottom"/>
            <w:shd w:val="clear" w:color="auto" w:fill="F2F2F2"/>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52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value,  while  also  operating  in  an</w:t>
            </w:r>
          </w:p>
        </w:tc>
        <w:tc>
          <w:tcPr>
            <w:tcW w:w="3340" w:type="dxa"/>
            <w:vAlign w:val="bottom"/>
            <w:gridSpan w:val="7"/>
            <w:shd w:val="clear" w:color="auto" w:fill="F2F3EE"/>
          </w:tcPr>
          <w:p>
            <w:pPr>
              <w:ind w:left="260"/>
              <w:spacing w:after="0"/>
              <w:rPr>
                <w:sz w:val="20"/>
                <w:szCs w:val="20"/>
                <w:color w:val="auto"/>
              </w:rPr>
            </w:pPr>
            <w:r>
              <w:rPr>
                <w:rFonts w:ascii="Arial" w:cs="Arial" w:eastAsia="Arial" w:hAnsi="Arial"/>
                <w:sz w:val="16"/>
                <w:szCs w:val="16"/>
                <w:color w:val="auto"/>
              </w:rPr>
              <w:t>technology  to  further  the  Company’s</w:t>
            </w:r>
          </w:p>
        </w:tc>
        <w:tc>
          <w:tcPr>
            <w:tcW w:w="780" w:type="dxa"/>
            <w:vAlign w:val="bottom"/>
            <w:shd w:val="clear" w:color="auto" w:fill="F2F2F2"/>
          </w:tcPr>
          <w:p>
            <w:pPr>
              <w:spacing w:after="0"/>
              <w:rPr>
                <w:sz w:val="16"/>
                <w:szCs w:val="16"/>
                <w:color w:val="auto"/>
              </w:rPr>
            </w:pPr>
          </w:p>
        </w:tc>
        <w:tc>
          <w:tcPr>
            <w:tcW w:w="22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52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environmentally sound and responsible</w:t>
            </w:r>
          </w:p>
        </w:tc>
        <w:tc>
          <w:tcPr>
            <w:tcW w:w="3340" w:type="dxa"/>
            <w:vAlign w:val="bottom"/>
            <w:gridSpan w:val="7"/>
            <w:shd w:val="clear" w:color="auto" w:fill="F2F3EE"/>
          </w:tcPr>
          <w:p>
            <w:pPr>
              <w:ind w:left="260"/>
              <w:spacing w:after="0"/>
              <w:rPr>
                <w:sz w:val="20"/>
                <w:szCs w:val="20"/>
                <w:color w:val="auto"/>
              </w:rPr>
            </w:pPr>
            <w:r>
              <w:rPr>
                <w:rFonts w:ascii="Arial" w:cs="Arial" w:eastAsia="Arial" w:hAnsi="Arial"/>
                <w:sz w:val="16"/>
                <w:szCs w:val="16"/>
                <w:color w:val="auto"/>
              </w:rPr>
              <w:t>strategy to enhance customer experience</w:t>
            </w:r>
          </w:p>
        </w:tc>
        <w:tc>
          <w:tcPr>
            <w:tcW w:w="780" w:type="dxa"/>
            <w:vAlign w:val="bottom"/>
            <w:shd w:val="clear" w:color="auto" w:fill="F2F2F2"/>
          </w:tcPr>
          <w:p>
            <w:pPr>
              <w:spacing w:after="0"/>
              <w:rPr>
                <w:sz w:val="16"/>
                <w:szCs w:val="16"/>
                <w:color w:val="auto"/>
              </w:rPr>
            </w:pPr>
          </w:p>
        </w:tc>
        <w:tc>
          <w:tcPr>
            <w:tcW w:w="22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52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980" w:type="dxa"/>
            <w:vAlign w:val="bottom"/>
            <w:gridSpan w:val="2"/>
            <w:shd w:val="clear" w:color="auto" w:fill="F2F2F2"/>
          </w:tcPr>
          <w:p>
            <w:pPr>
              <w:ind w:left="280"/>
              <w:spacing w:after="0"/>
              <w:rPr>
                <w:sz w:val="20"/>
                <w:szCs w:val="20"/>
                <w:color w:val="auto"/>
              </w:rPr>
            </w:pPr>
            <w:r>
              <w:rPr>
                <w:rFonts w:ascii="Arial" w:cs="Arial" w:eastAsia="Arial" w:hAnsi="Arial"/>
                <w:sz w:val="16"/>
                <w:szCs w:val="16"/>
                <w:color w:val="auto"/>
              </w:rPr>
              <w:t>manner.</w:t>
            </w:r>
          </w:p>
        </w:tc>
        <w:tc>
          <w:tcPr>
            <w:tcW w:w="800" w:type="dxa"/>
            <w:vAlign w:val="bottom"/>
            <w:gridSpan w:val="2"/>
            <w:shd w:val="clear" w:color="auto" w:fill="F2F2F2"/>
          </w:tcPr>
          <w:p>
            <w:pPr>
              <w:ind w:left="140"/>
              <w:spacing w:after="0"/>
              <w:rPr>
                <w:sz w:val="20"/>
                <w:szCs w:val="20"/>
                <w:color w:val="auto"/>
              </w:rPr>
            </w:pPr>
            <w:r>
              <w:rPr>
                <w:rFonts w:ascii="Arial" w:cs="Arial" w:eastAsia="Arial" w:hAnsi="Arial"/>
                <w:sz w:val="16"/>
                <w:szCs w:val="16"/>
                <w:color w:val="auto"/>
              </w:rPr>
              <w:t>These</w:t>
            </w:r>
          </w:p>
        </w:tc>
        <w:tc>
          <w:tcPr>
            <w:tcW w:w="1000" w:type="dxa"/>
            <w:vAlign w:val="bottom"/>
            <w:gridSpan w:val="2"/>
            <w:shd w:val="clear" w:color="auto" w:fill="F2F2F2"/>
          </w:tcPr>
          <w:p>
            <w:pPr>
              <w:ind w:left="20"/>
              <w:spacing w:after="0"/>
              <w:rPr>
                <w:sz w:val="20"/>
                <w:szCs w:val="20"/>
                <w:color w:val="auto"/>
              </w:rPr>
            </w:pPr>
            <w:r>
              <w:rPr>
                <w:rFonts w:ascii="Arial" w:cs="Arial" w:eastAsia="Arial" w:hAnsi="Arial"/>
                <w:sz w:val="16"/>
                <w:szCs w:val="16"/>
                <w:color w:val="auto"/>
              </w:rPr>
              <w:t>individuals</w:t>
            </w:r>
          </w:p>
        </w:tc>
        <w:tc>
          <w:tcPr>
            <w:tcW w:w="580" w:type="dxa"/>
            <w:vAlign w:val="bottom"/>
            <w:shd w:val="clear" w:color="auto" w:fill="F2F2F2"/>
          </w:tcPr>
          <w:p>
            <w:pPr>
              <w:jc w:val="right"/>
              <w:ind w:right="180"/>
              <w:spacing w:after="0"/>
              <w:rPr>
                <w:sz w:val="20"/>
                <w:szCs w:val="20"/>
                <w:color w:val="auto"/>
              </w:rPr>
            </w:pPr>
            <w:r>
              <w:rPr>
                <w:rFonts w:ascii="Arial" w:cs="Arial" w:eastAsia="Arial" w:hAnsi="Arial"/>
                <w:sz w:val="16"/>
                <w:szCs w:val="16"/>
                <w:color w:val="auto"/>
              </w:rPr>
              <w:t>also</w:t>
            </w:r>
          </w:p>
        </w:tc>
        <w:tc>
          <w:tcPr>
            <w:tcW w:w="3340" w:type="dxa"/>
            <w:vAlign w:val="bottom"/>
            <w:gridSpan w:val="7"/>
            <w:shd w:val="clear" w:color="auto" w:fill="F2F3EE"/>
          </w:tcPr>
          <w:p>
            <w:pPr>
              <w:ind w:left="260"/>
              <w:spacing w:after="0"/>
              <w:rPr>
                <w:sz w:val="20"/>
                <w:szCs w:val="20"/>
                <w:color w:val="auto"/>
              </w:rPr>
            </w:pPr>
            <w:r>
              <w:rPr>
                <w:rFonts w:ascii="Arial" w:cs="Arial" w:eastAsia="Arial" w:hAnsi="Arial"/>
                <w:sz w:val="16"/>
                <w:szCs w:val="16"/>
                <w:color w:val="auto"/>
              </w:rPr>
              <w:t>and  reduce  costs  and  labor  intensity</w:t>
            </w:r>
          </w:p>
        </w:tc>
        <w:tc>
          <w:tcPr>
            <w:tcW w:w="780" w:type="dxa"/>
            <w:vAlign w:val="bottom"/>
            <w:shd w:val="clear" w:color="auto" w:fill="F2F2F2"/>
          </w:tcPr>
          <w:p>
            <w:pPr>
              <w:spacing w:after="0"/>
              <w:rPr>
                <w:sz w:val="16"/>
                <w:szCs w:val="16"/>
                <w:color w:val="auto"/>
              </w:rPr>
            </w:pPr>
          </w:p>
        </w:tc>
        <w:tc>
          <w:tcPr>
            <w:tcW w:w="22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52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understand the regulatory environment in</w:t>
            </w:r>
          </w:p>
        </w:tc>
        <w:tc>
          <w:tcPr>
            <w:tcW w:w="1800" w:type="dxa"/>
            <w:vAlign w:val="bottom"/>
            <w:gridSpan w:val="4"/>
            <w:shd w:val="clear" w:color="auto" w:fill="F2F3EE"/>
          </w:tcPr>
          <w:p>
            <w:pPr>
              <w:ind w:left="260"/>
              <w:spacing w:after="0"/>
              <w:rPr>
                <w:sz w:val="20"/>
                <w:szCs w:val="20"/>
                <w:color w:val="auto"/>
              </w:rPr>
            </w:pPr>
            <w:r>
              <w:rPr>
                <w:rFonts w:ascii="Arial" w:cs="Arial" w:eastAsia="Arial" w:hAnsi="Arial"/>
                <w:sz w:val="16"/>
                <w:szCs w:val="16"/>
                <w:color w:val="auto"/>
              </w:rPr>
              <w:t>through automation.</w:t>
            </w:r>
          </w:p>
        </w:tc>
        <w:tc>
          <w:tcPr>
            <w:tcW w:w="520" w:type="dxa"/>
            <w:vAlign w:val="bottom"/>
            <w:shd w:val="clear" w:color="auto" w:fill="F2F3EE"/>
          </w:tcPr>
          <w:p>
            <w:pPr>
              <w:spacing w:after="0"/>
              <w:rPr>
                <w:sz w:val="16"/>
                <w:szCs w:val="16"/>
                <w:color w:val="auto"/>
              </w:rPr>
            </w:pPr>
          </w:p>
        </w:tc>
        <w:tc>
          <w:tcPr>
            <w:tcW w:w="300" w:type="dxa"/>
            <w:vAlign w:val="bottom"/>
            <w:shd w:val="clear" w:color="auto" w:fill="F2F3EE"/>
          </w:tcPr>
          <w:p>
            <w:pPr>
              <w:spacing w:after="0"/>
              <w:rPr>
                <w:sz w:val="16"/>
                <w:szCs w:val="16"/>
                <w:color w:val="auto"/>
              </w:rPr>
            </w:pPr>
          </w:p>
        </w:tc>
        <w:tc>
          <w:tcPr>
            <w:tcW w:w="720" w:type="dxa"/>
            <w:vAlign w:val="bottom"/>
            <w:shd w:val="clear" w:color="auto" w:fill="F2F3EE"/>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22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52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which the Company operates and the</w:t>
            </w:r>
          </w:p>
        </w:tc>
        <w:tc>
          <w:tcPr>
            <w:tcW w:w="780" w:type="dxa"/>
            <w:vAlign w:val="bottom"/>
            <w:shd w:val="clear" w:color="auto" w:fill="F2F3EE"/>
          </w:tcPr>
          <w:p>
            <w:pPr>
              <w:spacing w:after="0"/>
              <w:rPr>
                <w:sz w:val="16"/>
                <w:szCs w:val="16"/>
                <w:color w:val="auto"/>
              </w:rPr>
            </w:pPr>
          </w:p>
        </w:tc>
        <w:tc>
          <w:tcPr>
            <w:tcW w:w="200" w:type="dxa"/>
            <w:vAlign w:val="bottom"/>
            <w:shd w:val="clear" w:color="auto" w:fill="F2F3EE"/>
          </w:tcPr>
          <w:p>
            <w:pPr>
              <w:spacing w:after="0"/>
              <w:rPr>
                <w:sz w:val="16"/>
                <w:szCs w:val="16"/>
                <w:color w:val="auto"/>
              </w:rPr>
            </w:pPr>
          </w:p>
        </w:tc>
        <w:tc>
          <w:tcPr>
            <w:tcW w:w="280" w:type="dxa"/>
            <w:vAlign w:val="bottom"/>
            <w:shd w:val="clear" w:color="auto" w:fill="F2F3EE"/>
          </w:tcPr>
          <w:p>
            <w:pPr>
              <w:spacing w:after="0"/>
              <w:rPr>
                <w:sz w:val="16"/>
                <w:szCs w:val="16"/>
                <w:color w:val="auto"/>
              </w:rPr>
            </w:pPr>
          </w:p>
        </w:tc>
        <w:tc>
          <w:tcPr>
            <w:tcW w:w="540" w:type="dxa"/>
            <w:vAlign w:val="bottom"/>
            <w:shd w:val="clear" w:color="auto" w:fill="F2F3EE"/>
          </w:tcPr>
          <w:p>
            <w:pPr>
              <w:spacing w:after="0"/>
              <w:rPr>
                <w:sz w:val="16"/>
                <w:szCs w:val="16"/>
                <w:color w:val="auto"/>
              </w:rPr>
            </w:pPr>
          </w:p>
        </w:tc>
        <w:tc>
          <w:tcPr>
            <w:tcW w:w="520" w:type="dxa"/>
            <w:vAlign w:val="bottom"/>
            <w:shd w:val="clear" w:color="auto" w:fill="F2F3EE"/>
          </w:tcPr>
          <w:p>
            <w:pPr>
              <w:spacing w:after="0"/>
              <w:rPr>
                <w:sz w:val="16"/>
                <w:szCs w:val="16"/>
                <w:color w:val="auto"/>
              </w:rPr>
            </w:pPr>
          </w:p>
        </w:tc>
        <w:tc>
          <w:tcPr>
            <w:tcW w:w="300" w:type="dxa"/>
            <w:vAlign w:val="bottom"/>
            <w:shd w:val="clear" w:color="auto" w:fill="F2F3EE"/>
          </w:tcPr>
          <w:p>
            <w:pPr>
              <w:spacing w:after="0"/>
              <w:rPr>
                <w:sz w:val="16"/>
                <w:szCs w:val="16"/>
                <w:color w:val="auto"/>
              </w:rPr>
            </w:pPr>
          </w:p>
        </w:tc>
        <w:tc>
          <w:tcPr>
            <w:tcW w:w="720" w:type="dxa"/>
            <w:vAlign w:val="bottom"/>
            <w:shd w:val="clear" w:color="auto" w:fill="F2F3EE"/>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22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52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connection of sustainability and corporate</w:t>
            </w:r>
          </w:p>
        </w:tc>
        <w:tc>
          <w:tcPr>
            <w:tcW w:w="780" w:type="dxa"/>
            <w:vAlign w:val="bottom"/>
            <w:shd w:val="clear" w:color="auto" w:fill="F2F3EE"/>
          </w:tcPr>
          <w:p>
            <w:pPr>
              <w:spacing w:after="0"/>
              <w:rPr>
                <w:sz w:val="16"/>
                <w:szCs w:val="16"/>
                <w:color w:val="auto"/>
              </w:rPr>
            </w:pPr>
          </w:p>
        </w:tc>
        <w:tc>
          <w:tcPr>
            <w:tcW w:w="200" w:type="dxa"/>
            <w:vAlign w:val="bottom"/>
            <w:shd w:val="clear" w:color="auto" w:fill="F2F3EE"/>
          </w:tcPr>
          <w:p>
            <w:pPr>
              <w:spacing w:after="0"/>
              <w:rPr>
                <w:sz w:val="16"/>
                <w:szCs w:val="16"/>
                <w:color w:val="auto"/>
              </w:rPr>
            </w:pPr>
          </w:p>
        </w:tc>
        <w:tc>
          <w:tcPr>
            <w:tcW w:w="280" w:type="dxa"/>
            <w:vAlign w:val="bottom"/>
            <w:shd w:val="clear" w:color="auto" w:fill="F2F3EE"/>
          </w:tcPr>
          <w:p>
            <w:pPr>
              <w:spacing w:after="0"/>
              <w:rPr>
                <w:sz w:val="16"/>
                <w:szCs w:val="16"/>
                <w:color w:val="auto"/>
              </w:rPr>
            </w:pPr>
          </w:p>
        </w:tc>
        <w:tc>
          <w:tcPr>
            <w:tcW w:w="540" w:type="dxa"/>
            <w:vAlign w:val="bottom"/>
            <w:shd w:val="clear" w:color="auto" w:fill="F2F3EE"/>
          </w:tcPr>
          <w:p>
            <w:pPr>
              <w:spacing w:after="0"/>
              <w:rPr>
                <w:sz w:val="16"/>
                <w:szCs w:val="16"/>
                <w:color w:val="auto"/>
              </w:rPr>
            </w:pPr>
          </w:p>
        </w:tc>
        <w:tc>
          <w:tcPr>
            <w:tcW w:w="520" w:type="dxa"/>
            <w:vAlign w:val="bottom"/>
            <w:shd w:val="clear" w:color="auto" w:fill="F2F3EE"/>
          </w:tcPr>
          <w:p>
            <w:pPr>
              <w:spacing w:after="0"/>
              <w:rPr>
                <w:sz w:val="16"/>
                <w:szCs w:val="16"/>
                <w:color w:val="auto"/>
              </w:rPr>
            </w:pPr>
          </w:p>
        </w:tc>
        <w:tc>
          <w:tcPr>
            <w:tcW w:w="300" w:type="dxa"/>
            <w:vAlign w:val="bottom"/>
            <w:shd w:val="clear" w:color="auto" w:fill="F2F3EE"/>
          </w:tcPr>
          <w:p>
            <w:pPr>
              <w:spacing w:after="0"/>
              <w:rPr>
                <w:sz w:val="16"/>
                <w:szCs w:val="16"/>
                <w:color w:val="auto"/>
              </w:rPr>
            </w:pPr>
          </w:p>
        </w:tc>
        <w:tc>
          <w:tcPr>
            <w:tcW w:w="720" w:type="dxa"/>
            <w:vAlign w:val="bottom"/>
            <w:shd w:val="clear" w:color="auto" w:fill="F2F3EE"/>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22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52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responsibility  to  the  Company’s  long-</w:t>
            </w:r>
          </w:p>
        </w:tc>
        <w:tc>
          <w:tcPr>
            <w:tcW w:w="780" w:type="dxa"/>
            <w:vAlign w:val="bottom"/>
            <w:shd w:val="clear" w:color="auto" w:fill="F2F3EE"/>
          </w:tcPr>
          <w:p>
            <w:pPr>
              <w:spacing w:after="0"/>
              <w:rPr>
                <w:sz w:val="16"/>
                <w:szCs w:val="16"/>
                <w:color w:val="auto"/>
              </w:rPr>
            </w:pPr>
          </w:p>
        </w:tc>
        <w:tc>
          <w:tcPr>
            <w:tcW w:w="200" w:type="dxa"/>
            <w:vAlign w:val="bottom"/>
            <w:shd w:val="clear" w:color="auto" w:fill="F2F3EE"/>
          </w:tcPr>
          <w:p>
            <w:pPr>
              <w:spacing w:after="0"/>
              <w:rPr>
                <w:sz w:val="16"/>
                <w:szCs w:val="16"/>
                <w:color w:val="auto"/>
              </w:rPr>
            </w:pPr>
          </w:p>
        </w:tc>
        <w:tc>
          <w:tcPr>
            <w:tcW w:w="280" w:type="dxa"/>
            <w:vAlign w:val="bottom"/>
            <w:shd w:val="clear" w:color="auto" w:fill="F2F3EE"/>
          </w:tcPr>
          <w:p>
            <w:pPr>
              <w:spacing w:after="0"/>
              <w:rPr>
                <w:sz w:val="16"/>
                <w:szCs w:val="16"/>
                <w:color w:val="auto"/>
              </w:rPr>
            </w:pPr>
          </w:p>
        </w:tc>
        <w:tc>
          <w:tcPr>
            <w:tcW w:w="540" w:type="dxa"/>
            <w:vAlign w:val="bottom"/>
            <w:shd w:val="clear" w:color="auto" w:fill="F2F3EE"/>
          </w:tcPr>
          <w:p>
            <w:pPr>
              <w:spacing w:after="0"/>
              <w:rPr>
                <w:sz w:val="16"/>
                <w:szCs w:val="16"/>
                <w:color w:val="auto"/>
              </w:rPr>
            </w:pPr>
          </w:p>
        </w:tc>
        <w:tc>
          <w:tcPr>
            <w:tcW w:w="520" w:type="dxa"/>
            <w:vAlign w:val="bottom"/>
            <w:shd w:val="clear" w:color="auto" w:fill="F2F3EE"/>
          </w:tcPr>
          <w:p>
            <w:pPr>
              <w:spacing w:after="0"/>
              <w:rPr>
                <w:sz w:val="16"/>
                <w:szCs w:val="16"/>
                <w:color w:val="auto"/>
              </w:rPr>
            </w:pPr>
          </w:p>
        </w:tc>
        <w:tc>
          <w:tcPr>
            <w:tcW w:w="300" w:type="dxa"/>
            <w:vAlign w:val="bottom"/>
            <w:shd w:val="clear" w:color="auto" w:fill="F2F3EE"/>
          </w:tcPr>
          <w:p>
            <w:pPr>
              <w:spacing w:after="0"/>
              <w:rPr>
                <w:sz w:val="16"/>
                <w:szCs w:val="16"/>
                <w:color w:val="auto"/>
              </w:rPr>
            </w:pPr>
          </w:p>
        </w:tc>
        <w:tc>
          <w:tcPr>
            <w:tcW w:w="720" w:type="dxa"/>
            <w:vAlign w:val="bottom"/>
            <w:shd w:val="clear" w:color="auto" w:fill="F2F3EE"/>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22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52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3360" w:type="dxa"/>
            <w:vAlign w:val="bottom"/>
            <w:gridSpan w:val="7"/>
            <w:shd w:val="clear" w:color="auto" w:fill="F2F2F2"/>
          </w:tcPr>
          <w:p>
            <w:pPr>
              <w:ind w:left="280"/>
              <w:spacing w:after="0"/>
              <w:rPr>
                <w:sz w:val="20"/>
                <w:szCs w:val="20"/>
                <w:color w:val="auto"/>
              </w:rPr>
            </w:pPr>
            <w:r>
              <w:rPr>
                <w:rFonts w:ascii="Arial" w:cs="Arial" w:eastAsia="Arial" w:hAnsi="Arial"/>
                <w:sz w:val="16"/>
                <w:szCs w:val="16"/>
                <w:color w:val="auto"/>
              </w:rPr>
              <w:t>standing commitment to environmental</w:t>
            </w:r>
          </w:p>
        </w:tc>
        <w:tc>
          <w:tcPr>
            <w:tcW w:w="780" w:type="dxa"/>
            <w:vAlign w:val="bottom"/>
            <w:shd w:val="clear" w:color="auto" w:fill="F2F3EE"/>
          </w:tcPr>
          <w:p>
            <w:pPr>
              <w:spacing w:after="0"/>
              <w:rPr>
                <w:sz w:val="16"/>
                <w:szCs w:val="16"/>
                <w:color w:val="auto"/>
              </w:rPr>
            </w:pPr>
          </w:p>
        </w:tc>
        <w:tc>
          <w:tcPr>
            <w:tcW w:w="200" w:type="dxa"/>
            <w:vAlign w:val="bottom"/>
            <w:shd w:val="clear" w:color="auto" w:fill="F2F3EE"/>
          </w:tcPr>
          <w:p>
            <w:pPr>
              <w:spacing w:after="0"/>
              <w:rPr>
                <w:sz w:val="16"/>
                <w:szCs w:val="16"/>
                <w:color w:val="auto"/>
              </w:rPr>
            </w:pPr>
          </w:p>
        </w:tc>
        <w:tc>
          <w:tcPr>
            <w:tcW w:w="280" w:type="dxa"/>
            <w:vAlign w:val="bottom"/>
            <w:shd w:val="clear" w:color="auto" w:fill="F2F3EE"/>
          </w:tcPr>
          <w:p>
            <w:pPr>
              <w:spacing w:after="0"/>
              <w:rPr>
                <w:sz w:val="16"/>
                <w:szCs w:val="16"/>
                <w:color w:val="auto"/>
              </w:rPr>
            </w:pPr>
          </w:p>
        </w:tc>
        <w:tc>
          <w:tcPr>
            <w:tcW w:w="540" w:type="dxa"/>
            <w:vAlign w:val="bottom"/>
            <w:shd w:val="clear" w:color="auto" w:fill="F2F3EE"/>
          </w:tcPr>
          <w:p>
            <w:pPr>
              <w:spacing w:after="0"/>
              <w:rPr>
                <w:sz w:val="16"/>
                <w:szCs w:val="16"/>
                <w:color w:val="auto"/>
              </w:rPr>
            </w:pPr>
          </w:p>
        </w:tc>
        <w:tc>
          <w:tcPr>
            <w:tcW w:w="520" w:type="dxa"/>
            <w:vAlign w:val="bottom"/>
            <w:shd w:val="clear" w:color="auto" w:fill="F2F3EE"/>
          </w:tcPr>
          <w:p>
            <w:pPr>
              <w:spacing w:after="0"/>
              <w:rPr>
                <w:sz w:val="16"/>
                <w:szCs w:val="16"/>
                <w:color w:val="auto"/>
              </w:rPr>
            </w:pPr>
          </w:p>
        </w:tc>
        <w:tc>
          <w:tcPr>
            <w:tcW w:w="300" w:type="dxa"/>
            <w:vAlign w:val="bottom"/>
            <w:shd w:val="clear" w:color="auto" w:fill="F2F3EE"/>
          </w:tcPr>
          <w:p>
            <w:pPr>
              <w:spacing w:after="0"/>
              <w:rPr>
                <w:sz w:val="16"/>
                <w:szCs w:val="16"/>
                <w:color w:val="auto"/>
              </w:rPr>
            </w:pPr>
          </w:p>
        </w:tc>
        <w:tc>
          <w:tcPr>
            <w:tcW w:w="720" w:type="dxa"/>
            <w:vAlign w:val="bottom"/>
            <w:shd w:val="clear" w:color="auto" w:fill="F2F3EE"/>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22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52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91"/>
        </w:trPr>
        <w:tc>
          <w:tcPr>
            <w:tcW w:w="1380" w:type="dxa"/>
            <w:vAlign w:val="bottom"/>
            <w:gridSpan w:val="3"/>
            <w:shd w:val="clear" w:color="auto" w:fill="F2F2F2"/>
          </w:tcPr>
          <w:p>
            <w:pPr>
              <w:ind w:left="280"/>
              <w:spacing w:after="0"/>
              <w:rPr>
                <w:sz w:val="20"/>
                <w:szCs w:val="20"/>
                <w:color w:val="auto"/>
              </w:rPr>
            </w:pPr>
            <w:r>
              <w:rPr>
                <w:rFonts w:ascii="Arial" w:cs="Arial" w:eastAsia="Arial" w:hAnsi="Arial"/>
                <w:sz w:val="16"/>
                <w:szCs w:val="16"/>
                <w:color w:val="auto"/>
              </w:rPr>
              <w:t>stewardship.</w:t>
            </w:r>
          </w:p>
        </w:tc>
        <w:tc>
          <w:tcPr>
            <w:tcW w:w="400" w:type="dxa"/>
            <w:vAlign w:val="bottom"/>
            <w:shd w:val="clear" w:color="auto" w:fill="F2F2F2"/>
          </w:tcPr>
          <w:p>
            <w:pPr>
              <w:spacing w:after="0"/>
              <w:rPr>
                <w:sz w:val="16"/>
                <w:szCs w:val="16"/>
                <w:color w:val="auto"/>
              </w:rPr>
            </w:pPr>
          </w:p>
        </w:tc>
        <w:tc>
          <w:tcPr>
            <w:tcW w:w="500" w:type="dxa"/>
            <w:vAlign w:val="bottom"/>
            <w:shd w:val="clear" w:color="auto" w:fill="F2F2F2"/>
          </w:tcPr>
          <w:p>
            <w:pPr>
              <w:spacing w:after="0"/>
              <w:rPr>
                <w:sz w:val="16"/>
                <w:szCs w:val="16"/>
                <w:color w:val="auto"/>
              </w:rPr>
            </w:pPr>
          </w:p>
        </w:tc>
        <w:tc>
          <w:tcPr>
            <w:tcW w:w="500" w:type="dxa"/>
            <w:vAlign w:val="bottom"/>
            <w:shd w:val="clear" w:color="auto" w:fill="F2F2F2"/>
          </w:tcPr>
          <w:p>
            <w:pPr>
              <w:spacing w:after="0"/>
              <w:rPr>
                <w:sz w:val="16"/>
                <w:szCs w:val="16"/>
                <w:color w:val="auto"/>
              </w:rPr>
            </w:pPr>
          </w:p>
        </w:tc>
        <w:tc>
          <w:tcPr>
            <w:tcW w:w="580" w:type="dxa"/>
            <w:vAlign w:val="bottom"/>
            <w:shd w:val="clear" w:color="auto" w:fill="F2F2F2"/>
          </w:tcPr>
          <w:p>
            <w:pPr>
              <w:spacing w:after="0"/>
              <w:rPr>
                <w:sz w:val="16"/>
                <w:szCs w:val="16"/>
                <w:color w:val="auto"/>
              </w:rPr>
            </w:pPr>
          </w:p>
        </w:tc>
        <w:tc>
          <w:tcPr>
            <w:tcW w:w="780" w:type="dxa"/>
            <w:vAlign w:val="bottom"/>
            <w:shd w:val="clear" w:color="auto" w:fill="F2F3EE"/>
          </w:tcPr>
          <w:p>
            <w:pPr>
              <w:spacing w:after="0"/>
              <w:rPr>
                <w:sz w:val="16"/>
                <w:szCs w:val="16"/>
                <w:color w:val="auto"/>
              </w:rPr>
            </w:pPr>
          </w:p>
        </w:tc>
        <w:tc>
          <w:tcPr>
            <w:tcW w:w="200" w:type="dxa"/>
            <w:vAlign w:val="bottom"/>
            <w:shd w:val="clear" w:color="auto" w:fill="F2F3EE"/>
          </w:tcPr>
          <w:p>
            <w:pPr>
              <w:spacing w:after="0"/>
              <w:rPr>
                <w:sz w:val="16"/>
                <w:szCs w:val="16"/>
                <w:color w:val="auto"/>
              </w:rPr>
            </w:pPr>
          </w:p>
        </w:tc>
        <w:tc>
          <w:tcPr>
            <w:tcW w:w="280" w:type="dxa"/>
            <w:vAlign w:val="bottom"/>
            <w:shd w:val="clear" w:color="auto" w:fill="F2F3EE"/>
          </w:tcPr>
          <w:p>
            <w:pPr>
              <w:spacing w:after="0"/>
              <w:rPr>
                <w:sz w:val="16"/>
                <w:szCs w:val="16"/>
                <w:color w:val="auto"/>
              </w:rPr>
            </w:pPr>
          </w:p>
        </w:tc>
        <w:tc>
          <w:tcPr>
            <w:tcW w:w="540" w:type="dxa"/>
            <w:vAlign w:val="bottom"/>
            <w:shd w:val="clear" w:color="auto" w:fill="F2F3EE"/>
          </w:tcPr>
          <w:p>
            <w:pPr>
              <w:spacing w:after="0"/>
              <w:rPr>
                <w:sz w:val="16"/>
                <w:szCs w:val="16"/>
                <w:color w:val="auto"/>
              </w:rPr>
            </w:pPr>
          </w:p>
        </w:tc>
        <w:tc>
          <w:tcPr>
            <w:tcW w:w="520" w:type="dxa"/>
            <w:vAlign w:val="bottom"/>
            <w:shd w:val="clear" w:color="auto" w:fill="F2F3EE"/>
          </w:tcPr>
          <w:p>
            <w:pPr>
              <w:spacing w:after="0"/>
              <w:rPr>
                <w:sz w:val="16"/>
                <w:szCs w:val="16"/>
                <w:color w:val="auto"/>
              </w:rPr>
            </w:pPr>
          </w:p>
        </w:tc>
        <w:tc>
          <w:tcPr>
            <w:tcW w:w="300" w:type="dxa"/>
            <w:vAlign w:val="bottom"/>
            <w:shd w:val="clear" w:color="auto" w:fill="F2F3EE"/>
          </w:tcPr>
          <w:p>
            <w:pPr>
              <w:spacing w:after="0"/>
              <w:rPr>
                <w:sz w:val="16"/>
                <w:szCs w:val="16"/>
                <w:color w:val="auto"/>
              </w:rPr>
            </w:pPr>
          </w:p>
        </w:tc>
        <w:tc>
          <w:tcPr>
            <w:tcW w:w="720" w:type="dxa"/>
            <w:vAlign w:val="bottom"/>
            <w:shd w:val="clear" w:color="auto" w:fill="F2F3EE"/>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22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680" w:type="dxa"/>
            <w:vAlign w:val="bottom"/>
            <w:shd w:val="clear" w:color="auto" w:fill="F2F2F2"/>
          </w:tcPr>
          <w:p>
            <w:pPr>
              <w:spacing w:after="0"/>
              <w:rPr>
                <w:sz w:val="16"/>
                <w:szCs w:val="16"/>
                <w:color w:val="auto"/>
              </w:rPr>
            </w:pPr>
          </w:p>
        </w:tc>
        <w:tc>
          <w:tcPr>
            <w:tcW w:w="52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125"/>
        </w:trPr>
        <w:tc>
          <w:tcPr>
            <w:tcW w:w="800" w:type="dxa"/>
            <w:vAlign w:val="bottom"/>
            <w:shd w:val="clear" w:color="auto" w:fill="F2F2F2"/>
          </w:tcPr>
          <w:p>
            <w:pPr>
              <w:spacing w:after="0"/>
              <w:rPr>
                <w:sz w:val="10"/>
                <w:szCs w:val="10"/>
                <w:color w:val="auto"/>
              </w:rPr>
            </w:pPr>
          </w:p>
        </w:tc>
        <w:tc>
          <w:tcPr>
            <w:tcW w:w="180" w:type="dxa"/>
            <w:vAlign w:val="bottom"/>
            <w:shd w:val="clear" w:color="auto" w:fill="F2F2F2"/>
          </w:tcPr>
          <w:p>
            <w:pPr>
              <w:spacing w:after="0"/>
              <w:rPr>
                <w:sz w:val="10"/>
                <w:szCs w:val="10"/>
                <w:color w:val="auto"/>
              </w:rPr>
            </w:pPr>
          </w:p>
        </w:tc>
        <w:tc>
          <w:tcPr>
            <w:tcW w:w="400" w:type="dxa"/>
            <w:vAlign w:val="bottom"/>
            <w:shd w:val="clear" w:color="auto" w:fill="F2F2F2"/>
          </w:tcPr>
          <w:p>
            <w:pPr>
              <w:spacing w:after="0"/>
              <w:rPr>
                <w:sz w:val="10"/>
                <w:szCs w:val="10"/>
                <w:color w:val="auto"/>
              </w:rPr>
            </w:pPr>
          </w:p>
        </w:tc>
        <w:tc>
          <w:tcPr>
            <w:tcW w:w="400" w:type="dxa"/>
            <w:vAlign w:val="bottom"/>
            <w:shd w:val="clear" w:color="auto" w:fill="F2F2F2"/>
          </w:tcPr>
          <w:p>
            <w:pPr>
              <w:spacing w:after="0"/>
              <w:rPr>
                <w:sz w:val="10"/>
                <w:szCs w:val="10"/>
                <w:color w:val="auto"/>
              </w:rPr>
            </w:pPr>
          </w:p>
        </w:tc>
        <w:tc>
          <w:tcPr>
            <w:tcW w:w="500" w:type="dxa"/>
            <w:vAlign w:val="bottom"/>
            <w:shd w:val="clear" w:color="auto" w:fill="F2F2F2"/>
          </w:tcPr>
          <w:p>
            <w:pPr>
              <w:spacing w:after="0"/>
              <w:rPr>
                <w:sz w:val="10"/>
                <w:szCs w:val="10"/>
                <w:color w:val="auto"/>
              </w:rPr>
            </w:pPr>
          </w:p>
        </w:tc>
        <w:tc>
          <w:tcPr>
            <w:tcW w:w="500" w:type="dxa"/>
            <w:vAlign w:val="bottom"/>
            <w:shd w:val="clear" w:color="auto" w:fill="F2F2F2"/>
          </w:tcPr>
          <w:p>
            <w:pPr>
              <w:spacing w:after="0"/>
              <w:rPr>
                <w:sz w:val="10"/>
                <w:szCs w:val="10"/>
                <w:color w:val="auto"/>
              </w:rPr>
            </w:pPr>
          </w:p>
        </w:tc>
        <w:tc>
          <w:tcPr>
            <w:tcW w:w="580" w:type="dxa"/>
            <w:vAlign w:val="bottom"/>
            <w:shd w:val="clear" w:color="auto" w:fill="F2F2F2"/>
          </w:tcPr>
          <w:p>
            <w:pPr>
              <w:spacing w:after="0"/>
              <w:rPr>
                <w:sz w:val="10"/>
                <w:szCs w:val="10"/>
                <w:color w:val="auto"/>
              </w:rPr>
            </w:pPr>
          </w:p>
        </w:tc>
        <w:tc>
          <w:tcPr>
            <w:tcW w:w="780" w:type="dxa"/>
            <w:vAlign w:val="bottom"/>
            <w:shd w:val="clear" w:color="auto" w:fill="F2F3EE"/>
          </w:tcPr>
          <w:p>
            <w:pPr>
              <w:spacing w:after="0"/>
              <w:rPr>
                <w:sz w:val="10"/>
                <w:szCs w:val="10"/>
                <w:color w:val="auto"/>
              </w:rPr>
            </w:pPr>
          </w:p>
        </w:tc>
        <w:tc>
          <w:tcPr>
            <w:tcW w:w="200" w:type="dxa"/>
            <w:vAlign w:val="bottom"/>
            <w:shd w:val="clear" w:color="auto" w:fill="F2F3EE"/>
          </w:tcPr>
          <w:p>
            <w:pPr>
              <w:spacing w:after="0"/>
              <w:rPr>
                <w:sz w:val="10"/>
                <w:szCs w:val="10"/>
                <w:color w:val="auto"/>
              </w:rPr>
            </w:pPr>
          </w:p>
        </w:tc>
        <w:tc>
          <w:tcPr>
            <w:tcW w:w="280" w:type="dxa"/>
            <w:vAlign w:val="bottom"/>
            <w:shd w:val="clear" w:color="auto" w:fill="F2F3EE"/>
          </w:tcPr>
          <w:p>
            <w:pPr>
              <w:spacing w:after="0"/>
              <w:rPr>
                <w:sz w:val="10"/>
                <w:szCs w:val="10"/>
                <w:color w:val="auto"/>
              </w:rPr>
            </w:pPr>
          </w:p>
        </w:tc>
        <w:tc>
          <w:tcPr>
            <w:tcW w:w="540" w:type="dxa"/>
            <w:vAlign w:val="bottom"/>
            <w:shd w:val="clear" w:color="auto" w:fill="F2F3EE"/>
          </w:tcPr>
          <w:p>
            <w:pPr>
              <w:spacing w:after="0"/>
              <w:rPr>
                <w:sz w:val="10"/>
                <w:szCs w:val="10"/>
                <w:color w:val="auto"/>
              </w:rPr>
            </w:pPr>
          </w:p>
        </w:tc>
        <w:tc>
          <w:tcPr>
            <w:tcW w:w="520" w:type="dxa"/>
            <w:vAlign w:val="bottom"/>
            <w:shd w:val="clear" w:color="auto" w:fill="F2F3EE"/>
          </w:tcPr>
          <w:p>
            <w:pPr>
              <w:spacing w:after="0"/>
              <w:rPr>
                <w:sz w:val="10"/>
                <w:szCs w:val="10"/>
                <w:color w:val="auto"/>
              </w:rPr>
            </w:pPr>
          </w:p>
        </w:tc>
        <w:tc>
          <w:tcPr>
            <w:tcW w:w="300" w:type="dxa"/>
            <w:vAlign w:val="bottom"/>
            <w:shd w:val="clear" w:color="auto" w:fill="F2F3EE"/>
          </w:tcPr>
          <w:p>
            <w:pPr>
              <w:spacing w:after="0"/>
              <w:rPr>
                <w:sz w:val="10"/>
                <w:szCs w:val="10"/>
                <w:color w:val="auto"/>
              </w:rPr>
            </w:pPr>
          </w:p>
        </w:tc>
        <w:tc>
          <w:tcPr>
            <w:tcW w:w="720" w:type="dxa"/>
            <w:vAlign w:val="bottom"/>
            <w:shd w:val="clear" w:color="auto" w:fill="F2F3EE"/>
          </w:tcPr>
          <w:p>
            <w:pPr>
              <w:spacing w:after="0"/>
              <w:rPr>
                <w:sz w:val="10"/>
                <w:szCs w:val="10"/>
                <w:color w:val="auto"/>
              </w:rPr>
            </w:pPr>
          </w:p>
        </w:tc>
        <w:tc>
          <w:tcPr>
            <w:tcW w:w="78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440" w:type="dxa"/>
            <w:vAlign w:val="bottom"/>
            <w:shd w:val="clear" w:color="auto" w:fill="F2F2F2"/>
          </w:tcPr>
          <w:p>
            <w:pPr>
              <w:spacing w:after="0"/>
              <w:rPr>
                <w:sz w:val="10"/>
                <w:szCs w:val="10"/>
                <w:color w:val="auto"/>
              </w:rPr>
            </w:pPr>
          </w:p>
        </w:tc>
        <w:tc>
          <w:tcPr>
            <w:tcW w:w="680" w:type="dxa"/>
            <w:vAlign w:val="bottom"/>
            <w:shd w:val="clear" w:color="auto" w:fill="F2F2F2"/>
          </w:tcPr>
          <w:p>
            <w:pPr>
              <w:spacing w:after="0"/>
              <w:rPr>
                <w:sz w:val="10"/>
                <w:szCs w:val="10"/>
                <w:color w:val="auto"/>
              </w:rPr>
            </w:pPr>
          </w:p>
        </w:tc>
        <w:tc>
          <w:tcPr>
            <w:tcW w:w="52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r>
    </w:tbl>
    <w:p>
      <w:pPr>
        <w:spacing w:after="0" w:line="200" w:lineRule="exact"/>
        <w:rPr>
          <w:sz w:val="20"/>
          <w:szCs w:val="20"/>
          <w:color w:val="auto"/>
        </w:rPr>
      </w:pPr>
    </w:p>
    <w:p>
      <w:pPr>
        <w:sectPr>
          <w:pgSz w:w="13320" w:h="16920" w:orient="portrait"/>
          <w:cols w:equalWidth="0" w:num="1">
            <w:col w:w="104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72">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73">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24" w:name="page25"/>
    <w:bookmarkEnd w:id="24"/>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FFFFFF"/>
        </w:rPr>
        <w:t>T</w:t>
      </w:r>
      <w:r>
        <w:rPr>
          <w:rFonts w:ascii="Arial" w:cs="Arial" w:eastAsia="Arial" w:hAnsi="Arial"/>
          <w:sz w:val="15"/>
          <w:szCs w:val="15"/>
          <w:b w:val="1"/>
          <w:bCs w:val="1"/>
          <w:color w:val="FFFFFF"/>
        </w:rPr>
        <w:t>HOMAS</w:t>
      </w:r>
      <w:r>
        <w:rPr>
          <w:rFonts w:ascii="Arial" w:cs="Arial" w:eastAsia="Arial" w:hAnsi="Arial"/>
          <w:sz w:val="25"/>
          <w:szCs w:val="25"/>
          <w:b w:val="1"/>
          <w:bCs w:val="1"/>
          <w:color w:val="FFFFFF"/>
        </w:rPr>
        <w:t xml:space="preserve"> L. B</w:t>
      </w:r>
      <w:r>
        <w:rPr>
          <w:rFonts w:ascii="Arial" w:cs="Arial" w:eastAsia="Arial" w:hAnsi="Arial"/>
          <w:sz w:val="15"/>
          <w:szCs w:val="15"/>
          <w:b w:val="1"/>
          <w:bCs w:val="1"/>
          <w:color w:val="FFFFFF"/>
        </w:rPr>
        <w:t>ENÉ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62230</wp:posOffset>
            </wp:positionV>
            <wp:extent cx="1066800" cy="13322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4">
                      <a:extLst>
                        <a:ext uri="{28A0092B-C50C-407E-A947-70E740481C1C}"/>
                      </a:extLst>
                    </a:blip>
                    <a:srcRect/>
                    <a:stretch>
                      <a:fillRect/>
                    </a:stretch>
                  </pic:blipFill>
                  <pic:spPr bwMode="auto">
                    <a:xfrm>
                      <a:off x="0" y="0"/>
                      <a:ext cx="1066800" cy="1332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 xml:space="preserve">Age: </w:t>
      </w:r>
      <w:r>
        <w:rPr>
          <w:rFonts w:ascii="Arial" w:cs="Arial" w:eastAsia="Arial" w:hAnsi="Arial"/>
          <w:sz w:val="20"/>
          <w:szCs w:val="20"/>
          <w:color w:val="000000"/>
        </w:rPr>
        <w:t>62</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Director since:</w:t>
      </w:r>
    </w:p>
    <w:p>
      <w:pPr>
        <w:ind w:left="180"/>
        <w:spacing w:after="0" w:line="234" w:lineRule="auto"/>
        <w:rPr>
          <w:sz w:val="20"/>
          <w:szCs w:val="20"/>
          <w:color w:val="auto"/>
        </w:rPr>
      </w:pPr>
      <w:r>
        <w:rPr>
          <w:rFonts w:ascii="Arial" w:cs="Arial" w:eastAsia="Arial" w:hAnsi="Arial"/>
          <w:sz w:val="20"/>
          <w:szCs w:val="20"/>
          <w:color w:val="auto"/>
        </w:rPr>
        <w:t>March 2024</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E3C23"/>
        </w:rPr>
        <w:t>Board Committee:</w:t>
      </w:r>
    </w:p>
    <w:p>
      <w:pPr>
        <w:ind w:left="180" w:right="320"/>
        <w:spacing w:after="0" w:line="241" w:lineRule="auto"/>
        <w:rPr>
          <w:sz w:val="20"/>
          <w:szCs w:val="20"/>
          <w:color w:val="auto"/>
        </w:rPr>
      </w:pPr>
      <w:r>
        <w:rPr>
          <w:rFonts w:ascii="Arial" w:cs="Arial" w:eastAsia="Arial" w:hAnsi="Arial"/>
          <w:sz w:val="18"/>
          <w:szCs w:val="18"/>
          <w:color w:val="auto"/>
        </w:rPr>
        <w:t>Management Development &amp; Compensation</w:t>
      </w:r>
    </w:p>
    <w:p>
      <w:pPr>
        <w:spacing w:after="0" w:line="20" w:lineRule="exact"/>
        <w:rPr>
          <w:sz w:val="20"/>
          <w:szCs w:val="20"/>
          <w:color w:val="auto"/>
        </w:rPr>
      </w:pPr>
      <w:r>
        <w:rPr>
          <w:sz w:val="20"/>
          <w:szCs w:val="20"/>
          <w:color w:val="auto"/>
        </w:rPr>
        <w:br w:type="column"/>
      </w:r>
    </w:p>
    <w:p>
      <w:pPr>
        <w:ind w:left="6120"/>
        <w:spacing w:after="0"/>
        <w:rPr>
          <w:sz w:val="20"/>
          <w:szCs w:val="20"/>
          <w:color w:val="auto"/>
        </w:rPr>
      </w:pPr>
      <w:r>
        <w:rPr>
          <w:rFonts w:ascii="Arial" w:cs="Arial" w:eastAsia="Arial" w:hAnsi="Arial"/>
          <w:sz w:val="15"/>
          <w:szCs w:val="15"/>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-1219835</wp:posOffset>
            </wp:positionH>
            <wp:positionV relativeFrom="paragraph">
              <wp:posOffset>-117475</wp:posOffset>
            </wp:positionV>
            <wp:extent cx="6386830" cy="55886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5">
                      <a:extLst>
                        <a:ext uri="{28A0092B-C50C-407E-A947-70E740481C1C}"/>
                      </a:extLst>
                    </a:blip>
                    <a:srcRect/>
                    <a:stretch>
                      <a:fillRect/>
                    </a:stretch>
                  </pic:blipFill>
                  <pic:spPr bwMode="auto">
                    <a:xfrm>
                      <a:off x="0" y="0"/>
                      <a:ext cx="6386830" cy="558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8"/>
          <w:szCs w:val="28"/>
          <w:b w:val="1"/>
          <w:bCs w:val="1"/>
          <w:color w:val="0E3C23"/>
        </w:rPr>
        <w:t>P</w:t>
      </w:r>
      <w:r>
        <w:rPr>
          <w:rFonts w:ascii="Arial" w:cs="Arial" w:eastAsia="Arial" w:hAnsi="Arial"/>
          <w:sz w:val="17"/>
          <w:szCs w:val="17"/>
          <w:b w:val="1"/>
          <w:bCs w:val="1"/>
          <w:color w:val="0E3C23"/>
        </w:rPr>
        <w:t>OSITION AND</w:t>
      </w:r>
      <w:r>
        <w:rPr>
          <w:rFonts w:ascii="Arial" w:cs="Arial" w:eastAsia="Arial" w:hAnsi="Arial"/>
          <w:sz w:val="28"/>
          <w:szCs w:val="28"/>
          <w:b w:val="1"/>
          <w:bCs w:val="1"/>
          <w:color w:val="0E3C23"/>
        </w:rPr>
        <w:t xml:space="preserve"> B</w:t>
      </w:r>
      <w:r>
        <w:rPr>
          <w:rFonts w:ascii="Arial" w:cs="Arial" w:eastAsia="Arial" w:hAnsi="Arial"/>
          <w:sz w:val="17"/>
          <w:szCs w:val="17"/>
          <w:b w:val="1"/>
          <w:bCs w:val="1"/>
          <w:color w:val="0E3C23"/>
        </w:rPr>
        <w:t>USINESS</w:t>
      </w:r>
      <w:r>
        <w:rPr>
          <w:rFonts w:ascii="Arial" w:cs="Arial" w:eastAsia="Arial" w:hAnsi="Arial"/>
          <w:sz w:val="28"/>
          <w:szCs w:val="28"/>
          <w:b w:val="1"/>
          <w:bCs w:val="1"/>
          <w:color w:val="0E3C23"/>
        </w:rPr>
        <w:t xml:space="preserve"> E</w:t>
      </w:r>
      <w:r>
        <w:rPr>
          <w:rFonts w:ascii="Arial" w:cs="Arial" w:eastAsia="Arial" w:hAnsi="Arial"/>
          <w:sz w:val="17"/>
          <w:szCs w:val="17"/>
          <w:b w:val="1"/>
          <w:bCs w:val="1"/>
          <w:color w:val="0E3C23"/>
        </w:rPr>
        <w:t>XPERIENCE</w:t>
      </w:r>
    </w:p>
    <w:p>
      <w:pPr>
        <w:spacing w:after="0" w:line="93" w:lineRule="exact"/>
        <w:rPr>
          <w:sz w:val="20"/>
          <w:szCs w:val="20"/>
          <w:color w:val="auto"/>
        </w:rPr>
      </w:pPr>
    </w:p>
    <w:p>
      <w:pPr>
        <w:jc w:val="both"/>
        <w:ind w:right="200"/>
        <w:spacing w:after="0" w:line="244" w:lineRule="auto"/>
        <w:rPr>
          <w:sz w:val="20"/>
          <w:szCs w:val="20"/>
          <w:color w:val="auto"/>
        </w:rPr>
      </w:pPr>
      <w:r>
        <w:rPr>
          <w:rFonts w:ascii="Arial" w:cs="Arial" w:eastAsia="Arial" w:hAnsi="Arial"/>
          <w:sz w:val="20"/>
          <w:szCs w:val="20"/>
          <w:color w:val="auto"/>
        </w:rPr>
        <w:t>President and Chief Executive Officer — Breakthru Beverage Group, LLC (private beverage wholesale distributor) since October 2021.</w:t>
      </w:r>
    </w:p>
    <w:p>
      <w:pPr>
        <w:spacing w:after="0" w:line="131" w:lineRule="exact"/>
        <w:rPr>
          <w:sz w:val="20"/>
          <w:szCs w:val="20"/>
          <w:color w:val="auto"/>
        </w:rPr>
      </w:pPr>
    </w:p>
    <w:p>
      <w:pPr>
        <w:jc w:val="both"/>
        <w:ind w:right="200"/>
        <w:spacing w:after="0" w:line="244" w:lineRule="auto"/>
        <w:rPr>
          <w:sz w:val="20"/>
          <w:szCs w:val="20"/>
          <w:color w:val="auto"/>
        </w:rPr>
      </w:pPr>
      <w:r>
        <w:rPr>
          <w:rFonts w:ascii="Arial" w:cs="Arial" w:eastAsia="Arial" w:hAnsi="Arial"/>
          <w:sz w:val="20"/>
          <w:szCs w:val="20"/>
          <w:color w:val="auto"/>
        </w:rPr>
        <w:t>Former President and Chief Executive Officer — National Restaurant Association, served from June 2020 to September 2021.</w:t>
      </w:r>
    </w:p>
    <w:p>
      <w:pPr>
        <w:spacing w:after="0" w:line="131" w:lineRule="exact"/>
        <w:rPr>
          <w:sz w:val="20"/>
          <w:szCs w:val="20"/>
          <w:color w:val="auto"/>
        </w:rPr>
      </w:pPr>
    </w:p>
    <w:p>
      <w:pPr>
        <w:jc w:val="both"/>
        <w:ind w:right="200"/>
        <w:spacing w:after="0" w:line="246" w:lineRule="auto"/>
        <w:rPr>
          <w:sz w:val="20"/>
          <w:szCs w:val="20"/>
          <w:color w:val="auto"/>
        </w:rPr>
      </w:pPr>
      <w:r>
        <w:rPr>
          <w:rFonts w:ascii="Arial" w:cs="Arial" w:eastAsia="Arial" w:hAnsi="Arial"/>
          <w:sz w:val="20"/>
          <w:szCs w:val="20"/>
          <w:color w:val="auto"/>
        </w:rPr>
        <w:t>Former President and Chief Executive Officer — Sysco Corporation (multinational wholesale restaurant distributor), served from 2018 to January 2020; also served as Executive Advisor from February 2020 to March 2020.</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Director of Sysco Corporation from 2018 to January 2020.</w:t>
      </w:r>
    </w:p>
    <w:p>
      <w:pPr>
        <w:spacing w:after="0" w:line="39" w:lineRule="exact"/>
        <w:rPr>
          <w:sz w:val="20"/>
          <w:szCs w:val="20"/>
          <w:color w:val="auto"/>
        </w:rPr>
      </w:pPr>
    </w:p>
    <w:p>
      <w:pPr>
        <w:spacing w:after="0"/>
        <w:rPr>
          <w:sz w:val="20"/>
          <w:szCs w:val="20"/>
          <w:color w:val="auto"/>
        </w:rPr>
      </w:pPr>
      <w:r>
        <w:rPr>
          <w:rFonts w:ascii="Arial" w:cs="Arial" w:eastAsia="Arial" w:hAnsi="Arial"/>
          <w:sz w:val="28"/>
          <w:szCs w:val="28"/>
          <w:b w:val="1"/>
          <w:bCs w:val="1"/>
          <w:color w:val="0E3C23"/>
        </w:rPr>
        <w:t>Q</w:t>
      </w:r>
      <w:r>
        <w:rPr>
          <w:rFonts w:ascii="Arial" w:cs="Arial" w:eastAsia="Arial" w:hAnsi="Arial"/>
          <w:sz w:val="17"/>
          <w:szCs w:val="17"/>
          <w:b w:val="1"/>
          <w:bCs w:val="1"/>
          <w:color w:val="0E3C23"/>
        </w:rPr>
        <w:t>UALIFICATIONS</w:t>
      </w:r>
    </w:p>
    <w:p>
      <w:pPr>
        <w:spacing w:after="0" w:line="93" w:lineRule="exact"/>
        <w:rPr>
          <w:sz w:val="20"/>
          <w:szCs w:val="20"/>
          <w:color w:val="auto"/>
        </w:rPr>
      </w:pPr>
    </w:p>
    <w:p>
      <w:pPr>
        <w:jc w:val="both"/>
        <w:ind w:right="200"/>
        <w:spacing w:after="0" w:line="281" w:lineRule="auto"/>
        <w:rPr>
          <w:sz w:val="20"/>
          <w:szCs w:val="20"/>
          <w:color w:val="auto"/>
        </w:rPr>
      </w:pPr>
      <w:r>
        <w:rPr>
          <w:rFonts w:ascii="Arial" w:cs="Arial" w:eastAsia="Arial" w:hAnsi="Arial"/>
          <w:sz w:val="18"/>
          <w:szCs w:val="18"/>
          <w:color w:val="auto"/>
        </w:rPr>
        <w:t>Tom Bené has four decades of experience executing on strategic business priorities and delivering financial growth for large companies. Since 2021, he has served as President and Chief Executive Officer of Breakthru Beverage Group, where he is focused on leading the company through a period of growth and expansion by driving new capabilities and innovation. Prior to his current role, he held several operations and business leadership roles at Sysco Corporation, including serving as President, Chief Executive Officer, and Chairman. Before joining Sysco in 2013, Mr. Bené spent over 20 years at PepsiCo in numerous roles of increasing responsibility and scale.</w:t>
      </w:r>
    </w:p>
    <w:p>
      <w:pPr>
        <w:spacing w:after="0" w:line="100" w:lineRule="exact"/>
        <w:rPr>
          <w:sz w:val="20"/>
          <w:szCs w:val="20"/>
          <w:color w:val="auto"/>
        </w:rPr>
      </w:pPr>
    </w:p>
    <w:p>
      <w:pPr>
        <w:jc w:val="both"/>
        <w:ind w:right="200"/>
        <w:spacing w:after="0" w:line="248" w:lineRule="auto"/>
        <w:rPr>
          <w:sz w:val="20"/>
          <w:szCs w:val="20"/>
          <w:color w:val="auto"/>
        </w:rPr>
      </w:pPr>
      <w:r>
        <w:rPr>
          <w:rFonts w:ascii="Arial" w:cs="Arial" w:eastAsia="Arial" w:hAnsi="Arial"/>
          <w:sz w:val="20"/>
          <w:szCs w:val="20"/>
          <w:color w:val="auto"/>
        </w:rPr>
        <w:t>Mr. Bené has a proven track record of driving growth and modernizing business models throughout his career. Through his prior operations and management positions, Mr. Bené has gained valuable insight and knowledge in the areas of leadership and management development, corporate strategy development, merchandising, sales, marketing, revenue management, shared services and distribution and supply chain management.</w:t>
      </w:r>
    </w:p>
    <w:p>
      <w:pPr>
        <w:spacing w:after="0" w:line="129" w:lineRule="exact"/>
        <w:rPr>
          <w:sz w:val="20"/>
          <w:szCs w:val="20"/>
          <w:color w:val="auto"/>
        </w:rPr>
      </w:pPr>
    </w:p>
    <w:p>
      <w:pPr>
        <w:jc w:val="both"/>
        <w:ind w:right="200"/>
        <w:spacing w:after="0" w:line="247" w:lineRule="auto"/>
        <w:rPr>
          <w:sz w:val="20"/>
          <w:szCs w:val="20"/>
          <w:color w:val="auto"/>
        </w:rPr>
      </w:pPr>
      <w:r>
        <w:rPr>
          <w:rFonts w:ascii="Arial" w:cs="Arial" w:eastAsia="Arial" w:hAnsi="Arial"/>
          <w:sz w:val="20"/>
          <w:szCs w:val="20"/>
          <w:color w:val="auto"/>
        </w:rPr>
        <w:t>Mr. Bené shares his deep experience in logistics, as well as his focus on differentiation through the use of technology and providing outstanding customer service, to further our Company’s growth and optimization strategy. In addition, his dedication to employee development complements the Company’s People First commitment.</w:t>
      </w:r>
    </w:p>
    <w:p>
      <w:pPr>
        <w:spacing w:after="0" w:line="131" w:lineRule="exact"/>
        <w:rPr>
          <w:sz w:val="20"/>
          <w:szCs w:val="20"/>
          <w:color w:val="auto"/>
        </w:rPr>
      </w:pPr>
    </w:p>
    <w:p>
      <w:pPr>
        <w:jc w:val="both"/>
        <w:ind w:right="200"/>
        <w:spacing w:after="0" w:line="244" w:lineRule="auto"/>
        <w:rPr>
          <w:sz w:val="20"/>
          <w:szCs w:val="20"/>
          <w:color w:val="auto"/>
        </w:rPr>
      </w:pPr>
      <w:r>
        <w:rPr>
          <w:rFonts w:ascii="Arial" w:cs="Arial" w:eastAsia="Arial" w:hAnsi="Arial"/>
          <w:sz w:val="20"/>
          <w:szCs w:val="20"/>
          <w:color w:val="auto"/>
        </w:rPr>
        <w:t>Mr. Bené holds a bachelor of science degree in business administration from the University of Kansas.</w:t>
      </w:r>
    </w:p>
    <w:p>
      <w:pPr>
        <w:spacing w:after="0" w:line="200" w:lineRule="exact"/>
        <w:rPr>
          <w:sz w:val="20"/>
          <w:szCs w:val="20"/>
          <w:color w:val="auto"/>
        </w:rPr>
      </w:pPr>
    </w:p>
    <w:p>
      <w:pPr>
        <w:sectPr>
          <w:pgSz w:w="13320" w:h="16920" w:orient="portrait"/>
          <w:cols w:equalWidth="0" w:num="2">
            <w:col w:w="1780" w:space="320"/>
            <w:col w:w="83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-207010</wp:posOffset>
            </wp:positionV>
            <wp:extent cx="538480" cy="1619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76">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25" w:name="page26"/>
    <w:bookmarkEnd w:id="25"/>
    <w:p>
      <w:pPr>
        <w:ind w:left="180"/>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211455</wp:posOffset>
            </wp:positionV>
            <wp:extent cx="6386830" cy="5487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77">
                      <a:extLst>
                        <a:ext uri="{28A0092B-C50C-407E-A947-70E740481C1C}"/>
                      </a:extLst>
                    </a:blip>
                    <a:srcRect/>
                    <a:stretch>
                      <a:fillRect/>
                    </a:stretch>
                  </pic:blipFill>
                  <pic:spPr bwMode="auto">
                    <a:xfrm>
                      <a:off x="0" y="0"/>
                      <a:ext cx="6386830" cy="548703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sectPr>
      </w:pPr>
    </w:p>
    <w:p>
      <w:pPr>
        <w:spacing w:after="0" w:line="374"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FFFFFF"/>
        </w:rPr>
        <w:t>B</w:t>
      </w:r>
      <w:r>
        <w:rPr>
          <w:rFonts w:ascii="Arial" w:cs="Arial" w:eastAsia="Arial" w:hAnsi="Arial"/>
          <w:sz w:val="15"/>
          <w:szCs w:val="15"/>
          <w:b w:val="1"/>
          <w:bCs w:val="1"/>
          <w:color w:val="FFFFFF"/>
        </w:rPr>
        <w:t>RUCE</w:t>
      </w:r>
      <w:r>
        <w:rPr>
          <w:rFonts w:ascii="Arial" w:cs="Arial" w:eastAsia="Arial" w:hAnsi="Arial"/>
          <w:sz w:val="25"/>
          <w:szCs w:val="25"/>
          <w:b w:val="1"/>
          <w:bCs w:val="1"/>
          <w:color w:val="FFFFFF"/>
        </w:rPr>
        <w:t xml:space="preserve"> E. C</w:t>
      </w:r>
      <w:r>
        <w:rPr>
          <w:rFonts w:ascii="Arial" w:cs="Arial" w:eastAsia="Arial" w:hAnsi="Arial"/>
          <w:sz w:val="15"/>
          <w:szCs w:val="15"/>
          <w:b w:val="1"/>
          <w:bCs w:val="1"/>
          <w:color w:val="FFFFFF"/>
        </w:rPr>
        <w:t>HINN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 xml:space="preserve">Age: </w:t>
      </w:r>
      <w:r>
        <w:rPr>
          <w:rFonts w:ascii="Arial" w:cs="Arial" w:eastAsia="Arial" w:hAnsi="Arial"/>
          <w:sz w:val="20"/>
          <w:szCs w:val="20"/>
          <w:color w:val="000000"/>
        </w:rPr>
        <w:t>68</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Director since:</w:t>
      </w:r>
    </w:p>
    <w:p>
      <w:pPr>
        <w:ind w:left="180"/>
        <w:spacing w:after="0" w:line="234" w:lineRule="auto"/>
        <w:rPr>
          <w:sz w:val="20"/>
          <w:szCs w:val="20"/>
          <w:color w:val="auto"/>
        </w:rPr>
      </w:pPr>
      <w:r>
        <w:rPr>
          <w:rFonts w:ascii="Arial" w:cs="Arial" w:eastAsia="Arial" w:hAnsi="Arial"/>
          <w:sz w:val="20"/>
          <w:szCs w:val="20"/>
          <w:color w:val="auto"/>
        </w:rPr>
        <w:t>February 2023</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E3C23"/>
        </w:rPr>
        <w:t>Board Committee:</w:t>
      </w:r>
    </w:p>
    <w:p>
      <w:pPr>
        <w:ind w:left="180"/>
        <w:spacing w:after="0" w:line="234" w:lineRule="auto"/>
        <w:rPr>
          <w:sz w:val="20"/>
          <w:szCs w:val="20"/>
          <w:color w:val="auto"/>
        </w:rPr>
      </w:pPr>
      <w:r>
        <w:rPr>
          <w:rFonts w:ascii="Arial" w:cs="Arial" w:eastAsia="Arial" w:hAnsi="Arial"/>
          <w:sz w:val="20"/>
          <w:szCs w:val="20"/>
          <w:color w:val="auto"/>
        </w:rPr>
        <w:t>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8"/>
          <w:szCs w:val="28"/>
          <w:b w:val="1"/>
          <w:bCs w:val="1"/>
          <w:color w:val="0E3C23"/>
        </w:rPr>
        <w:t>P</w:t>
      </w:r>
      <w:r>
        <w:rPr>
          <w:rFonts w:ascii="Arial" w:cs="Arial" w:eastAsia="Arial" w:hAnsi="Arial"/>
          <w:sz w:val="17"/>
          <w:szCs w:val="17"/>
          <w:b w:val="1"/>
          <w:bCs w:val="1"/>
          <w:color w:val="0E3C23"/>
        </w:rPr>
        <w:t>OSITION AND</w:t>
      </w:r>
      <w:r>
        <w:rPr>
          <w:rFonts w:ascii="Arial" w:cs="Arial" w:eastAsia="Arial" w:hAnsi="Arial"/>
          <w:sz w:val="28"/>
          <w:szCs w:val="28"/>
          <w:b w:val="1"/>
          <w:bCs w:val="1"/>
          <w:color w:val="0E3C23"/>
        </w:rPr>
        <w:t xml:space="preserve"> B</w:t>
      </w:r>
      <w:r>
        <w:rPr>
          <w:rFonts w:ascii="Arial" w:cs="Arial" w:eastAsia="Arial" w:hAnsi="Arial"/>
          <w:sz w:val="17"/>
          <w:szCs w:val="17"/>
          <w:b w:val="1"/>
          <w:bCs w:val="1"/>
          <w:color w:val="0E3C23"/>
        </w:rPr>
        <w:t>USINESS</w:t>
      </w:r>
      <w:r>
        <w:rPr>
          <w:rFonts w:ascii="Arial" w:cs="Arial" w:eastAsia="Arial" w:hAnsi="Arial"/>
          <w:sz w:val="28"/>
          <w:szCs w:val="28"/>
          <w:b w:val="1"/>
          <w:bCs w:val="1"/>
          <w:color w:val="0E3C23"/>
        </w:rPr>
        <w:t xml:space="preserve"> E</w:t>
      </w:r>
      <w:r>
        <w:rPr>
          <w:rFonts w:ascii="Arial" w:cs="Arial" w:eastAsia="Arial" w:hAnsi="Arial"/>
          <w:sz w:val="17"/>
          <w:szCs w:val="17"/>
          <w:b w:val="1"/>
          <w:bCs w:val="1"/>
          <w:color w:val="0E3C23"/>
        </w:rPr>
        <w:t>XPERIENCE</w:t>
      </w:r>
    </w:p>
    <w:p>
      <w:pPr>
        <w:spacing w:after="0" w:line="93" w:lineRule="exact"/>
        <w:rPr>
          <w:sz w:val="20"/>
          <w:szCs w:val="20"/>
          <w:color w:val="auto"/>
        </w:rPr>
      </w:pPr>
    </w:p>
    <w:p>
      <w:pPr>
        <w:jc w:val="both"/>
        <w:ind w:right="200"/>
        <w:spacing w:after="0" w:line="247" w:lineRule="auto"/>
        <w:rPr>
          <w:sz w:val="20"/>
          <w:szCs w:val="20"/>
          <w:color w:val="auto"/>
        </w:rPr>
      </w:pPr>
      <w:r>
        <w:rPr>
          <w:rFonts w:ascii="Arial" w:cs="Arial" w:eastAsia="Arial" w:hAnsi="Arial"/>
          <w:sz w:val="20"/>
          <w:szCs w:val="20"/>
          <w:color w:val="auto"/>
        </w:rPr>
        <w:t>Retired President and Chief Executive Officer — Chevron Phillips Chemical Company LLC, or CPChem, (global petrochemical joint venture of Chevron USA Inc. and Philips 66 Company), served from April 2021 to March 2024; has continued serving as Executive Advisor and Consultant to CPChem since March 2024.</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Director of CPChem from November 2020 to March 2024.</w:t>
      </w:r>
    </w:p>
    <w:p>
      <w:pPr>
        <w:spacing w:after="0" w:line="135" w:lineRule="exact"/>
        <w:rPr>
          <w:sz w:val="20"/>
          <w:szCs w:val="20"/>
          <w:color w:val="auto"/>
        </w:rPr>
      </w:pPr>
    </w:p>
    <w:p>
      <w:pPr>
        <w:jc w:val="both"/>
        <w:ind w:right="200"/>
        <w:spacing w:after="0" w:line="246" w:lineRule="auto"/>
        <w:rPr>
          <w:sz w:val="20"/>
          <w:szCs w:val="20"/>
          <w:color w:val="auto"/>
        </w:rPr>
      </w:pPr>
      <w:r>
        <w:rPr>
          <w:rFonts w:ascii="Arial" w:cs="Arial" w:eastAsia="Arial" w:hAnsi="Arial"/>
          <w:sz w:val="20"/>
          <w:szCs w:val="20"/>
          <w:color w:val="auto"/>
        </w:rPr>
        <w:t>Also served as President, Chemicals for Chevron Corporation (multinational energy corporation) from May 2020 to March 2021 and President, Chevron Oronite (global lubricant and fuel additives business) for Chevron Corporation from 2018 to April 2020.</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Director of Celanese Corporation since September 2024.</w:t>
      </w:r>
    </w:p>
    <w:p>
      <w:pPr>
        <w:spacing w:after="0" w:line="39" w:lineRule="exact"/>
        <w:rPr>
          <w:sz w:val="20"/>
          <w:szCs w:val="20"/>
          <w:color w:val="auto"/>
        </w:rPr>
      </w:pPr>
    </w:p>
    <w:p>
      <w:pPr>
        <w:spacing w:after="0"/>
        <w:rPr>
          <w:sz w:val="20"/>
          <w:szCs w:val="20"/>
          <w:color w:val="auto"/>
        </w:rPr>
      </w:pPr>
      <w:r>
        <w:rPr>
          <w:rFonts w:ascii="Arial" w:cs="Arial" w:eastAsia="Arial" w:hAnsi="Arial"/>
          <w:sz w:val="28"/>
          <w:szCs w:val="28"/>
          <w:b w:val="1"/>
          <w:bCs w:val="1"/>
          <w:color w:val="0E3C23"/>
        </w:rPr>
        <w:t>Q</w:t>
      </w:r>
      <w:r>
        <w:rPr>
          <w:rFonts w:ascii="Arial" w:cs="Arial" w:eastAsia="Arial" w:hAnsi="Arial"/>
          <w:sz w:val="17"/>
          <w:szCs w:val="17"/>
          <w:b w:val="1"/>
          <w:bCs w:val="1"/>
          <w:color w:val="0E3C23"/>
        </w:rPr>
        <w:t>UALIFICATIONS</w:t>
      </w:r>
    </w:p>
    <w:p>
      <w:pPr>
        <w:spacing w:after="0" w:line="93" w:lineRule="exact"/>
        <w:rPr>
          <w:sz w:val="20"/>
          <w:szCs w:val="20"/>
          <w:color w:val="auto"/>
        </w:rPr>
      </w:pPr>
    </w:p>
    <w:p>
      <w:pPr>
        <w:jc w:val="both"/>
        <w:ind w:right="200"/>
        <w:spacing w:after="0" w:line="280" w:lineRule="auto"/>
        <w:rPr>
          <w:sz w:val="20"/>
          <w:szCs w:val="20"/>
          <w:color w:val="auto"/>
        </w:rPr>
      </w:pPr>
      <w:r>
        <w:rPr>
          <w:rFonts w:ascii="Arial" w:cs="Arial" w:eastAsia="Arial" w:hAnsi="Arial"/>
          <w:sz w:val="18"/>
          <w:szCs w:val="18"/>
          <w:color w:val="auto"/>
        </w:rPr>
        <w:t>Before his retirement in 2024 from the positions of President, Chief Executive Officer and a Director of CPChem, Bruce Chinn focused on leading the company through a period of sustainable growth. Mr. Chinn has over 40 years of experience driving operational, safety, and financial results. Previously, he held several operations and business roles at Chevron Corporation, leading large, diverse organizations. In these roles, Mr. Chinn focused on performance, partnership, and safety, while striving for continued success in the business and community. Mr. Chinn began his career at DuPont, where he held positions of increasing responsibility in manufacturing, technical, commercial and business leadership at the U.S. and international level.</w:t>
      </w:r>
    </w:p>
    <w:p>
      <w:pPr>
        <w:spacing w:after="0" w:line="104" w:lineRule="exact"/>
        <w:rPr>
          <w:sz w:val="20"/>
          <w:szCs w:val="20"/>
          <w:color w:val="auto"/>
        </w:rPr>
      </w:pPr>
    </w:p>
    <w:p>
      <w:pPr>
        <w:jc w:val="both"/>
        <w:ind w:right="200"/>
        <w:spacing w:after="0" w:line="263" w:lineRule="auto"/>
        <w:rPr>
          <w:sz w:val="20"/>
          <w:szCs w:val="20"/>
          <w:color w:val="auto"/>
        </w:rPr>
      </w:pPr>
      <w:r>
        <w:rPr>
          <w:rFonts w:ascii="Arial" w:cs="Arial" w:eastAsia="Arial" w:hAnsi="Arial"/>
          <w:sz w:val="19"/>
          <w:szCs w:val="19"/>
          <w:color w:val="auto"/>
        </w:rPr>
        <w:t>Mr. Chinn brings extensive knowledge of circular solutions and renewable energy that is aligned with our Company’s strategic focus on making sustainability growth investments in our recycling and renewable energy businesses. His operations leadership expertise bolsters our continued efforts to drive operating efficiencies, enhance our safety culture and differentiate our service offerings. Mr. Chinn’s broad and expansive dedication to operating excellence and developing strong corporate culture provides valuable perspective to the Board, and his experience allows him to share specific insight into focus areas such as renewable energy transition, environmental regulation and compliance, international exposure and risk management.</w:t>
      </w:r>
    </w:p>
    <w:p>
      <w:pPr>
        <w:spacing w:after="0" w:line="120" w:lineRule="exact"/>
        <w:rPr>
          <w:sz w:val="20"/>
          <w:szCs w:val="20"/>
          <w:color w:val="auto"/>
        </w:rPr>
      </w:pPr>
    </w:p>
    <w:p>
      <w:pPr>
        <w:jc w:val="both"/>
        <w:ind w:right="200"/>
        <w:spacing w:after="0" w:line="287" w:lineRule="auto"/>
        <w:rPr>
          <w:sz w:val="20"/>
          <w:szCs w:val="20"/>
          <w:color w:val="auto"/>
        </w:rPr>
      </w:pPr>
      <w:r>
        <w:rPr>
          <w:rFonts w:ascii="Arial" w:cs="Arial" w:eastAsia="Arial" w:hAnsi="Arial"/>
          <w:sz w:val="18"/>
          <w:szCs w:val="18"/>
          <w:color w:val="auto"/>
        </w:rPr>
        <w:t>Mr. Chinn serves on the American Institute of Chemical Engineers Foundation Board of Trustees, and he serves as a board director for the Texas A&amp;M University Association of Former Students. Mr. Chinn holds a bachelor of science degree in chemical engineering from Texas A&amp;M University.</w:t>
      </w:r>
    </w:p>
    <w:p>
      <w:pPr>
        <w:spacing w:after="0" w:line="200" w:lineRule="exact"/>
        <w:rPr>
          <w:sz w:val="20"/>
          <w:szCs w:val="20"/>
          <w:color w:val="auto"/>
        </w:rPr>
      </w:pPr>
    </w:p>
    <w:p>
      <w:pPr>
        <w:sectPr>
          <w:pgSz w:w="13320" w:h="16920" w:orient="portrait"/>
          <w:cols w:equalWidth="0" w:num="2">
            <w:col w:w="1760" w:space="340"/>
            <w:col w:w="8340"/>
          </w:cols>
          <w:pgMar w:left="1440" w:top="1232" w:right="1440" w:bottom="103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20</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8">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9">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26" w:name="page27"/>
    <w:bookmarkEnd w:id="26"/>
    <w:p>
      <w:pPr>
        <w:ind w:left="8220"/>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211455</wp:posOffset>
                </wp:positionV>
                <wp:extent cx="6386830" cy="266065"/>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830" cy="266065"/>
                        </a:xfrm>
                        <a:prstGeom prst="rect">
                          <a:avLst/>
                        </a:prstGeom>
                        <a:solidFill>
                          <a:srgbClr val="0E3C23"/>
                        </a:solidFill>
                      </wps:spPr>
                      <wps:bodyPr/>
                    </wps:wsp>
                  </a:graphicData>
                </a:graphic>
              </wp:anchor>
            </w:drawing>
          </mc:Choice>
          <mc:Fallback>
            <w:pict>
              <v:rect id="Shape 104" o:spid="_x0000_s1129" style="position:absolute;margin-left:8.9pt;margin-top:16.65pt;width:502.9pt;height:2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E3C23" stroked="f"/>
            </w:pict>
          </mc:Fallback>
        </mc:AlternateContent>
      </w:r>
    </w:p>
    <w:p>
      <w:pPr>
        <w:sectPr>
          <w:pgSz w:w="13320" w:h="16920" w:orient="portrait"/>
          <w:cols w:equalWidth="0" w:num="1">
            <w:col w:w="10440"/>
          </w:cols>
          <w:pgMar w:left="1440" w:top="1232" w:right="1440" w:bottom="1036" w:gutter="0" w:footer="0" w:header="0"/>
        </w:sectPr>
      </w:pPr>
    </w:p>
    <w:p>
      <w:pPr>
        <w:spacing w:after="0" w:line="374"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FFFFFF"/>
        </w:rPr>
        <w:t>J</w:t>
      </w:r>
      <w:r>
        <w:rPr>
          <w:rFonts w:ascii="Arial" w:cs="Arial" w:eastAsia="Arial" w:hAnsi="Arial"/>
          <w:sz w:val="15"/>
          <w:szCs w:val="15"/>
          <w:b w:val="1"/>
          <w:bCs w:val="1"/>
          <w:color w:val="FFFFFF"/>
        </w:rPr>
        <w:t>AMES</w:t>
      </w:r>
      <w:r>
        <w:rPr>
          <w:rFonts w:ascii="Arial" w:cs="Arial" w:eastAsia="Arial" w:hAnsi="Arial"/>
          <w:sz w:val="25"/>
          <w:szCs w:val="25"/>
          <w:b w:val="1"/>
          <w:bCs w:val="1"/>
          <w:color w:val="FFFFFF"/>
        </w:rPr>
        <w:t xml:space="preserve"> C. F</w:t>
      </w:r>
      <w:r>
        <w:rPr>
          <w:rFonts w:ascii="Arial" w:cs="Arial" w:eastAsia="Arial" w:hAnsi="Arial"/>
          <w:sz w:val="15"/>
          <w:szCs w:val="15"/>
          <w:b w:val="1"/>
          <w:bCs w:val="1"/>
          <w:color w:val="FFFFFF"/>
        </w:rPr>
        <w:t>ISH</w:t>
      </w:r>
      <w:r>
        <w:rPr>
          <w:rFonts w:ascii="Arial" w:cs="Arial" w:eastAsia="Arial" w:hAnsi="Arial"/>
          <w:sz w:val="25"/>
          <w:szCs w:val="25"/>
          <w:b w:val="1"/>
          <w:bCs w:val="1"/>
          <w:color w:val="FFFFFF"/>
        </w:rPr>
        <w:t>, J</w:t>
      </w:r>
      <w:r>
        <w:rPr>
          <w:rFonts w:ascii="Arial" w:cs="Arial" w:eastAsia="Arial" w:hAnsi="Arial"/>
          <w:sz w:val="15"/>
          <w:szCs w:val="15"/>
          <w:b w:val="1"/>
          <w:bCs w:val="1"/>
          <w:color w:val="FFFFFF"/>
        </w:rPr>
        <w:t>R</w:t>
      </w:r>
      <w:r>
        <w:rPr>
          <w:rFonts w:ascii="Arial" w:cs="Arial" w:eastAsia="Arial" w:hAnsi="Arial"/>
          <w:sz w:val="25"/>
          <w:szCs w:val="25"/>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57785</wp:posOffset>
            </wp:positionV>
            <wp:extent cx="1143635" cy="5753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80">
                      <a:extLst>
                        <a:ext uri="{28A0092B-C50C-407E-A947-70E740481C1C}"/>
                      </a:extLst>
                    </a:blip>
                    <a:srcRect/>
                    <a:stretch>
                      <a:fillRect/>
                    </a:stretch>
                  </pic:blipFill>
                  <pic:spPr bwMode="auto">
                    <a:xfrm>
                      <a:off x="0" y="0"/>
                      <a:ext cx="1143635" cy="5753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 xml:space="preserve">Age: </w:t>
      </w:r>
      <w:r>
        <w:rPr>
          <w:rFonts w:ascii="Arial" w:cs="Arial" w:eastAsia="Arial" w:hAnsi="Arial"/>
          <w:sz w:val="20"/>
          <w:szCs w:val="20"/>
          <w:color w:val="000000"/>
        </w:rPr>
        <w:t>62</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Director since:</w:t>
      </w:r>
    </w:p>
    <w:p>
      <w:pPr>
        <w:ind w:left="180"/>
        <w:spacing w:after="0" w:line="234" w:lineRule="auto"/>
        <w:rPr>
          <w:sz w:val="20"/>
          <w:szCs w:val="20"/>
          <w:color w:val="auto"/>
        </w:rPr>
      </w:pPr>
      <w:r>
        <w:rPr>
          <w:rFonts w:ascii="Arial" w:cs="Arial" w:eastAsia="Arial" w:hAnsi="Arial"/>
          <w:sz w:val="20"/>
          <w:szCs w:val="20"/>
          <w:color w:val="auto"/>
        </w:rPr>
        <w:t>November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8"/>
          <w:szCs w:val="28"/>
          <w:b w:val="1"/>
          <w:bCs w:val="1"/>
          <w:color w:val="0E3C23"/>
        </w:rPr>
        <w:t>P</w:t>
      </w:r>
      <w:r>
        <w:rPr>
          <w:rFonts w:ascii="Arial" w:cs="Arial" w:eastAsia="Arial" w:hAnsi="Arial"/>
          <w:sz w:val="17"/>
          <w:szCs w:val="17"/>
          <w:b w:val="1"/>
          <w:bCs w:val="1"/>
          <w:color w:val="0E3C23"/>
        </w:rPr>
        <w:t>OSITION AND</w:t>
      </w:r>
      <w:r>
        <w:rPr>
          <w:rFonts w:ascii="Arial" w:cs="Arial" w:eastAsia="Arial" w:hAnsi="Arial"/>
          <w:sz w:val="28"/>
          <w:szCs w:val="28"/>
          <w:b w:val="1"/>
          <w:bCs w:val="1"/>
          <w:color w:val="0E3C23"/>
        </w:rPr>
        <w:t xml:space="preserve"> B</w:t>
      </w:r>
      <w:r>
        <w:rPr>
          <w:rFonts w:ascii="Arial" w:cs="Arial" w:eastAsia="Arial" w:hAnsi="Arial"/>
          <w:sz w:val="17"/>
          <w:szCs w:val="17"/>
          <w:b w:val="1"/>
          <w:bCs w:val="1"/>
          <w:color w:val="0E3C23"/>
        </w:rPr>
        <w:t>USINESS</w:t>
      </w:r>
      <w:r>
        <w:rPr>
          <w:rFonts w:ascii="Arial" w:cs="Arial" w:eastAsia="Arial" w:hAnsi="Arial"/>
          <w:sz w:val="28"/>
          <w:szCs w:val="28"/>
          <w:b w:val="1"/>
          <w:bCs w:val="1"/>
          <w:color w:val="0E3C23"/>
        </w:rPr>
        <w:t xml:space="preserve"> E</w:t>
      </w:r>
      <w:r>
        <w:rPr>
          <w:rFonts w:ascii="Arial" w:cs="Arial" w:eastAsia="Arial" w:hAnsi="Arial"/>
          <w:sz w:val="17"/>
          <w:szCs w:val="17"/>
          <w:b w:val="1"/>
          <w:bCs w:val="1"/>
          <w:color w:val="0E3C23"/>
        </w:rPr>
        <w:t>XPERIENCE</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auto"/>
        </w:rPr>
        <w:t>President, Chief Executive Officer and Director — Waste Management, Inc. since 2016.</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Director of Caterpillar Inc. since March 2023.</w:t>
      </w:r>
    </w:p>
    <w:p>
      <w:pPr>
        <w:spacing w:after="0" w:line="39" w:lineRule="exact"/>
        <w:rPr>
          <w:sz w:val="20"/>
          <w:szCs w:val="20"/>
          <w:color w:val="auto"/>
        </w:rPr>
      </w:pPr>
    </w:p>
    <w:p>
      <w:pPr>
        <w:spacing w:after="0"/>
        <w:rPr>
          <w:sz w:val="20"/>
          <w:szCs w:val="20"/>
          <w:color w:val="auto"/>
        </w:rPr>
      </w:pPr>
      <w:r>
        <w:rPr>
          <w:rFonts w:ascii="Arial" w:cs="Arial" w:eastAsia="Arial" w:hAnsi="Arial"/>
          <w:sz w:val="28"/>
          <w:szCs w:val="28"/>
          <w:b w:val="1"/>
          <w:bCs w:val="1"/>
          <w:color w:val="0E3C23"/>
        </w:rPr>
        <w:t>Q</w:t>
      </w:r>
      <w:r>
        <w:rPr>
          <w:rFonts w:ascii="Arial" w:cs="Arial" w:eastAsia="Arial" w:hAnsi="Arial"/>
          <w:sz w:val="17"/>
          <w:szCs w:val="17"/>
          <w:b w:val="1"/>
          <w:bCs w:val="1"/>
          <w:color w:val="0E3C23"/>
        </w:rPr>
        <w:t>UALIFICATIONS</w:t>
      </w:r>
    </w:p>
    <w:p>
      <w:pPr>
        <w:spacing w:after="0" w:line="93" w:lineRule="exact"/>
        <w:rPr>
          <w:sz w:val="20"/>
          <w:szCs w:val="20"/>
          <w:color w:val="auto"/>
        </w:rPr>
      </w:pPr>
    </w:p>
    <w:p>
      <w:pPr>
        <w:jc w:val="both"/>
        <w:ind w:right="200"/>
        <w:spacing w:after="0" w:line="282" w:lineRule="auto"/>
        <w:rPr>
          <w:sz w:val="20"/>
          <w:szCs w:val="20"/>
          <w:color w:val="auto"/>
        </w:rPr>
      </w:pPr>
      <w:r>
        <w:rPr>
          <w:rFonts w:ascii="Arial" w:cs="Arial" w:eastAsia="Arial" w:hAnsi="Arial"/>
          <w:sz w:val="18"/>
          <w:szCs w:val="18"/>
          <w:color w:val="auto"/>
        </w:rPr>
        <w:t>Jim Fish has served as our President and Chief Executive Officer and a Director since 2016. Over more than 20 years, Mr. Fish has held several key positions in our Company, including President and Chief Financial Officer; Senior Vice President — Eastern Group; Area Vice President for Pennsylvania and West Virginia; Market Area General Manager for Massachusetts and Rhode Island; Vice President of Price Management; and Director of Financial Planning and Analysis.</w:t>
      </w:r>
    </w:p>
    <w:p>
      <w:pPr>
        <w:spacing w:after="0" w:line="101" w:lineRule="exact"/>
        <w:rPr>
          <w:sz w:val="20"/>
          <w:szCs w:val="20"/>
          <w:color w:val="auto"/>
        </w:rPr>
      </w:pPr>
    </w:p>
    <w:p>
      <w:pPr>
        <w:jc w:val="both"/>
        <w:ind w:right="200"/>
        <w:spacing w:after="0" w:line="246" w:lineRule="auto"/>
        <w:rPr>
          <w:sz w:val="20"/>
          <w:szCs w:val="20"/>
          <w:color w:val="auto"/>
        </w:rPr>
      </w:pPr>
      <w:r>
        <w:rPr>
          <w:rFonts w:ascii="Arial" w:cs="Arial" w:eastAsia="Arial" w:hAnsi="Arial"/>
          <w:sz w:val="20"/>
          <w:szCs w:val="20"/>
          <w:color w:val="auto"/>
        </w:rPr>
        <w:t>Before joining our Company, Mr. Fish held finance and revenue management positions at Westex, a Yellow-Roadway subsidiary, Trans World Airlines, and America West Airlines. He began his professional career at KPMG Peat Marwick.</w:t>
      </w:r>
    </w:p>
    <w:p>
      <w:pPr>
        <w:spacing w:after="0" w:line="131" w:lineRule="exact"/>
        <w:rPr>
          <w:sz w:val="20"/>
          <w:szCs w:val="20"/>
          <w:color w:val="auto"/>
        </w:rPr>
      </w:pPr>
    </w:p>
    <w:p>
      <w:pPr>
        <w:jc w:val="both"/>
        <w:ind w:right="200"/>
        <w:spacing w:after="0" w:line="264" w:lineRule="auto"/>
        <w:rPr>
          <w:sz w:val="20"/>
          <w:szCs w:val="20"/>
          <w:color w:val="auto"/>
        </w:rPr>
      </w:pPr>
      <w:r>
        <w:rPr>
          <w:rFonts w:ascii="Arial" w:cs="Arial" w:eastAsia="Arial" w:hAnsi="Arial"/>
          <w:sz w:val="19"/>
          <w:szCs w:val="19"/>
          <w:color w:val="auto"/>
        </w:rPr>
        <w:t>Mr. Fish’s extensive leadership and operational experience, together with his tremendous understanding of the environmental services industry, are instrumental to the development and successful execution of our growth strategy to deliver stockholder value. Additionally, through his professional and educational experience, Mr. Fish has developed valuable expertise in accounting, external reporting, investor relations, human capital and performance management, and risk management. Mr. Fish oversees our Digital organization, and participates directly in matters related to cybersecurity and information security risk mitigation and response strategies.</w:t>
      </w:r>
    </w:p>
    <w:p>
      <w:pPr>
        <w:spacing w:after="0" w:line="114" w:lineRule="exact"/>
        <w:rPr>
          <w:sz w:val="20"/>
          <w:szCs w:val="20"/>
          <w:color w:val="auto"/>
        </w:rPr>
      </w:pPr>
    </w:p>
    <w:p>
      <w:pPr>
        <w:jc w:val="both"/>
        <w:ind w:right="200"/>
        <w:spacing w:after="0" w:line="248" w:lineRule="auto"/>
        <w:rPr>
          <w:sz w:val="20"/>
          <w:szCs w:val="20"/>
          <w:color w:val="auto"/>
        </w:rPr>
      </w:pPr>
      <w:r>
        <w:rPr>
          <w:rFonts w:ascii="Arial" w:cs="Arial" w:eastAsia="Arial" w:hAnsi="Arial"/>
          <w:sz w:val="20"/>
          <w:szCs w:val="20"/>
          <w:color w:val="auto"/>
        </w:rPr>
        <w:t>As North America’s largest comprehensive environmental solutions provider, sustainability is embedded in all aspects of our business. As our President and Chief Executive Officer, Mr. Fish has a thorough understanding of the risks and opportunities presented in the areas of sustainability and environmental protection. Mr. Fish is deeply involved in our efforts to mitigate such risks and capitalize on such opportunities in order to deliver on our brand promise, ALWAYS WORKING FOR A SUSTAINABLE TOMORROW®.</w:t>
      </w:r>
    </w:p>
    <w:p>
      <w:pPr>
        <w:spacing w:after="0" w:line="131" w:lineRule="exact"/>
        <w:rPr>
          <w:sz w:val="20"/>
          <w:szCs w:val="20"/>
          <w:color w:val="auto"/>
        </w:rPr>
      </w:pPr>
    </w:p>
    <w:p>
      <w:pPr>
        <w:jc w:val="both"/>
        <w:ind w:right="200"/>
        <w:spacing w:after="0" w:line="247" w:lineRule="auto"/>
        <w:rPr>
          <w:sz w:val="20"/>
          <w:szCs w:val="20"/>
          <w:color w:val="auto"/>
        </w:rPr>
      </w:pPr>
      <w:r>
        <w:rPr>
          <w:rFonts w:ascii="Arial" w:cs="Arial" w:eastAsia="Arial" w:hAnsi="Arial"/>
          <w:sz w:val="20"/>
          <w:szCs w:val="20"/>
          <w:color w:val="auto"/>
        </w:rPr>
        <w:t>Mr. Fish also champions the importance of our people-first commitment and the necessity of creating a culture that truly puts the needs of WM employees first. As part of that people-first culture, Mr. Fish has been actively involved in developing initiatives to promote diversity and inclusion throughout the Company’s population of more than 60,000 employees.</w:t>
      </w:r>
    </w:p>
    <w:p>
      <w:pPr>
        <w:spacing w:after="0" w:line="131" w:lineRule="exact"/>
        <w:rPr>
          <w:sz w:val="20"/>
          <w:szCs w:val="20"/>
          <w:color w:val="auto"/>
        </w:rPr>
      </w:pPr>
    </w:p>
    <w:p>
      <w:pPr>
        <w:jc w:val="both"/>
        <w:ind w:right="200"/>
        <w:spacing w:after="0" w:line="247" w:lineRule="auto"/>
        <w:rPr>
          <w:sz w:val="20"/>
          <w:szCs w:val="20"/>
          <w:color w:val="auto"/>
        </w:rPr>
      </w:pPr>
      <w:r>
        <w:rPr>
          <w:rFonts w:ascii="Arial" w:cs="Arial" w:eastAsia="Arial" w:hAnsi="Arial"/>
          <w:sz w:val="20"/>
          <w:szCs w:val="20"/>
          <w:color w:val="auto"/>
        </w:rPr>
        <w:t>Mr. Fish earned a bachelor’s degree in accounting from Arizona State University and a master’s degree in business administration, with emphasis on finance, from the University of Chicago. In addition to the public company board service listed above, Mr. Fish currently serves on the board of the Greater Houston Partnership.</w:t>
      </w:r>
    </w:p>
    <w:p>
      <w:pPr>
        <w:spacing w:after="0" w:line="200" w:lineRule="exact"/>
        <w:rPr>
          <w:sz w:val="20"/>
          <w:szCs w:val="20"/>
          <w:color w:val="auto"/>
        </w:rPr>
      </w:pPr>
    </w:p>
    <w:p>
      <w:pPr>
        <w:sectPr>
          <w:pgSz w:w="13320" w:h="16920" w:orient="portrait"/>
          <w:cols w:equalWidth="0" w:num="2">
            <w:col w:w="2040" w:space="60"/>
            <w:col w:w="8340"/>
          </w:cols>
          <w:pgMar w:left="1440" w:top="1232" w:right="1440" w:bottom="103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-207010</wp:posOffset>
            </wp:positionV>
            <wp:extent cx="538480" cy="1619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81">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27" w:name="page28"/>
    <w:bookmarkEnd w:id="27"/>
    <w:p>
      <w:pPr>
        <w:ind w:left="180"/>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211455</wp:posOffset>
                </wp:positionV>
                <wp:extent cx="6386830" cy="266065"/>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830" cy="266065"/>
                        </a:xfrm>
                        <a:prstGeom prst="rect">
                          <a:avLst/>
                        </a:prstGeom>
                        <a:solidFill>
                          <a:srgbClr val="0E3C23"/>
                        </a:solidFill>
                      </wps:spPr>
                      <wps:bodyPr/>
                    </wps:wsp>
                  </a:graphicData>
                </a:graphic>
              </wp:anchor>
            </w:drawing>
          </mc:Choice>
          <mc:Fallback>
            <w:pict>
              <v:rect id="Shape 108" o:spid="_x0000_s1133" style="position:absolute;margin-left:8.9pt;margin-top:16.65pt;width:502.9pt;height:2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E3C23" stroked="f"/>
            </w:pict>
          </mc:Fallback>
        </mc:AlternateContent>
      </w:r>
    </w:p>
    <w:p>
      <w:pPr>
        <w:sectPr>
          <w:pgSz w:w="13320" w:h="16920" w:orient="portrait"/>
          <w:cols w:equalWidth="0" w:num="1">
            <w:col w:w="10440"/>
          </w:cols>
          <w:pgMar w:left="1440" w:top="1232" w:right="1440" w:bottom="1036" w:gutter="0" w:footer="0" w:header="0"/>
        </w:sectPr>
      </w:pPr>
    </w:p>
    <w:p>
      <w:pPr>
        <w:spacing w:after="0" w:line="374"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FFFFFF"/>
        </w:rPr>
        <w:t>A</w:t>
      </w:r>
      <w:r>
        <w:rPr>
          <w:rFonts w:ascii="Arial" w:cs="Arial" w:eastAsia="Arial" w:hAnsi="Arial"/>
          <w:sz w:val="15"/>
          <w:szCs w:val="15"/>
          <w:b w:val="1"/>
          <w:bCs w:val="1"/>
          <w:color w:val="FFFFFF"/>
        </w:rPr>
        <w:t>NDRÉS</w:t>
      </w:r>
      <w:r>
        <w:rPr>
          <w:rFonts w:ascii="Arial" w:cs="Arial" w:eastAsia="Arial" w:hAnsi="Arial"/>
          <w:sz w:val="25"/>
          <w:szCs w:val="25"/>
          <w:b w:val="1"/>
          <w:bCs w:val="1"/>
          <w:color w:val="FFFFFF"/>
        </w:rPr>
        <w:t xml:space="preserve"> R. G</w:t>
      </w:r>
      <w:r>
        <w:rPr>
          <w:rFonts w:ascii="Arial" w:cs="Arial" w:eastAsia="Arial" w:hAnsi="Arial"/>
          <w:sz w:val="15"/>
          <w:szCs w:val="15"/>
          <w:b w:val="1"/>
          <w:bCs w:val="1"/>
          <w:color w:val="FFFFFF"/>
        </w:rPr>
        <w:t>LUSKI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57785</wp:posOffset>
            </wp:positionV>
            <wp:extent cx="1143635" cy="54108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82">
                      <a:extLst>
                        <a:ext uri="{28A0092B-C50C-407E-A947-70E740481C1C}"/>
                      </a:extLst>
                    </a:blip>
                    <a:srcRect/>
                    <a:stretch>
                      <a:fillRect/>
                    </a:stretch>
                  </pic:blipFill>
                  <pic:spPr bwMode="auto">
                    <a:xfrm>
                      <a:off x="0" y="0"/>
                      <a:ext cx="1143635" cy="541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 xml:space="preserve">Age: </w:t>
      </w:r>
      <w:r>
        <w:rPr>
          <w:rFonts w:ascii="Arial" w:cs="Arial" w:eastAsia="Arial" w:hAnsi="Arial"/>
          <w:sz w:val="20"/>
          <w:szCs w:val="20"/>
          <w:color w:val="000000"/>
        </w:rPr>
        <w:t>67</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Director since:</w:t>
      </w:r>
    </w:p>
    <w:p>
      <w:pPr>
        <w:ind w:left="180"/>
        <w:spacing w:after="0" w:line="234" w:lineRule="auto"/>
        <w:rPr>
          <w:sz w:val="20"/>
          <w:szCs w:val="20"/>
          <w:color w:val="auto"/>
        </w:rPr>
      </w:pPr>
      <w:r>
        <w:rPr>
          <w:rFonts w:ascii="Arial" w:cs="Arial" w:eastAsia="Arial" w:hAnsi="Arial"/>
          <w:sz w:val="20"/>
          <w:szCs w:val="20"/>
          <w:color w:val="auto"/>
        </w:rPr>
        <w:t>January 2015</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Board</w:t>
      </w:r>
    </w:p>
    <w:p>
      <w:pPr>
        <w:ind w:left="180"/>
        <w:spacing w:after="0" w:line="210" w:lineRule="auto"/>
        <w:rPr>
          <w:sz w:val="20"/>
          <w:szCs w:val="20"/>
          <w:color w:val="auto"/>
        </w:rPr>
      </w:pPr>
      <w:r>
        <w:rPr>
          <w:rFonts w:ascii="Arial" w:cs="Arial" w:eastAsia="Arial" w:hAnsi="Arial"/>
          <w:sz w:val="20"/>
          <w:szCs w:val="20"/>
          <w:b w:val="1"/>
          <w:bCs w:val="1"/>
          <w:color w:val="0E3C23"/>
        </w:rPr>
        <w:t>Committees:</w:t>
      </w:r>
    </w:p>
    <w:p>
      <w:pPr>
        <w:ind w:left="180"/>
        <w:spacing w:after="0" w:line="208" w:lineRule="auto"/>
        <w:rPr>
          <w:sz w:val="20"/>
          <w:szCs w:val="20"/>
          <w:color w:val="auto"/>
        </w:rPr>
      </w:pPr>
      <w:r>
        <w:rPr>
          <w:rFonts w:ascii="Arial" w:cs="Arial" w:eastAsia="Arial" w:hAnsi="Arial"/>
          <w:sz w:val="20"/>
          <w:szCs w:val="20"/>
          <w:color w:val="auto"/>
        </w:rPr>
        <w:t>Audit and</w:t>
      </w:r>
    </w:p>
    <w:p>
      <w:pPr>
        <w:ind w:left="180"/>
        <w:spacing w:after="0" w:line="209" w:lineRule="auto"/>
        <w:rPr>
          <w:sz w:val="20"/>
          <w:szCs w:val="20"/>
          <w:color w:val="auto"/>
        </w:rPr>
      </w:pPr>
      <w:r>
        <w:rPr>
          <w:rFonts w:ascii="Arial" w:cs="Arial" w:eastAsia="Arial" w:hAnsi="Arial"/>
          <w:sz w:val="20"/>
          <w:szCs w:val="20"/>
          <w:color w:val="auto"/>
        </w:rPr>
        <w:t>Management</w:t>
      </w:r>
    </w:p>
    <w:p>
      <w:pPr>
        <w:ind w:left="180"/>
        <w:spacing w:after="0" w:line="208" w:lineRule="auto"/>
        <w:rPr>
          <w:sz w:val="20"/>
          <w:szCs w:val="20"/>
          <w:color w:val="auto"/>
        </w:rPr>
      </w:pPr>
      <w:r>
        <w:rPr>
          <w:rFonts w:ascii="Arial" w:cs="Arial" w:eastAsia="Arial" w:hAnsi="Arial"/>
          <w:sz w:val="20"/>
          <w:szCs w:val="20"/>
          <w:color w:val="auto"/>
        </w:rPr>
        <w:t>Development &amp;</w:t>
      </w:r>
    </w:p>
    <w:p>
      <w:pPr>
        <w:ind w:left="180"/>
        <w:spacing w:after="0" w:line="208" w:lineRule="auto"/>
        <w:rPr>
          <w:sz w:val="20"/>
          <w:szCs w:val="20"/>
          <w:color w:val="auto"/>
        </w:rPr>
      </w:pPr>
      <w:r>
        <w:rPr>
          <w:rFonts w:ascii="Arial" w:cs="Arial" w:eastAsia="Arial" w:hAnsi="Arial"/>
          <w:sz w:val="20"/>
          <w:szCs w:val="20"/>
          <w:color w:val="auto"/>
        </w:rPr>
        <w:t>Compensation</w:t>
      </w:r>
    </w:p>
    <w:p>
      <w:pPr>
        <w:ind w:left="180"/>
        <w:spacing w:after="0" w:line="234" w:lineRule="auto"/>
        <w:rPr>
          <w:sz w:val="20"/>
          <w:szCs w:val="20"/>
          <w:color w:val="auto"/>
        </w:rPr>
      </w:pPr>
      <w:r>
        <w:rPr>
          <w:rFonts w:ascii="Arial" w:cs="Arial" w:eastAsia="Arial" w:hAnsi="Arial"/>
          <w:sz w:val="20"/>
          <w:szCs w:val="20"/>
          <w:color w:val="auto"/>
        </w:rPr>
        <w:t>(Chair)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8"/>
          <w:szCs w:val="28"/>
          <w:b w:val="1"/>
          <w:bCs w:val="1"/>
          <w:color w:val="0E3C23"/>
        </w:rPr>
        <w:t>P</w:t>
      </w:r>
      <w:r>
        <w:rPr>
          <w:rFonts w:ascii="Arial" w:cs="Arial" w:eastAsia="Arial" w:hAnsi="Arial"/>
          <w:sz w:val="17"/>
          <w:szCs w:val="17"/>
          <w:b w:val="1"/>
          <w:bCs w:val="1"/>
          <w:color w:val="0E3C23"/>
        </w:rPr>
        <w:t>OSITION AND</w:t>
      </w:r>
      <w:r>
        <w:rPr>
          <w:rFonts w:ascii="Arial" w:cs="Arial" w:eastAsia="Arial" w:hAnsi="Arial"/>
          <w:sz w:val="28"/>
          <w:szCs w:val="28"/>
          <w:b w:val="1"/>
          <w:bCs w:val="1"/>
          <w:color w:val="0E3C23"/>
        </w:rPr>
        <w:t xml:space="preserve"> B</w:t>
      </w:r>
      <w:r>
        <w:rPr>
          <w:rFonts w:ascii="Arial" w:cs="Arial" w:eastAsia="Arial" w:hAnsi="Arial"/>
          <w:sz w:val="17"/>
          <w:szCs w:val="17"/>
          <w:b w:val="1"/>
          <w:bCs w:val="1"/>
          <w:color w:val="0E3C23"/>
        </w:rPr>
        <w:t>USINESS</w:t>
      </w:r>
      <w:r>
        <w:rPr>
          <w:rFonts w:ascii="Arial" w:cs="Arial" w:eastAsia="Arial" w:hAnsi="Arial"/>
          <w:sz w:val="28"/>
          <w:szCs w:val="28"/>
          <w:b w:val="1"/>
          <w:bCs w:val="1"/>
          <w:color w:val="0E3C23"/>
        </w:rPr>
        <w:t xml:space="preserve"> E</w:t>
      </w:r>
      <w:r>
        <w:rPr>
          <w:rFonts w:ascii="Arial" w:cs="Arial" w:eastAsia="Arial" w:hAnsi="Arial"/>
          <w:sz w:val="17"/>
          <w:szCs w:val="17"/>
          <w:b w:val="1"/>
          <w:bCs w:val="1"/>
          <w:color w:val="0E3C23"/>
        </w:rPr>
        <w:t>XPERIENCE</w:t>
      </w:r>
    </w:p>
    <w:p>
      <w:pPr>
        <w:spacing w:after="0" w:line="153" w:lineRule="exact"/>
        <w:rPr>
          <w:sz w:val="20"/>
          <w:szCs w:val="20"/>
          <w:color w:val="auto"/>
        </w:rPr>
      </w:pPr>
    </w:p>
    <w:p>
      <w:pPr>
        <w:jc w:val="both"/>
        <w:ind w:right="200"/>
        <w:spacing w:after="0" w:line="244" w:lineRule="auto"/>
        <w:rPr>
          <w:sz w:val="20"/>
          <w:szCs w:val="20"/>
          <w:color w:val="auto"/>
        </w:rPr>
      </w:pPr>
      <w:r>
        <w:rPr>
          <w:rFonts w:ascii="Arial" w:cs="Arial" w:eastAsia="Arial" w:hAnsi="Arial"/>
          <w:sz w:val="20"/>
          <w:szCs w:val="20"/>
          <w:color w:val="auto"/>
        </w:rPr>
        <w:t>President, Chief Executive Officer and Director — The AES Corporation (global energy company) since 2011.</w:t>
      </w:r>
    </w:p>
    <w:p>
      <w:pPr>
        <w:spacing w:after="0" w:line="95" w:lineRule="exact"/>
        <w:rPr>
          <w:sz w:val="20"/>
          <w:szCs w:val="20"/>
          <w:color w:val="auto"/>
        </w:rPr>
      </w:pPr>
    </w:p>
    <w:p>
      <w:pPr>
        <w:spacing w:after="0"/>
        <w:rPr>
          <w:sz w:val="20"/>
          <w:szCs w:val="20"/>
          <w:color w:val="auto"/>
        </w:rPr>
      </w:pPr>
      <w:r>
        <w:rPr>
          <w:rFonts w:ascii="Arial" w:cs="Arial" w:eastAsia="Arial" w:hAnsi="Arial"/>
          <w:sz w:val="28"/>
          <w:szCs w:val="28"/>
          <w:b w:val="1"/>
          <w:bCs w:val="1"/>
          <w:color w:val="0E3C23"/>
        </w:rPr>
        <w:t>Q</w:t>
      </w:r>
      <w:r>
        <w:rPr>
          <w:rFonts w:ascii="Arial" w:cs="Arial" w:eastAsia="Arial" w:hAnsi="Arial"/>
          <w:sz w:val="17"/>
          <w:szCs w:val="17"/>
          <w:b w:val="1"/>
          <w:bCs w:val="1"/>
          <w:color w:val="0E3C23"/>
        </w:rPr>
        <w:t>UALIFICATIONS</w:t>
      </w:r>
    </w:p>
    <w:p>
      <w:pPr>
        <w:spacing w:after="0" w:line="153" w:lineRule="exact"/>
        <w:rPr>
          <w:sz w:val="20"/>
          <w:szCs w:val="20"/>
          <w:color w:val="auto"/>
        </w:rPr>
      </w:pPr>
    </w:p>
    <w:p>
      <w:pPr>
        <w:jc w:val="both"/>
        <w:ind w:right="200"/>
        <w:spacing w:after="0" w:line="263" w:lineRule="auto"/>
        <w:rPr>
          <w:sz w:val="20"/>
          <w:szCs w:val="20"/>
          <w:color w:val="auto"/>
        </w:rPr>
      </w:pPr>
      <w:r>
        <w:rPr>
          <w:rFonts w:ascii="Arial" w:cs="Arial" w:eastAsia="Arial" w:hAnsi="Arial"/>
          <w:sz w:val="19"/>
          <w:szCs w:val="19"/>
          <w:color w:val="auto"/>
        </w:rPr>
        <w:t>Andrés Gluski has served as President, Chief Executive Officer and a Director of The AES Corporation, a Fortune 500 global energy company, since 2011. Mr. Gluski began his tenure at AES in 2000 and previously served as Executive Vice President and Chief Operating Officer. Under his leadership, AES has become a leader in implementing clean technologies, including energy storage and renewable power. Through his professional experience, Mr. Gluski has extensive knowledge with respect to evaluating renewable energy strategies, and he has developed expertise in considering and evaluating climate-related risks and opportunities, which is directly applicable to our business and our sustainability growth strategy. Mr. Gluski also has experience in the development of sustainability and corporate social responsibility goals, as well as oversight of compliance programs.</w:t>
      </w:r>
    </w:p>
    <w:p>
      <w:pPr>
        <w:spacing w:after="0" w:line="120" w:lineRule="exact"/>
        <w:rPr>
          <w:sz w:val="20"/>
          <w:szCs w:val="20"/>
          <w:color w:val="auto"/>
        </w:rPr>
      </w:pPr>
    </w:p>
    <w:p>
      <w:pPr>
        <w:jc w:val="both"/>
        <w:ind w:right="200"/>
        <w:spacing w:after="0" w:line="248" w:lineRule="auto"/>
        <w:rPr>
          <w:sz w:val="20"/>
          <w:szCs w:val="20"/>
          <w:color w:val="auto"/>
        </w:rPr>
      </w:pPr>
      <w:r>
        <w:rPr>
          <w:rFonts w:ascii="Arial" w:cs="Arial" w:eastAsia="Arial" w:hAnsi="Arial"/>
          <w:sz w:val="20"/>
          <w:szCs w:val="20"/>
          <w:color w:val="auto"/>
        </w:rPr>
        <w:t>Prior to joining AES, Mr. Gluski served in a broad range of roles in the public and private sectors, including working as Executive Vice President of Corporate and Investment Banking in Grupo Santander. Mr. Gluski served as a member of the President’s Export Council from 2013 to 2016 and served as an expert witness at U.S. Congressional hearings on the subject of energy policy. He currently serves as Chairman of Council of the Americas and co-chair of the World Economic Forum’s Electricity Industry community.</w:t>
      </w:r>
    </w:p>
    <w:p>
      <w:pPr>
        <w:spacing w:after="0" w:line="131" w:lineRule="exact"/>
        <w:rPr>
          <w:sz w:val="20"/>
          <w:szCs w:val="20"/>
          <w:color w:val="auto"/>
        </w:rPr>
      </w:pPr>
    </w:p>
    <w:p>
      <w:pPr>
        <w:jc w:val="both"/>
        <w:ind w:right="200"/>
        <w:spacing w:after="0" w:line="264" w:lineRule="auto"/>
        <w:rPr>
          <w:sz w:val="20"/>
          <w:szCs w:val="20"/>
          <w:color w:val="auto"/>
        </w:rPr>
      </w:pPr>
      <w:r>
        <w:rPr>
          <w:rFonts w:ascii="Arial" w:cs="Arial" w:eastAsia="Arial" w:hAnsi="Arial"/>
          <w:sz w:val="19"/>
          <w:szCs w:val="19"/>
          <w:color w:val="auto"/>
        </w:rPr>
        <w:t>Mr. Gluski has also focused on shaping an innovative workplace at AES with a diverse and inclusive culture throughout the world. These efforts have given Mr. Gluski valuable expertise in the areas of human capital management, diversity and inclusion that he utilizes in his role as Chair of the Management Development &amp; Compensation Committee of the Board. Mr. Gluski has been named amongst the 100 Most Influential Latinos by Latino Leaders Magazine.</w:t>
      </w:r>
    </w:p>
    <w:p>
      <w:pPr>
        <w:spacing w:after="0" w:line="115" w:lineRule="exact"/>
        <w:rPr>
          <w:sz w:val="20"/>
          <w:szCs w:val="20"/>
          <w:color w:val="auto"/>
        </w:rPr>
      </w:pPr>
    </w:p>
    <w:p>
      <w:pPr>
        <w:jc w:val="both"/>
        <w:ind w:right="200"/>
        <w:spacing w:after="0" w:line="265" w:lineRule="auto"/>
        <w:rPr>
          <w:sz w:val="20"/>
          <w:szCs w:val="20"/>
          <w:color w:val="auto"/>
        </w:rPr>
      </w:pPr>
      <w:r>
        <w:rPr>
          <w:rFonts w:ascii="Arial" w:cs="Arial" w:eastAsia="Arial" w:hAnsi="Arial"/>
          <w:sz w:val="19"/>
          <w:szCs w:val="19"/>
          <w:color w:val="auto"/>
        </w:rPr>
        <w:t>The depth and breadth of Mr. Gluski’s international business and finance background, and experience in managing growth opportunities while focusing on operational innovation, allow him to provide invaluable risk management, government affairs, public policy, public relations, communications and investor relations insight in his role as a member of the Board.</w:t>
      </w:r>
    </w:p>
    <w:p>
      <w:pPr>
        <w:spacing w:after="0" w:line="113" w:lineRule="exact"/>
        <w:rPr>
          <w:sz w:val="20"/>
          <w:szCs w:val="20"/>
          <w:color w:val="auto"/>
        </w:rPr>
      </w:pPr>
    </w:p>
    <w:p>
      <w:pPr>
        <w:jc w:val="both"/>
        <w:ind w:right="200"/>
        <w:spacing w:after="0" w:line="244" w:lineRule="auto"/>
        <w:rPr>
          <w:sz w:val="20"/>
          <w:szCs w:val="20"/>
          <w:color w:val="auto"/>
        </w:rPr>
      </w:pPr>
      <w:r>
        <w:rPr>
          <w:rFonts w:ascii="Arial" w:cs="Arial" w:eastAsia="Arial" w:hAnsi="Arial"/>
          <w:sz w:val="20"/>
          <w:szCs w:val="20"/>
          <w:color w:val="auto"/>
        </w:rPr>
        <w:t>Mr. Gluski holds a bachelor’s degree from Wake Forest University, as well as a master’s degree and a PhD in economics from the University of Virginia.</w:t>
      </w:r>
    </w:p>
    <w:p>
      <w:pPr>
        <w:spacing w:after="0" w:line="200" w:lineRule="exact"/>
        <w:rPr>
          <w:sz w:val="20"/>
          <w:szCs w:val="20"/>
          <w:color w:val="auto"/>
        </w:rPr>
      </w:pPr>
    </w:p>
    <w:p>
      <w:pPr>
        <w:sectPr>
          <w:pgSz w:w="13320" w:h="16920" w:orient="portrait"/>
          <w:cols w:equalWidth="0" w:num="2">
            <w:col w:w="1960" w:space="140"/>
            <w:col w:w="8340"/>
          </w:cols>
          <w:pgMar w:left="1440" w:top="1232" w:right="1440" w:bottom="103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83">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84">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28" w:name="page29"/>
    <w:bookmarkEnd w:id="28"/>
    <w:p>
      <w:pPr>
        <w:spacing w:after="0" w:line="200" w:lineRule="exact"/>
        <w:rPr>
          <w:sz w:val="20"/>
          <w:szCs w:val="20"/>
          <w:color w:val="auto"/>
        </w:rPr>
      </w:pPr>
    </w:p>
    <w:p>
      <w:pPr>
        <w:spacing w:after="0" w:line="346" w:lineRule="exact"/>
        <w:rPr>
          <w:sz w:val="20"/>
          <w:szCs w:val="20"/>
          <w:color w:val="auto"/>
        </w:rPr>
      </w:pPr>
    </w:p>
    <w:p>
      <w:pPr>
        <w:jc w:val="center"/>
        <w:ind w:left="180"/>
        <w:spacing w:after="0"/>
        <w:rPr>
          <w:sz w:val="20"/>
          <w:szCs w:val="20"/>
          <w:color w:val="auto"/>
        </w:rPr>
      </w:pPr>
      <w:r>
        <w:rPr>
          <w:rFonts w:ascii="Arial" w:cs="Arial" w:eastAsia="Arial" w:hAnsi="Arial"/>
          <w:sz w:val="25"/>
          <w:szCs w:val="25"/>
          <w:b w:val="1"/>
          <w:bCs w:val="1"/>
          <w:color w:val="FFFFFF"/>
        </w:rPr>
        <w:t>V</w:t>
      </w:r>
      <w:r>
        <w:rPr>
          <w:rFonts w:ascii="Arial" w:cs="Arial" w:eastAsia="Arial" w:hAnsi="Arial"/>
          <w:sz w:val="15"/>
          <w:szCs w:val="15"/>
          <w:b w:val="1"/>
          <w:bCs w:val="1"/>
          <w:color w:val="FFFFFF"/>
        </w:rPr>
        <w:t>ICTORIA</w:t>
      </w:r>
      <w:r>
        <w:rPr>
          <w:rFonts w:ascii="Arial" w:cs="Arial" w:eastAsia="Arial" w:hAnsi="Arial"/>
          <w:sz w:val="25"/>
          <w:szCs w:val="25"/>
          <w:b w:val="1"/>
          <w:bCs w:val="1"/>
          <w:color w:val="FFFFFF"/>
        </w:rPr>
        <w:t xml:space="preserve"> M. H</w:t>
      </w:r>
      <w:r>
        <w:rPr>
          <w:rFonts w:ascii="Arial" w:cs="Arial" w:eastAsia="Arial" w:hAnsi="Arial"/>
          <w:sz w:val="15"/>
          <w:szCs w:val="15"/>
          <w:b w:val="1"/>
          <w:bCs w:val="1"/>
          <w:color w:val="FFFFFF"/>
        </w:rPr>
        <w:t>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57785</wp:posOffset>
            </wp:positionV>
            <wp:extent cx="1143635" cy="61715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5">
                      <a:extLst>
                        <a:ext uri="{28A0092B-C50C-407E-A947-70E740481C1C}"/>
                      </a:extLst>
                    </a:blip>
                    <a:srcRect/>
                    <a:stretch>
                      <a:fillRect/>
                    </a:stretch>
                  </pic:blipFill>
                  <pic:spPr bwMode="auto">
                    <a:xfrm>
                      <a:off x="0" y="0"/>
                      <a:ext cx="1143635" cy="6171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 xml:space="preserve">Age: </w:t>
      </w:r>
      <w:r>
        <w:rPr>
          <w:rFonts w:ascii="Arial" w:cs="Arial" w:eastAsia="Arial" w:hAnsi="Arial"/>
          <w:sz w:val="20"/>
          <w:szCs w:val="20"/>
          <w:color w:val="000000"/>
        </w:rPr>
        <w:t>67</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Director since:</w:t>
      </w:r>
    </w:p>
    <w:p>
      <w:pPr>
        <w:ind w:left="180"/>
        <w:spacing w:after="0" w:line="234" w:lineRule="auto"/>
        <w:rPr>
          <w:sz w:val="20"/>
          <w:szCs w:val="20"/>
          <w:color w:val="auto"/>
        </w:rPr>
      </w:pPr>
      <w:r>
        <w:rPr>
          <w:rFonts w:ascii="Arial" w:cs="Arial" w:eastAsia="Arial" w:hAnsi="Arial"/>
          <w:sz w:val="20"/>
          <w:szCs w:val="20"/>
          <w:color w:val="auto"/>
        </w:rPr>
        <w:t>January 2013</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Board</w:t>
      </w:r>
    </w:p>
    <w:p>
      <w:pPr>
        <w:ind w:left="180"/>
        <w:spacing w:after="0" w:line="210" w:lineRule="auto"/>
        <w:rPr>
          <w:sz w:val="20"/>
          <w:szCs w:val="20"/>
          <w:color w:val="auto"/>
        </w:rPr>
      </w:pPr>
      <w:r>
        <w:rPr>
          <w:rFonts w:ascii="Arial" w:cs="Arial" w:eastAsia="Arial" w:hAnsi="Arial"/>
          <w:sz w:val="20"/>
          <w:szCs w:val="20"/>
          <w:b w:val="1"/>
          <w:bCs w:val="1"/>
          <w:color w:val="0E3C23"/>
        </w:rPr>
        <w:t>Committees:</w:t>
      </w:r>
    </w:p>
    <w:p>
      <w:pPr>
        <w:ind w:left="180"/>
        <w:spacing w:after="0" w:line="208" w:lineRule="auto"/>
        <w:rPr>
          <w:sz w:val="20"/>
          <w:szCs w:val="20"/>
          <w:color w:val="auto"/>
        </w:rPr>
      </w:pPr>
      <w:r>
        <w:rPr>
          <w:rFonts w:ascii="Arial" w:cs="Arial" w:eastAsia="Arial" w:hAnsi="Arial"/>
          <w:sz w:val="20"/>
          <w:szCs w:val="20"/>
          <w:color w:val="auto"/>
        </w:rPr>
        <w:t>Audit and</w:t>
      </w:r>
    </w:p>
    <w:p>
      <w:pPr>
        <w:ind w:left="180"/>
        <w:spacing w:after="0" w:line="209" w:lineRule="auto"/>
        <w:rPr>
          <w:sz w:val="20"/>
          <w:szCs w:val="20"/>
          <w:color w:val="auto"/>
        </w:rPr>
      </w:pPr>
      <w:r>
        <w:rPr>
          <w:rFonts w:ascii="Arial" w:cs="Arial" w:eastAsia="Arial" w:hAnsi="Arial"/>
          <w:sz w:val="20"/>
          <w:szCs w:val="20"/>
          <w:color w:val="auto"/>
        </w:rPr>
        <w:t>Nominating &amp;</w:t>
      </w:r>
    </w:p>
    <w:p>
      <w:pPr>
        <w:ind w:left="180"/>
        <w:spacing w:after="0"/>
        <w:rPr>
          <w:sz w:val="20"/>
          <w:szCs w:val="20"/>
          <w:color w:val="auto"/>
        </w:rPr>
      </w:pPr>
      <w:r>
        <w:rPr>
          <w:rFonts w:ascii="Arial" w:cs="Arial" w:eastAsia="Arial" w:hAnsi="Arial"/>
          <w:sz w:val="19"/>
          <w:szCs w:val="19"/>
          <w:color w:val="auto"/>
        </w:rPr>
        <w:t>Governance (Chair)</w:t>
      </w:r>
    </w:p>
    <w:p>
      <w:pPr>
        <w:spacing w:after="0" w:line="20" w:lineRule="exact"/>
        <w:rPr>
          <w:sz w:val="20"/>
          <w:szCs w:val="20"/>
          <w:color w:val="auto"/>
        </w:rPr>
      </w:pPr>
      <w:r>
        <w:rPr>
          <w:sz w:val="20"/>
          <w:szCs w:val="20"/>
          <w:color w:val="auto"/>
        </w:rPr>
        <w:br w:type="column"/>
      </w:r>
    </w:p>
    <w:p>
      <w:pPr>
        <w:ind w:left="6120"/>
        <w:spacing w:after="0"/>
        <w:rPr>
          <w:sz w:val="20"/>
          <w:szCs w:val="20"/>
          <w:color w:val="auto"/>
        </w:rPr>
      </w:pPr>
      <w:r>
        <w:rPr>
          <w:rFonts w:ascii="Arial" w:cs="Arial" w:eastAsia="Arial" w:hAnsi="Arial"/>
          <w:sz w:val="15"/>
          <w:szCs w:val="15"/>
          <w:b w:val="1"/>
          <w:bCs w:val="1"/>
          <w:color w:val="auto"/>
        </w:rPr>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-1219835</wp:posOffset>
                </wp:positionH>
                <wp:positionV relativeFrom="paragraph">
                  <wp:posOffset>211455</wp:posOffset>
                </wp:positionV>
                <wp:extent cx="6386195" cy="266065"/>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065"/>
                        </a:xfrm>
                        <a:prstGeom prst="rect">
                          <a:avLst/>
                        </a:prstGeom>
                        <a:solidFill>
                          <a:srgbClr val="0E3C23"/>
                        </a:solidFill>
                      </wps:spPr>
                      <wps:bodyPr/>
                    </wps:wsp>
                  </a:graphicData>
                </a:graphic>
              </wp:anchor>
            </w:drawing>
          </mc:Choice>
          <mc:Fallback>
            <w:pict>
              <v:rect id="Shape 113" o:spid="_x0000_s1138" style="position:absolute;margin-left:-96.0499pt;margin-top:16.65pt;width:502.85pt;height:2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E3C23" stroked="f"/>
            </w:pict>
          </mc:Fallback>
        </mc:AlternateContent>
        <mc:AlternateContent>
          <mc:Choice Requires="wps">
            <w:drawing>
              <wp:anchor simplePos="0" relativeHeight="251657728" behindDoc="1" locked="0" layoutInCell="0" allowOverlap="1">
                <wp:simplePos x="0" y="0"/>
                <wp:positionH relativeFrom="column">
                  <wp:posOffset>-1219835</wp:posOffset>
                </wp:positionH>
                <wp:positionV relativeFrom="paragraph">
                  <wp:posOffset>-111760</wp:posOffset>
                </wp:positionV>
                <wp:extent cx="638556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0499pt,-8.7999pt" to="406.75pt,-8.7999pt" o:allowincell="f" strokecolor="#0E3C23" strokeweight="0.99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8"/>
          <w:szCs w:val="28"/>
          <w:b w:val="1"/>
          <w:bCs w:val="1"/>
          <w:color w:val="0E3C23"/>
        </w:rPr>
        <w:t>P</w:t>
      </w:r>
      <w:r>
        <w:rPr>
          <w:rFonts w:ascii="Arial" w:cs="Arial" w:eastAsia="Arial" w:hAnsi="Arial"/>
          <w:sz w:val="17"/>
          <w:szCs w:val="17"/>
          <w:b w:val="1"/>
          <w:bCs w:val="1"/>
          <w:color w:val="0E3C23"/>
        </w:rPr>
        <w:t>OSITION AND</w:t>
      </w:r>
      <w:r>
        <w:rPr>
          <w:rFonts w:ascii="Arial" w:cs="Arial" w:eastAsia="Arial" w:hAnsi="Arial"/>
          <w:sz w:val="28"/>
          <w:szCs w:val="28"/>
          <w:b w:val="1"/>
          <w:bCs w:val="1"/>
          <w:color w:val="0E3C23"/>
        </w:rPr>
        <w:t xml:space="preserve"> B</w:t>
      </w:r>
      <w:r>
        <w:rPr>
          <w:rFonts w:ascii="Arial" w:cs="Arial" w:eastAsia="Arial" w:hAnsi="Arial"/>
          <w:sz w:val="17"/>
          <w:szCs w:val="17"/>
          <w:b w:val="1"/>
          <w:bCs w:val="1"/>
          <w:color w:val="0E3C23"/>
        </w:rPr>
        <w:t>USINESS</w:t>
      </w:r>
      <w:r>
        <w:rPr>
          <w:rFonts w:ascii="Arial" w:cs="Arial" w:eastAsia="Arial" w:hAnsi="Arial"/>
          <w:sz w:val="28"/>
          <w:szCs w:val="28"/>
          <w:b w:val="1"/>
          <w:bCs w:val="1"/>
          <w:color w:val="0E3C23"/>
        </w:rPr>
        <w:t xml:space="preserve"> E</w:t>
      </w:r>
      <w:r>
        <w:rPr>
          <w:rFonts w:ascii="Arial" w:cs="Arial" w:eastAsia="Arial" w:hAnsi="Arial"/>
          <w:sz w:val="17"/>
          <w:szCs w:val="17"/>
          <w:b w:val="1"/>
          <w:bCs w:val="1"/>
          <w:color w:val="0E3C23"/>
        </w:rPr>
        <w:t>XPERIENCE</w:t>
      </w:r>
    </w:p>
    <w:p>
      <w:pPr>
        <w:spacing w:after="0" w:line="153" w:lineRule="exact"/>
        <w:rPr>
          <w:sz w:val="20"/>
          <w:szCs w:val="20"/>
          <w:color w:val="auto"/>
        </w:rPr>
      </w:pPr>
    </w:p>
    <w:p>
      <w:pPr>
        <w:jc w:val="both"/>
        <w:ind w:right="200"/>
        <w:spacing w:after="0" w:line="246" w:lineRule="auto"/>
        <w:rPr>
          <w:sz w:val="20"/>
          <w:szCs w:val="20"/>
          <w:color w:val="auto"/>
        </w:rPr>
      </w:pPr>
      <w:r>
        <w:rPr>
          <w:rFonts w:ascii="Arial" w:cs="Arial" w:eastAsia="Arial" w:hAnsi="Arial"/>
          <w:sz w:val="20"/>
          <w:szCs w:val="20"/>
          <w:color w:val="auto"/>
        </w:rPr>
        <w:t>Retired President and Chief Executive Officer — Proto Labs, Inc. (online and technology-enabled quick-turn manufacturer), served from 2014 to March 2021; also served as Director from 2014 – May 2021.</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Director of Piper Sandler Companies since September 2019.</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Director of A. O. Smith Corp. since April 2021.</w:t>
      </w:r>
    </w:p>
    <w:p>
      <w:pPr>
        <w:spacing w:after="0" w:line="99" w:lineRule="exact"/>
        <w:rPr>
          <w:sz w:val="20"/>
          <w:szCs w:val="20"/>
          <w:color w:val="auto"/>
        </w:rPr>
      </w:pPr>
    </w:p>
    <w:p>
      <w:pPr>
        <w:spacing w:after="0"/>
        <w:rPr>
          <w:sz w:val="20"/>
          <w:szCs w:val="20"/>
          <w:color w:val="auto"/>
        </w:rPr>
      </w:pPr>
      <w:r>
        <w:rPr>
          <w:rFonts w:ascii="Arial" w:cs="Arial" w:eastAsia="Arial" w:hAnsi="Arial"/>
          <w:sz w:val="28"/>
          <w:szCs w:val="28"/>
          <w:b w:val="1"/>
          <w:bCs w:val="1"/>
          <w:color w:val="0E3C23"/>
        </w:rPr>
        <w:t>Q</w:t>
      </w:r>
      <w:r>
        <w:rPr>
          <w:rFonts w:ascii="Arial" w:cs="Arial" w:eastAsia="Arial" w:hAnsi="Arial"/>
          <w:sz w:val="17"/>
          <w:szCs w:val="17"/>
          <w:b w:val="1"/>
          <w:bCs w:val="1"/>
          <w:color w:val="0E3C23"/>
        </w:rPr>
        <w:t>UALIFICATIONS</w:t>
      </w:r>
    </w:p>
    <w:p>
      <w:pPr>
        <w:spacing w:after="0" w:line="153" w:lineRule="exact"/>
        <w:rPr>
          <w:sz w:val="20"/>
          <w:szCs w:val="20"/>
          <w:color w:val="auto"/>
        </w:rPr>
      </w:pPr>
    </w:p>
    <w:p>
      <w:pPr>
        <w:jc w:val="both"/>
        <w:ind w:right="200"/>
        <w:spacing w:after="0" w:line="287" w:lineRule="auto"/>
        <w:rPr>
          <w:sz w:val="20"/>
          <w:szCs w:val="20"/>
          <w:color w:val="auto"/>
        </w:rPr>
      </w:pPr>
      <w:r>
        <w:rPr>
          <w:rFonts w:ascii="Arial" w:cs="Arial" w:eastAsia="Arial" w:hAnsi="Arial"/>
          <w:sz w:val="18"/>
          <w:szCs w:val="18"/>
          <w:color w:val="auto"/>
        </w:rPr>
        <w:t>Victoria Holt joined Proto Labs, Inc. as President, Chief Executive Officer and a Director in 2014, retiring in 2021. With manufacturing facilities in five countries, Proto Labs is a leading e-commerce technology enabled digital manufacturer of custom prototypes and on-demand product parts.</w:t>
      </w:r>
    </w:p>
    <w:p>
      <w:pPr>
        <w:spacing w:after="0" w:line="96" w:lineRule="exact"/>
        <w:rPr>
          <w:sz w:val="20"/>
          <w:szCs w:val="20"/>
          <w:color w:val="auto"/>
        </w:rPr>
      </w:pPr>
    </w:p>
    <w:p>
      <w:pPr>
        <w:jc w:val="both"/>
        <w:ind w:right="200"/>
        <w:spacing w:after="0" w:line="264" w:lineRule="auto"/>
        <w:rPr>
          <w:sz w:val="20"/>
          <w:szCs w:val="20"/>
          <w:color w:val="auto"/>
        </w:rPr>
      </w:pPr>
      <w:r>
        <w:rPr>
          <w:rFonts w:ascii="Arial" w:cs="Arial" w:eastAsia="Arial" w:hAnsi="Arial"/>
          <w:sz w:val="19"/>
          <w:szCs w:val="19"/>
          <w:color w:val="auto"/>
        </w:rPr>
        <w:t>Ms. Holt began her career at Monsanto Company, where she held various assignments of increasing responsibility before moving to Solutia, Inc., a divestiture of the Monsanto Company’s chemical business, as Vice President and General Manager Performance Films. Ms. Holt later held various roles with PPG Industries, Inc., a leading coatings and specialty products company, including Senior Vice President of Glass and Fiber Glass. Ms. Holt then served as President and Chief Executive Officer of Spartech Corporation, a leading provider of plastic sheet, compounds and packaging products, until its sale to PolyOne in 2013.</w:t>
      </w:r>
    </w:p>
    <w:p>
      <w:pPr>
        <w:spacing w:after="0" w:line="114" w:lineRule="exact"/>
        <w:rPr>
          <w:sz w:val="20"/>
          <w:szCs w:val="20"/>
          <w:color w:val="auto"/>
        </w:rPr>
      </w:pPr>
    </w:p>
    <w:p>
      <w:pPr>
        <w:jc w:val="both"/>
        <w:ind w:right="200"/>
        <w:spacing w:after="0" w:line="279" w:lineRule="auto"/>
        <w:rPr>
          <w:sz w:val="20"/>
          <w:szCs w:val="20"/>
          <w:color w:val="auto"/>
        </w:rPr>
      </w:pPr>
      <w:r>
        <w:rPr>
          <w:rFonts w:ascii="Arial" w:cs="Arial" w:eastAsia="Arial" w:hAnsi="Arial"/>
          <w:sz w:val="18"/>
          <w:szCs w:val="18"/>
          <w:color w:val="auto"/>
        </w:rPr>
        <w:t>Ms. Holt has a diverse international business background serving a wide spectrum of customers looking for sustainable solutions across diverse end markets including plastics, materials, automotive, medical, aerospace, consumer and general industrial. Ms. Holt brings passion and extensive experience in the areas of sustainable innovation, environmental solutions, plastics operations and management and recycling to the Board. Ms. Holt’s proven success leading large global companies across a broad range of manufacturing, chemical and materials industries has demonstrated her deep understanding of risk management, operations, strategic planning and performance measurement. Ms. Holt provides tremendous insight into the areas of continuous improvement, use of data analytics, e-commerce, digitally connected operations and execution of our technology-led, sustainability-linked strategy to grow our business and mitigate climate risks.</w:t>
      </w:r>
    </w:p>
    <w:p>
      <w:pPr>
        <w:spacing w:after="0" w:line="108" w:lineRule="exact"/>
        <w:rPr>
          <w:sz w:val="20"/>
          <w:szCs w:val="20"/>
          <w:color w:val="auto"/>
        </w:rPr>
      </w:pPr>
    </w:p>
    <w:p>
      <w:pPr>
        <w:jc w:val="both"/>
        <w:ind w:right="200"/>
        <w:spacing w:after="0" w:line="247" w:lineRule="auto"/>
        <w:rPr>
          <w:sz w:val="20"/>
          <w:szCs w:val="20"/>
          <w:color w:val="auto"/>
        </w:rPr>
      </w:pPr>
      <w:r>
        <w:rPr>
          <w:rFonts w:ascii="Arial" w:cs="Arial" w:eastAsia="Arial" w:hAnsi="Arial"/>
          <w:sz w:val="20"/>
          <w:szCs w:val="20"/>
          <w:color w:val="auto"/>
        </w:rPr>
        <w:t>Ms. Holt has developed expertise in corporate governance as a member of the public company boards listed above, in addition to experience serving on private company boards, and she shares this expertise with the Company’s Board in her position as Chair of the Nominating and Governance Committee.</w:t>
      </w:r>
    </w:p>
    <w:p>
      <w:pPr>
        <w:spacing w:after="0" w:line="131" w:lineRule="exact"/>
        <w:rPr>
          <w:sz w:val="20"/>
          <w:szCs w:val="20"/>
          <w:color w:val="auto"/>
        </w:rPr>
      </w:pPr>
    </w:p>
    <w:p>
      <w:pPr>
        <w:jc w:val="both"/>
        <w:ind w:right="200"/>
        <w:spacing w:after="0" w:line="247" w:lineRule="auto"/>
        <w:rPr>
          <w:sz w:val="20"/>
          <w:szCs w:val="20"/>
          <w:color w:val="auto"/>
        </w:rPr>
      </w:pPr>
      <w:r>
        <w:rPr>
          <w:rFonts w:ascii="Arial" w:cs="Arial" w:eastAsia="Arial" w:hAnsi="Arial"/>
          <w:sz w:val="20"/>
          <w:szCs w:val="20"/>
          <w:color w:val="auto"/>
        </w:rPr>
        <w:t>Ms. Holt holds a bachelor’s degree in chemistry from Duke University and a master’s degree in business administration from Pace University. Ms. Holt has completed the National Association of Corporate Directors (NACD) Cyber Risk Oversight Program and earned the CERT Certificate in Cybersecurity Oversight.</w:t>
      </w:r>
    </w:p>
    <w:p>
      <w:pPr>
        <w:spacing w:after="0" w:line="200" w:lineRule="exact"/>
        <w:rPr>
          <w:sz w:val="20"/>
          <w:szCs w:val="20"/>
          <w:color w:val="auto"/>
        </w:rPr>
      </w:pPr>
    </w:p>
    <w:p>
      <w:pPr>
        <w:sectPr>
          <w:pgSz w:w="13320" w:h="16920" w:orient="portrait"/>
          <w:cols w:equalWidth="0" w:num="2">
            <w:col w:w="1900" w:space="200"/>
            <w:col w:w="83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-207010</wp:posOffset>
            </wp:positionV>
            <wp:extent cx="538480" cy="1619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86">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29" w:name="page30"/>
    <w:bookmarkEnd w:id="29"/>
    <w:p>
      <w:pPr>
        <w:ind w:left="180"/>
        <w:spacing w:after="0"/>
        <w:rPr>
          <w:sz w:val="20"/>
          <w:szCs w:val="20"/>
          <w:color w:val="auto"/>
        </w:rPr>
      </w:pPr>
      <w:r>
        <w:rPr>
          <w:rFonts w:ascii="Arial" w:cs="Arial" w:eastAsia="Arial" w:hAnsi="Arial"/>
          <w:sz w:val="19"/>
          <w:szCs w:val="19"/>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182245</wp:posOffset>
                </wp:positionV>
                <wp:extent cx="6386830" cy="266065"/>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830" cy="266065"/>
                        </a:xfrm>
                        <a:prstGeom prst="rect">
                          <a:avLst/>
                        </a:prstGeom>
                        <a:solidFill>
                          <a:srgbClr val="0E3C23"/>
                        </a:solidFill>
                      </wps:spPr>
                      <wps:bodyPr/>
                    </wps:wsp>
                  </a:graphicData>
                </a:graphic>
              </wp:anchor>
            </w:drawing>
          </mc:Choice>
          <mc:Fallback>
            <w:pict>
              <v:rect id="Shape 117" o:spid="_x0000_s1142" style="position:absolute;margin-left:8.9pt;margin-top:14.35pt;width:502.9pt;height:2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E3C23" stroked="f"/>
            </w:pict>
          </mc:Fallback>
        </mc:AlternateContent>
      </w:r>
    </w:p>
    <w:p>
      <w:pPr>
        <w:spacing w:after="0" w:line="308"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FFFFFF"/>
        </w:rPr>
        <w:t>K</w:t>
      </w:r>
      <w:r>
        <w:rPr>
          <w:rFonts w:ascii="Arial" w:cs="Arial" w:eastAsia="Arial" w:hAnsi="Arial"/>
          <w:sz w:val="15"/>
          <w:szCs w:val="15"/>
          <w:b w:val="1"/>
          <w:bCs w:val="1"/>
          <w:color w:val="FFFFFF"/>
        </w:rPr>
        <w:t>ATHLEEN</w:t>
      </w:r>
      <w:r>
        <w:rPr>
          <w:rFonts w:ascii="Arial" w:cs="Arial" w:eastAsia="Arial" w:hAnsi="Arial"/>
          <w:sz w:val="25"/>
          <w:szCs w:val="25"/>
          <w:b w:val="1"/>
          <w:bCs w:val="1"/>
          <w:color w:val="FFFFFF"/>
        </w:rPr>
        <w:t xml:space="preserve"> M. M</w:t>
      </w:r>
      <w:r>
        <w:rPr>
          <w:rFonts w:ascii="Arial" w:cs="Arial" w:eastAsia="Arial" w:hAnsi="Arial"/>
          <w:sz w:val="15"/>
          <w:szCs w:val="15"/>
          <w:b w:val="1"/>
          <w:bCs w:val="1"/>
          <w:color w:val="FFFFFF"/>
        </w:rPr>
        <w:t>AZZARELLA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57785</wp:posOffset>
            </wp:positionV>
            <wp:extent cx="1143635" cy="64750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7">
                      <a:extLst>
                        <a:ext uri="{28A0092B-C50C-407E-A947-70E740481C1C}"/>
                      </a:extLst>
                    </a:blip>
                    <a:srcRect/>
                    <a:stretch>
                      <a:fillRect/>
                    </a:stretch>
                  </pic:blipFill>
                  <pic:spPr bwMode="auto">
                    <a:xfrm>
                      <a:off x="0" y="0"/>
                      <a:ext cx="1143635" cy="647509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 xml:space="preserve">Age: </w:t>
      </w:r>
      <w:r>
        <w:rPr>
          <w:rFonts w:ascii="Arial" w:cs="Arial" w:eastAsia="Arial" w:hAnsi="Arial"/>
          <w:sz w:val="20"/>
          <w:szCs w:val="20"/>
          <w:color w:val="000000"/>
        </w:rPr>
        <w:t>65</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Director since:</w:t>
      </w:r>
    </w:p>
    <w:p>
      <w:pPr>
        <w:ind w:left="180"/>
        <w:spacing w:after="0" w:line="234" w:lineRule="auto"/>
        <w:rPr>
          <w:sz w:val="20"/>
          <w:szCs w:val="20"/>
          <w:color w:val="auto"/>
        </w:rPr>
      </w:pPr>
      <w:r>
        <w:rPr>
          <w:rFonts w:ascii="Arial" w:cs="Arial" w:eastAsia="Arial" w:hAnsi="Arial"/>
          <w:sz w:val="20"/>
          <w:szCs w:val="20"/>
          <w:color w:val="auto"/>
        </w:rPr>
        <w:t>October 2015</w:t>
      </w:r>
    </w:p>
    <w:p>
      <w:pPr>
        <w:spacing w:after="0" w:line="133" w:lineRule="exact"/>
        <w:rPr>
          <w:sz w:val="20"/>
          <w:szCs w:val="20"/>
          <w:color w:val="auto"/>
        </w:rPr>
      </w:pPr>
    </w:p>
    <w:p>
      <w:pPr>
        <w:jc w:val="both"/>
        <w:ind w:left="180" w:right="540"/>
        <w:spacing w:after="0" w:line="242" w:lineRule="auto"/>
        <w:rPr>
          <w:sz w:val="20"/>
          <w:szCs w:val="20"/>
          <w:color w:val="auto"/>
        </w:rPr>
      </w:pPr>
      <w:r>
        <w:rPr>
          <w:rFonts w:ascii="Arial" w:cs="Arial" w:eastAsia="Arial" w:hAnsi="Arial"/>
          <w:sz w:val="18"/>
          <w:szCs w:val="18"/>
          <w:b w:val="1"/>
          <w:bCs w:val="1"/>
          <w:color w:val="0E3C23"/>
        </w:rPr>
        <w:t xml:space="preserve">Chair of the Board since: </w:t>
      </w:r>
      <w:r>
        <w:rPr>
          <w:rFonts w:ascii="Arial" w:cs="Arial" w:eastAsia="Arial" w:hAnsi="Arial"/>
          <w:sz w:val="18"/>
          <w:szCs w:val="18"/>
          <w:color w:val="000000"/>
        </w:rPr>
        <w:t>May 2023</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Board</w:t>
      </w:r>
    </w:p>
    <w:p>
      <w:pPr>
        <w:ind w:left="180"/>
        <w:spacing w:after="0" w:line="210" w:lineRule="auto"/>
        <w:rPr>
          <w:sz w:val="20"/>
          <w:szCs w:val="20"/>
          <w:color w:val="auto"/>
        </w:rPr>
      </w:pPr>
      <w:r>
        <w:rPr>
          <w:rFonts w:ascii="Arial" w:cs="Arial" w:eastAsia="Arial" w:hAnsi="Arial"/>
          <w:sz w:val="20"/>
          <w:szCs w:val="20"/>
          <w:b w:val="1"/>
          <w:bCs w:val="1"/>
          <w:color w:val="0E3C23"/>
        </w:rPr>
        <w:t>Committees:</w:t>
      </w:r>
    </w:p>
    <w:p>
      <w:pPr>
        <w:spacing w:after="0" w:line="1" w:lineRule="exact"/>
        <w:rPr>
          <w:sz w:val="20"/>
          <w:szCs w:val="20"/>
          <w:color w:val="auto"/>
        </w:rPr>
      </w:pPr>
    </w:p>
    <w:p>
      <w:pPr>
        <w:ind w:left="180"/>
        <w:spacing w:after="0" w:line="237" w:lineRule="auto"/>
        <w:rPr>
          <w:sz w:val="20"/>
          <w:szCs w:val="20"/>
          <w:color w:val="auto"/>
        </w:rPr>
      </w:pPr>
      <w:r>
        <w:rPr>
          <w:rFonts w:ascii="Arial" w:cs="Arial" w:eastAsia="Arial" w:hAnsi="Arial"/>
          <w:sz w:val="18"/>
          <w:szCs w:val="18"/>
          <w:color w:val="auto"/>
        </w:rPr>
        <w:t>Audit, Management Development &amp; Compensation and Nominating &amp; Governance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28"/>
          <w:szCs w:val="28"/>
          <w:b w:val="1"/>
          <w:bCs w:val="1"/>
          <w:color w:val="0E3C23"/>
        </w:rPr>
        <w:t>P</w:t>
      </w:r>
      <w:r>
        <w:rPr>
          <w:rFonts w:ascii="Arial" w:cs="Arial" w:eastAsia="Arial" w:hAnsi="Arial"/>
          <w:sz w:val="17"/>
          <w:szCs w:val="17"/>
          <w:b w:val="1"/>
          <w:bCs w:val="1"/>
          <w:color w:val="0E3C23"/>
        </w:rPr>
        <w:t>OSITION AND</w:t>
      </w:r>
      <w:r>
        <w:rPr>
          <w:rFonts w:ascii="Arial" w:cs="Arial" w:eastAsia="Arial" w:hAnsi="Arial"/>
          <w:sz w:val="28"/>
          <w:szCs w:val="28"/>
          <w:b w:val="1"/>
          <w:bCs w:val="1"/>
          <w:color w:val="0E3C23"/>
        </w:rPr>
        <w:t xml:space="preserve"> B</w:t>
      </w:r>
      <w:r>
        <w:rPr>
          <w:rFonts w:ascii="Arial" w:cs="Arial" w:eastAsia="Arial" w:hAnsi="Arial"/>
          <w:sz w:val="17"/>
          <w:szCs w:val="17"/>
          <w:b w:val="1"/>
          <w:bCs w:val="1"/>
          <w:color w:val="0E3C23"/>
        </w:rPr>
        <w:t>USINESS</w:t>
      </w:r>
      <w:r>
        <w:rPr>
          <w:rFonts w:ascii="Arial" w:cs="Arial" w:eastAsia="Arial" w:hAnsi="Arial"/>
          <w:sz w:val="28"/>
          <w:szCs w:val="28"/>
          <w:b w:val="1"/>
          <w:bCs w:val="1"/>
          <w:color w:val="0E3C23"/>
        </w:rPr>
        <w:t xml:space="preserve"> E</w:t>
      </w:r>
      <w:r>
        <w:rPr>
          <w:rFonts w:ascii="Arial" w:cs="Arial" w:eastAsia="Arial" w:hAnsi="Arial"/>
          <w:sz w:val="17"/>
          <w:szCs w:val="17"/>
          <w:b w:val="1"/>
          <w:bCs w:val="1"/>
          <w:color w:val="0E3C23"/>
        </w:rPr>
        <w:t>XPERIENCE</w:t>
      </w:r>
    </w:p>
    <w:p>
      <w:pPr>
        <w:spacing w:after="0" w:line="153" w:lineRule="exact"/>
        <w:rPr>
          <w:sz w:val="20"/>
          <w:szCs w:val="20"/>
          <w:color w:val="auto"/>
        </w:rPr>
      </w:pPr>
    </w:p>
    <w:p>
      <w:pPr>
        <w:jc w:val="both"/>
        <w:ind w:right="200"/>
        <w:spacing w:after="0" w:line="246" w:lineRule="auto"/>
        <w:rPr>
          <w:sz w:val="20"/>
          <w:szCs w:val="20"/>
          <w:color w:val="auto"/>
        </w:rPr>
      </w:pPr>
      <w:r>
        <w:rPr>
          <w:rFonts w:ascii="Arial" w:cs="Arial" w:eastAsia="Arial" w:hAnsi="Arial"/>
          <w:sz w:val="20"/>
          <w:szCs w:val="20"/>
          <w:color w:val="auto"/>
        </w:rPr>
        <w:t>Chairman, President and Chief Executive Officer — Graybar Electric Company, Inc. (distributor of electrical, communications and data networking products and provider of related supply chain management and logistics services) since 2013.</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Director of Cigna Corporation since 2018.</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Director of Core &amp; Main since January 2019.</w:t>
      </w:r>
    </w:p>
    <w:p>
      <w:pPr>
        <w:spacing w:after="0" w:line="99" w:lineRule="exact"/>
        <w:rPr>
          <w:sz w:val="20"/>
          <w:szCs w:val="20"/>
          <w:color w:val="auto"/>
        </w:rPr>
      </w:pPr>
    </w:p>
    <w:p>
      <w:pPr>
        <w:spacing w:after="0"/>
        <w:rPr>
          <w:sz w:val="20"/>
          <w:szCs w:val="20"/>
          <w:color w:val="auto"/>
        </w:rPr>
      </w:pPr>
      <w:r>
        <w:rPr>
          <w:rFonts w:ascii="Arial" w:cs="Arial" w:eastAsia="Arial" w:hAnsi="Arial"/>
          <w:sz w:val="28"/>
          <w:szCs w:val="28"/>
          <w:b w:val="1"/>
          <w:bCs w:val="1"/>
          <w:color w:val="0E3C23"/>
        </w:rPr>
        <w:t>Q</w:t>
      </w:r>
      <w:r>
        <w:rPr>
          <w:rFonts w:ascii="Arial" w:cs="Arial" w:eastAsia="Arial" w:hAnsi="Arial"/>
          <w:sz w:val="17"/>
          <w:szCs w:val="17"/>
          <w:b w:val="1"/>
          <w:bCs w:val="1"/>
          <w:color w:val="0E3C23"/>
        </w:rPr>
        <w:t>UALIFICATIONS</w:t>
      </w:r>
    </w:p>
    <w:p>
      <w:pPr>
        <w:spacing w:after="0" w:line="153" w:lineRule="exact"/>
        <w:rPr>
          <w:sz w:val="20"/>
          <w:szCs w:val="20"/>
          <w:color w:val="auto"/>
        </w:rPr>
      </w:pPr>
    </w:p>
    <w:p>
      <w:pPr>
        <w:jc w:val="both"/>
        <w:ind w:right="200"/>
        <w:spacing w:after="0" w:line="248" w:lineRule="auto"/>
        <w:rPr>
          <w:sz w:val="20"/>
          <w:szCs w:val="20"/>
          <w:color w:val="auto"/>
        </w:rPr>
      </w:pPr>
      <w:r>
        <w:rPr>
          <w:rFonts w:ascii="Arial" w:cs="Arial" w:eastAsia="Arial" w:hAnsi="Arial"/>
          <w:sz w:val="20"/>
          <w:szCs w:val="20"/>
          <w:color w:val="auto"/>
        </w:rPr>
        <w:t>Kathleen Mazzarella has served as President and Chief Executive Officer of Graybar Electric Company, Inc. since 2012, and as Chairman since 2013. During her more than 40-year tenure at Graybar, Ms. Mazzarella has held numerous executive-level positions in operations, sales, human resources, strategic planning and marketing, including Executive Vice President and Chief Operating Officer, Senior Vice President — Sales and Marketing and Senior Vice President — Human Resources and Strategic Planning.</w:t>
      </w:r>
    </w:p>
    <w:p>
      <w:pPr>
        <w:spacing w:after="0" w:line="131" w:lineRule="exact"/>
        <w:rPr>
          <w:sz w:val="20"/>
          <w:szCs w:val="20"/>
          <w:color w:val="auto"/>
        </w:rPr>
      </w:pPr>
    </w:p>
    <w:p>
      <w:pPr>
        <w:jc w:val="both"/>
        <w:ind w:right="200"/>
        <w:spacing w:after="0" w:line="264" w:lineRule="auto"/>
        <w:rPr>
          <w:sz w:val="20"/>
          <w:szCs w:val="20"/>
          <w:color w:val="auto"/>
        </w:rPr>
      </w:pPr>
      <w:r>
        <w:rPr>
          <w:rFonts w:ascii="Arial" w:cs="Arial" w:eastAsia="Arial" w:hAnsi="Arial"/>
          <w:sz w:val="19"/>
          <w:szCs w:val="19"/>
          <w:color w:val="auto"/>
        </w:rPr>
        <w:t>Ms. Mazzarella has been instrumental in developing and communicating Graybar’s commitment to sustainability initiatives. Graybar focuses on sustainability in the way it operates and in the innovative solutions it provides to its customers. The company offers energy-saving products, renewable energy solutions and supply chain services that support sustainable construction, renovation and maintenance of infrastructure and facilities. The company also invests in the communities it serves and emphasizes integrity, inclusion and opportunity for all employees.</w:t>
      </w:r>
    </w:p>
    <w:p>
      <w:pPr>
        <w:spacing w:after="0" w:line="115" w:lineRule="exact"/>
        <w:rPr>
          <w:sz w:val="20"/>
          <w:szCs w:val="20"/>
          <w:color w:val="auto"/>
        </w:rPr>
      </w:pPr>
    </w:p>
    <w:p>
      <w:pPr>
        <w:jc w:val="both"/>
        <w:ind w:right="200"/>
        <w:spacing w:after="0" w:line="280" w:lineRule="auto"/>
        <w:rPr>
          <w:sz w:val="20"/>
          <w:szCs w:val="20"/>
          <w:color w:val="auto"/>
        </w:rPr>
      </w:pPr>
      <w:r>
        <w:rPr>
          <w:rFonts w:ascii="Arial" w:cs="Arial" w:eastAsia="Arial" w:hAnsi="Arial"/>
          <w:sz w:val="18"/>
          <w:szCs w:val="18"/>
          <w:color w:val="auto"/>
        </w:rPr>
        <w:t>Ms. Mazzarella brings her deep and valuable experience leading a diverse range of business functions necessary for an employee-driven, customer-focused business, similar to our Company. Through her role as Chief Executive Officer and her service on the board of directors and key committees for other public companies, she has developed expertise in the evolving social and corporate governance landscape. In addition to her experience overseeing financial reporting and controls, technology systems and platforms, and other functional and operational areas, she has particular experience in the area of human capital management, including succession planning, diversity and inclusion initiatives, and oversight of corporate culture. Ms. Mazzarella also brings expertise in labor relations, public policy, operational innovation and strategic planning.</w:t>
      </w:r>
    </w:p>
    <w:p>
      <w:pPr>
        <w:spacing w:after="0" w:line="102" w:lineRule="exact"/>
        <w:rPr>
          <w:sz w:val="20"/>
          <w:szCs w:val="20"/>
          <w:color w:val="auto"/>
        </w:rPr>
      </w:pPr>
    </w:p>
    <w:p>
      <w:pPr>
        <w:jc w:val="both"/>
        <w:ind w:right="200"/>
        <w:spacing w:after="0" w:line="246" w:lineRule="auto"/>
        <w:rPr>
          <w:sz w:val="20"/>
          <w:szCs w:val="20"/>
          <w:color w:val="auto"/>
        </w:rPr>
      </w:pPr>
      <w:r>
        <w:rPr>
          <w:rFonts w:ascii="Arial" w:cs="Arial" w:eastAsia="Arial" w:hAnsi="Arial"/>
          <w:sz w:val="20"/>
          <w:szCs w:val="20"/>
          <w:color w:val="auto"/>
        </w:rPr>
        <w:t>Ms. Mazzarella holds an associate degree in telecommunications engineering, a bachelor’s degree in applied behavioral sciences from National Louis University, and a master’s degree in business administration from Webster University.</w:t>
      </w:r>
    </w:p>
    <w:p>
      <w:pPr>
        <w:spacing w:after="0" w:line="131" w:lineRule="exact"/>
        <w:rPr>
          <w:sz w:val="20"/>
          <w:szCs w:val="20"/>
          <w:color w:val="auto"/>
        </w:rPr>
      </w:pPr>
    </w:p>
    <w:p>
      <w:pPr>
        <w:jc w:val="both"/>
        <w:ind w:right="200"/>
        <w:spacing w:after="0" w:line="248" w:lineRule="auto"/>
        <w:rPr>
          <w:sz w:val="20"/>
          <w:szCs w:val="20"/>
          <w:color w:val="auto"/>
        </w:rPr>
      </w:pPr>
      <w:r>
        <w:rPr>
          <w:rFonts w:ascii="Arial" w:cs="Arial" w:eastAsia="Arial" w:hAnsi="Arial"/>
          <w:sz w:val="20"/>
          <w:szCs w:val="20"/>
          <w:color w:val="auto"/>
        </w:rPr>
        <w:t>In addition to the public company boards listed above, Ms. Mazzarella also serves on the board of the National Association of Wholesaler-Distributors (NAW) and previously served on the board of the NAW Institute for Distribution Excellence. Ms. Mazzarella previously served as Chairman of the Federal Reserve Bank of St. Louis, and she has experience serving on various organizational and charitable boards including the United Way of Greater St. Louis and the executive committee of Greater St. Louis, Inc.</w:t>
      </w:r>
    </w:p>
    <w:p>
      <w:pPr>
        <w:spacing w:after="0" w:line="200" w:lineRule="exact"/>
        <w:rPr>
          <w:sz w:val="20"/>
          <w:szCs w:val="20"/>
          <w:color w:val="auto"/>
        </w:rPr>
      </w:pPr>
    </w:p>
    <w:p>
      <w:pPr>
        <w:sectPr>
          <w:pgSz w:w="13320" w:h="16920" w:orient="portrait"/>
          <w:cols w:equalWidth="0" w:num="2">
            <w:col w:w="1820" w:space="280"/>
            <w:col w:w="8340"/>
          </w:cols>
          <w:pgMar w:left="1440" w:top="1232" w:right="1440" w:bottom="103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8">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9">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30" w:name="page31"/>
    <w:bookmarkEnd w:id="30"/>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FFFFFF"/>
        </w:rPr>
        <w:t>S</w:t>
      </w:r>
      <w:r>
        <w:rPr>
          <w:rFonts w:ascii="Arial" w:cs="Arial" w:eastAsia="Arial" w:hAnsi="Arial"/>
          <w:sz w:val="15"/>
          <w:szCs w:val="15"/>
          <w:b w:val="1"/>
          <w:bCs w:val="1"/>
          <w:color w:val="FFFFFF"/>
        </w:rPr>
        <w:t>EAN</w:t>
      </w:r>
      <w:r>
        <w:rPr>
          <w:rFonts w:ascii="Arial" w:cs="Arial" w:eastAsia="Arial" w:hAnsi="Arial"/>
          <w:sz w:val="25"/>
          <w:szCs w:val="25"/>
          <w:b w:val="1"/>
          <w:bCs w:val="1"/>
          <w:color w:val="FFFFFF"/>
        </w:rPr>
        <w:t xml:space="preserve"> E. M</w:t>
      </w:r>
      <w:r>
        <w:rPr>
          <w:rFonts w:ascii="Arial" w:cs="Arial" w:eastAsia="Arial" w:hAnsi="Arial"/>
          <w:sz w:val="15"/>
          <w:szCs w:val="15"/>
          <w:b w:val="1"/>
          <w:bCs w:val="1"/>
          <w:color w:val="FFFFFF"/>
        </w:rPr>
        <w:t>ENKE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62230</wp:posOffset>
            </wp:positionV>
            <wp:extent cx="1066800" cy="13322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90">
                      <a:extLst>
                        <a:ext uri="{28A0092B-C50C-407E-A947-70E740481C1C}"/>
                      </a:extLst>
                    </a:blip>
                    <a:srcRect/>
                    <a:stretch>
                      <a:fillRect/>
                    </a:stretch>
                  </pic:blipFill>
                  <pic:spPr bwMode="auto">
                    <a:xfrm>
                      <a:off x="0" y="0"/>
                      <a:ext cx="1066800" cy="1332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 xml:space="preserve">Age: </w:t>
      </w:r>
      <w:r>
        <w:rPr>
          <w:rFonts w:ascii="Arial" w:cs="Arial" w:eastAsia="Arial" w:hAnsi="Arial"/>
          <w:sz w:val="20"/>
          <w:szCs w:val="20"/>
          <w:color w:val="000000"/>
        </w:rPr>
        <w:t>56</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Director since:</w:t>
      </w:r>
    </w:p>
    <w:p>
      <w:pPr>
        <w:ind w:left="180"/>
        <w:spacing w:after="0" w:line="234" w:lineRule="auto"/>
        <w:rPr>
          <w:sz w:val="20"/>
          <w:szCs w:val="20"/>
          <w:color w:val="auto"/>
        </w:rPr>
      </w:pPr>
      <w:r>
        <w:rPr>
          <w:rFonts w:ascii="Arial" w:cs="Arial" w:eastAsia="Arial" w:hAnsi="Arial"/>
          <w:sz w:val="20"/>
          <w:szCs w:val="20"/>
          <w:color w:val="auto"/>
        </w:rPr>
        <w:t>March 2021</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Board</w:t>
      </w:r>
    </w:p>
    <w:p>
      <w:pPr>
        <w:ind w:left="180"/>
        <w:spacing w:after="0" w:line="210" w:lineRule="auto"/>
        <w:rPr>
          <w:sz w:val="20"/>
          <w:szCs w:val="20"/>
          <w:color w:val="auto"/>
        </w:rPr>
      </w:pPr>
      <w:r>
        <w:rPr>
          <w:rFonts w:ascii="Arial" w:cs="Arial" w:eastAsia="Arial" w:hAnsi="Arial"/>
          <w:sz w:val="20"/>
          <w:szCs w:val="20"/>
          <w:b w:val="1"/>
          <w:bCs w:val="1"/>
          <w:color w:val="0E3C23"/>
        </w:rPr>
        <w:t>Committees:</w:t>
      </w:r>
    </w:p>
    <w:p>
      <w:pPr>
        <w:spacing w:after="0" w:line="1" w:lineRule="exact"/>
        <w:rPr>
          <w:sz w:val="20"/>
          <w:szCs w:val="20"/>
          <w:color w:val="auto"/>
        </w:rPr>
      </w:pPr>
    </w:p>
    <w:p>
      <w:pPr>
        <w:ind w:left="180" w:right="360"/>
        <w:spacing w:after="0" w:line="228" w:lineRule="auto"/>
        <w:rPr>
          <w:sz w:val="20"/>
          <w:szCs w:val="20"/>
          <w:color w:val="auto"/>
        </w:rPr>
      </w:pPr>
      <w:r>
        <w:rPr>
          <w:rFonts w:ascii="Arial" w:cs="Arial" w:eastAsia="Arial" w:hAnsi="Arial"/>
          <w:sz w:val="19"/>
          <w:szCs w:val="19"/>
          <w:color w:val="auto"/>
        </w:rPr>
        <w:t>Audit and Nominating &amp; Governance</w:t>
      </w:r>
    </w:p>
    <w:p>
      <w:pPr>
        <w:spacing w:after="0" w:line="20" w:lineRule="exact"/>
        <w:rPr>
          <w:sz w:val="20"/>
          <w:szCs w:val="20"/>
          <w:color w:val="auto"/>
        </w:rPr>
      </w:pPr>
      <w:r>
        <w:rPr>
          <w:sz w:val="20"/>
          <w:szCs w:val="20"/>
          <w:color w:val="auto"/>
        </w:rPr>
        <w:br w:type="column"/>
      </w:r>
    </w:p>
    <w:p>
      <w:pPr>
        <w:ind w:left="6120"/>
        <w:spacing w:after="0"/>
        <w:rPr>
          <w:sz w:val="20"/>
          <w:szCs w:val="20"/>
          <w:color w:val="auto"/>
        </w:rPr>
      </w:pPr>
      <w:r>
        <w:rPr>
          <w:rFonts w:ascii="Arial" w:cs="Arial" w:eastAsia="Arial" w:hAnsi="Arial"/>
          <w:sz w:val="15"/>
          <w:szCs w:val="15"/>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-1219835</wp:posOffset>
            </wp:positionH>
            <wp:positionV relativeFrom="paragraph">
              <wp:posOffset>-117475</wp:posOffset>
            </wp:positionV>
            <wp:extent cx="6386830" cy="63106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91">
                      <a:extLst>
                        <a:ext uri="{28A0092B-C50C-407E-A947-70E740481C1C}"/>
                      </a:extLst>
                    </a:blip>
                    <a:srcRect/>
                    <a:stretch>
                      <a:fillRect/>
                    </a:stretch>
                  </pic:blipFill>
                  <pic:spPr bwMode="auto">
                    <a:xfrm>
                      <a:off x="0" y="0"/>
                      <a:ext cx="6386830" cy="631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8"/>
          <w:szCs w:val="28"/>
          <w:b w:val="1"/>
          <w:bCs w:val="1"/>
          <w:color w:val="0E3C23"/>
        </w:rPr>
        <w:t>P</w:t>
      </w:r>
      <w:r>
        <w:rPr>
          <w:rFonts w:ascii="Arial" w:cs="Arial" w:eastAsia="Arial" w:hAnsi="Arial"/>
          <w:sz w:val="17"/>
          <w:szCs w:val="17"/>
          <w:b w:val="1"/>
          <w:bCs w:val="1"/>
          <w:color w:val="0E3C23"/>
        </w:rPr>
        <w:t>OSITION AND</w:t>
      </w:r>
      <w:r>
        <w:rPr>
          <w:rFonts w:ascii="Arial" w:cs="Arial" w:eastAsia="Arial" w:hAnsi="Arial"/>
          <w:sz w:val="28"/>
          <w:szCs w:val="28"/>
          <w:b w:val="1"/>
          <w:bCs w:val="1"/>
          <w:color w:val="0E3C23"/>
        </w:rPr>
        <w:t xml:space="preserve"> B</w:t>
      </w:r>
      <w:r>
        <w:rPr>
          <w:rFonts w:ascii="Arial" w:cs="Arial" w:eastAsia="Arial" w:hAnsi="Arial"/>
          <w:sz w:val="17"/>
          <w:szCs w:val="17"/>
          <w:b w:val="1"/>
          <w:bCs w:val="1"/>
          <w:color w:val="0E3C23"/>
        </w:rPr>
        <w:t>USINESS</w:t>
      </w:r>
      <w:r>
        <w:rPr>
          <w:rFonts w:ascii="Arial" w:cs="Arial" w:eastAsia="Arial" w:hAnsi="Arial"/>
          <w:sz w:val="28"/>
          <w:szCs w:val="28"/>
          <w:b w:val="1"/>
          <w:bCs w:val="1"/>
          <w:color w:val="0E3C23"/>
        </w:rPr>
        <w:t xml:space="preserve"> E</w:t>
      </w:r>
      <w:r>
        <w:rPr>
          <w:rFonts w:ascii="Arial" w:cs="Arial" w:eastAsia="Arial" w:hAnsi="Arial"/>
          <w:sz w:val="17"/>
          <w:szCs w:val="17"/>
          <w:b w:val="1"/>
          <w:bCs w:val="1"/>
          <w:color w:val="0E3C23"/>
        </w:rPr>
        <w:t>XPERIENCE</w:t>
      </w:r>
    </w:p>
    <w:p>
      <w:pPr>
        <w:spacing w:after="0" w:line="153" w:lineRule="exact"/>
        <w:rPr>
          <w:sz w:val="20"/>
          <w:szCs w:val="20"/>
          <w:color w:val="auto"/>
        </w:rPr>
      </w:pPr>
    </w:p>
    <w:p>
      <w:pPr>
        <w:jc w:val="both"/>
        <w:ind w:right="200"/>
        <w:spacing w:after="0" w:line="246" w:lineRule="auto"/>
        <w:rPr>
          <w:sz w:val="20"/>
          <w:szCs w:val="20"/>
          <w:color w:val="auto"/>
        </w:rPr>
      </w:pPr>
      <w:r>
        <w:rPr>
          <w:rFonts w:ascii="Arial" w:cs="Arial" w:eastAsia="Arial" w:hAnsi="Arial"/>
          <w:sz w:val="20"/>
          <w:szCs w:val="20"/>
          <w:color w:val="auto"/>
        </w:rPr>
        <w:t>Former Chief Executive Officer of Sabre Corporation (software and technology solutions provider to the travel industry) from 2016 to April 2023 and former President of Sabre Corporation from 2016 to December 2021.</w:t>
      </w:r>
    </w:p>
    <w:p>
      <w:pPr>
        <w:spacing w:after="0" w:line="131" w:lineRule="exact"/>
        <w:rPr>
          <w:sz w:val="20"/>
          <w:szCs w:val="20"/>
          <w:color w:val="auto"/>
        </w:rPr>
      </w:pPr>
    </w:p>
    <w:p>
      <w:pPr>
        <w:jc w:val="both"/>
        <w:ind w:right="200"/>
        <w:spacing w:after="0" w:line="244" w:lineRule="auto"/>
        <w:rPr>
          <w:sz w:val="20"/>
          <w:szCs w:val="20"/>
          <w:color w:val="auto"/>
        </w:rPr>
      </w:pPr>
      <w:r>
        <w:rPr>
          <w:rFonts w:ascii="Arial" w:cs="Arial" w:eastAsia="Arial" w:hAnsi="Arial"/>
          <w:sz w:val="20"/>
          <w:szCs w:val="20"/>
          <w:color w:val="auto"/>
        </w:rPr>
        <w:t>Executive Chairman of the Board of Sabre Corporation from April 2022 to April 2024; Director of Sabre Corporation from 2016 to April 2024.</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Director of JetBlue Airways Corp. since September 2024.</w:t>
      </w:r>
    </w:p>
    <w:p>
      <w:pPr>
        <w:spacing w:after="0" w:line="99" w:lineRule="exact"/>
        <w:rPr>
          <w:sz w:val="20"/>
          <w:szCs w:val="20"/>
          <w:color w:val="auto"/>
        </w:rPr>
      </w:pPr>
    </w:p>
    <w:p>
      <w:pPr>
        <w:spacing w:after="0"/>
        <w:rPr>
          <w:sz w:val="20"/>
          <w:szCs w:val="20"/>
          <w:color w:val="auto"/>
        </w:rPr>
      </w:pPr>
      <w:r>
        <w:rPr>
          <w:rFonts w:ascii="Arial" w:cs="Arial" w:eastAsia="Arial" w:hAnsi="Arial"/>
          <w:sz w:val="28"/>
          <w:szCs w:val="28"/>
          <w:b w:val="1"/>
          <w:bCs w:val="1"/>
          <w:color w:val="0E3C23"/>
        </w:rPr>
        <w:t>Q</w:t>
      </w:r>
      <w:r>
        <w:rPr>
          <w:rFonts w:ascii="Arial" w:cs="Arial" w:eastAsia="Arial" w:hAnsi="Arial"/>
          <w:sz w:val="17"/>
          <w:szCs w:val="17"/>
          <w:b w:val="1"/>
          <w:bCs w:val="1"/>
          <w:color w:val="0E3C23"/>
        </w:rPr>
        <w:t>UALIFICATIONS</w:t>
      </w:r>
    </w:p>
    <w:p>
      <w:pPr>
        <w:spacing w:after="0" w:line="153" w:lineRule="exact"/>
        <w:rPr>
          <w:sz w:val="20"/>
          <w:szCs w:val="20"/>
          <w:color w:val="auto"/>
        </w:rPr>
      </w:pPr>
    </w:p>
    <w:p>
      <w:pPr>
        <w:jc w:val="both"/>
        <w:ind w:right="200"/>
        <w:spacing w:after="0" w:line="249" w:lineRule="auto"/>
        <w:rPr>
          <w:sz w:val="20"/>
          <w:szCs w:val="20"/>
          <w:color w:val="auto"/>
        </w:rPr>
      </w:pPr>
      <w:r>
        <w:rPr>
          <w:rFonts w:ascii="Arial" w:cs="Arial" w:eastAsia="Arial" w:hAnsi="Arial"/>
          <w:sz w:val="20"/>
          <w:szCs w:val="20"/>
          <w:color w:val="auto"/>
        </w:rPr>
        <w:t>Having recently served as Chief Executive Officer and Chair of the Board of Directors of Sabre Corporation, Sean Menke has experience heading a global network of development, sales, operations and corporate functions. In 2015, Mr. Menke joined Sabre as president of Sabre Travel Network, Sabre’s largest line of business. Under Mr. Menke’s leadership, Sabre won major new business opportunities, increased global market share, secured Sabre’s position as the leading global distribution system in North America, Latin America and Asia-Pacific, and led innovation to enable sales of more customized fares and ancillary products that help drive the changing travel industry landscape.</w:t>
      </w:r>
    </w:p>
    <w:p>
      <w:pPr>
        <w:spacing w:after="0" w:line="127" w:lineRule="exact"/>
        <w:rPr>
          <w:sz w:val="20"/>
          <w:szCs w:val="20"/>
          <w:color w:val="auto"/>
        </w:rPr>
      </w:pPr>
    </w:p>
    <w:p>
      <w:pPr>
        <w:jc w:val="both"/>
        <w:ind w:right="200"/>
        <w:spacing w:after="0" w:line="264" w:lineRule="auto"/>
        <w:rPr>
          <w:sz w:val="20"/>
          <w:szCs w:val="20"/>
          <w:color w:val="auto"/>
        </w:rPr>
      </w:pPr>
      <w:r>
        <w:rPr>
          <w:rFonts w:ascii="Arial" w:cs="Arial" w:eastAsia="Arial" w:hAnsi="Arial"/>
          <w:sz w:val="19"/>
          <w:szCs w:val="19"/>
          <w:color w:val="auto"/>
        </w:rPr>
        <w:t>Before joining Sabre, Mr. Menke spent more than 20 years in executive leadership roles in the airline industry. He served as Chief Executive Officer at Frontier Airlines and at Pinnacle Airlines, and he held senior level marketing, operations, customer experience, strategy, planning, sales, distribution and revenue management roles, including with Air Canada and Hawaiian Airlines. He also served as Executive Vice President at IHS Inc., a global information technology company.</w:t>
      </w:r>
    </w:p>
    <w:p>
      <w:pPr>
        <w:spacing w:after="0" w:line="115" w:lineRule="exact"/>
        <w:rPr>
          <w:sz w:val="20"/>
          <w:szCs w:val="20"/>
          <w:color w:val="auto"/>
        </w:rPr>
      </w:pPr>
    </w:p>
    <w:p>
      <w:pPr>
        <w:jc w:val="both"/>
        <w:ind w:right="200"/>
        <w:spacing w:after="0" w:line="248" w:lineRule="auto"/>
        <w:rPr>
          <w:sz w:val="20"/>
          <w:szCs w:val="20"/>
          <w:color w:val="auto"/>
        </w:rPr>
      </w:pPr>
      <w:r>
        <w:rPr>
          <w:rFonts w:ascii="Arial" w:cs="Arial" w:eastAsia="Arial" w:hAnsi="Arial"/>
          <w:sz w:val="20"/>
          <w:szCs w:val="20"/>
          <w:color w:val="auto"/>
        </w:rPr>
        <w:t>Mr. Menke is a proven transformation leader, and uses his extensive experience in technology and transportation operations to bring together strategy and data to address complex issues as a member of the Board. His expertise in logistics and commitment to delivering efficient, customer-focused innovation through imaginative technology-led solutions helps advance our strategy to differentiate our services.</w:t>
      </w:r>
    </w:p>
    <w:p>
      <w:pPr>
        <w:spacing w:after="0" w:line="129" w:lineRule="exact"/>
        <w:rPr>
          <w:sz w:val="20"/>
          <w:szCs w:val="20"/>
          <w:color w:val="auto"/>
        </w:rPr>
      </w:pPr>
    </w:p>
    <w:p>
      <w:pPr>
        <w:jc w:val="both"/>
        <w:ind w:right="200"/>
        <w:spacing w:after="0" w:line="284" w:lineRule="auto"/>
        <w:rPr>
          <w:sz w:val="20"/>
          <w:szCs w:val="20"/>
          <w:color w:val="auto"/>
        </w:rPr>
      </w:pPr>
      <w:r>
        <w:rPr>
          <w:rFonts w:ascii="Arial" w:cs="Arial" w:eastAsia="Arial" w:hAnsi="Arial"/>
          <w:sz w:val="18"/>
          <w:szCs w:val="18"/>
          <w:color w:val="auto"/>
        </w:rPr>
        <w:t>Mr. Menke has extensive executive experience in technology-driven companies. He is aware of the importance and challenges of cybersecurity and privacy issues, and he has experience overseeing risk mitigation and implementing systems to protect major corporations. Mr. Menke shares with the Board his experience in the areas of cyber intrusion response planning and remediation.</w:t>
      </w:r>
    </w:p>
    <w:p>
      <w:pPr>
        <w:spacing w:after="0" w:line="98" w:lineRule="exact"/>
        <w:rPr>
          <w:sz w:val="20"/>
          <w:szCs w:val="20"/>
          <w:color w:val="auto"/>
        </w:rPr>
      </w:pPr>
    </w:p>
    <w:p>
      <w:pPr>
        <w:jc w:val="both"/>
        <w:ind w:right="200"/>
        <w:spacing w:after="0" w:line="269" w:lineRule="auto"/>
        <w:rPr>
          <w:sz w:val="20"/>
          <w:szCs w:val="20"/>
          <w:color w:val="auto"/>
        </w:rPr>
      </w:pPr>
      <w:r>
        <w:rPr>
          <w:rFonts w:ascii="Arial" w:cs="Arial" w:eastAsia="Arial" w:hAnsi="Arial"/>
          <w:sz w:val="19"/>
          <w:szCs w:val="19"/>
          <w:color w:val="auto"/>
        </w:rPr>
        <w:t>Mr. Menke holds a bachelor’s degree in economics and aviation management from Ohio State University and a master’s degree in business administration from the University of Denver.</w:t>
      </w:r>
    </w:p>
    <w:p>
      <w:pPr>
        <w:spacing w:after="0" w:line="200" w:lineRule="exact"/>
        <w:rPr>
          <w:sz w:val="20"/>
          <w:szCs w:val="20"/>
          <w:color w:val="auto"/>
        </w:rPr>
      </w:pPr>
    </w:p>
    <w:p>
      <w:pPr>
        <w:sectPr>
          <w:pgSz w:w="13320" w:h="16920" w:orient="portrait"/>
          <w:cols w:equalWidth="0" w:num="2">
            <w:col w:w="1700" w:space="400"/>
            <w:col w:w="83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-207010</wp:posOffset>
            </wp:positionV>
            <wp:extent cx="538480" cy="1619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92">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31" w:name="page32"/>
    <w:bookmarkEnd w:id="31"/>
    <w:p>
      <w:pPr>
        <w:ind w:left="180"/>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211455</wp:posOffset>
                </wp:positionV>
                <wp:extent cx="6386830" cy="266065"/>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830" cy="266065"/>
                        </a:xfrm>
                        <a:prstGeom prst="rect">
                          <a:avLst/>
                        </a:prstGeom>
                        <a:solidFill>
                          <a:srgbClr val="0E3C23"/>
                        </a:solidFill>
                      </wps:spPr>
                      <wps:bodyPr/>
                    </wps:wsp>
                  </a:graphicData>
                </a:graphic>
              </wp:anchor>
            </w:drawing>
          </mc:Choice>
          <mc:Fallback>
            <w:pict>
              <v:rect id="Shape 125" o:spid="_x0000_s1150" style="position:absolute;margin-left:8.9pt;margin-top:16.65pt;width:502.9pt;height:2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E3C23" stroked="f"/>
            </w:pict>
          </mc:Fallback>
        </mc:AlternateContent>
      </w:r>
    </w:p>
    <w:p>
      <w:pPr>
        <w:spacing w:after="0" w:line="354"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FFFFFF"/>
        </w:rPr>
        <w:t>W</w:t>
      </w:r>
      <w:r>
        <w:rPr>
          <w:rFonts w:ascii="Arial" w:cs="Arial" w:eastAsia="Arial" w:hAnsi="Arial"/>
          <w:sz w:val="15"/>
          <w:szCs w:val="15"/>
          <w:b w:val="1"/>
          <w:bCs w:val="1"/>
          <w:color w:val="FFFFFF"/>
        </w:rPr>
        <w:t>ILLIAM</w:t>
      </w:r>
      <w:r>
        <w:rPr>
          <w:rFonts w:ascii="Arial" w:cs="Arial" w:eastAsia="Arial" w:hAnsi="Arial"/>
          <w:sz w:val="25"/>
          <w:szCs w:val="25"/>
          <w:b w:val="1"/>
          <w:bCs w:val="1"/>
          <w:color w:val="FFFFFF"/>
        </w:rPr>
        <w:t xml:space="preserve"> B. P</w:t>
      </w:r>
      <w:r>
        <w:rPr>
          <w:rFonts w:ascii="Arial" w:cs="Arial" w:eastAsia="Arial" w:hAnsi="Arial"/>
          <w:sz w:val="15"/>
          <w:szCs w:val="15"/>
          <w:b w:val="1"/>
          <w:bCs w:val="1"/>
          <w:color w:val="FFFFFF"/>
        </w:rPr>
        <w:t>LUMMER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57785</wp:posOffset>
            </wp:positionV>
            <wp:extent cx="1143635" cy="61715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93">
                      <a:extLst>
                        <a:ext uri="{28A0092B-C50C-407E-A947-70E740481C1C}"/>
                      </a:extLst>
                    </a:blip>
                    <a:srcRect/>
                    <a:stretch>
                      <a:fillRect/>
                    </a:stretch>
                  </pic:blipFill>
                  <pic:spPr bwMode="auto">
                    <a:xfrm>
                      <a:off x="0" y="0"/>
                      <a:ext cx="1143635" cy="617156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 xml:space="preserve">Age: </w:t>
      </w:r>
      <w:r>
        <w:rPr>
          <w:rFonts w:ascii="Arial" w:cs="Arial" w:eastAsia="Arial" w:hAnsi="Arial"/>
          <w:sz w:val="20"/>
          <w:szCs w:val="20"/>
          <w:color w:val="000000"/>
        </w:rPr>
        <w:t>66</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Director since:</w:t>
      </w:r>
    </w:p>
    <w:p>
      <w:pPr>
        <w:ind w:left="180"/>
        <w:spacing w:after="0" w:line="234" w:lineRule="auto"/>
        <w:rPr>
          <w:sz w:val="20"/>
          <w:szCs w:val="20"/>
          <w:color w:val="auto"/>
        </w:rPr>
      </w:pPr>
      <w:r>
        <w:rPr>
          <w:rFonts w:ascii="Arial" w:cs="Arial" w:eastAsia="Arial" w:hAnsi="Arial"/>
          <w:sz w:val="20"/>
          <w:szCs w:val="20"/>
          <w:color w:val="auto"/>
        </w:rPr>
        <w:t>August 2019</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Board</w:t>
      </w:r>
    </w:p>
    <w:p>
      <w:pPr>
        <w:ind w:left="180"/>
        <w:spacing w:after="0" w:line="210" w:lineRule="auto"/>
        <w:rPr>
          <w:sz w:val="20"/>
          <w:szCs w:val="20"/>
          <w:color w:val="auto"/>
        </w:rPr>
      </w:pPr>
      <w:r>
        <w:rPr>
          <w:rFonts w:ascii="Arial" w:cs="Arial" w:eastAsia="Arial" w:hAnsi="Arial"/>
          <w:sz w:val="20"/>
          <w:szCs w:val="20"/>
          <w:b w:val="1"/>
          <w:bCs w:val="1"/>
          <w:color w:val="0E3C23"/>
        </w:rPr>
        <w:t>Committees:</w:t>
      </w:r>
    </w:p>
    <w:p>
      <w:pPr>
        <w:spacing w:after="0" w:line="1" w:lineRule="exact"/>
        <w:rPr>
          <w:sz w:val="20"/>
          <w:szCs w:val="20"/>
          <w:color w:val="auto"/>
        </w:rPr>
      </w:pPr>
    </w:p>
    <w:p>
      <w:pPr>
        <w:ind w:left="180"/>
        <w:spacing w:after="0" w:line="238" w:lineRule="auto"/>
        <w:rPr>
          <w:sz w:val="20"/>
          <w:szCs w:val="20"/>
          <w:color w:val="auto"/>
        </w:rPr>
      </w:pPr>
      <w:r>
        <w:rPr>
          <w:rFonts w:ascii="Arial" w:cs="Arial" w:eastAsia="Arial" w:hAnsi="Arial"/>
          <w:sz w:val="18"/>
          <w:szCs w:val="18"/>
          <w:color w:val="auto"/>
        </w:rPr>
        <w:t>Audit (Chair) and Management Development &amp; Compensation</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28"/>
          <w:szCs w:val="28"/>
          <w:b w:val="1"/>
          <w:bCs w:val="1"/>
          <w:color w:val="0E3C23"/>
        </w:rPr>
        <w:t>P</w:t>
      </w:r>
      <w:r>
        <w:rPr>
          <w:rFonts w:ascii="Arial" w:cs="Arial" w:eastAsia="Arial" w:hAnsi="Arial"/>
          <w:sz w:val="17"/>
          <w:szCs w:val="17"/>
          <w:b w:val="1"/>
          <w:bCs w:val="1"/>
          <w:color w:val="0E3C23"/>
        </w:rPr>
        <w:t>OSITION AND</w:t>
      </w:r>
      <w:r>
        <w:rPr>
          <w:rFonts w:ascii="Arial" w:cs="Arial" w:eastAsia="Arial" w:hAnsi="Arial"/>
          <w:sz w:val="28"/>
          <w:szCs w:val="28"/>
          <w:b w:val="1"/>
          <w:bCs w:val="1"/>
          <w:color w:val="0E3C23"/>
        </w:rPr>
        <w:t xml:space="preserve"> B</w:t>
      </w:r>
      <w:r>
        <w:rPr>
          <w:rFonts w:ascii="Arial" w:cs="Arial" w:eastAsia="Arial" w:hAnsi="Arial"/>
          <w:sz w:val="17"/>
          <w:szCs w:val="17"/>
          <w:b w:val="1"/>
          <w:bCs w:val="1"/>
          <w:color w:val="0E3C23"/>
        </w:rPr>
        <w:t>USINESS</w:t>
      </w:r>
      <w:r>
        <w:rPr>
          <w:rFonts w:ascii="Arial" w:cs="Arial" w:eastAsia="Arial" w:hAnsi="Arial"/>
          <w:sz w:val="28"/>
          <w:szCs w:val="28"/>
          <w:b w:val="1"/>
          <w:bCs w:val="1"/>
          <w:color w:val="0E3C23"/>
        </w:rPr>
        <w:t xml:space="preserve"> E</w:t>
      </w:r>
      <w:r>
        <w:rPr>
          <w:rFonts w:ascii="Arial" w:cs="Arial" w:eastAsia="Arial" w:hAnsi="Arial"/>
          <w:sz w:val="17"/>
          <w:szCs w:val="17"/>
          <w:b w:val="1"/>
          <w:bCs w:val="1"/>
          <w:color w:val="0E3C23"/>
        </w:rPr>
        <w:t>XPERIENCE</w:t>
      </w:r>
    </w:p>
    <w:p>
      <w:pPr>
        <w:spacing w:after="0" w:line="153" w:lineRule="exact"/>
        <w:rPr>
          <w:sz w:val="20"/>
          <w:szCs w:val="20"/>
          <w:color w:val="auto"/>
        </w:rPr>
      </w:pPr>
    </w:p>
    <w:p>
      <w:pPr>
        <w:jc w:val="both"/>
        <w:ind w:right="200"/>
        <w:spacing w:after="0" w:line="244" w:lineRule="auto"/>
        <w:rPr>
          <w:sz w:val="20"/>
          <w:szCs w:val="20"/>
          <w:color w:val="auto"/>
        </w:rPr>
      </w:pPr>
      <w:r>
        <w:rPr>
          <w:rFonts w:ascii="Arial" w:cs="Arial" w:eastAsia="Arial" w:hAnsi="Arial"/>
          <w:sz w:val="20"/>
          <w:szCs w:val="20"/>
          <w:color w:val="auto"/>
        </w:rPr>
        <w:t>Retired Executive Vice President and Chief Financial Officer — United Rentals, Inc. (world’s largest equipment rental company), served from 2008 to 2018.</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Director of Global Payments Inc. since 2017.</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Director of Mason Industrial Technology, Inc. from February 2021 to February 2023.</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Director of Nesco Holdings, Inc. from July 2019 to March 2021.</w:t>
      </w:r>
    </w:p>
    <w:p>
      <w:pPr>
        <w:spacing w:after="0" w:line="99" w:lineRule="exact"/>
        <w:rPr>
          <w:sz w:val="20"/>
          <w:szCs w:val="20"/>
          <w:color w:val="auto"/>
        </w:rPr>
      </w:pPr>
    </w:p>
    <w:p>
      <w:pPr>
        <w:spacing w:after="0"/>
        <w:rPr>
          <w:sz w:val="20"/>
          <w:szCs w:val="20"/>
          <w:color w:val="auto"/>
        </w:rPr>
      </w:pPr>
      <w:r>
        <w:rPr>
          <w:rFonts w:ascii="Arial" w:cs="Arial" w:eastAsia="Arial" w:hAnsi="Arial"/>
          <w:sz w:val="28"/>
          <w:szCs w:val="28"/>
          <w:b w:val="1"/>
          <w:bCs w:val="1"/>
          <w:color w:val="0E3C23"/>
        </w:rPr>
        <w:t>Q</w:t>
      </w:r>
      <w:r>
        <w:rPr>
          <w:rFonts w:ascii="Arial" w:cs="Arial" w:eastAsia="Arial" w:hAnsi="Arial"/>
          <w:sz w:val="17"/>
          <w:szCs w:val="17"/>
          <w:b w:val="1"/>
          <w:bCs w:val="1"/>
          <w:color w:val="0E3C23"/>
        </w:rPr>
        <w:t>UALIFICATIONS</w:t>
      </w:r>
    </w:p>
    <w:p>
      <w:pPr>
        <w:spacing w:after="0" w:line="153" w:lineRule="exact"/>
        <w:rPr>
          <w:sz w:val="20"/>
          <w:szCs w:val="20"/>
          <w:color w:val="auto"/>
        </w:rPr>
      </w:pPr>
    </w:p>
    <w:p>
      <w:pPr>
        <w:jc w:val="both"/>
        <w:ind w:right="200"/>
        <w:spacing w:after="0" w:line="248" w:lineRule="auto"/>
        <w:rPr>
          <w:sz w:val="20"/>
          <w:szCs w:val="20"/>
          <w:color w:val="auto"/>
        </w:rPr>
      </w:pPr>
      <w:r>
        <w:rPr>
          <w:rFonts w:ascii="Arial" w:cs="Arial" w:eastAsia="Arial" w:hAnsi="Arial"/>
          <w:sz w:val="20"/>
          <w:szCs w:val="20"/>
          <w:color w:val="auto"/>
        </w:rPr>
        <w:t>William Plummer served as Executive Vice President and Chief Financial Officer for United Rentals, Inc., where he was responsible for the development of the company’s finance activities and investor relations, and he co-led its mergers, acquisitions and divestitures strategies. He also led the company’s safety function and its data and analytics efforts. Mr. Plummer was instrumental in helping the company execute a strategy focused on improving the profitability of its core equipment rental business through revenue growth, margin expansion, operational efficiencies and acquisitions.</w:t>
      </w:r>
    </w:p>
    <w:p>
      <w:pPr>
        <w:spacing w:after="0" w:line="133" w:lineRule="exact"/>
        <w:rPr>
          <w:sz w:val="20"/>
          <w:szCs w:val="20"/>
          <w:color w:val="auto"/>
        </w:rPr>
      </w:pPr>
    </w:p>
    <w:p>
      <w:pPr>
        <w:jc w:val="both"/>
        <w:ind w:right="200"/>
        <w:spacing w:after="0" w:line="249" w:lineRule="auto"/>
        <w:rPr>
          <w:sz w:val="20"/>
          <w:szCs w:val="20"/>
          <w:color w:val="auto"/>
        </w:rPr>
      </w:pPr>
      <w:r>
        <w:rPr>
          <w:rFonts w:ascii="Arial" w:cs="Arial" w:eastAsia="Arial" w:hAnsi="Arial"/>
          <w:sz w:val="20"/>
          <w:szCs w:val="20"/>
          <w:color w:val="auto"/>
        </w:rPr>
        <w:t>Mr. Plummer brought more than two decades of financial leadership experience when he joined United Rentals, having served in a several executive roles, including as Executive Vice President and Chief Financial Officer of Dow Jones &amp; Company, Inc., where he set policy for its global finance and corporate strategy functions. Prior to Dow Jones, Mr. Plummer was Vice President and Treasurer of Alcoa Inc., where he was responsible for global treasury policy and capital markets transactions. Mr. Plummer also held several executive positions at Mead Corporation, including President of its Gilbert Paper division, Vice President of Corporate Strategy and Planning, and Treasurer.</w:t>
      </w:r>
    </w:p>
    <w:p>
      <w:pPr>
        <w:spacing w:after="0" w:line="127" w:lineRule="exact"/>
        <w:rPr>
          <w:sz w:val="20"/>
          <w:szCs w:val="20"/>
          <w:color w:val="auto"/>
        </w:rPr>
      </w:pPr>
    </w:p>
    <w:p>
      <w:pPr>
        <w:jc w:val="both"/>
        <w:ind w:right="200"/>
        <w:spacing w:after="0" w:line="249" w:lineRule="auto"/>
        <w:rPr>
          <w:sz w:val="20"/>
          <w:szCs w:val="20"/>
          <w:color w:val="auto"/>
        </w:rPr>
      </w:pPr>
      <w:r>
        <w:rPr>
          <w:rFonts w:ascii="Arial" w:cs="Arial" w:eastAsia="Arial" w:hAnsi="Arial"/>
          <w:sz w:val="20"/>
          <w:szCs w:val="20"/>
          <w:color w:val="auto"/>
        </w:rPr>
        <w:t>Mr. Plummer brings extensive accounting, audit, internal control, and risk management experience to the Board and as Chair of the Audit Committee. In particular, he has first-hand experience developing, enhancing and overseeing risk management programs at large public companies, including identification and oversight of risks related to human capital, climate, cybersecurity and information technology. He provides insight based on his broad and substantial background in finance, logistics, operational improvement, mergers and acquisitions and capital markets transactions. He also brings valuable experience executing a customer-focused strategy, driving organic revenue growth and improving free cash flow. Mr. Plummer is deeply engaged in advancing and overseeing results from our Company’s people-first strategic focus and diversity and inclusion initiatives.</w:t>
      </w:r>
    </w:p>
    <w:p>
      <w:pPr>
        <w:spacing w:after="0" w:line="128" w:lineRule="exact"/>
        <w:rPr>
          <w:sz w:val="20"/>
          <w:szCs w:val="20"/>
          <w:color w:val="auto"/>
        </w:rPr>
      </w:pPr>
    </w:p>
    <w:p>
      <w:pPr>
        <w:jc w:val="both"/>
        <w:ind w:right="200"/>
        <w:spacing w:after="0" w:line="246" w:lineRule="auto"/>
        <w:rPr>
          <w:sz w:val="20"/>
          <w:szCs w:val="20"/>
          <w:color w:val="auto"/>
        </w:rPr>
      </w:pPr>
      <w:r>
        <w:rPr>
          <w:rFonts w:ascii="Arial" w:cs="Arial" w:eastAsia="Arial" w:hAnsi="Arial"/>
          <w:sz w:val="20"/>
          <w:szCs w:val="20"/>
          <w:color w:val="auto"/>
        </w:rPr>
        <w:t>Mr. Plummer holds bachelor’s and master’s degrees in aeronautics and astronautics from Massachusetts Institute of Technology and a master’s degree in business administration from Stanford University.</w:t>
      </w:r>
    </w:p>
    <w:p>
      <w:pPr>
        <w:spacing w:after="0" w:line="200" w:lineRule="exact"/>
        <w:rPr>
          <w:sz w:val="20"/>
          <w:szCs w:val="20"/>
          <w:color w:val="auto"/>
        </w:rPr>
      </w:pPr>
    </w:p>
    <w:p>
      <w:pPr>
        <w:sectPr>
          <w:pgSz w:w="13320" w:h="16920" w:orient="portrait"/>
          <w:cols w:equalWidth="0" w:num="2">
            <w:col w:w="1600" w:space="500"/>
            <w:col w:w="8340"/>
          </w:cols>
          <w:pgMar w:left="1440" w:top="1232" w:right="1440" w:bottom="103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94">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95">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32" w:name="page33"/>
    <w:bookmarkEnd w:id="32"/>
    <w:p>
      <w:pPr>
        <w:jc w:val="right"/>
        <w:ind w:right="2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1027430</wp:posOffset>
            </wp:positionH>
            <wp:positionV relativeFrom="page">
              <wp:posOffset>774065</wp:posOffset>
            </wp:positionV>
            <wp:extent cx="6386830"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6">
                      <a:extLst>
                        <a:ext uri="{28A0092B-C50C-407E-A947-70E740481C1C}"/>
                      </a:extLst>
                    </a:blip>
                    <a:srcRect/>
                    <a:stretch>
                      <a:fillRect/>
                    </a:stretch>
                  </pic:blipFill>
                  <pic:spPr bwMode="auto">
                    <a:xfrm>
                      <a:off x="0" y="0"/>
                      <a:ext cx="6386830" cy="12700"/>
                    </a:xfrm>
                    <a:prstGeom prst="rect">
                      <a:avLst/>
                    </a:prstGeom>
                    <a:noFill/>
                  </pic:spPr>
                </pic:pic>
              </a:graphicData>
            </a:graphic>
          </wp:anchor>
        </w:drawing>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160020</wp:posOffset>
                </wp:positionV>
                <wp:extent cx="6386830" cy="266065"/>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830" cy="266065"/>
                        </a:xfrm>
                        <a:prstGeom prst="rect">
                          <a:avLst/>
                        </a:prstGeom>
                        <a:solidFill>
                          <a:srgbClr val="0E3C23"/>
                        </a:solidFill>
                      </wps:spPr>
                      <wps:bodyPr/>
                    </wps:wsp>
                  </a:graphicData>
                </a:graphic>
              </wp:anchor>
            </w:drawing>
          </mc:Choice>
          <mc:Fallback>
            <w:pict>
              <v:rect id="Shape 130" o:spid="_x0000_s1155" style="position:absolute;margin-left:8.9pt;margin-top:12.6pt;width:502.9pt;height:2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E3C23" stroked="f"/>
            </w:pict>
          </mc:Fallback>
        </mc:AlternateContent>
      </w:r>
    </w:p>
    <w:p>
      <w:pPr>
        <w:spacing w:after="0" w:line="273" w:lineRule="exact"/>
        <w:rPr>
          <w:sz w:val="20"/>
          <w:szCs w:val="20"/>
          <w:color w:val="auto"/>
        </w:rPr>
      </w:pPr>
    </w:p>
    <w:p>
      <w:pPr>
        <w:ind w:left="180"/>
        <w:spacing w:after="0"/>
        <w:rPr>
          <w:sz w:val="20"/>
          <w:szCs w:val="20"/>
          <w:color w:val="auto"/>
        </w:rPr>
      </w:pPr>
      <w:r>
        <w:rPr>
          <w:rFonts w:ascii="Arial" w:cs="Arial" w:eastAsia="Arial" w:hAnsi="Arial"/>
          <w:sz w:val="28"/>
          <w:szCs w:val="28"/>
          <w:b w:val="1"/>
          <w:bCs w:val="1"/>
          <w:color w:val="FFFFFF"/>
        </w:rPr>
        <w:t>M</w:t>
      </w:r>
      <w:r>
        <w:rPr>
          <w:rFonts w:ascii="Arial" w:cs="Arial" w:eastAsia="Arial" w:hAnsi="Arial"/>
          <w:sz w:val="17"/>
          <w:szCs w:val="17"/>
          <w:b w:val="1"/>
          <w:bCs w:val="1"/>
          <w:color w:val="FFFFFF"/>
        </w:rPr>
        <w:t>ARYROSE</w:t>
      </w:r>
      <w:r>
        <w:rPr>
          <w:rFonts w:ascii="Arial" w:cs="Arial" w:eastAsia="Arial" w:hAnsi="Arial"/>
          <w:sz w:val="28"/>
          <w:szCs w:val="28"/>
          <w:b w:val="1"/>
          <w:bCs w:val="1"/>
          <w:color w:val="FFFFFF"/>
        </w:rPr>
        <w:t xml:space="preserve"> T. S</w:t>
      </w:r>
      <w:r>
        <w:rPr>
          <w:rFonts w:ascii="Arial" w:cs="Arial" w:eastAsia="Arial" w:hAnsi="Arial"/>
          <w:sz w:val="17"/>
          <w:szCs w:val="17"/>
          <w:b w:val="1"/>
          <w:bCs w:val="1"/>
          <w:color w:val="FFFFFF"/>
        </w:rPr>
        <w:t>YLVESTER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35560</wp:posOffset>
            </wp:positionV>
            <wp:extent cx="1143635" cy="57912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7">
                      <a:extLst>
                        <a:ext uri="{28A0092B-C50C-407E-A947-70E740481C1C}"/>
                      </a:extLst>
                    </a:blip>
                    <a:srcRect/>
                    <a:stretch>
                      <a:fillRect/>
                    </a:stretch>
                  </pic:blipFill>
                  <pic:spPr bwMode="auto">
                    <a:xfrm>
                      <a:off x="0" y="0"/>
                      <a:ext cx="1143635" cy="579120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 xml:space="preserve">Age: </w:t>
      </w:r>
      <w:r>
        <w:rPr>
          <w:rFonts w:ascii="Arial" w:cs="Arial" w:eastAsia="Arial" w:hAnsi="Arial"/>
          <w:sz w:val="20"/>
          <w:szCs w:val="20"/>
          <w:color w:val="000000"/>
        </w:rPr>
        <w:t>59</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Director since:</w:t>
      </w:r>
    </w:p>
    <w:p>
      <w:pPr>
        <w:ind w:left="180"/>
        <w:spacing w:after="0" w:line="234" w:lineRule="auto"/>
        <w:rPr>
          <w:sz w:val="20"/>
          <w:szCs w:val="20"/>
          <w:color w:val="auto"/>
        </w:rPr>
      </w:pPr>
      <w:r>
        <w:rPr>
          <w:rFonts w:ascii="Arial" w:cs="Arial" w:eastAsia="Arial" w:hAnsi="Arial"/>
          <w:sz w:val="20"/>
          <w:szCs w:val="20"/>
          <w:color w:val="auto"/>
        </w:rPr>
        <w:t>March 2021</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E3C23"/>
        </w:rPr>
        <w:t>Board</w:t>
      </w:r>
    </w:p>
    <w:p>
      <w:pPr>
        <w:ind w:left="180"/>
        <w:spacing w:after="0" w:line="210" w:lineRule="auto"/>
        <w:rPr>
          <w:sz w:val="20"/>
          <w:szCs w:val="20"/>
          <w:color w:val="auto"/>
        </w:rPr>
      </w:pPr>
      <w:r>
        <w:rPr>
          <w:rFonts w:ascii="Arial" w:cs="Arial" w:eastAsia="Arial" w:hAnsi="Arial"/>
          <w:sz w:val="20"/>
          <w:szCs w:val="20"/>
          <w:b w:val="1"/>
          <w:bCs w:val="1"/>
          <w:color w:val="0E3C23"/>
        </w:rPr>
        <w:t>Committees:</w:t>
      </w:r>
    </w:p>
    <w:p>
      <w:pPr>
        <w:spacing w:after="0" w:line="1" w:lineRule="exact"/>
        <w:rPr>
          <w:sz w:val="20"/>
          <w:szCs w:val="20"/>
          <w:color w:val="auto"/>
        </w:rPr>
      </w:pPr>
    </w:p>
    <w:p>
      <w:pPr>
        <w:ind w:left="180"/>
        <w:spacing w:after="0" w:line="213" w:lineRule="auto"/>
        <w:rPr>
          <w:sz w:val="20"/>
          <w:szCs w:val="20"/>
          <w:color w:val="auto"/>
        </w:rPr>
      </w:pPr>
      <w:r>
        <w:rPr>
          <w:rFonts w:ascii="Arial" w:cs="Arial" w:eastAsia="Arial" w:hAnsi="Arial"/>
          <w:sz w:val="20"/>
          <w:szCs w:val="20"/>
          <w:color w:val="auto"/>
        </w:rPr>
        <w:t>Management Development &amp; Compensation and Nominating &amp; Governance</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28"/>
          <w:szCs w:val="28"/>
          <w:b w:val="1"/>
          <w:bCs w:val="1"/>
          <w:color w:val="0E3C23"/>
        </w:rPr>
        <w:t>P</w:t>
      </w:r>
      <w:r>
        <w:rPr>
          <w:rFonts w:ascii="Arial" w:cs="Arial" w:eastAsia="Arial" w:hAnsi="Arial"/>
          <w:sz w:val="17"/>
          <w:szCs w:val="17"/>
          <w:b w:val="1"/>
          <w:bCs w:val="1"/>
          <w:color w:val="0E3C23"/>
        </w:rPr>
        <w:t>OSITION AND</w:t>
      </w:r>
      <w:r>
        <w:rPr>
          <w:rFonts w:ascii="Arial" w:cs="Arial" w:eastAsia="Arial" w:hAnsi="Arial"/>
          <w:sz w:val="28"/>
          <w:szCs w:val="28"/>
          <w:b w:val="1"/>
          <w:bCs w:val="1"/>
          <w:color w:val="0E3C23"/>
        </w:rPr>
        <w:t xml:space="preserve"> B</w:t>
      </w:r>
      <w:r>
        <w:rPr>
          <w:rFonts w:ascii="Arial" w:cs="Arial" w:eastAsia="Arial" w:hAnsi="Arial"/>
          <w:sz w:val="17"/>
          <w:szCs w:val="17"/>
          <w:b w:val="1"/>
          <w:bCs w:val="1"/>
          <w:color w:val="0E3C23"/>
        </w:rPr>
        <w:t>USINESS</w:t>
      </w:r>
      <w:r>
        <w:rPr>
          <w:rFonts w:ascii="Arial" w:cs="Arial" w:eastAsia="Arial" w:hAnsi="Arial"/>
          <w:sz w:val="28"/>
          <w:szCs w:val="28"/>
          <w:b w:val="1"/>
          <w:bCs w:val="1"/>
          <w:color w:val="0E3C23"/>
        </w:rPr>
        <w:t xml:space="preserve"> E</w:t>
      </w:r>
      <w:r>
        <w:rPr>
          <w:rFonts w:ascii="Arial" w:cs="Arial" w:eastAsia="Arial" w:hAnsi="Arial"/>
          <w:sz w:val="17"/>
          <w:szCs w:val="17"/>
          <w:b w:val="1"/>
          <w:bCs w:val="1"/>
          <w:color w:val="0E3C23"/>
        </w:rPr>
        <w:t>XPERIENCE</w:t>
      </w:r>
    </w:p>
    <w:p>
      <w:pPr>
        <w:spacing w:after="0" w:line="153" w:lineRule="exact"/>
        <w:rPr>
          <w:sz w:val="20"/>
          <w:szCs w:val="20"/>
          <w:color w:val="auto"/>
        </w:rPr>
      </w:pPr>
    </w:p>
    <w:p>
      <w:pPr>
        <w:jc w:val="both"/>
        <w:ind w:right="200"/>
        <w:spacing w:after="0" w:line="246" w:lineRule="auto"/>
        <w:rPr>
          <w:sz w:val="20"/>
          <w:szCs w:val="20"/>
          <w:color w:val="auto"/>
        </w:rPr>
      </w:pPr>
      <w:r>
        <w:rPr>
          <w:rFonts w:ascii="Arial" w:cs="Arial" w:eastAsia="Arial" w:hAnsi="Arial"/>
          <w:sz w:val="20"/>
          <w:szCs w:val="20"/>
          <w:color w:val="auto"/>
        </w:rPr>
        <w:t>Retired U.S. Managing Director and U.S. Head of Electrification — ABB Ltd. (global technology company focused on electrification, robotics, power and automation), served from August 2019 to August 2020.</w:t>
      </w:r>
    </w:p>
    <w:p>
      <w:pPr>
        <w:spacing w:after="0" w:line="131" w:lineRule="exact"/>
        <w:rPr>
          <w:sz w:val="20"/>
          <w:szCs w:val="20"/>
          <w:color w:val="auto"/>
        </w:rPr>
      </w:pPr>
    </w:p>
    <w:p>
      <w:pPr>
        <w:jc w:val="both"/>
        <w:ind w:right="200"/>
        <w:spacing w:after="0" w:line="246" w:lineRule="auto"/>
        <w:rPr>
          <w:sz w:val="20"/>
          <w:szCs w:val="20"/>
          <w:color w:val="auto"/>
        </w:rPr>
      </w:pPr>
      <w:r>
        <w:rPr>
          <w:rFonts w:ascii="Arial" w:cs="Arial" w:eastAsia="Arial" w:hAnsi="Arial"/>
          <w:sz w:val="20"/>
          <w:szCs w:val="20"/>
          <w:color w:val="auto"/>
        </w:rPr>
        <w:t>Former President and Chief Executive Officer — Current, powered by GE (energy services and information technology subsidiary of General Electric subsequently acquired by private equity investors), served from 2015 to June 2019.</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Director of Harley-Davidson, Inc. since 2016.</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Director of Vontier Corporation since March 2021.</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Director of Flex Ltd. since September 2022.</w:t>
      </w:r>
    </w:p>
    <w:p>
      <w:pPr>
        <w:spacing w:after="0" w:line="99" w:lineRule="exact"/>
        <w:rPr>
          <w:sz w:val="20"/>
          <w:szCs w:val="20"/>
          <w:color w:val="auto"/>
        </w:rPr>
      </w:pPr>
    </w:p>
    <w:p>
      <w:pPr>
        <w:spacing w:after="0"/>
        <w:rPr>
          <w:sz w:val="20"/>
          <w:szCs w:val="20"/>
          <w:color w:val="auto"/>
        </w:rPr>
      </w:pPr>
      <w:r>
        <w:rPr>
          <w:rFonts w:ascii="Arial" w:cs="Arial" w:eastAsia="Arial" w:hAnsi="Arial"/>
          <w:sz w:val="28"/>
          <w:szCs w:val="28"/>
          <w:b w:val="1"/>
          <w:bCs w:val="1"/>
          <w:color w:val="0E3C23"/>
        </w:rPr>
        <w:t>Q</w:t>
      </w:r>
      <w:r>
        <w:rPr>
          <w:rFonts w:ascii="Arial" w:cs="Arial" w:eastAsia="Arial" w:hAnsi="Arial"/>
          <w:sz w:val="17"/>
          <w:szCs w:val="17"/>
          <w:b w:val="1"/>
          <w:bCs w:val="1"/>
          <w:color w:val="0E3C23"/>
        </w:rPr>
        <w:t>UALIFICATIONS</w:t>
      </w:r>
    </w:p>
    <w:p>
      <w:pPr>
        <w:spacing w:after="0" w:line="153" w:lineRule="exact"/>
        <w:rPr>
          <w:sz w:val="20"/>
          <w:szCs w:val="20"/>
          <w:color w:val="auto"/>
        </w:rPr>
      </w:pPr>
    </w:p>
    <w:p>
      <w:pPr>
        <w:jc w:val="both"/>
        <w:ind w:right="200"/>
        <w:spacing w:after="0" w:line="247" w:lineRule="auto"/>
        <w:rPr>
          <w:sz w:val="20"/>
          <w:szCs w:val="20"/>
          <w:color w:val="auto"/>
        </w:rPr>
      </w:pPr>
      <w:r>
        <w:rPr>
          <w:rFonts w:ascii="Arial" w:cs="Arial" w:eastAsia="Arial" w:hAnsi="Arial"/>
          <w:sz w:val="20"/>
          <w:szCs w:val="20"/>
          <w:color w:val="auto"/>
        </w:rPr>
        <w:t>As U.S. Managing Director and U.S. Head of Electrification for ABB Ltd., Maryrose Sylvester was responsible for ABB’s largest geographical market and the implementation of operational innovations. Ms. Sylvester also championed the company’s diversity and inclusion efforts and accelerated ABB’s Encompass Diversity program.</w:t>
      </w:r>
    </w:p>
    <w:p>
      <w:pPr>
        <w:spacing w:after="0" w:line="131" w:lineRule="exact"/>
        <w:rPr>
          <w:sz w:val="20"/>
          <w:szCs w:val="20"/>
          <w:color w:val="auto"/>
        </w:rPr>
      </w:pPr>
    </w:p>
    <w:p>
      <w:pPr>
        <w:jc w:val="both"/>
        <w:ind w:right="200"/>
        <w:spacing w:after="0" w:line="248" w:lineRule="auto"/>
        <w:rPr>
          <w:sz w:val="20"/>
          <w:szCs w:val="20"/>
          <w:color w:val="auto"/>
        </w:rPr>
      </w:pPr>
      <w:r>
        <w:rPr>
          <w:rFonts w:ascii="Arial" w:cs="Arial" w:eastAsia="Arial" w:hAnsi="Arial"/>
          <w:sz w:val="20"/>
          <w:szCs w:val="20"/>
          <w:color w:val="auto"/>
        </w:rPr>
        <w:t>Prior to joining ABB Ltd., Ms. Sylvester spent more than 30 years at General Electric, where she held a number of leadership roles, including serving as President and Chief Executive Officer of each of GE Lighting, GE Intelligent Platforms, which focused on industrial automation, and GE Current, a digital power service business that delivers integrated energy systems. Ms. Sylvester was instrumental in launching the GE Women’s Network.</w:t>
      </w:r>
    </w:p>
    <w:p>
      <w:pPr>
        <w:spacing w:after="0" w:line="129" w:lineRule="exact"/>
        <w:rPr>
          <w:sz w:val="20"/>
          <w:szCs w:val="20"/>
          <w:color w:val="auto"/>
        </w:rPr>
      </w:pPr>
    </w:p>
    <w:p>
      <w:pPr>
        <w:jc w:val="both"/>
        <w:ind w:right="200"/>
        <w:spacing w:after="0" w:line="263" w:lineRule="auto"/>
        <w:rPr>
          <w:sz w:val="20"/>
          <w:szCs w:val="20"/>
          <w:color w:val="auto"/>
        </w:rPr>
      </w:pPr>
      <w:r>
        <w:rPr>
          <w:rFonts w:ascii="Arial" w:cs="Arial" w:eastAsia="Arial" w:hAnsi="Arial"/>
          <w:sz w:val="19"/>
          <w:szCs w:val="19"/>
          <w:color w:val="auto"/>
        </w:rPr>
        <w:t>Ms. Sylvester is a strategic, growth-oriented leader with a focus on the areas of technology, innovation and automation. Through her prior experience, Ms. Sylvester has developed expertise in delivering technology-enabled and energy-efficient sustainable solutions. Ms. Sylvester provides experience and extensive knowledge of product development, marketing, technology and supply chain strategy to the Board. Ms. Sylvester has in-depth expertise in the area of improving energy efficiency in response to climate risk. Ms. Sylvester also shares insight from her prior experience to inform our strategy to improve processes and drive efficiency through automation. Ms. Sylvester is passionate about advancing diversity and inclusion and has expertise developing and driving such initiatives in the workplace. Ms. Sylvester also brings valuable governance experience from her service on the public company boards listed above.</w:t>
      </w:r>
    </w:p>
    <w:p>
      <w:pPr>
        <w:spacing w:after="0" w:line="120" w:lineRule="exact"/>
        <w:rPr>
          <w:sz w:val="20"/>
          <w:szCs w:val="20"/>
          <w:color w:val="auto"/>
        </w:rPr>
      </w:pPr>
    </w:p>
    <w:p>
      <w:pPr>
        <w:jc w:val="both"/>
        <w:ind w:right="200"/>
        <w:spacing w:after="0" w:line="297" w:lineRule="auto"/>
        <w:rPr>
          <w:sz w:val="20"/>
          <w:szCs w:val="20"/>
          <w:color w:val="auto"/>
        </w:rPr>
      </w:pPr>
      <w:r>
        <w:rPr>
          <w:rFonts w:ascii="Arial" w:cs="Arial" w:eastAsia="Arial" w:hAnsi="Arial"/>
          <w:sz w:val="18"/>
          <w:szCs w:val="18"/>
          <w:color w:val="auto"/>
        </w:rPr>
        <w:t>She holds a bachelor’s degree in procurement and production management from Bowling Green State University and a master’s degree in business administration from Cleveland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756285</wp:posOffset>
            </wp:positionV>
            <wp:extent cx="5803900" cy="542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98">
                      <a:extLst>
                        <a:ext uri="{28A0092B-C50C-407E-A947-70E740481C1C}"/>
                      </a:extLst>
                    </a:blip>
                    <a:srcRect/>
                    <a:stretch>
                      <a:fillRect/>
                    </a:stretch>
                  </pic:blipFill>
                  <pic:spPr bwMode="auto">
                    <a:xfrm>
                      <a:off x="0" y="0"/>
                      <a:ext cx="5803900" cy="542290"/>
                    </a:xfrm>
                    <a:prstGeom prst="rect">
                      <a:avLst/>
                    </a:prstGeom>
                    <a:noFill/>
                  </pic:spPr>
                </pic:pic>
              </a:graphicData>
            </a:graphic>
          </wp:anchor>
        </w:drawing>
      </w:r>
    </w:p>
    <w:p>
      <w:pPr>
        <w:spacing w:after="0" w:line="200" w:lineRule="exact"/>
        <w:rPr>
          <w:sz w:val="20"/>
          <w:szCs w:val="20"/>
          <w:color w:val="auto"/>
        </w:rPr>
      </w:pPr>
    </w:p>
    <w:p>
      <w:pPr>
        <w:sectPr>
          <w:pgSz w:w="13320" w:h="16920" w:orient="portrait"/>
          <w:cols w:equalWidth="0" w:num="2">
            <w:col w:w="1760" w:space="340"/>
            <w:col w:w="8340"/>
          </w:cols>
          <w:pgMar w:left="1440" w:top="1232" w:right="1440" w:bottom="103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740" w:right="880" w:hanging="939"/>
        <w:spacing w:after="0" w:line="208" w:lineRule="auto"/>
        <w:tabs>
          <w:tab w:leader="none" w:pos="1720" w:val="left"/>
        </w:tabs>
        <w:rPr>
          <w:sz w:val="20"/>
          <w:szCs w:val="20"/>
          <w:color w:val="auto"/>
        </w:rPr>
      </w:pPr>
      <w:r>
        <w:rPr>
          <w:rFonts w:ascii="Arial" w:cs="Arial" w:eastAsia="Arial" w:hAnsi="Arial"/>
          <w:sz w:val="31"/>
          <w:szCs w:val="31"/>
          <w:b w:val="1"/>
          <w:bCs w:val="1"/>
          <w:color w:val="FFFFFF"/>
        </w:rPr>
        <w:t>FOR</w:t>
      </w:r>
      <w:r>
        <w:rPr>
          <w:sz w:val="20"/>
          <w:szCs w:val="20"/>
          <w:color w:val="auto"/>
        </w:rPr>
        <w:tab/>
      </w:r>
      <w:r>
        <w:rPr>
          <w:rFonts w:ascii="Arial" w:cs="Arial" w:eastAsia="Arial" w:hAnsi="Arial"/>
          <w:sz w:val="20"/>
          <w:szCs w:val="20"/>
          <w:b w:val="1"/>
          <w:bCs w:val="1"/>
          <w:color w:val="auto"/>
        </w:rPr>
        <w:t>THE BOARD OF DIRECTORS RECOMMENDS THAT YOU VOTE FOR THE ELECTION OF EACH OF THE NINE DIRECTOR NOMINEES.</w:t>
      </w:r>
    </w:p>
    <w:p>
      <w:pPr>
        <w:sectPr>
          <w:pgSz w:w="13320" w:h="16920" w:orient="portrait"/>
          <w:cols w:equalWidth="0" w:num="1">
            <w:col w:w="10440"/>
          </w:cols>
          <w:pgMar w:left="1440" w:top="1232" w:right="1440" w:bottom="103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-207010</wp:posOffset>
            </wp:positionV>
            <wp:extent cx="538480" cy="1619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99">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33" w:name="page34"/>
    <w:bookmarkEnd w:id="33"/>
    <w:p>
      <w:pPr>
        <w:spacing w:after="0" w:line="188" w:lineRule="exact"/>
        <w:rPr>
          <w:sz w:val="20"/>
          <w:szCs w:val="20"/>
          <w:color w:val="auto"/>
        </w:rPr>
      </w:pPr>
    </w:p>
    <w:p>
      <w:pPr>
        <w:ind w:left="180"/>
        <w:spacing w:after="0"/>
        <w:rPr>
          <w:sz w:val="20"/>
          <w:szCs w:val="20"/>
          <w:color w:val="auto"/>
        </w:rPr>
      </w:pPr>
      <w:r>
        <w:rPr>
          <w:rFonts w:ascii="Arial" w:cs="Arial" w:eastAsia="Arial" w:hAnsi="Arial"/>
          <w:sz w:val="40"/>
          <w:szCs w:val="40"/>
          <w:b w:val="1"/>
          <w:bCs w:val="1"/>
          <w:color w:val="0E3C23"/>
        </w:rPr>
        <w:t>DIRECTOR AND OFFICER STOCK OWNERSHIP</w:t>
      </w:r>
    </w:p>
    <w:p>
      <w:pPr>
        <w:spacing w:after="0" w:line="166" w:lineRule="exact"/>
        <w:rPr>
          <w:sz w:val="20"/>
          <w:szCs w:val="20"/>
          <w:color w:val="auto"/>
        </w:rPr>
      </w:pPr>
    </w:p>
    <w:p>
      <w:pPr>
        <w:jc w:val="both"/>
        <w:ind w:left="180" w:right="200"/>
        <w:spacing w:after="0" w:line="250" w:lineRule="auto"/>
        <w:rPr>
          <w:sz w:val="20"/>
          <w:szCs w:val="20"/>
          <w:color w:val="auto"/>
        </w:rPr>
      </w:pPr>
      <w:r>
        <w:rPr>
          <w:rFonts w:ascii="Arial" w:cs="Arial" w:eastAsia="Arial" w:hAnsi="Arial"/>
          <w:sz w:val="20"/>
          <w:szCs w:val="20"/>
          <w:color w:val="auto"/>
        </w:rPr>
        <w:t>Our Board of Directors has adopted stock ownership guidelines for our non-employee directors based on the recommendation of the MD&amp;C Committee, as described in the Non-Employee Director Compensation discussion. Our executive officers, including Mr. Fish, are also subject to stock ownership guidelines, as described in the Compensation Discussion and Analysis.</w:t>
      </w:r>
    </w:p>
    <w:p>
      <w:pPr>
        <w:spacing w:after="0" w:line="127" w:lineRule="exact"/>
        <w:rPr>
          <w:sz w:val="20"/>
          <w:szCs w:val="20"/>
          <w:color w:val="auto"/>
        </w:rPr>
      </w:pPr>
    </w:p>
    <w:p>
      <w:pPr>
        <w:jc w:val="both"/>
        <w:ind w:left="180" w:right="200"/>
        <w:spacing w:after="0" w:line="250" w:lineRule="auto"/>
        <w:rPr>
          <w:sz w:val="20"/>
          <w:szCs w:val="20"/>
          <w:color w:val="auto"/>
        </w:rPr>
      </w:pPr>
      <w:r>
        <w:rPr>
          <w:rFonts w:ascii="Arial" w:cs="Arial" w:eastAsia="Arial" w:hAnsi="Arial"/>
          <w:sz w:val="20"/>
          <w:szCs w:val="20"/>
          <w:color w:val="auto"/>
        </w:rPr>
        <w:t>The Security Ownership of Management table below shows the number of shares of Common Stock each director and each executive officer named in the Summary Compensation Table beneficially owned as of March 18, 2025, as well as the number owned by all directors and executive officers as a group. These individuals, both individually and in the aggregate, own less than 1% of our outstanding shares as of the record date.</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SECURITY OWNERSHIP OF MANAGEMENT</w:t>
      </w:r>
    </w:p>
    <w:p>
      <w:pPr>
        <w:spacing w:after="0" w:line="113"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2300" w:type="dxa"/>
            <w:vAlign w:val="bottom"/>
            <w:vMerge w:val="restart"/>
          </w:tcPr>
          <w:p>
            <w:pPr>
              <w:jc w:val="right"/>
              <w:ind w:right="23"/>
              <w:spacing w:after="0"/>
              <w:rPr>
                <w:sz w:val="20"/>
                <w:szCs w:val="20"/>
                <w:color w:val="auto"/>
              </w:rPr>
            </w:pPr>
            <w:r>
              <w:rPr>
                <w:rFonts w:ascii="Arial" w:cs="Arial" w:eastAsia="Arial" w:hAnsi="Arial"/>
                <w:sz w:val="16"/>
                <w:szCs w:val="16"/>
                <w:b w:val="1"/>
                <w:bCs w:val="1"/>
                <w:color w:val="0E3C23"/>
              </w:rPr>
              <w:t>Shares of Common</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0E3C23"/>
              </w:rPr>
              <w:t>Shares of Common</w:t>
            </w:r>
          </w:p>
        </w:tc>
        <w:tc>
          <w:tcPr>
            <w:tcW w:w="0" w:type="dxa"/>
            <w:vAlign w:val="bottom"/>
          </w:tcPr>
          <w:p>
            <w:pPr>
              <w:spacing w:after="0"/>
              <w:rPr>
                <w:sz w:val="1"/>
                <w:szCs w:val="1"/>
                <w:color w:val="auto"/>
              </w:rPr>
            </w:pPr>
          </w:p>
        </w:tc>
      </w:tr>
      <w:tr>
        <w:trPr>
          <w:trHeight w:val="150"/>
        </w:trPr>
        <w:tc>
          <w:tcPr>
            <w:tcW w:w="6040" w:type="dxa"/>
            <w:vAlign w:val="bottom"/>
          </w:tcPr>
          <w:p>
            <w:pPr>
              <w:spacing w:after="0"/>
              <w:rPr>
                <w:sz w:val="13"/>
                <w:szCs w:val="13"/>
                <w:color w:val="auto"/>
              </w:rPr>
            </w:pPr>
          </w:p>
        </w:tc>
        <w:tc>
          <w:tcPr>
            <w:tcW w:w="2300" w:type="dxa"/>
            <w:vAlign w:val="bottom"/>
            <w:vMerge w:val="continue"/>
          </w:tcPr>
          <w:p>
            <w:pPr>
              <w:spacing w:after="0"/>
              <w:rPr>
                <w:sz w:val="13"/>
                <w:szCs w:val="13"/>
                <w:color w:val="auto"/>
              </w:rPr>
            </w:pPr>
          </w:p>
        </w:tc>
        <w:tc>
          <w:tcPr>
            <w:tcW w:w="1720" w:type="dxa"/>
            <w:vAlign w:val="bottom"/>
          </w:tcPr>
          <w:p>
            <w:pPr>
              <w:jc w:val="right"/>
              <w:spacing w:after="0" w:line="150" w:lineRule="exact"/>
              <w:rPr>
                <w:sz w:val="20"/>
                <w:szCs w:val="20"/>
                <w:color w:val="auto"/>
              </w:rPr>
            </w:pPr>
            <w:r>
              <w:rPr>
                <w:rFonts w:ascii="Arial" w:cs="Arial" w:eastAsia="Arial" w:hAnsi="Arial"/>
                <w:sz w:val="16"/>
                <w:szCs w:val="16"/>
                <w:b w:val="1"/>
                <w:bCs w:val="1"/>
                <w:color w:val="0E3C23"/>
              </w:rPr>
              <w:t>Stock Covered by</w:t>
            </w:r>
          </w:p>
        </w:tc>
        <w:tc>
          <w:tcPr>
            <w:tcW w:w="0" w:type="dxa"/>
            <w:vAlign w:val="bottom"/>
          </w:tcPr>
          <w:p>
            <w:pPr>
              <w:spacing w:after="0"/>
              <w:rPr>
                <w:sz w:val="1"/>
                <w:szCs w:val="1"/>
                <w:color w:val="auto"/>
              </w:rPr>
            </w:pPr>
          </w:p>
        </w:tc>
      </w:tr>
      <w:tr>
        <w:trPr>
          <w:trHeight w:val="237"/>
        </w:trPr>
        <w:tc>
          <w:tcPr>
            <w:tcW w:w="6040" w:type="dxa"/>
            <w:vAlign w:val="bottom"/>
            <w:tcBorders>
              <w:bottom w:val="single" w:sz="8" w:color="0E3C23"/>
            </w:tcBorders>
          </w:tcPr>
          <w:p>
            <w:pPr>
              <w:ind w:left="60"/>
              <w:spacing w:after="0"/>
              <w:rPr>
                <w:sz w:val="20"/>
                <w:szCs w:val="20"/>
                <w:color w:val="auto"/>
              </w:rPr>
            </w:pPr>
            <w:r>
              <w:rPr>
                <w:rFonts w:ascii="Arial" w:cs="Arial" w:eastAsia="Arial" w:hAnsi="Arial"/>
                <w:sz w:val="16"/>
                <w:szCs w:val="16"/>
                <w:b w:val="1"/>
                <w:bCs w:val="1"/>
                <w:color w:val="0E3C23"/>
              </w:rPr>
              <w:t>Name</w:t>
            </w:r>
          </w:p>
        </w:tc>
        <w:tc>
          <w:tcPr>
            <w:tcW w:w="2300" w:type="dxa"/>
            <w:vAlign w:val="bottom"/>
            <w:tcBorders>
              <w:bottom w:val="single" w:sz="8" w:color="0E3C23"/>
            </w:tcBorders>
          </w:tcPr>
          <w:p>
            <w:pPr>
              <w:jc w:val="right"/>
              <w:ind w:right="23"/>
              <w:spacing w:after="0"/>
              <w:rPr>
                <w:sz w:val="20"/>
                <w:szCs w:val="20"/>
                <w:color w:val="auto"/>
              </w:rPr>
            </w:pPr>
            <w:r>
              <w:rPr>
                <w:rFonts w:ascii="Arial" w:cs="Arial" w:eastAsia="Arial" w:hAnsi="Arial"/>
                <w:sz w:val="16"/>
                <w:szCs w:val="16"/>
                <w:b w:val="1"/>
                <w:bCs w:val="1"/>
                <w:color w:val="0E3C23"/>
              </w:rPr>
              <w:t>Stock Owned</w:t>
            </w:r>
            <w:r>
              <w:rPr>
                <w:rFonts w:ascii="Arial" w:cs="Arial" w:eastAsia="Arial" w:hAnsi="Arial"/>
                <w:sz w:val="19"/>
                <w:szCs w:val="19"/>
                <w:b w:val="1"/>
                <w:bCs w:val="1"/>
                <w:color w:val="0E3C23"/>
                <w:vertAlign w:val="superscript"/>
              </w:rPr>
              <w:t>(1)</w:t>
            </w:r>
          </w:p>
        </w:tc>
        <w:tc>
          <w:tcPr>
            <w:tcW w:w="1720" w:type="dxa"/>
            <w:vAlign w:val="bottom"/>
            <w:tcBorders>
              <w:bottom w:val="single" w:sz="8" w:color="0E3C23"/>
            </w:tcBorders>
          </w:tcPr>
          <w:p>
            <w:pPr>
              <w:jc w:val="right"/>
              <w:spacing w:after="0"/>
              <w:rPr>
                <w:sz w:val="20"/>
                <w:szCs w:val="20"/>
                <w:color w:val="auto"/>
              </w:rPr>
            </w:pPr>
            <w:r>
              <w:rPr>
                <w:rFonts w:ascii="Arial" w:cs="Arial" w:eastAsia="Arial" w:hAnsi="Arial"/>
                <w:sz w:val="16"/>
                <w:szCs w:val="16"/>
                <w:b w:val="1"/>
                <w:bCs w:val="1"/>
                <w:color w:val="0E3C23"/>
                <w:w w:val="96"/>
              </w:rPr>
              <w:t>Exercisable Options</w:t>
            </w:r>
            <w:r>
              <w:rPr>
                <w:rFonts w:ascii="Arial" w:cs="Arial" w:eastAsia="Arial" w:hAnsi="Arial"/>
                <w:sz w:val="19"/>
                <w:szCs w:val="19"/>
                <w:b w:val="1"/>
                <w:bCs w:val="1"/>
                <w:color w:val="0E3C23"/>
                <w:w w:val="96"/>
                <w:vertAlign w:val="superscript"/>
              </w:rPr>
              <w:t>(2)</w:t>
            </w:r>
          </w:p>
        </w:tc>
        <w:tc>
          <w:tcPr>
            <w:tcW w:w="0" w:type="dxa"/>
            <w:vAlign w:val="bottom"/>
          </w:tcPr>
          <w:p>
            <w:pPr>
              <w:spacing w:after="0"/>
              <w:rPr>
                <w:sz w:val="1"/>
                <w:szCs w:val="1"/>
                <w:color w:val="auto"/>
              </w:rPr>
            </w:pPr>
          </w:p>
        </w:tc>
      </w:tr>
      <w:tr>
        <w:trPr>
          <w:trHeight w:val="290"/>
        </w:trPr>
        <w:tc>
          <w:tcPr>
            <w:tcW w:w="6040" w:type="dxa"/>
            <w:vAlign w:val="bottom"/>
            <w:tcBorders>
              <w:bottom w:val="single" w:sz="8" w:color="0E3C23"/>
            </w:tcBorders>
          </w:tcPr>
          <w:p>
            <w:pPr>
              <w:ind w:left="60"/>
              <w:spacing w:after="0"/>
              <w:rPr>
                <w:sz w:val="20"/>
                <w:szCs w:val="20"/>
                <w:color w:val="auto"/>
              </w:rPr>
            </w:pPr>
            <w:r>
              <w:rPr>
                <w:rFonts w:ascii="Arial" w:cs="Arial" w:eastAsia="Arial" w:hAnsi="Arial"/>
                <w:sz w:val="20"/>
                <w:szCs w:val="20"/>
                <w:color w:val="auto"/>
              </w:rPr>
              <w:t>Thomas L. Bené</w:t>
            </w:r>
            <w:r>
              <w:rPr>
                <w:rFonts w:ascii="Arial" w:cs="Arial" w:eastAsia="Arial" w:hAnsi="Arial"/>
                <w:sz w:val="25"/>
                <w:szCs w:val="25"/>
                <w:color w:val="auto"/>
                <w:vertAlign w:val="superscript"/>
              </w:rPr>
              <w:t>(3)</w:t>
            </w:r>
          </w:p>
        </w:tc>
        <w:tc>
          <w:tcPr>
            <w:tcW w:w="2300" w:type="dxa"/>
            <w:vAlign w:val="bottom"/>
            <w:tcBorders>
              <w:bottom w:val="single" w:sz="8" w:color="0E3C23"/>
            </w:tcBorders>
          </w:tcPr>
          <w:p>
            <w:pPr>
              <w:jc w:val="right"/>
              <w:ind w:right="363"/>
              <w:spacing w:after="0"/>
              <w:rPr>
                <w:sz w:val="20"/>
                <w:szCs w:val="20"/>
                <w:color w:val="auto"/>
              </w:rPr>
            </w:pPr>
            <w:r>
              <w:rPr>
                <w:rFonts w:ascii="Arial" w:cs="Arial" w:eastAsia="Arial" w:hAnsi="Arial"/>
                <w:sz w:val="20"/>
                <w:szCs w:val="20"/>
                <w:color w:val="auto"/>
              </w:rPr>
              <w:t>1,430</w:t>
            </w:r>
          </w:p>
        </w:tc>
        <w:tc>
          <w:tcPr>
            <w:tcW w:w="1720" w:type="dxa"/>
            <w:vAlign w:val="bottom"/>
            <w:tcBorders>
              <w:bottom w:val="single" w:sz="8" w:color="0E3C23"/>
            </w:tcBorders>
          </w:tcPr>
          <w:p>
            <w:pPr>
              <w:jc w:val="right"/>
              <w:ind w:right="40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6040" w:type="dxa"/>
            <w:vAlign w:val="bottom"/>
            <w:tcBorders>
              <w:bottom w:val="single" w:sz="8" w:color="0E3C23"/>
            </w:tcBorders>
          </w:tcPr>
          <w:p>
            <w:pPr>
              <w:ind w:left="60"/>
              <w:spacing w:after="0" w:line="280" w:lineRule="exact"/>
              <w:rPr>
                <w:sz w:val="20"/>
                <w:szCs w:val="20"/>
                <w:color w:val="auto"/>
              </w:rPr>
            </w:pPr>
            <w:r>
              <w:rPr>
                <w:rFonts w:ascii="Arial" w:cs="Arial" w:eastAsia="Arial" w:hAnsi="Arial"/>
                <w:sz w:val="20"/>
                <w:szCs w:val="20"/>
                <w:color w:val="auto"/>
              </w:rPr>
              <w:t>Bruce E. Chinn</w:t>
            </w:r>
            <w:r>
              <w:rPr>
                <w:rFonts w:ascii="Arial" w:cs="Arial" w:eastAsia="Arial" w:hAnsi="Arial"/>
                <w:sz w:val="25"/>
                <w:szCs w:val="25"/>
                <w:color w:val="auto"/>
                <w:vertAlign w:val="superscript"/>
              </w:rPr>
              <w:t>(4)</w:t>
            </w:r>
          </w:p>
        </w:tc>
        <w:tc>
          <w:tcPr>
            <w:tcW w:w="2300" w:type="dxa"/>
            <w:vAlign w:val="bottom"/>
            <w:tcBorders>
              <w:bottom w:val="single" w:sz="8" w:color="0E3C23"/>
            </w:tcBorders>
          </w:tcPr>
          <w:p>
            <w:pPr>
              <w:jc w:val="right"/>
              <w:ind w:right="363"/>
              <w:spacing w:after="0"/>
              <w:rPr>
                <w:sz w:val="20"/>
                <w:szCs w:val="20"/>
                <w:color w:val="auto"/>
              </w:rPr>
            </w:pPr>
            <w:r>
              <w:rPr>
                <w:rFonts w:ascii="Arial" w:cs="Arial" w:eastAsia="Arial" w:hAnsi="Arial"/>
                <w:sz w:val="20"/>
                <w:szCs w:val="20"/>
                <w:color w:val="auto"/>
              </w:rPr>
              <w:t>2,172</w:t>
            </w:r>
          </w:p>
        </w:tc>
        <w:tc>
          <w:tcPr>
            <w:tcW w:w="1720" w:type="dxa"/>
            <w:vAlign w:val="bottom"/>
            <w:tcBorders>
              <w:bottom w:val="single" w:sz="8" w:color="0E3C23"/>
            </w:tcBorders>
          </w:tcPr>
          <w:p>
            <w:pPr>
              <w:jc w:val="right"/>
              <w:ind w:right="40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7"/>
        </w:trPr>
        <w:tc>
          <w:tcPr>
            <w:tcW w:w="6040" w:type="dxa"/>
            <w:vAlign w:val="bottom"/>
          </w:tcPr>
          <w:p>
            <w:pPr>
              <w:ind w:left="60"/>
              <w:spacing w:after="0"/>
              <w:rPr>
                <w:sz w:val="20"/>
                <w:szCs w:val="20"/>
                <w:color w:val="auto"/>
              </w:rPr>
            </w:pPr>
            <w:r>
              <w:rPr>
                <w:rFonts w:ascii="Arial" w:cs="Arial" w:eastAsia="Arial" w:hAnsi="Arial"/>
                <w:sz w:val="20"/>
                <w:szCs w:val="20"/>
                <w:color w:val="auto"/>
              </w:rPr>
              <w:t>Andrés R. Gluski</w:t>
            </w:r>
          </w:p>
        </w:tc>
        <w:tc>
          <w:tcPr>
            <w:tcW w:w="2300" w:type="dxa"/>
            <w:vAlign w:val="bottom"/>
          </w:tcPr>
          <w:p>
            <w:pPr>
              <w:jc w:val="right"/>
              <w:ind w:right="363"/>
              <w:spacing w:after="0"/>
              <w:rPr>
                <w:sz w:val="20"/>
                <w:szCs w:val="20"/>
                <w:color w:val="auto"/>
              </w:rPr>
            </w:pPr>
            <w:r>
              <w:rPr>
                <w:rFonts w:ascii="Arial" w:cs="Arial" w:eastAsia="Arial" w:hAnsi="Arial"/>
                <w:sz w:val="20"/>
                <w:szCs w:val="20"/>
                <w:color w:val="auto"/>
              </w:rPr>
              <w:t>16,826</w:t>
            </w:r>
          </w:p>
        </w:tc>
        <w:tc>
          <w:tcPr>
            <w:tcW w:w="1720" w:type="dxa"/>
            <w:vAlign w:val="bottom"/>
          </w:tcPr>
          <w:p>
            <w:pPr>
              <w:jc w:val="right"/>
              <w:ind w:right="40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3"/>
        </w:trPr>
        <w:tc>
          <w:tcPr>
            <w:tcW w:w="6040" w:type="dxa"/>
            <w:vAlign w:val="bottom"/>
            <w:tcBorders>
              <w:bottom w:val="single" w:sz="8" w:color="0E3C23"/>
            </w:tcBorders>
          </w:tcPr>
          <w:p>
            <w:pPr>
              <w:spacing w:after="0"/>
              <w:rPr>
                <w:sz w:val="2"/>
                <w:szCs w:val="2"/>
                <w:color w:val="auto"/>
              </w:rPr>
            </w:pPr>
          </w:p>
        </w:tc>
        <w:tc>
          <w:tcPr>
            <w:tcW w:w="2300" w:type="dxa"/>
            <w:vAlign w:val="bottom"/>
            <w:tcBorders>
              <w:bottom w:val="single" w:sz="8" w:color="0E3C23"/>
            </w:tcBorders>
          </w:tcPr>
          <w:p>
            <w:pPr>
              <w:spacing w:after="0"/>
              <w:rPr>
                <w:sz w:val="2"/>
                <w:szCs w:val="2"/>
                <w:color w:val="auto"/>
              </w:rPr>
            </w:pPr>
          </w:p>
        </w:tc>
        <w:tc>
          <w:tcPr>
            <w:tcW w:w="1720" w:type="dxa"/>
            <w:vAlign w:val="bottom"/>
            <w:tcBorders>
              <w:bottom w:val="single" w:sz="8" w:color="0E3C23"/>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6040" w:type="dxa"/>
            <w:vAlign w:val="bottom"/>
            <w:tcBorders>
              <w:bottom w:val="single" w:sz="8" w:color="0E3C23"/>
            </w:tcBorders>
          </w:tcPr>
          <w:p>
            <w:pPr>
              <w:ind w:left="60"/>
              <w:spacing w:after="0" w:line="280" w:lineRule="exact"/>
              <w:rPr>
                <w:sz w:val="20"/>
                <w:szCs w:val="20"/>
                <w:color w:val="auto"/>
              </w:rPr>
            </w:pPr>
            <w:r>
              <w:rPr>
                <w:rFonts w:ascii="Arial" w:cs="Arial" w:eastAsia="Arial" w:hAnsi="Arial"/>
                <w:sz w:val="20"/>
                <w:szCs w:val="20"/>
                <w:color w:val="auto"/>
              </w:rPr>
              <w:t>Victoria M. Holt</w:t>
            </w:r>
            <w:r>
              <w:rPr>
                <w:rFonts w:ascii="Arial" w:cs="Arial" w:eastAsia="Arial" w:hAnsi="Arial"/>
                <w:sz w:val="25"/>
                <w:szCs w:val="25"/>
                <w:color w:val="auto"/>
                <w:vertAlign w:val="superscript"/>
              </w:rPr>
              <w:t>(5)</w:t>
            </w:r>
          </w:p>
        </w:tc>
        <w:tc>
          <w:tcPr>
            <w:tcW w:w="2300" w:type="dxa"/>
            <w:vAlign w:val="bottom"/>
            <w:tcBorders>
              <w:bottom w:val="single" w:sz="8" w:color="0E3C23"/>
            </w:tcBorders>
          </w:tcPr>
          <w:p>
            <w:pPr>
              <w:jc w:val="right"/>
              <w:ind w:right="363"/>
              <w:spacing w:after="0"/>
              <w:rPr>
                <w:sz w:val="20"/>
                <w:szCs w:val="20"/>
                <w:color w:val="auto"/>
              </w:rPr>
            </w:pPr>
            <w:r>
              <w:rPr>
                <w:rFonts w:ascii="Arial" w:cs="Arial" w:eastAsia="Arial" w:hAnsi="Arial"/>
                <w:sz w:val="20"/>
                <w:szCs w:val="20"/>
                <w:color w:val="auto"/>
              </w:rPr>
              <w:t>22,324</w:t>
            </w:r>
          </w:p>
        </w:tc>
        <w:tc>
          <w:tcPr>
            <w:tcW w:w="1720" w:type="dxa"/>
            <w:vAlign w:val="bottom"/>
            <w:tcBorders>
              <w:bottom w:val="single" w:sz="8" w:color="0E3C23"/>
            </w:tcBorders>
          </w:tcPr>
          <w:p>
            <w:pPr>
              <w:jc w:val="right"/>
              <w:ind w:right="40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6040" w:type="dxa"/>
            <w:vAlign w:val="bottom"/>
            <w:tcBorders>
              <w:bottom w:val="single" w:sz="8" w:color="0E3C23"/>
            </w:tcBorders>
          </w:tcPr>
          <w:p>
            <w:pPr>
              <w:ind w:left="60"/>
              <w:spacing w:after="0" w:line="280" w:lineRule="exact"/>
              <w:rPr>
                <w:sz w:val="20"/>
                <w:szCs w:val="20"/>
                <w:color w:val="auto"/>
              </w:rPr>
            </w:pPr>
            <w:r>
              <w:rPr>
                <w:rFonts w:ascii="Arial" w:cs="Arial" w:eastAsia="Arial" w:hAnsi="Arial"/>
                <w:sz w:val="20"/>
                <w:szCs w:val="20"/>
                <w:color w:val="auto"/>
              </w:rPr>
              <w:t>Kathleen M. Mazzarella</w:t>
            </w:r>
            <w:r>
              <w:rPr>
                <w:rFonts w:ascii="Arial" w:cs="Arial" w:eastAsia="Arial" w:hAnsi="Arial"/>
                <w:sz w:val="25"/>
                <w:szCs w:val="25"/>
                <w:color w:val="auto"/>
                <w:vertAlign w:val="superscript"/>
              </w:rPr>
              <w:t>(6)</w:t>
            </w:r>
          </w:p>
        </w:tc>
        <w:tc>
          <w:tcPr>
            <w:tcW w:w="2300" w:type="dxa"/>
            <w:vAlign w:val="bottom"/>
            <w:tcBorders>
              <w:bottom w:val="single" w:sz="8" w:color="0E3C23"/>
            </w:tcBorders>
          </w:tcPr>
          <w:p>
            <w:pPr>
              <w:jc w:val="right"/>
              <w:ind w:right="363"/>
              <w:spacing w:after="0"/>
              <w:rPr>
                <w:sz w:val="20"/>
                <w:szCs w:val="20"/>
                <w:color w:val="auto"/>
              </w:rPr>
            </w:pPr>
            <w:r>
              <w:rPr>
                <w:rFonts w:ascii="Arial" w:cs="Arial" w:eastAsia="Arial" w:hAnsi="Arial"/>
                <w:sz w:val="20"/>
                <w:szCs w:val="20"/>
                <w:color w:val="auto"/>
              </w:rPr>
              <w:t>15,899</w:t>
            </w:r>
          </w:p>
        </w:tc>
        <w:tc>
          <w:tcPr>
            <w:tcW w:w="1720" w:type="dxa"/>
            <w:vAlign w:val="bottom"/>
            <w:tcBorders>
              <w:bottom w:val="single" w:sz="8" w:color="0E3C23"/>
            </w:tcBorders>
          </w:tcPr>
          <w:p>
            <w:pPr>
              <w:jc w:val="right"/>
              <w:ind w:right="40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7"/>
        </w:trPr>
        <w:tc>
          <w:tcPr>
            <w:tcW w:w="6040" w:type="dxa"/>
            <w:vAlign w:val="bottom"/>
          </w:tcPr>
          <w:p>
            <w:pPr>
              <w:ind w:left="60"/>
              <w:spacing w:after="0"/>
              <w:rPr>
                <w:sz w:val="20"/>
                <w:szCs w:val="20"/>
                <w:color w:val="auto"/>
              </w:rPr>
            </w:pPr>
            <w:r>
              <w:rPr>
                <w:rFonts w:ascii="Arial" w:cs="Arial" w:eastAsia="Arial" w:hAnsi="Arial"/>
                <w:sz w:val="20"/>
                <w:szCs w:val="20"/>
                <w:color w:val="auto"/>
              </w:rPr>
              <w:t>Sean E. Menke</w:t>
            </w:r>
          </w:p>
        </w:tc>
        <w:tc>
          <w:tcPr>
            <w:tcW w:w="2300" w:type="dxa"/>
            <w:vAlign w:val="bottom"/>
          </w:tcPr>
          <w:p>
            <w:pPr>
              <w:jc w:val="right"/>
              <w:ind w:right="363"/>
              <w:spacing w:after="0"/>
              <w:rPr>
                <w:sz w:val="20"/>
                <w:szCs w:val="20"/>
                <w:color w:val="auto"/>
              </w:rPr>
            </w:pPr>
            <w:r>
              <w:rPr>
                <w:rFonts w:ascii="Arial" w:cs="Arial" w:eastAsia="Arial" w:hAnsi="Arial"/>
                <w:sz w:val="20"/>
                <w:szCs w:val="20"/>
                <w:color w:val="auto"/>
              </w:rPr>
              <w:t>4,618</w:t>
            </w:r>
          </w:p>
        </w:tc>
        <w:tc>
          <w:tcPr>
            <w:tcW w:w="1720" w:type="dxa"/>
            <w:vAlign w:val="bottom"/>
          </w:tcPr>
          <w:p>
            <w:pPr>
              <w:jc w:val="right"/>
              <w:ind w:right="40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3"/>
        </w:trPr>
        <w:tc>
          <w:tcPr>
            <w:tcW w:w="6040" w:type="dxa"/>
            <w:vAlign w:val="bottom"/>
            <w:tcBorders>
              <w:bottom w:val="single" w:sz="8" w:color="0E3C23"/>
            </w:tcBorders>
          </w:tcPr>
          <w:p>
            <w:pPr>
              <w:spacing w:after="0"/>
              <w:rPr>
                <w:sz w:val="2"/>
                <w:szCs w:val="2"/>
                <w:color w:val="auto"/>
              </w:rPr>
            </w:pPr>
          </w:p>
        </w:tc>
        <w:tc>
          <w:tcPr>
            <w:tcW w:w="2300" w:type="dxa"/>
            <w:vAlign w:val="bottom"/>
            <w:tcBorders>
              <w:bottom w:val="single" w:sz="8" w:color="0E3C23"/>
            </w:tcBorders>
          </w:tcPr>
          <w:p>
            <w:pPr>
              <w:spacing w:after="0"/>
              <w:rPr>
                <w:sz w:val="2"/>
                <w:szCs w:val="2"/>
                <w:color w:val="auto"/>
              </w:rPr>
            </w:pPr>
          </w:p>
        </w:tc>
        <w:tc>
          <w:tcPr>
            <w:tcW w:w="1720" w:type="dxa"/>
            <w:vAlign w:val="bottom"/>
            <w:tcBorders>
              <w:bottom w:val="single" w:sz="8" w:color="0E3C23"/>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6040" w:type="dxa"/>
            <w:vAlign w:val="bottom"/>
            <w:tcBorders>
              <w:bottom w:val="single" w:sz="8" w:color="0E3C23"/>
            </w:tcBorders>
          </w:tcPr>
          <w:p>
            <w:pPr>
              <w:ind w:left="60"/>
              <w:spacing w:after="0" w:line="280" w:lineRule="exact"/>
              <w:rPr>
                <w:sz w:val="20"/>
                <w:szCs w:val="20"/>
                <w:color w:val="auto"/>
              </w:rPr>
            </w:pPr>
            <w:r>
              <w:rPr>
                <w:rFonts w:ascii="Arial" w:cs="Arial" w:eastAsia="Arial" w:hAnsi="Arial"/>
                <w:sz w:val="20"/>
                <w:szCs w:val="20"/>
                <w:color w:val="auto"/>
              </w:rPr>
              <w:t>William B. Plummer</w:t>
            </w:r>
            <w:r>
              <w:rPr>
                <w:rFonts w:ascii="Arial" w:cs="Arial" w:eastAsia="Arial" w:hAnsi="Arial"/>
                <w:sz w:val="25"/>
                <w:szCs w:val="25"/>
                <w:color w:val="auto"/>
                <w:vertAlign w:val="superscript"/>
              </w:rPr>
              <w:t>(7)</w:t>
            </w:r>
          </w:p>
        </w:tc>
        <w:tc>
          <w:tcPr>
            <w:tcW w:w="2300" w:type="dxa"/>
            <w:vAlign w:val="bottom"/>
            <w:tcBorders>
              <w:bottom w:val="single" w:sz="8" w:color="0E3C23"/>
            </w:tcBorders>
          </w:tcPr>
          <w:p>
            <w:pPr>
              <w:jc w:val="right"/>
              <w:ind w:right="363"/>
              <w:spacing w:after="0"/>
              <w:rPr>
                <w:sz w:val="20"/>
                <w:szCs w:val="20"/>
                <w:color w:val="auto"/>
              </w:rPr>
            </w:pPr>
            <w:r>
              <w:rPr>
                <w:rFonts w:ascii="Arial" w:cs="Arial" w:eastAsia="Arial" w:hAnsi="Arial"/>
                <w:sz w:val="20"/>
                <w:szCs w:val="20"/>
                <w:color w:val="auto"/>
              </w:rPr>
              <w:t>6,843</w:t>
            </w:r>
          </w:p>
        </w:tc>
        <w:tc>
          <w:tcPr>
            <w:tcW w:w="1720" w:type="dxa"/>
            <w:vAlign w:val="bottom"/>
            <w:tcBorders>
              <w:bottom w:val="single" w:sz="8" w:color="0E3C23"/>
            </w:tcBorders>
          </w:tcPr>
          <w:p>
            <w:pPr>
              <w:jc w:val="right"/>
              <w:ind w:right="40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7"/>
        </w:trPr>
        <w:tc>
          <w:tcPr>
            <w:tcW w:w="6040" w:type="dxa"/>
            <w:vAlign w:val="bottom"/>
          </w:tcPr>
          <w:p>
            <w:pPr>
              <w:ind w:left="60"/>
              <w:spacing w:after="0"/>
              <w:rPr>
                <w:sz w:val="20"/>
                <w:szCs w:val="20"/>
                <w:color w:val="auto"/>
              </w:rPr>
            </w:pPr>
            <w:r>
              <w:rPr>
                <w:rFonts w:ascii="Arial" w:cs="Arial" w:eastAsia="Arial" w:hAnsi="Arial"/>
                <w:sz w:val="20"/>
                <w:szCs w:val="20"/>
                <w:color w:val="auto"/>
              </w:rPr>
              <w:t>Maryrose T. Sylvester</w:t>
            </w:r>
          </w:p>
        </w:tc>
        <w:tc>
          <w:tcPr>
            <w:tcW w:w="2300" w:type="dxa"/>
            <w:vAlign w:val="bottom"/>
          </w:tcPr>
          <w:p>
            <w:pPr>
              <w:jc w:val="right"/>
              <w:ind w:right="363"/>
              <w:spacing w:after="0"/>
              <w:rPr>
                <w:sz w:val="20"/>
                <w:szCs w:val="20"/>
                <w:color w:val="auto"/>
              </w:rPr>
            </w:pPr>
            <w:r>
              <w:rPr>
                <w:rFonts w:ascii="Arial" w:cs="Arial" w:eastAsia="Arial" w:hAnsi="Arial"/>
                <w:sz w:val="20"/>
                <w:szCs w:val="20"/>
                <w:color w:val="auto"/>
              </w:rPr>
              <w:t>4,308</w:t>
            </w:r>
          </w:p>
        </w:tc>
        <w:tc>
          <w:tcPr>
            <w:tcW w:w="1720" w:type="dxa"/>
            <w:vAlign w:val="bottom"/>
          </w:tcPr>
          <w:p>
            <w:pPr>
              <w:jc w:val="right"/>
              <w:ind w:right="40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3"/>
        </w:trPr>
        <w:tc>
          <w:tcPr>
            <w:tcW w:w="6040" w:type="dxa"/>
            <w:vAlign w:val="bottom"/>
            <w:tcBorders>
              <w:bottom w:val="single" w:sz="8" w:color="0E3C23"/>
            </w:tcBorders>
          </w:tcPr>
          <w:p>
            <w:pPr>
              <w:spacing w:after="0"/>
              <w:rPr>
                <w:sz w:val="2"/>
                <w:szCs w:val="2"/>
                <w:color w:val="auto"/>
              </w:rPr>
            </w:pPr>
          </w:p>
        </w:tc>
        <w:tc>
          <w:tcPr>
            <w:tcW w:w="2300" w:type="dxa"/>
            <w:vAlign w:val="bottom"/>
            <w:tcBorders>
              <w:bottom w:val="single" w:sz="8" w:color="0E3C23"/>
            </w:tcBorders>
          </w:tcPr>
          <w:p>
            <w:pPr>
              <w:spacing w:after="0"/>
              <w:rPr>
                <w:sz w:val="2"/>
                <w:szCs w:val="2"/>
                <w:color w:val="auto"/>
              </w:rPr>
            </w:pPr>
          </w:p>
        </w:tc>
        <w:tc>
          <w:tcPr>
            <w:tcW w:w="1720" w:type="dxa"/>
            <w:vAlign w:val="bottom"/>
            <w:tcBorders>
              <w:bottom w:val="single" w:sz="8" w:color="0E3C23"/>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6040" w:type="dxa"/>
            <w:vAlign w:val="bottom"/>
            <w:tcBorders>
              <w:bottom w:val="single" w:sz="8" w:color="0E3C23"/>
            </w:tcBorders>
          </w:tcPr>
          <w:p>
            <w:pPr>
              <w:ind w:left="60"/>
              <w:spacing w:after="0" w:line="280" w:lineRule="exact"/>
              <w:rPr>
                <w:sz w:val="20"/>
                <w:szCs w:val="20"/>
                <w:color w:val="auto"/>
              </w:rPr>
            </w:pPr>
            <w:r>
              <w:rPr>
                <w:rFonts w:ascii="Arial" w:cs="Arial" w:eastAsia="Arial" w:hAnsi="Arial"/>
                <w:sz w:val="20"/>
                <w:szCs w:val="20"/>
                <w:color w:val="auto"/>
              </w:rPr>
              <w:t>James C. Fish, Jr.</w:t>
            </w:r>
            <w:r>
              <w:rPr>
                <w:rFonts w:ascii="Arial" w:cs="Arial" w:eastAsia="Arial" w:hAnsi="Arial"/>
                <w:sz w:val="25"/>
                <w:szCs w:val="25"/>
                <w:color w:val="auto"/>
                <w:vertAlign w:val="superscript"/>
              </w:rPr>
              <w:t>(8)</w:t>
            </w:r>
          </w:p>
        </w:tc>
        <w:tc>
          <w:tcPr>
            <w:tcW w:w="2300" w:type="dxa"/>
            <w:vAlign w:val="bottom"/>
            <w:tcBorders>
              <w:bottom w:val="single" w:sz="8" w:color="0E3C23"/>
            </w:tcBorders>
          </w:tcPr>
          <w:p>
            <w:pPr>
              <w:jc w:val="right"/>
              <w:ind w:right="363"/>
              <w:spacing w:after="0"/>
              <w:rPr>
                <w:sz w:val="20"/>
                <w:szCs w:val="20"/>
                <w:color w:val="auto"/>
              </w:rPr>
            </w:pPr>
            <w:r>
              <w:rPr>
                <w:rFonts w:ascii="Arial" w:cs="Arial" w:eastAsia="Arial" w:hAnsi="Arial"/>
                <w:sz w:val="20"/>
                <w:szCs w:val="20"/>
                <w:color w:val="auto"/>
              </w:rPr>
              <w:t>320,342</w:t>
            </w:r>
          </w:p>
        </w:tc>
        <w:tc>
          <w:tcPr>
            <w:tcW w:w="1720" w:type="dxa"/>
            <w:vAlign w:val="bottom"/>
            <w:tcBorders>
              <w:bottom w:val="single" w:sz="8" w:color="0E3C23"/>
            </w:tcBorders>
          </w:tcPr>
          <w:p>
            <w:pPr>
              <w:jc w:val="right"/>
              <w:ind w:right="404"/>
              <w:spacing w:after="0"/>
              <w:rPr>
                <w:sz w:val="20"/>
                <w:szCs w:val="20"/>
                <w:color w:val="auto"/>
              </w:rPr>
            </w:pPr>
            <w:r>
              <w:rPr>
                <w:rFonts w:ascii="Arial" w:cs="Arial" w:eastAsia="Arial" w:hAnsi="Arial"/>
                <w:sz w:val="20"/>
                <w:szCs w:val="20"/>
                <w:color w:val="auto"/>
              </w:rPr>
              <w:t>115,734</w:t>
            </w:r>
          </w:p>
        </w:tc>
        <w:tc>
          <w:tcPr>
            <w:tcW w:w="0" w:type="dxa"/>
            <w:vAlign w:val="bottom"/>
          </w:tcPr>
          <w:p>
            <w:pPr>
              <w:spacing w:after="0"/>
              <w:rPr>
                <w:sz w:val="1"/>
                <w:szCs w:val="1"/>
                <w:color w:val="auto"/>
              </w:rPr>
            </w:pPr>
          </w:p>
        </w:tc>
      </w:tr>
      <w:tr>
        <w:trPr>
          <w:trHeight w:val="247"/>
        </w:trPr>
        <w:tc>
          <w:tcPr>
            <w:tcW w:w="6040" w:type="dxa"/>
            <w:vAlign w:val="bottom"/>
          </w:tcPr>
          <w:p>
            <w:pPr>
              <w:ind w:left="60"/>
              <w:spacing w:after="0"/>
              <w:rPr>
                <w:sz w:val="20"/>
                <w:szCs w:val="20"/>
                <w:color w:val="auto"/>
              </w:rPr>
            </w:pPr>
            <w:r>
              <w:rPr>
                <w:rFonts w:ascii="Arial" w:cs="Arial" w:eastAsia="Arial" w:hAnsi="Arial"/>
                <w:sz w:val="20"/>
                <w:szCs w:val="20"/>
                <w:color w:val="auto"/>
              </w:rPr>
              <w:t>Devina A. Rankin</w:t>
            </w:r>
          </w:p>
        </w:tc>
        <w:tc>
          <w:tcPr>
            <w:tcW w:w="2300" w:type="dxa"/>
            <w:vAlign w:val="bottom"/>
          </w:tcPr>
          <w:p>
            <w:pPr>
              <w:jc w:val="right"/>
              <w:ind w:right="363"/>
              <w:spacing w:after="0"/>
              <w:rPr>
                <w:sz w:val="20"/>
                <w:szCs w:val="20"/>
                <w:color w:val="auto"/>
              </w:rPr>
            </w:pPr>
            <w:r>
              <w:rPr>
                <w:rFonts w:ascii="Arial" w:cs="Arial" w:eastAsia="Arial" w:hAnsi="Arial"/>
                <w:sz w:val="20"/>
                <w:szCs w:val="20"/>
                <w:color w:val="auto"/>
              </w:rPr>
              <w:t>62,639</w:t>
            </w:r>
          </w:p>
        </w:tc>
        <w:tc>
          <w:tcPr>
            <w:tcW w:w="1720" w:type="dxa"/>
            <w:vAlign w:val="bottom"/>
          </w:tcPr>
          <w:p>
            <w:pPr>
              <w:jc w:val="right"/>
              <w:ind w:right="404"/>
              <w:spacing w:after="0"/>
              <w:rPr>
                <w:sz w:val="20"/>
                <w:szCs w:val="20"/>
                <w:color w:val="auto"/>
              </w:rPr>
            </w:pPr>
            <w:r>
              <w:rPr>
                <w:rFonts w:ascii="Arial" w:cs="Arial" w:eastAsia="Arial" w:hAnsi="Arial"/>
                <w:sz w:val="20"/>
                <w:szCs w:val="20"/>
                <w:color w:val="auto"/>
              </w:rPr>
              <w:t>102,367</w:t>
            </w:r>
          </w:p>
        </w:tc>
        <w:tc>
          <w:tcPr>
            <w:tcW w:w="0" w:type="dxa"/>
            <w:vAlign w:val="bottom"/>
          </w:tcPr>
          <w:p>
            <w:pPr>
              <w:spacing w:after="0"/>
              <w:rPr>
                <w:sz w:val="1"/>
                <w:szCs w:val="1"/>
                <w:color w:val="auto"/>
              </w:rPr>
            </w:pPr>
          </w:p>
        </w:tc>
      </w:tr>
      <w:tr>
        <w:trPr>
          <w:trHeight w:val="33"/>
        </w:trPr>
        <w:tc>
          <w:tcPr>
            <w:tcW w:w="6040" w:type="dxa"/>
            <w:vAlign w:val="bottom"/>
            <w:tcBorders>
              <w:bottom w:val="single" w:sz="8" w:color="0E3C23"/>
            </w:tcBorders>
          </w:tcPr>
          <w:p>
            <w:pPr>
              <w:spacing w:after="0"/>
              <w:rPr>
                <w:sz w:val="2"/>
                <w:szCs w:val="2"/>
                <w:color w:val="auto"/>
              </w:rPr>
            </w:pPr>
          </w:p>
        </w:tc>
        <w:tc>
          <w:tcPr>
            <w:tcW w:w="2300" w:type="dxa"/>
            <w:vAlign w:val="bottom"/>
            <w:tcBorders>
              <w:bottom w:val="single" w:sz="8" w:color="0E3C23"/>
            </w:tcBorders>
          </w:tcPr>
          <w:p>
            <w:pPr>
              <w:spacing w:after="0"/>
              <w:rPr>
                <w:sz w:val="2"/>
                <w:szCs w:val="2"/>
                <w:color w:val="auto"/>
              </w:rPr>
            </w:pPr>
          </w:p>
        </w:tc>
        <w:tc>
          <w:tcPr>
            <w:tcW w:w="1720" w:type="dxa"/>
            <w:vAlign w:val="bottom"/>
            <w:tcBorders>
              <w:bottom w:val="single" w:sz="8" w:color="0E3C23"/>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6040" w:type="dxa"/>
            <w:vAlign w:val="bottom"/>
          </w:tcPr>
          <w:p>
            <w:pPr>
              <w:ind w:left="60"/>
              <w:spacing w:after="0"/>
              <w:rPr>
                <w:sz w:val="20"/>
                <w:szCs w:val="20"/>
                <w:color w:val="auto"/>
              </w:rPr>
            </w:pPr>
            <w:r>
              <w:rPr>
                <w:rFonts w:ascii="Arial" w:cs="Arial" w:eastAsia="Arial" w:hAnsi="Arial"/>
                <w:sz w:val="20"/>
                <w:szCs w:val="20"/>
                <w:color w:val="auto"/>
              </w:rPr>
              <w:t>John J. Morris, Jr.</w:t>
            </w:r>
          </w:p>
        </w:tc>
        <w:tc>
          <w:tcPr>
            <w:tcW w:w="2300" w:type="dxa"/>
            <w:vAlign w:val="bottom"/>
          </w:tcPr>
          <w:p>
            <w:pPr>
              <w:jc w:val="right"/>
              <w:ind w:right="363"/>
              <w:spacing w:after="0"/>
              <w:rPr>
                <w:sz w:val="20"/>
                <w:szCs w:val="20"/>
                <w:color w:val="auto"/>
              </w:rPr>
            </w:pPr>
            <w:r>
              <w:rPr>
                <w:rFonts w:ascii="Arial" w:cs="Arial" w:eastAsia="Arial" w:hAnsi="Arial"/>
                <w:sz w:val="20"/>
                <w:szCs w:val="20"/>
                <w:color w:val="auto"/>
              </w:rPr>
              <w:t>87,663</w:t>
            </w:r>
          </w:p>
        </w:tc>
        <w:tc>
          <w:tcPr>
            <w:tcW w:w="1720" w:type="dxa"/>
            <w:vAlign w:val="bottom"/>
          </w:tcPr>
          <w:p>
            <w:pPr>
              <w:jc w:val="right"/>
              <w:ind w:right="404"/>
              <w:spacing w:after="0"/>
              <w:rPr>
                <w:sz w:val="20"/>
                <w:szCs w:val="20"/>
                <w:color w:val="auto"/>
              </w:rPr>
            </w:pPr>
            <w:r>
              <w:rPr>
                <w:rFonts w:ascii="Arial" w:cs="Arial" w:eastAsia="Arial" w:hAnsi="Arial"/>
                <w:sz w:val="20"/>
                <w:szCs w:val="20"/>
                <w:color w:val="auto"/>
              </w:rPr>
              <w:t>62,907</w:t>
            </w:r>
          </w:p>
        </w:tc>
        <w:tc>
          <w:tcPr>
            <w:tcW w:w="0" w:type="dxa"/>
            <w:vAlign w:val="bottom"/>
          </w:tcPr>
          <w:p>
            <w:pPr>
              <w:spacing w:after="0"/>
              <w:rPr>
                <w:sz w:val="1"/>
                <w:szCs w:val="1"/>
                <w:color w:val="auto"/>
              </w:rPr>
            </w:pPr>
          </w:p>
        </w:tc>
      </w:tr>
      <w:tr>
        <w:trPr>
          <w:trHeight w:val="33"/>
        </w:trPr>
        <w:tc>
          <w:tcPr>
            <w:tcW w:w="6040" w:type="dxa"/>
            <w:vAlign w:val="bottom"/>
            <w:tcBorders>
              <w:bottom w:val="single" w:sz="8" w:color="0E3C23"/>
            </w:tcBorders>
          </w:tcPr>
          <w:p>
            <w:pPr>
              <w:spacing w:after="0"/>
              <w:rPr>
                <w:sz w:val="2"/>
                <w:szCs w:val="2"/>
                <w:color w:val="auto"/>
              </w:rPr>
            </w:pPr>
          </w:p>
        </w:tc>
        <w:tc>
          <w:tcPr>
            <w:tcW w:w="2300" w:type="dxa"/>
            <w:vAlign w:val="bottom"/>
            <w:tcBorders>
              <w:bottom w:val="single" w:sz="8" w:color="0E3C23"/>
            </w:tcBorders>
          </w:tcPr>
          <w:p>
            <w:pPr>
              <w:spacing w:after="0"/>
              <w:rPr>
                <w:sz w:val="2"/>
                <w:szCs w:val="2"/>
                <w:color w:val="auto"/>
              </w:rPr>
            </w:pPr>
          </w:p>
        </w:tc>
        <w:tc>
          <w:tcPr>
            <w:tcW w:w="1720" w:type="dxa"/>
            <w:vAlign w:val="bottom"/>
            <w:tcBorders>
              <w:bottom w:val="single" w:sz="8" w:color="0E3C23"/>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6040" w:type="dxa"/>
            <w:vAlign w:val="bottom"/>
          </w:tcPr>
          <w:p>
            <w:pPr>
              <w:ind w:left="60"/>
              <w:spacing w:after="0"/>
              <w:rPr>
                <w:sz w:val="20"/>
                <w:szCs w:val="20"/>
                <w:color w:val="auto"/>
              </w:rPr>
            </w:pPr>
            <w:r>
              <w:rPr>
                <w:rFonts w:ascii="Arial" w:cs="Arial" w:eastAsia="Arial" w:hAnsi="Arial"/>
                <w:sz w:val="20"/>
                <w:szCs w:val="20"/>
                <w:color w:val="auto"/>
              </w:rPr>
              <w:t>Tara J. Hemmer</w:t>
            </w:r>
          </w:p>
        </w:tc>
        <w:tc>
          <w:tcPr>
            <w:tcW w:w="2300" w:type="dxa"/>
            <w:vAlign w:val="bottom"/>
          </w:tcPr>
          <w:p>
            <w:pPr>
              <w:jc w:val="right"/>
              <w:ind w:right="363"/>
              <w:spacing w:after="0"/>
              <w:rPr>
                <w:sz w:val="20"/>
                <w:szCs w:val="20"/>
                <w:color w:val="auto"/>
              </w:rPr>
            </w:pPr>
            <w:r>
              <w:rPr>
                <w:rFonts w:ascii="Arial" w:cs="Arial" w:eastAsia="Arial" w:hAnsi="Arial"/>
                <w:sz w:val="20"/>
                <w:szCs w:val="20"/>
                <w:color w:val="auto"/>
              </w:rPr>
              <w:t>53,663</w:t>
            </w:r>
          </w:p>
        </w:tc>
        <w:tc>
          <w:tcPr>
            <w:tcW w:w="1720" w:type="dxa"/>
            <w:vAlign w:val="bottom"/>
          </w:tcPr>
          <w:p>
            <w:pPr>
              <w:jc w:val="right"/>
              <w:ind w:right="404"/>
              <w:spacing w:after="0"/>
              <w:rPr>
                <w:sz w:val="20"/>
                <w:szCs w:val="20"/>
                <w:color w:val="auto"/>
              </w:rPr>
            </w:pPr>
            <w:r>
              <w:rPr>
                <w:rFonts w:ascii="Arial" w:cs="Arial" w:eastAsia="Arial" w:hAnsi="Arial"/>
                <w:sz w:val="20"/>
                <w:szCs w:val="20"/>
                <w:color w:val="auto"/>
              </w:rPr>
              <w:t>82,551</w:t>
            </w:r>
          </w:p>
        </w:tc>
        <w:tc>
          <w:tcPr>
            <w:tcW w:w="0" w:type="dxa"/>
            <w:vAlign w:val="bottom"/>
          </w:tcPr>
          <w:p>
            <w:pPr>
              <w:spacing w:after="0"/>
              <w:rPr>
                <w:sz w:val="1"/>
                <w:szCs w:val="1"/>
                <w:color w:val="auto"/>
              </w:rPr>
            </w:pPr>
          </w:p>
        </w:tc>
      </w:tr>
      <w:tr>
        <w:trPr>
          <w:trHeight w:val="33"/>
        </w:trPr>
        <w:tc>
          <w:tcPr>
            <w:tcW w:w="6040" w:type="dxa"/>
            <w:vAlign w:val="bottom"/>
            <w:tcBorders>
              <w:bottom w:val="single" w:sz="8" w:color="0E3C23"/>
            </w:tcBorders>
          </w:tcPr>
          <w:p>
            <w:pPr>
              <w:spacing w:after="0"/>
              <w:rPr>
                <w:sz w:val="2"/>
                <w:szCs w:val="2"/>
                <w:color w:val="auto"/>
              </w:rPr>
            </w:pPr>
          </w:p>
        </w:tc>
        <w:tc>
          <w:tcPr>
            <w:tcW w:w="2300" w:type="dxa"/>
            <w:vAlign w:val="bottom"/>
            <w:tcBorders>
              <w:bottom w:val="single" w:sz="8" w:color="0E3C23"/>
            </w:tcBorders>
          </w:tcPr>
          <w:p>
            <w:pPr>
              <w:spacing w:after="0"/>
              <w:rPr>
                <w:sz w:val="2"/>
                <w:szCs w:val="2"/>
                <w:color w:val="auto"/>
              </w:rPr>
            </w:pPr>
          </w:p>
        </w:tc>
        <w:tc>
          <w:tcPr>
            <w:tcW w:w="1720" w:type="dxa"/>
            <w:vAlign w:val="bottom"/>
            <w:tcBorders>
              <w:bottom w:val="single" w:sz="8" w:color="0E3C23"/>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6040" w:type="dxa"/>
            <w:vAlign w:val="bottom"/>
          </w:tcPr>
          <w:p>
            <w:pPr>
              <w:ind w:left="60"/>
              <w:spacing w:after="0"/>
              <w:rPr>
                <w:sz w:val="20"/>
                <w:szCs w:val="20"/>
                <w:color w:val="auto"/>
              </w:rPr>
            </w:pPr>
            <w:r>
              <w:rPr>
                <w:rFonts w:ascii="Arial" w:cs="Arial" w:eastAsia="Arial" w:hAnsi="Arial"/>
                <w:sz w:val="20"/>
                <w:szCs w:val="20"/>
                <w:color w:val="auto"/>
              </w:rPr>
              <w:t>Rafael E. Carrasco</w:t>
            </w:r>
          </w:p>
        </w:tc>
        <w:tc>
          <w:tcPr>
            <w:tcW w:w="2300" w:type="dxa"/>
            <w:vAlign w:val="bottom"/>
          </w:tcPr>
          <w:p>
            <w:pPr>
              <w:jc w:val="right"/>
              <w:ind w:right="363"/>
              <w:spacing w:after="0"/>
              <w:rPr>
                <w:sz w:val="20"/>
                <w:szCs w:val="20"/>
                <w:color w:val="auto"/>
              </w:rPr>
            </w:pPr>
            <w:r>
              <w:rPr>
                <w:rFonts w:ascii="Arial" w:cs="Arial" w:eastAsia="Arial" w:hAnsi="Arial"/>
                <w:sz w:val="20"/>
                <w:szCs w:val="20"/>
                <w:color w:val="auto"/>
              </w:rPr>
              <w:t>16,398</w:t>
            </w:r>
          </w:p>
        </w:tc>
        <w:tc>
          <w:tcPr>
            <w:tcW w:w="1720" w:type="dxa"/>
            <w:vAlign w:val="bottom"/>
          </w:tcPr>
          <w:p>
            <w:pPr>
              <w:jc w:val="right"/>
              <w:ind w:right="404"/>
              <w:spacing w:after="0"/>
              <w:rPr>
                <w:sz w:val="20"/>
                <w:szCs w:val="20"/>
                <w:color w:val="auto"/>
              </w:rPr>
            </w:pPr>
            <w:r>
              <w:rPr>
                <w:rFonts w:ascii="Arial" w:cs="Arial" w:eastAsia="Arial" w:hAnsi="Arial"/>
                <w:sz w:val="20"/>
                <w:szCs w:val="20"/>
                <w:color w:val="auto"/>
              </w:rPr>
              <w:t>48,992</w:t>
            </w:r>
          </w:p>
        </w:tc>
        <w:tc>
          <w:tcPr>
            <w:tcW w:w="0" w:type="dxa"/>
            <w:vAlign w:val="bottom"/>
          </w:tcPr>
          <w:p>
            <w:pPr>
              <w:spacing w:after="0"/>
              <w:rPr>
                <w:sz w:val="1"/>
                <w:szCs w:val="1"/>
                <w:color w:val="auto"/>
              </w:rPr>
            </w:pPr>
          </w:p>
        </w:tc>
      </w:tr>
      <w:tr>
        <w:trPr>
          <w:trHeight w:val="33"/>
        </w:trPr>
        <w:tc>
          <w:tcPr>
            <w:tcW w:w="6040" w:type="dxa"/>
            <w:vAlign w:val="bottom"/>
            <w:tcBorders>
              <w:bottom w:val="single" w:sz="8" w:color="0E3C23"/>
            </w:tcBorders>
          </w:tcPr>
          <w:p>
            <w:pPr>
              <w:spacing w:after="0"/>
              <w:rPr>
                <w:sz w:val="2"/>
                <w:szCs w:val="2"/>
                <w:color w:val="auto"/>
              </w:rPr>
            </w:pPr>
          </w:p>
        </w:tc>
        <w:tc>
          <w:tcPr>
            <w:tcW w:w="2300" w:type="dxa"/>
            <w:vAlign w:val="bottom"/>
            <w:tcBorders>
              <w:bottom w:val="single" w:sz="8" w:color="0E3C23"/>
            </w:tcBorders>
          </w:tcPr>
          <w:p>
            <w:pPr>
              <w:spacing w:after="0"/>
              <w:rPr>
                <w:sz w:val="2"/>
                <w:szCs w:val="2"/>
                <w:color w:val="auto"/>
              </w:rPr>
            </w:pPr>
          </w:p>
        </w:tc>
        <w:tc>
          <w:tcPr>
            <w:tcW w:w="1720" w:type="dxa"/>
            <w:vAlign w:val="bottom"/>
            <w:tcBorders>
              <w:bottom w:val="single" w:sz="8" w:color="0E3C23"/>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040" w:type="dxa"/>
            <w:vAlign w:val="bottom"/>
            <w:tcBorders>
              <w:bottom w:val="single" w:sz="8" w:color="0E3C23"/>
            </w:tcBorders>
          </w:tcPr>
          <w:p>
            <w:pPr>
              <w:ind w:left="60"/>
              <w:spacing w:after="0" w:line="284" w:lineRule="exact"/>
              <w:rPr>
                <w:sz w:val="20"/>
                <w:szCs w:val="20"/>
                <w:color w:val="auto"/>
              </w:rPr>
            </w:pPr>
            <w:r>
              <w:rPr>
                <w:rFonts w:ascii="Arial" w:cs="Arial" w:eastAsia="Arial" w:hAnsi="Arial"/>
                <w:sz w:val="20"/>
                <w:szCs w:val="20"/>
                <w:color w:val="auto"/>
              </w:rPr>
              <w:t>All directors and executive officers as a group (20 persons)</w:t>
            </w:r>
            <w:r>
              <w:rPr>
                <w:rFonts w:ascii="Arial" w:cs="Arial" w:eastAsia="Arial" w:hAnsi="Arial"/>
                <w:sz w:val="25"/>
                <w:szCs w:val="25"/>
                <w:color w:val="auto"/>
                <w:vertAlign w:val="superscript"/>
              </w:rPr>
              <w:t>(9)</w:t>
            </w:r>
          </w:p>
        </w:tc>
        <w:tc>
          <w:tcPr>
            <w:tcW w:w="2300" w:type="dxa"/>
            <w:vAlign w:val="bottom"/>
            <w:tcBorders>
              <w:bottom w:val="single" w:sz="8" w:color="0E3C23"/>
            </w:tcBorders>
          </w:tcPr>
          <w:p>
            <w:pPr>
              <w:jc w:val="right"/>
              <w:ind w:right="363"/>
              <w:spacing w:after="0"/>
              <w:rPr>
                <w:sz w:val="20"/>
                <w:szCs w:val="20"/>
                <w:color w:val="auto"/>
              </w:rPr>
            </w:pPr>
            <w:r>
              <w:rPr>
                <w:rFonts w:ascii="Arial" w:cs="Arial" w:eastAsia="Arial" w:hAnsi="Arial"/>
                <w:sz w:val="20"/>
                <w:szCs w:val="20"/>
                <w:color w:val="auto"/>
              </w:rPr>
              <w:t>741,463</w:t>
            </w:r>
          </w:p>
        </w:tc>
        <w:tc>
          <w:tcPr>
            <w:tcW w:w="1720" w:type="dxa"/>
            <w:vAlign w:val="bottom"/>
            <w:tcBorders>
              <w:bottom w:val="single" w:sz="8" w:color="0E3C23"/>
            </w:tcBorders>
          </w:tcPr>
          <w:p>
            <w:pPr>
              <w:jc w:val="right"/>
              <w:ind w:right="404"/>
              <w:spacing w:after="0"/>
              <w:rPr>
                <w:sz w:val="20"/>
                <w:szCs w:val="20"/>
                <w:color w:val="auto"/>
              </w:rPr>
            </w:pPr>
            <w:r>
              <w:rPr>
                <w:rFonts w:ascii="Arial" w:cs="Arial" w:eastAsia="Arial" w:hAnsi="Arial"/>
                <w:sz w:val="20"/>
                <w:szCs w:val="20"/>
                <w:color w:val="auto"/>
              </w:rPr>
              <w:t>649,317</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left="580" w:right="180" w:hanging="402"/>
        <w:spacing w:after="0" w:line="266" w:lineRule="auto"/>
        <w:tabs>
          <w:tab w:leader="none" w:pos="579"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table reports beneficial ownership in accordance with Rule 13d-3 under the Exchange Act. The amounts reported above include 4,278 stock equivalents attributed to Mr. Fish and 2,406 stock equivalents attributed to Mr. Morris, based on their holdings in the Company’s 401(k) Retirement Savings Plan stock fund. The amounts reported above also include 94,844 shares of Common Stock deferred by Mr. Fish. Deferred shares were earned on account of vested equity awards and pay out in shares of Common Stock after the executive’s departure from the Company pursuant to the Company’s 409A Deferral Savings Plan (“409A Deferral Plan”).</w:t>
      </w:r>
    </w:p>
    <w:p>
      <w:pPr>
        <w:spacing w:after="0" w:line="115" w:lineRule="exact"/>
        <w:rPr>
          <w:rFonts w:ascii="Arial" w:cs="Arial" w:eastAsia="Arial" w:hAnsi="Arial"/>
          <w:sz w:val="19"/>
          <w:szCs w:val="19"/>
          <w:color w:val="auto"/>
        </w:rPr>
      </w:pPr>
    </w:p>
    <w:p>
      <w:pPr>
        <w:jc w:val="both"/>
        <w:ind w:left="580" w:right="200"/>
        <w:spacing w:after="0" w:line="285" w:lineRule="auto"/>
        <w:rPr>
          <w:rFonts w:ascii="Arial" w:cs="Arial" w:eastAsia="Arial" w:hAnsi="Arial"/>
          <w:sz w:val="19"/>
          <w:szCs w:val="19"/>
          <w:color w:val="auto"/>
        </w:rPr>
      </w:pPr>
      <w:r>
        <w:rPr>
          <w:rFonts w:ascii="Arial" w:cs="Arial" w:eastAsia="Arial" w:hAnsi="Arial"/>
          <w:sz w:val="18"/>
          <w:szCs w:val="18"/>
          <w:color w:val="auto"/>
        </w:rPr>
        <w:t>Executive officers may choose a Waste Management stock fund as an investment option for deferred cash compensation under the Company’s 409A Deferral Plan. Interests in the fund are considered phantom stock because they are equal in value to shares of our Common Stock, but these amounts are not invested in stock or funds. Phantom stock is not included in the table above, but it represents an investment risk based on the performance of our Common Stock. Mr. Morris has 2,612 phantom stock equivalents under the 409A Deferral Plan.</w:t>
      </w:r>
    </w:p>
    <w:p>
      <w:pPr>
        <w:spacing w:after="0" w:line="98" w:lineRule="exact"/>
        <w:rPr>
          <w:rFonts w:ascii="Arial" w:cs="Arial" w:eastAsia="Arial" w:hAnsi="Arial"/>
          <w:sz w:val="19"/>
          <w:szCs w:val="19"/>
          <w:color w:val="auto"/>
        </w:rPr>
      </w:pPr>
    </w:p>
    <w:p>
      <w:pPr>
        <w:ind w:left="580" w:right="200" w:hanging="402"/>
        <w:spacing w:after="0" w:line="246" w:lineRule="auto"/>
        <w:tabs>
          <w:tab w:leader="none" w:pos="5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Includes the number of options currently exercisable and options that will become exercisable within 60 days of the record date.</w:t>
      </w:r>
    </w:p>
    <w:p>
      <w:pPr>
        <w:spacing w:after="0" w:line="131" w:lineRule="exact"/>
        <w:rPr>
          <w:rFonts w:ascii="Arial" w:cs="Arial" w:eastAsia="Arial" w:hAnsi="Arial"/>
          <w:sz w:val="20"/>
          <w:szCs w:val="20"/>
          <w:color w:val="auto"/>
        </w:rPr>
      </w:pPr>
    </w:p>
    <w:p>
      <w:pPr>
        <w:ind w:left="580" w:right="200" w:hanging="402"/>
        <w:spacing w:after="0" w:line="246" w:lineRule="auto"/>
        <w:tabs>
          <w:tab w:leader="none" w:pos="5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Shares are held by the Thomas L. Bené and Susannah Harkins Bené Revocable Trust, for which Mr. Bené and his wife serve as trustees.</w:t>
      </w:r>
    </w:p>
    <w:p>
      <w:pPr>
        <w:spacing w:after="0" w:line="125" w:lineRule="exact"/>
        <w:rPr>
          <w:rFonts w:ascii="Arial" w:cs="Arial" w:eastAsia="Arial" w:hAnsi="Arial"/>
          <w:sz w:val="20"/>
          <w:szCs w:val="20"/>
          <w:color w:val="auto"/>
        </w:rPr>
      </w:pPr>
    </w:p>
    <w:p>
      <w:pPr>
        <w:ind w:left="580" w:hanging="402"/>
        <w:spacing w:after="0"/>
        <w:tabs>
          <w:tab w:leader="none" w:pos="5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Shares are held by the Chinn Family Trust, for which Mr. Chinn and his wife serve as trustees.</w:t>
      </w:r>
    </w:p>
    <w:p>
      <w:pPr>
        <w:spacing w:after="0" w:line="129" w:lineRule="exact"/>
        <w:rPr>
          <w:rFonts w:ascii="Arial" w:cs="Arial" w:eastAsia="Arial" w:hAnsi="Arial"/>
          <w:sz w:val="20"/>
          <w:szCs w:val="20"/>
          <w:color w:val="auto"/>
        </w:rPr>
      </w:pPr>
    </w:p>
    <w:p>
      <w:pPr>
        <w:ind w:left="580" w:hanging="402"/>
        <w:spacing w:after="0"/>
        <w:tabs>
          <w:tab w:leader="none" w:pos="5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Shares are held by the Victoria M. Holt Trust, for which Ms. Holt and her husband serve as trustees.</w:t>
      </w:r>
    </w:p>
    <w:p>
      <w:pPr>
        <w:spacing w:after="0" w:line="200" w:lineRule="exact"/>
        <w:rPr>
          <w:sz w:val="20"/>
          <w:szCs w:val="20"/>
          <w:color w:val="auto"/>
        </w:rPr>
      </w:pPr>
    </w:p>
    <w:p>
      <w:pPr>
        <w:spacing w:after="0" w:line="228"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0">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1">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440" w:right="1440" w:bottom="1036" w:gutter="0" w:footer="0" w:header="0"/>
        </w:sectPr>
      </w:pPr>
    </w:p>
    <w:bookmarkStart w:id="34" w:name="page35"/>
    <w:bookmarkEnd w:id="34"/>
    <w:p>
      <w:pPr>
        <w:ind w:left="6660"/>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DIRECTOR AND OFFICER STOCK OWNERSHIP</w:t>
      </w:r>
    </w:p>
    <w:p>
      <w:pPr>
        <w:spacing w:after="0" w:line="284" w:lineRule="exact"/>
        <w:rPr>
          <w:sz w:val="20"/>
          <w:szCs w:val="20"/>
          <w:color w:val="auto"/>
        </w:rPr>
      </w:pPr>
    </w:p>
    <w:p>
      <w:pPr>
        <w:ind w:left="580" w:hanging="402"/>
        <w:spacing w:after="0"/>
        <w:tabs>
          <w:tab w:leader="none" w:pos="5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Shares are held by the Mazzarella Living Trust, for which Ms. Mazzarella and her husband serve as trustees.</w:t>
      </w:r>
    </w:p>
    <w:p>
      <w:pPr>
        <w:spacing w:after="0" w:line="134" w:lineRule="exact"/>
        <w:rPr>
          <w:rFonts w:ascii="Arial" w:cs="Arial" w:eastAsia="Arial" w:hAnsi="Arial"/>
          <w:sz w:val="20"/>
          <w:szCs w:val="20"/>
          <w:color w:val="auto"/>
        </w:rPr>
      </w:pPr>
    </w:p>
    <w:p>
      <w:pPr>
        <w:ind w:left="580" w:right="200" w:hanging="402"/>
        <w:spacing w:after="0" w:line="244" w:lineRule="auto"/>
        <w:tabs>
          <w:tab w:leader="none" w:pos="5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Of this total, 2,474 shares are held by TPO Collectibles LLC, an entity wholly-owned and controlled by Mr. Plummer and his wife.</w:t>
      </w:r>
    </w:p>
    <w:p>
      <w:pPr>
        <w:spacing w:after="0" w:line="125" w:lineRule="exact"/>
        <w:rPr>
          <w:rFonts w:ascii="Arial" w:cs="Arial" w:eastAsia="Arial" w:hAnsi="Arial"/>
          <w:sz w:val="20"/>
          <w:szCs w:val="20"/>
          <w:color w:val="auto"/>
        </w:rPr>
      </w:pPr>
    </w:p>
    <w:p>
      <w:pPr>
        <w:ind w:left="580" w:hanging="402"/>
        <w:spacing w:after="0"/>
        <w:tabs>
          <w:tab w:leader="none" w:pos="5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Includes 95,977 shares held in trusts for the benefit of Mr. Fish’s children.</w:t>
      </w:r>
    </w:p>
    <w:p>
      <w:pPr>
        <w:spacing w:after="0" w:line="134" w:lineRule="exact"/>
        <w:rPr>
          <w:rFonts w:ascii="Arial" w:cs="Arial" w:eastAsia="Arial" w:hAnsi="Arial"/>
          <w:sz w:val="20"/>
          <w:szCs w:val="20"/>
          <w:color w:val="auto"/>
        </w:rPr>
      </w:pPr>
    </w:p>
    <w:p>
      <w:pPr>
        <w:ind w:left="580" w:right="200" w:hanging="402"/>
        <w:spacing w:after="0" w:line="244" w:lineRule="auto"/>
        <w:tabs>
          <w:tab w:leader="none" w:pos="5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Included in the “All directors and executive officers as a group” are 13,912 stock equivalents attributable to the executive officers’ collective holdings in the Company’s 401(k) Retirement Savings Plan stock fund.</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34"/>
          <w:szCs w:val="34"/>
          <w:b w:val="1"/>
          <w:bCs w:val="1"/>
          <w:color w:val="0E3C23"/>
        </w:rPr>
        <w:t>SECURITY OWNERSHIP OF CERTAIN BENEFICIAL OWNERS</w:t>
      </w:r>
    </w:p>
    <w:p>
      <w:pPr>
        <w:spacing w:after="0" w:line="197" w:lineRule="exact"/>
        <w:rPr>
          <w:sz w:val="20"/>
          <w:szCs w:val="20"/>
          <w:color w:val="auto"/>
        </w:rPr>
      </w:pPr>
    </w:p>
    <w:p>
      <w:pPr>
        <w:ind w:left="180" w:right="200"/>
        <w:spacing w:after="0" w:line="244" w:lineRule="auto"/>
        <w:rPr>
          <w:sz w:val="20"/>
          <w:szCs w:val="20"/>
          <w:color w:val="auto"/>
        </w:rPr>
      </w:pPr>
      <w:r>
        <w:rPr>
          <w:rFonts w:ascii="Arial" w:cs="Arial" w:eastAsia="Arial" w:hAnsi="Arial"/>
          <w:sz w:val="20"/>
          <w:szCs w:val="20"/>
          <w:color w:val="auto"/>
        </w:rPr>
        <w:t>The table below shows information for persons known to us to beneficially own more than 5% of our Common Stock based on their filings with the SEC through March 18, 2025.</w:t>
      </w:r>
    </w:p>
    <w:p>
      <w:pPr>
        <w:spacing w:after="0" w:line="102"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2160" w:type="dxa"/>
            <w:vAlign w:val="bottom"/>
            <w:gridSpan w:val="2"/>
          </w:tcPr>
          <w:p>
            <w:pPr>
              <w:jc w:val="center"/>
              <w:spacing w:after="0"/>
              <w:rPr>
                <w:sz w:val="20"/>
                <w:szCs w:val="20"/>
                <w:color w:val="auto"/>
              </w:rPr>
            </w:pPr>
            <w:r>
              <w:rPr>
                <w:rFonts w:ascii="Arial" w:cs="Arial" w:eastAsia="Arial" w:hAnsi="Arial"/>
                <w:sz w:val="16"/>
                <w:szCs w:val="16"/>
                <w:b w:val="1"/>
                <w:bCs w:val="1"/>
                <w:color w:val="0E3C23"/>
                <w:w w:val="92"/>
              </w:rPr>
              <w:t>Shares Beneficially</w:t>
            </w:r>
          </w:p>
        </w:tc>
      </w:tr>
      <w:tr>
        <w:trPr>
          <w:trHeight w:val="184"/>
        </w:trPr>
        <w:tc>
          <w:tcPr>
            <w:tcW w:w="7900" w:type="dxa"/>
            <w:vAlign w:val="bottom"/>
          </w:tcPr>
          <w:p>
            <w:pPr>
              <w:spacing w:after="0"/>
              <w:rPr>
                <w:sz w:val="15"/>
                <w:szCs w:val="15"/>
                <w:color w:val="auto"/>
              </w:rPr>
            </w:pPr>
          </w:p>
        </w:tc>
        <w:tc>
          <w:tcPr>
            <w:tcW w:w="1380" w:type="dxa"/>
            <w:vAlign w:val="bottom"/>
          </w:tcPr>
          <w:p>
            <w:pPr>
              <w:jc w:val="center"/>
              <w:ind w:left="730"/>
              <w:spacing w:after="0"/>
              <w:rPr>
                <w:sz w:val="20"/>
                <w:szCs w:val="20"/>
                <w:color w:val="auto"/>
              </w:rPr>
            </w:pPr>
            <w:r>
              <w:rPr>
                <w:rFonts w:ascii="Arial" w:cs="Arial" w:eastAsia="Arial" w:hAnsi="Arial"/>
                <w:sz w:val="16"/>
                <w:szCs w:val="16"/>
                <w:b w:val="1"/>
                <w:bCs w:val="1"/>
                <w:color w:val="0E3C23"/>
                <w:w w:val="89"/>
              </w:rPr>
              <w:t>Owned</w:t>
            </w:r>
          </w:p>
        </w:tc>
        <w:tc>
          <w:tcPr>
            <w:tcW w:w="780" w:type="dxa"/>
            <w:vAlign w:val="bottom"/>
          </w:tcPr>
          <w:p>
            <w:pPr>
              <w:spacing w:after="0"/>
              <w:rPr>
                <w:sz w:val="15"/>
                <w:szCs w:val="15"/>
                <w:color w:val="auto"/>
              </w:rPr>
            </w:pPr>
          </w:p>
        </w:tc>
      </w:tr>
      <w:tr>
        <w:trPr>
          <w:trHeight w:val="44"/>
        </w:trPr>
        <w:tc>
          <w:tcPr>
            <w:tcW w:w="7900" w:type="dxa"/>
            <w:vAlign w:val="bottom"/>
          </w:tcPr>
          <w:p>
            <w:pPr>
              <w:spacing w:after="0"/>
              <w:rPr>
                <w:sz w:val="3"/>
                <w:szCs w:val="3"/>
                <w:color w:val="auto"/>
              </w:rPr>
            </w:pPr>
          </w:p>
        </w:tc>
        <w:tc>
          <w:tcPr>
            <w:tcW w:w="1380" w:type="dxa"/>
            <w:vAlign w:val="bottom"/>
            <w:tcBorders>
              <w:bottom w:val="single" w:sz="8" w:color="0E3C23"/>
            </w:tcBorders>
          </w:tcPr>
          <w:p>
            <w:pPr>
              <w:spacing w:after="0"/>
              <w:rPr>
                <w:sz w:val="3"/>
                <w:szCs w:val="3"/>
                <w:color w:val="auto"/>
              </w:rPr>
            </w:pPr>
          </w:p>
        </w:tc>
        <w:tc>
          <w:tcPr>
            <w:tcW w:w="780" w:type="dxa"/>
            <w:vAlign w:val="bottom"/>
            <w:tcBorders>
              <w:bottom w:val="single" w:sz="8" w:color="0E3C23"/>
            </w:tcBorders>
          </w:tcPr>
          <w:p>
            <w:pPr>
              <w:spacing w:after="0"/>
              <w:rPr>
                <w:sz w:val="3"/>
                <w:szCs w:val="3"/>
                <w:color w:val="auto"/>
              </w:rPr>
            </w:pPr>
          </w:p>
        </w:tc>
      </w:tr>
      <w:tr>
        <w:trPr>
          <w:trHeight w:val="255"/>
        </w:trPr>
        <w:tc>
          <w:tcPr>
            <w:tcW w:w="7900" w:type="dxa"/>
            <w:vAlign w:val="bottom"/>
            <w:tcBorders>
              <w:bottom w:val="single" w:sz="8" w:color="0E3C23"/>
            </w:tcBorders>
          </w:tcPr>
          <w:p>
            <w:pPr>
              <w:ind w:left="60"/>
              <w:spacing w:after="0"/>
              <w:rPr>
                <w:sz w:val="20"/>
                <w:szCs w:val="20"/>
                <w:color w:val="auto"/>
              </w:rPr>
            </w:pPr>
            <w:r>
              <w:rPr>
                <w:rFonts w:ascii="Arial" w:cs="Arial" w:eastAsia="Arial" w:hAnsi="Arial"/>
                <w:sz w:val="16"/>
                <w:szCs w:val="16"/>
                <w:b w:val="1"/>
                <w:bCs w:val="1"/>
                <w:color w:val="0E3C23"/>
              </w:rPr>
              <w:t>Name and Address</w:t>
            </w:r>
          </w:p>
        </w:tc>
        <w:tc>
          <w:tcPr>
            <w:tcW w:w="1380" w:type="dxa"/>
            <w:vAlign w:val="bottom"/>
            <w:tcBorders>
              <w:bottom w:val="single" w:sz="8" w:color="0E3C23"/>
            </w:tcBorders>
          </w:tcPr>
          <w:p>
            <w:pPr>
              <w:jc w:val="center"/>
              <w:ind w:right="10"/>
              <w:spacing w:after="0"/>
              <w:rPr>
                <w:sz w:val="20"/>
                <w:szCs w:val="20"/>
                <w:color w:val="auto"/>
              </w:rPr>
            </w:pPr>
            <w:r>
              <w:rPr>
                <w:rFonts w:ascii="Arial" w:cs="Arial" w:eastAsia="Arial" w:hAnsi="Arial"/>
                <w:sz w:val="16"/>
                <w:szCs w:val="16"/>
                <w:b w:val="1"/>
                <w:bCs w:val="1"/>
                <w:color w:val="0E3C23"/>
                <w:w w:val="92"/>
              </w:rPr>
              <w:t>Number</w:t>
            </w:r>
          </w:p>
        </w:tc>
        <w:tc>
          <w:tcPr>
            <w:tcW w:w="780" w:type="dxa"/>
            <w:vAlign w:val="bottom"/>
            <w:tcBorders>
              <w:bottom w:val="single" w:sz="8" w:color="0E3C23"/>
            </w:tcBorders>
          </w:tcPr>
          <w:p>
            <w:pPr>
              <w:jc w:val="right"/>
              <w:spacing w:after="0"/>
              <w:rPr>
                <w:sz w:val="20"/>
                <w:szCs w:val="20"/>
                <w:color w:val="auto"/>
              </w:rPr>
            </w:pPr>
            <w:r>
              <w:rPr>
                <w:rFonts w:ascii="Arial" w:cs="Arial" w:eastAsia="Arial" w:hAnsi="Arial"/>
                <w:sz w:val="16"/>
                <w:szCs w:val="16"/>
                <w:b w:val="1"/>
                <w:bCs w:val="1"/>
                <w:color w:val="0E3C23"/>
                <w:w w:val="94"/>
              </w:rPr>
              <w:t>Percent</w:t>
            </w:r>
            <w:r>
              <w:rPr>
                <w:rFonts w:ascii="Arial" w:cs="Arial" w:eastAsia="Arial" w:hAnsi="Arial"/>
                <w:sz w:val="19"/>
                <w:szCs w:val="19"/>
                <w:b w:val="1"/>
                <w:bCs w:val="1"/>
                <w:color w:val="0E3C23"/>
                <w:w w:val="94"/>
                <w:vertAlign w:val="superscript"/>
              </w:rPr>
              <w:t>(1)</w:t>
            </w:r>
          </w:p>
        </w:tc>
      </w:tr>
      <w:tr>
        <w:trPr>
          <w:trHeight w:val="273"/>
        </w:trPr>
        <w:tc>
          <w:tcPr>
            <w:tcW w:w="7900" w:type="dxa"/>
            <w:vAlign w:val="bottom"/>
          </w:tcPr>
          <w:p>
            <w:pPr>
              <w:ind w:left="60"/>
              <w:spacing w:after="0"/>
              <w:rPr>
                <w:sz w:val="20"/>
                <w:szCs w:val="20"/>
                <w:color w:val="auto"/>
              </w:rPr>
            </w:pPr>
            <w:r>
              <w:rPr>
                <w:rFonts w:ascii="Arial" w:cs="Arial" w:eastAsia="Arial" w:hAnsi="Arial"/>
                <w:sz w:val="20"/>
                <w:szCs w:val="20"/>
                <w:color w:val="auto"/>
              </w:rPr>
              <w:t>The Vanguard Group</w:t>
            </w:r>
          </w:p>
        </w:tc>
        <w:tc>
          <w:tcPr>
            <w:tcW w:w="1380" w:type="dxa"/>
            <w:vAlign w:val="bottom"/>
          </w:tcPr>
          <w:p>
            <w:pPr>
              <w:jc w:val="center"/>
              <w:spacing w:after="0" w:line="272" w:lineRule="exact"/>
              <w:rPr>
                <w:sz w:val="20"/>
                <w:szCs w:val="20"/>
                <w:color w:val="auto"/>
              </w:rPr>
            </w:pPr>
            <w:r>
              <w:rPr>
                <w:rFonts w:ascii="Arial" w:cs="Arial" w:eastAsia="Arial" w:hAnsi="Arial"/>
                <w:sz w:val="20"/>
                <w:szCs w:val="20"/>
                <w:color w:val="auto"/>
                <w:w w:val="89"/>
              </w:rPr>
              <w:t>36,159,856</w:t>
            </w:r>
            <w:r>
              <w:rPr>
                <w:rFonts w:ascii="Arial" w:cs="Arial" w:eastAsia="Arial" w:hAnsi="Arial"/>
                <w:sz w:val="25"/>
                <w:szCs w:val="25"/>
                <w:color w:val="auto"/>
                <w:w w:val="89"/>
                <w:vertAlign w:val="superscript"/>
              </w:rPr>
              <w:t>(2)</w:t>
            </w:r>
          </w:p>
        </w:tc>
        <w:tc>
          <w:tcPr>
            <w:tcW w:w="780" w:type="dxa"/>
            <w:vAlign w:val="bottom"/>
          </w:tcPr>
          <w:p>
            <w:pPr>
              <w:jc w:val="right"/>
              <w:ind w:right="25"/>
              <w:spacing w:after="0"/>
              <w:rPr>
                <w:sz w:val="20"/>
                <w:szCs w:val="20"/>
                <w:color w:val="auto"/>
              </w:rPr>
            </w:pPr>
            <w:r>
              <w:rPr>
                <w:rFonts w:ascii="Arial" w:cs="Arial" w:eastAsia="Arial" w:hAnsi="Arial"/>
                <w:sz w:val="20"/>
                <w:szCs w:val="20"/>
                <w:color w:val="auto"/>
              </w:rPr>
              <w:t>9.0%</w:t>
            </w:r>
          </w:p>
        </w:tc>
      </w:tr>
      <w:tr>
        <w:trPr>
          <w:trHeight w:val="224"/>
        </w:trPr>
        <w:tc>
          <w:tcPr>
            <w:tcW w:w="7900" w:type="dxa"/>
            <w:vAlign w:val="bottom"/>
          </w:tcPr>
          <w:p>
            <w:pPr>
              <w:ind w:left="260"/>
              <w:spacing w:after="0" w:line="225" w:lineRule="exact"/>
              <w:rPr>
                <w:sz w:val="20"/>
                <w:szCs w:val="20"/>
                <w:color w:val="auto"/>
              </w:rPr>
            </w:pPr>
            <w:r>
              <w:rPr>
                <w:rFonts w:ascii="Arial" w:cs="Arial" w:eastAsia="Arial" w:hAnsi="Arial"/>
                <w:sz w:val="20"/>
                <w:szCs w:val="20"/>
                <w:color w:val="auto"/>
              </w:rPr>
              <w:t>100 Vanguard Boulevard</w:t>
            </w: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9"/>
        </w:trPr>
        <w:tc>
          <w:tcPr>
            <w:tcW w:w="7900" w:type="dxa"/>
            <w:vAlign w:val="bottom"/>
          </w:tcPr>
          <w:p>
            <w:pPr>
              <w:ind w:left="260"/>
              <w:spacing w:after="0"/>
              <w:rPr>
                <w:sz w:val="20"/>
                <w:szCs w:val="20"/>
                <w:color w:val="auto"/>
              </w:rPr>
            </w:pPr>
            <w:r>
              <w:rPr>
                <w:rFonts w:ascii="Arial" w:cs="Arial" w:eastAsia="Arial" w:hAnsi="Arial"/>
                <w:sz w:val="20"/>
                <w:szCs w:val="20"/>
                <w:color w:val="auto"/>
              </w:rPr>
              <w:t>Malvern, PA 19355</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7900" w:type="dxa"/>
            <w:vAlign w:val="bottom"/>
            <w:tcBorders>
              <w:bottom w:val="single" w:sz="8" w:color="0E3C23"/>
            </w:tcBorders>
          </w:tcPr>
          <w:p>
            <w:pPr>
              <w:spacing w:after="0"/>
              <w:rPr>
                <w:sz w:val="2"/>
                <w:szCs w:val="2"/>
                <w:color w:val="auto"/>
              </w:rPr>
            </w:pPr>
          </w:p>
        </w:tc>
        <w:tc>
          <w:tcPr>
            <w:tcW w:w="1380" w:type="dxa"/>
            <w:vAlign w:val="bottom"/>
            <w:tcBorders>
              <w:bottom w:val="single" w:sz="8" w:color="0E3C23"/>
            </w:tcBorders>
          </w:tcPr>
          <w:p>
            <w:pPr>
              <w:spacing w:after="0"/>
              <w:rPr>
                <w:sz w:val="2"/>
                <w:szCs w:val="2"/>
                <w:color w:val="auto"/>
              </w:rPr>
            </w:pPr>
          </w:p>
        </w:tc>
        <w:tc>
          <w:tcPr>
            <w:tcW w:w="780" w:type="dxa"/>
            <w:vAlign w:val="bottom"/>
            <w:tcBorders>
              <w:bottom w:val="single" w:sz="8" w:color="0E3C23"/>
            </w:tcBorders>
          </w:tcPr>
          <w:p>
            <w:pPr>
              <w:spacing w:after="0"/>
              <w:rPr>
                <w:sz w:val="2"/>
                <w:szCs w:val="2"/>
                <w:color w:val="auto"/>
              </w:rPr>
            </w:pPr>
          </w:p>
        </w:tc>
      </w:tr>
      <w:tr>
        <w:trPr>
          <w:trHeight w:val="262"/>
        </w:trPr>
        <w:tc>
          <w:tcPr>
            <w:tcW w:w="7900" w:type="dxa"/>
            <w:vAlign w:val="bottom"/>
          </w:tcPr>
          <w:p>
            <w:pPr>
              <w:ind w:left="60"/>
              <w:spacing w:after="0"/>
              <w:rPr>
                <w:sz w:val="20"/>
                <w:szCs w:val="20"/>
                <w:color w:val="auto"/>
              </w:rPr>
            </w:pPr>
            <w:r>
              <w:rPr>
                <w:rFonts w:ascii="Arial" w:cs="Arial" w:eastAsia="Arial" w:hAnsi="Arial"/>
                <w:sz w:val="20"/>
                <w:szCs w:val="20"/>
                <w:color w:val="auto"/>
              </w:rPr>
              <w:t>Melinda French Gates; William H. Gates III</w:t>
            </w:r>
          </w:p>
        </w:tc>
        <w:tc>
          <w:tcPr>
            <w:tcW w:w="1380" w:type="dxa"/>
            <w:vAlign w:val="bottom"/>
          </w:tcPr>
          <w:p>
            <w:pPr>
              <w:jc w:val="center"/>
              <w:spacing w:after="0" w:line="262" w:lineRule="exact"/>
              <w:rPr>
                <w:sz w:val="20"/>
                <w:szCs w:val="20"/>
                <w:color w:val="auto"/>
              </w:rPr>
            </w:pPr>
            <w:r>
              <w:rPr>
                <w:rFonts w:ascii="Arial" w:cs="Arial" w:eastAsia="Arial" w:hAnsi="Arial"/>
                <w:sz w:val="20"/>
                <w:szCs w:val="20"/>
                <w:color w:val="auto"/>
                <w:w w:val="89"/>
              </w:rPr>
              <w:t>35,238,154</w:t>
            </w:r>
            <w:r>
              <w:rPr>
                <w:rFonts w:ascii="Arial" w:cs="Arial" w:eastAsia="Arial" w:hAnsi="Arial"/>
                <w:sz w:val="25"/>
                <w:szCs w:val="25"/>
                <w:color w:val="auto"/>
                <w:w w:val="89"/>
                <w:vertAlign w:val="superscript"/>
              </w:rPr>
              <w:t>(3)</w:t>
            </w:r>
          </w:p>
        </w:tc>
        <w:tc>
          <w:tcPr>
            <w:tcW w:w="780" w:type="dxa"/>
            <w:vAlign w:val="bottom"/>
          </w:tcPr>
          <w:p>
            <w:pPr>
              <w:jc w:val="right"/>
              <w:ind w:right="25"/>
              <w:spacing w:after="0"/>
              <w:rPr>
                <w:sz w:val="20"/>
                <w:szCs w:val="20"/>
                <w:color w:val="auto"/>
              </w:rPr>
            </w:pPr>
            <w:r>
              <w:rPr>
                <w:rFonts w:ascii="Arial" w:cs="Arial" w:eastAsia="Arial" w:hAnsi="Arial"/>
                <w:sz w:val="20"/>
                <w:szCs w:val="20"/>
                <w:color w:val="auto"/>
              </w:rPr>
              <w:t>8.8%</w:t>
            </w:r>
          </w:p>
        </w:tc>
      </w:tr>
      <w:tr>
        <w:trPr>
          <w:trHeight w:val="224"/>
        </w:trPr>
        <w:tc>
          <w:tcPr>
            <w:tcW w:w="7900" w:type="dxa"/>
            <w:vAlign w:val="bottom"/>
          </w:tcPr>
          <w:p>
            <w:pPr>
              <w:ind w:left="260"/>
              <w:spacing w:after="0" w:line="225" w:lineRule="exact"/>
              <w:rPr>
                <w:sz w:val="20"/>
                <w:szCs w:val="20"/>
                <w:color w:val="auto"/>
              </w:rPr>
            </w:pPr>
            <w:r>
              <w:rPr>
                <w:rFonts w:ascii="Arial" w:cs="Arial" w:eastAsia="Arial" w:hAnsi="Arial"/>
                <w:sz w:val="20"/>
                <w:szCs w:val="20"/>
                <w:color w:val="auto"/>
              </w:rPr>
              <w:t>500 Fifth Avenue North</w:t>
            </w: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9"/>
        </w:trPr>
        <w:tc>
          <w:tcPr>
            <w:tcW w:w="7900" w:type="dxa"/>
            <w:vAlign w:val="bottom"/>
          </w:tcPr>
          <w:p>
            <w:pPr>
              <w:ind w:left="260"/>
              <w:spacing w:after="0"/>
              <w:rPr>
                <w:sz w:val="20"/>
                <w:szCs w:val="20"/>
                <w:color w:val="auto"/>
              </w:rPr>
            </w:pPr>
            <w:r>
              <w:rPr>
                <w:rFonts w:ascii="Arial" w:cs="Arial" w:eastAsia="Arial" w:hAnsi="Arial"/>
                <w:sz w:val="20"/>
                <w:szCs w:val="20"/>
                <w:color w:val="auto"/>
              </w:rPr>
              <w:t>Seattle, WA 98109</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99"/>
        </w:trPr>
        <w:tc>
          <w:tcPr>
            <w:tcW w:w="7900" w:type="dxa"/>
            <w:vAlign w:val="bottom"/>
          </w:tcPr>
          <w:p>
            <w:pPr>
              <w:ind w:left="60"/>
              <w:spacing w:after="0"/>
              <w:rPr>
                <w:sz w:val="20"/>
                <w:szCs w:val="20"/>
                <w:color w:val="auto"/>
              </w:rPr>
            </w:pPr>
            <w:r>
              <w:rPr>
                <w:rFonts w:ascii="Arial" w:cs="Arial" w:eastAsia="Arial" w:hAnsi="Arial"/>
                <w:sz w:val="20"/>
                <w:szCs w:val="20"/>
                <w:color w:val="auto"/>
              </w:rPr>
              <w:t>Bill &amp; Melinda Gates Foundation Trust</w:t>
            </w: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9"/>
        </w:trPr>
        <w:tc>
          <w:tcPr>
            <w:tcW w:w="7900" w:type="dxa"/>
            <w:vAlign w:val="bottom"/>
          </w:tcPr>
          <w:p>
            <w:pPr>
              <w:ind w:left="220"/>
              <w:spacing w:after="0"/>
              <w:rPr>
                <w:sz w:val="20"/>
                <w:szCs w:val="20"/>
                <w:color w:val="auto"/>
              </w:rPr>
            </w:pPr>
            <w:r>
              <w:rPr>
                <w:rFonts w:ascii="Arial" w:cs="Arial" w:eastAsia="Arial" w:hAnsi="Arial"/>
                <w:sz w:val="20"/>
                <w:szCs w:val="20"/>
                <w:color w:val="auto"/>
              </w:rPr>
              <w:t>2365 Carillon Point</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9"/>
        </w:trPr>
        <w:tc>
          <w:tcPr>
            <w:tcW w:w="7900" w:type="dxa"/>
            <w:vAlign w:val="bottom"/>
          </w:tcPr>
          <w:p>
            <w:pPr>
              <w:ind w:left="220"/>
              <w:spacing w:after="0"/>
              <w:rPr>
                <w:sz w:val="20"/>
                <w:szCs w:val="20"/>
                <w:color w:val="auto"/>
              </w:rPr>
            </w:pPr>
            <w:r>
              <w:rPr>
                <w:rFonts w:ascii="Arial" w:cs="Arial" w:eastAsia="Arial" w:hAnsi="Arial"/>
                <w:sz w:val="20"/>
                <w:szCs w:val="20"/>
                <w:color w:val="auto"/>
              </w:rPr>
              <w:t>Kirkland, WA 98033</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7900" w:type="dxa"/>
            <w:vAlign w:val="bottom"/>
            <w:tcBorders>
              <w:bottom w:val="single" w:sz="8" w:color="0E3C23"/>
            </w:tcBorders>
          </w:tcPr>
          <w:p>
            <w:pPr>
              <w:spacing w:after="0"/>
              <w:rPr>
                <w:sz w:val="2"/>
                <w:szCs w:val="2"/>
                <w:color w:val="auto"/>
              </w:rPr>
            </w:pPr>
          </w:p>
        </w:tc>
        <w:tc>
          <w:tcPr>
            <w:tcW w:w="1380" w:type="dxa"/>
            <w:vAlign w:val="bottom"/>
            <w:tcBorders>
              <w:bottom w:val="single" w:sz="8" w:color="0E3C23"/>
            </w:tcBorders>
          </w:tcPr>
          <w:p>
            <w:pPr>
              <w:spacing w:after="0"/>
              <w:rPr>
                <w:sz w:val="2"/>
                <w:szCs w:val="2"/>
                <w:color w:val="auto"/>
              </w:rPr>
            </w:pPr>
          </w:p>
        </w:tc>
        <w:tc>
          <w:tcPr>
            <w:tcW w:w="780" w:type="dxa"/>
            <w:vAlign w:val="bottom"/>
            <w:tcBorders>
              <w:bottom w:val="single" w:sz="8" w:color="0E3C23"/>
            </w:tcBorders>
          </w:tcPr>
          <w:p>
            <w:pPr>
              <w:spacing w:after="0"/>
              <w:rPr>
                <w:sz w:val="2"/>
                <w:szCs w:val="2"/>
                <w:color w:val="auto"/>
              </w:rPr>
            </w:pPr>
          </w:p>
        </w:tc>
      </w:tr>
      <w:tr>
        <w:trPr>
          <w:trHeight w:val="262"/>
        </w:trPr>
        <w:tc>
          <w:tcPr>
            <w:tcW w:w="7900" w:type="dxa"/>
            <w:vAlign w:val="bottom"/>
          </w:tcPr>
          <w:p>
            <w:pPr>
              <w:ind w:left="60"/>
              <w:spacing w:after="0"/>
              <w:rPr>
                <w:sz w:val="20"/>
                <w:szCs w:val="20"/>
                <w:color w:val="auto"/>
              </w:rPr>
            </w:pPr>
            <w:r>
              <w:rPr>
                <w:rFonts w:ascii="Arial" w:cs="Arial" w:eastAsia="Arial" w:hAnsi="Arial"/>
                <w:sz w:val="20"/>
                <w:szCs w:val="20"/>
                <w:color w:val="auto"/>
              </w:rPr>
              <w:t>BlackRock, Inc.</w:t>
            </w:r>
          </w:p>
        </w:tc>
        <w:tc>
          <w:tcPr>
            <w:tcW w:w="1380" w:type="dxa"/>
            <w:vAlign w:val="bottom"/>
          </w:tcPr>
          <w:p>
            <w:pPr>
              <w:jc w:val="center"/>
              <w:spacing w:after="0" w:line="262" w:lineRule="exact"/>
              <w:rPr>
                <w:sz w:val="20"/>
                <w:szCs w:val="20"/>
                <w:color w:val="auto"/>
              </w:rPr>
            </w:pPr>
            <w:r>
              <w:rPr>
                <w:rFonts w:ascii="Arial" w:cs="Arial" w:eastAsia="Arial" w:hAnsi="Arial"/>
                <w:sz w:val="20"/>
                <w:szCs w:val="20"/>
                <w:color w:val="auto"/>
                <w:w w:val="89"/>
              </w:rPr>
              <w:t>28,665,838</w:t>
            </w:r>
            <w:r>
              <w:rPr>
                <w:rFonts w:ascii="Arial" w:cs="Arial" w:eastAsia="Arial" w:hAnsi="Arial"/>
                <w:sz w:val="25"/>
                <w:szCs w:val="25"/>
                <w:color w:val="auto"/>
                <w:w w:val="89"/>
                <w:vertAlign w:val="superscript"/>
              </w:rPr>
              <w:t>(4)</w:t>
            </w:r>
          </w:p>
        </w:tc>
        <w:tc>
          <w:tcPr>
            <w:tcW w:w="780" w:type="dxa"/>
            <w:vAlign w:val="bottom"/>
          </w:tcPr>
          <w:p>
            <w:pPr>
              <w:jc w:val="right"/>
              <w:ind w:right="25"/>
              <w:spacing w:after="0"/>
              <w:rPr>
                <w:sz w:val="20"/>
                <w:szCs w:val="20"/>
                <w:color w:val="auto"/>
              </w:rPr>
            </w:pPr>
            <w:r>
              <w:rPr>
                <w:rFonts w:ascii="Arial" w:cs="Arial" w:eastAsia="Arial" w:hAnsi="Arial"/>
                <w:sz w:val="20"/>
                <w:szCs w:val="20"/>
                <w:color w:val="auto"/>
              </w:rPr>
              <w:t>7.1%</w:t>
            </w:r>
          </w:p>
        </w:tc>
      </w:tr>
      <w:tr>
        <w:trPr>
          <w:trHeight w:val="224"/>
        </w:trPr>
        <w:tc>
          <w:tcPr>
            <w:tcW w:w="7900" w:type="dxa"/>
            <w:vAlign w:val="bottom"/>
          </w:tcPr>
          <w:p>
            <w:pPr>
              <w:ind w:left="260"/>
              <w:spacing w:after="0" w:line="225" w:lineRule="exact"/>
              <w:rPr>
                <w:sz w:val="20"/>
                <w:szCs w:val="20"/>
                <w:color w:val="auto"/>
              </w:rPr>
            </w:pPr>
            <w:r>
              <w:rPr>
                <w:rFonts w:ascii="Arial" w:cs="Arial" w:eastAsia="Arial" w:hAnsi="Arial"/>
                <w:sz w:val="20"/>
                <w:szCs w:val="20"/>
                <w:color w:val="auto"/>
              </w:rPr>
              <w:t>50 Hudson Yards</w:t>
            </w: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9"/>
        </w:trPr>
        <w:tc>
          <w:tcPr>
            <w:tcW w:w="7900" w:type="dxa"/>
            <w:vAlign w:val="bottom"/>
          </w:tcPr>
          <w:p>
            <w:pPr>
              <w:ind w:left="260"/>
              <w:spacing w:after="0"/>
              <w:rPr>
                <w:sz w:val="20"/>
                <w:szCs w:val="20"/>
                <w:color w:val="auto"/>
              </w:rPr>
            </w:pPr>
            <w:r>
              <w:rPr>
                <w:rFonts w:ascii="Arial" w:cs="Arial" w:eastAsia="Arial" w:hAnsi="Arial"/>
                <w:sz w:val="20"/>
                <w:szCs w:val="20"/>
                <w:color w:val="auto"/>
              </w:rPr>
              <w:t>New York, NY 10001</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8"/>
        </w:trPr>
        <w:tc>
          <w:tcPr>
            <w:tcW w:w="7900" w:type="dxa"/>
            <w:vAlign w:val="bottom"/>
            <w:tcBorders>
              <w:bottom w:val="single" w:sz="8" w:color="0E3C23"/>
            </w:tcBorders>
          </w:tcPr>
          <w:p>
            <w:pPr>
              <w:spacing w:after="0"/>
              <w:rPr>
                <w:sz w:val="3"/>
                <w:szCs w:val="3"/>
                <w:color w:val="auto"/>
              </w:rPr>
            </w:pPr>
          </w:p>
        </w:tc>
        <w:tc>
          <w:tcPr>
            <w:tcW w:w="1380" w:type="dxa"/>
            <w:vAlign w:val="bottom"/>
            <w:tcBorders>
              <w:bottom w:val="single" w:sz="8" w:color="0E3C23"/>
            </w:tcBorders>
          </w:tcPr>
          <w:p>
            <w:pPr>
              <w:spacing w:after="0"/>
              <w:rPr>
                <w:sz w:val="3"/>
                <w:szCs w:val="3"/>
                <w:color w:val="auto"/>
              </w:rPr>
            </w:pPr>
          </w:p>
        </w:tc>
        <w:tc>
          <w:tcPr>
            <w:tcW w:w="780" w:type="dxa"/>
            <w:vAlign w:val="bottom"/>
            <w:tcBorders>
              <w:bottom w:val="single" w:sz="8" w:color="0E3C23"/>
            </w:tcBorders>
          </w:tcPr>
          <w:p>
            <w:pPr>
              <w:spacing w:after="0"/>
              <w:rPr>
                <w:sz w:val="3"/>
                <w:szCs w:val="3"/>
                <w:color w:val="auto"/>
              </w:rPr>
            </w:pPr>
          </w:p>
        </w:tc>
      </w:tr>
    </w:tbl>
    <w:p>
      <w:pPr>
        <w:spacing w:after="0" w:line="72" w:lineRule="exact"/>
        <w:rPr>
          <w:sz w:val="20"/>
          <w:szCs w:val="20"/>
          <w:color w:val="auto"/>
        </w:rPr>
      </w:pPr>
    </w:p>
    <w:p>
      <w:pPr>
        <w:ind w:left="580" w:hanging="402"/>
        <w:spacing w:after="0"/>
        <w:tabs>
          <w:tab w:leader="none" w:pos="5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Percentage is calculated based on 402,332,424 shares of Common Stock outstanding as of March 18, 2025.</w:t>
      </w:r>
    </w:p>
    <w:p>
      <w:pPr>
        <w:spacing w:after="0" w:line="134" w:lineRule="exact"/>
        <w:rPr>
          <w:rFonts w:ascii="Arial" w:cs="Arial" w:eastAsia="Arial" w:hAnsi="Arial"/>
          <w:sz w:val="20"/>
          <w:szCs w:val="20"/>
          <w:color w:val="auto"/>
        </w:rPr>
      </w:pPr>
    </w:p>
    <w:p>
      <w:pPr>
        <w:jc w:val="both"/>
        <w:ind w:left="580" w:right="200" w:hanging="402"/>
        <w:spacing w:after="0" w:line="284"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13, 2024, which is the most recent Schedule 13G filed by the investor with respect to ownership of our Common Stock. The Vanguard Group reports that it has shared voting power over 521,224 shares of Common Stock, shared dispositive power over 1,655,291 shares of Common Stock and sole dispositive power over 34,504,565 shares of Common Stock beneficially owned.</w:t>
      </w:r>
    </w:p>
    <w:p>
      <w:pPr>
        <w:spacing w:after="0" w:line="97" w:lineRule="exact"/>
        <w:rPr>
          <w:rFonts w:ascii="Arial" w:cs="Arial" w:eastAsia="Arial" w:hAnsi="Arial"/>
          <w:sz w:val="18"/>
          <w:szCs w:val="18"/>
          <w:color w:val="auto"/>
        </w:rPr>
      </w:pPr>
    </w:p>
    <w:p>
      <w:pPr>
        <w:jc w:val="both"/>
        <w:ind w:left="580" w:right="200" w:hanging="402"/>
        <w:spacing w:after="0" w:line="248" w:lineRule="auto"/>
        <w:tabs>
          <w:tab w:leader="none" w:pos="5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This information is based on a Schedule 13G/A filed with the SEC on February 10, 2023, which is the most recent Schedule 13G filed by the investor with respect to ownership of our Common Stock. Ms. Gates, Mr. Gates and the Bill &amp; Melinda Gates Foundation Trust each report shared voting and dispositive power over 35,234,344 shares of Common Stock beneficially owned. Ms. Gates also reports sole voting and dispositive power of 3,810 additional shares of Common Stock beneficially owned.</w:t>
      </w:r>
    </w:p>
    <w:p>
      <w:pPr>
        <w:spacing w:after="0" w:line="128" w:lineRule="exact"/>
        <w:rPr>
          <w:rFonts w:ascii="Arial" w:cs="Arial" w:eastAsia="Arial" w:hAnsi="Arial"/>
          <w:sz w:val="20"/>
          <w:szCs w:val="20"/>
          <w:color w:val="auto"/>
        </w:rPr>
      </w:pPr>
    </w:p>
    <w:p>
      <w:pPr>
        <w:jc w:val="both"/>
        <w:ind w:left="580" w:right="200" w:hanging="402"/>
        <w:spacing w:after="0" w:line="247" w:lineRule="auto"/>
        <w:tabs>
          <w:tab w:leader="none" w:pos="5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This information is based on a Schedule 13G/A filed with the SEC on January 26, 2024, which is the most recent Schedule 13G filed by the investor with respect to ownership of our Common Stock. BlackRock, Inc. reports that it has sole voting power over 25,826,390 shares of Common Stock and sole dispositive power over 28,665,838 shares of Common Stock beneficially owned.</w:t>
      </w:r>
    </w:p>
    <w:p>
      <w:pPr>
        <w:sectPr>
          <w:pgSz w:w="13320" w:h="16920" w:orient="portrait"/>
          <w:cols w:equalWidth="0" w:num="1">
            <w:col w:w="104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-207010</wp:posOffset>
            </wp:positionV>
            <wp:extent cx="538480" cy="1619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02">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35" w:name="page36"/>
    <w:bookmarkEnd w:id="35"/>
    <w:p>
      <w:pPr>
        <w:spacing w:after="0" w:line="188" w:lineRule="exact"/>
        <w:rPr>
          <w:sz w:val="20"/>
          <w:szCs w:val="20"/>
          <w:color w:val="auto"/>
        </w:rPr>
      </w:pPr>
    </w:p>
    <w:p>
      <w:pPr>
        <w:ind w:left="180"/>
        <w:spacing w:after="0"/>
        <w:rPr>
          <w:sz w:val="20"/>
          <w:szCs w:val="20"/>
          <w:color w:val="auto"/>
        </w:rPr>
      </w:pPr>
      <w:r>
        <w:rPr>
          <w:rFonts w:ascii="Arial" w:cs="Arial" w:eastAsia="Arial" w:hAnsi="Arial"/>
          <w:sz w:val="40"/>
          <w:szCs w:val="40"/>
          <w:b w:val="1"/>
          <w:bCs w:val="1"/>
          <w:color w:val="0E3C23"/>
        </w:rPr>
        <w:t>EXECUTIVE OFFICERS</w:t>
      </w:r>
    </w:p>
    <w:p>
      <w:pPr>
        <w:spacing w:after="0" w:line="166" w:lineRule="exact"/>
        <w:rPr>
          <w:sz w:val="20"/>
          <w:szCs w:val="20"/>
          <w:color w:val="auto"/>
        </w:rPr>
      </w:pPr>
    </w:p>
    <w:p>
      <w:pPr>
        <w:jc w:val="both"/>
        <w:ind w:left="180" w:right="200"/>
        <w:spacing w:after="0" w:line="246" w:lineRule="auto"/>
        <w:rPr>
          <w:sz w:val="20"/>
          <w:szCs w:val="20"/>
          <w:color w:val="auto"/>
        </w:rPr>
      </w:pPr>
      <w:r>
        <w:rPr>
          <w:rFonts w:ascii="Arial" w:cs="Arial" w:eastAsia="Arial" w:hAnsi="Arial"/>
          <w:sz w:val="20"/>
          <w:szCs w:val="20"/>
          <w:color w:val="auto"/>
        </w:rPr>
        <w:t>The following is a listing of our current executive officers, their ages and their business experience for the past five years (other than Mr. Fish, whose age, experience and qualifications are included in the director nominees section of this Proxy Statement). All prior positions listed below were with our Company.</w:t>
      </w:r>
    </w:p>
    <w:p>
      <w:pPr>
        <w:spacing w:after="0" w:line="125"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2380" w:type="dxa"/>
            <w:vAlign w:val="bottom"/>
          </w:tcPr>
          <w:p>
            <w:pPr>
              <w:ind w:left="60"/>
              <w:spacing w:after="0"/>
              <w:rPr>
                <w:sz w:val="20"/>
                <w:szCs w:val="20"/>
                <w:color w:val="auto"/>
              </w:rPr>
            </w:pPr>
            <w:r>
              <w:rPr>
                <w:rFonts w:ascii="Arial" w:cs="Arial" w:eastAsia="Arial" w:hAnsi="Arial"/>
                <w:sz w:val="16"/>
                <w:szCs w:val="16"/>
                <w:b w:val="1"/>
                <w:bCs w:val="1"/>
                <w:color w:val="0E3C23"/>
              </w:rPr>
              <w:t>Name</w:t>
            </w:r>
          </w:p>
        </w:tc>
        <w:tc>
          <w:tcPr>
            <w:tcW w:w="700" w:type="dxa"/>
            <w:vAlign w:val="bottom"/>
          </w:tcPr>
          <w:p>
            <w:pPr>
              <w:ind w:left="320"/>
              <w:spacing w:after="0"/>
              <w:rPr>
                <w:sz w:val="20"/>
                <w:szCs w:val="20"/>
                <w:color w:val="auto"/>
              </w:rPr>
            </w:pPr>
            <w:r>
              <w:rPr>
                <w:rFonts w:ascii="Arial" w:cs="Arial" w:eastAsia="Arial" w:hAnsi="Arial"/>
                <w:sz w:val="16"/>
                <w:szCs w:val="16"/>
                <w:b w:val="1"/>
                <w:bCs w:val="1"/>
                <w:color w:val="0E3C23"/>
              </w:rPr>
              <w:t>Age</w:t>
            </w:r>
          </w:p>
        </w:tc>
        <w:tc>
          <w:tcPr>
            <w:tcW w:w="260" w:type="dxa"/>
            <w:vAlign w:val="bottom"/>
          </w:tcPr>
          <w:p>
            <w:pPr>
              <w:spacing w:after="0"/>
              <w:rPr>
                <w:sz w:val="16"/>
                <w:szCs w:val="16"/>
                <w:color w:val="auto"/>
              </w:rPr>
            </w:pPr>
          </w:p>
        </w:tc>
        <w:tc>
          <w:tcPr>
            <w:tcW w:w="5860" w:type="dxa"/>
            <w:vAlign w:val="bottom"/>
          </w:tcPr>
          <w:p>
            <w:pPr>
              <w:ind w:left="1160"/>
              <w:spacing w:after="0"/>
              <w:rPr>
                <w:sz w:val="20"/>
                <w:szCs w:val="20"/>
                <w:color w:val="auto"/>
              </w:rPr>
            </w:pPr>
            <w:r>
              <w:rPr>
                <w:rFonts w:ascii="Arial" w:cs="Arial" w:eastAsia="Arial" w:hAnsi="Arial"/>
                <w:sz w:val="16"/>
                <w:szCs w:val="16"/>
                <w:b w:val="1"/>
                <w:bCs w:val="1"/>
                <w:color w:val="0E3C23"/>
              </w:rPr>
              <w:t>Positions Held and Business Experience for Past Five Years</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34"/>
        </w:trPr>
        <w:tc>
          <w:tcPr>
            <w:tcW w:w="2380" w:type="dxa"/>
            <w:vAlign w:val="bottom"/>
            <w:tcBorders>
              <w:bottom w:val="single" w:sz="8" w:color="0E3C23"/>
            </w:tcBorders>
          </w:tcPr>
          <w:p>
            <w:pPr>
              <w:spacing w:after="0"/>
              <w:rPr>
                <w:sz w:val="2"/>
                <w:szCs w:val="2"/>
                <w:color w:val="auto"/>
              </w:rPr>
            </w:pPr>
          </w:p>
        </w:tc>
        <w:tc>
          <w:tcPr>
            <w:tcW w:w="70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5860" w:type="dxa"/>
            <w:vAlign w:val="bottom"/>
            <w:tcBorders>
              <w:bottom w:val="single" w:sz="8" w:color="0E3C23"/>
            </w:tcBorders>
          </w:tcPr>
          <w:p>
            <w:pPr>
              <w:spacing w:after="0"/>
              <w:rPr>
                <w:sz w:val="2"/>
                <w:szCs w:val="2"/>
                <w:color w:val="auto"/>
              </w:rPr>
            </w:pPr>
          </w:p>
        </w:tc>
        <w:tc>
          <w:tcPr>
            <w:tcW w:w="560" w:type="dxa"/>
            <w:vAlign w:val="bottom"/>
            <w:tcBorders>
              <w:bottom w:val="single" w:sz="8" w:color="0E3C23"/>
            </w:tcBorders>
          </w:tcPr>
          <w:p>
            <w:pPr>
              <w:spacing w:after="0"/>
              <w:rPr>
                <w:sz w:val="2"/>
                <w:szCs w:val="2"/>
                <w:color w:val="auto"/>
              </w:rPr>
            </w:pPr>
          </w:p>
        </w:tc>
        <w:tc>
          <w:tcPr>
            <w:tcW w:w="300" w:type="dxa"/>
            <w:vAlign w:val="bottom"/>
            <w:tcBorders>
              <w:bottom w:val="single" w:sz="8" w:color="0E3C23"/>
            </w:tcBorders>
          </w:tcPr>
          <w:p>
            <w:pPr>
              <w:spacing w:after="0"/>
              <w:rPr>
                <w:sz w:val="2"/>
                <w:szCs w:val="2"/>
                <w:color w:val="auto"/>
              </w:rPr>
            </w:pPr>
          </w:p>
        </w:tc>
      </w:tr>
      <w:tr>
        <w:trPr>
          <w:trHeight w:val="248"/>
        </w:trPr>
        <w:tc>
          <w:tcPr>
            <w:tcW w:w="2380" w:type="dxa"/>
            <w:vAlign w:val="bottom"/>
          </w:tcPr>
          <w:p>
            <w:pPr>
              <w:ind w:left="60"/>
              <w:spacing w:after="0"/>
              <w:rPr>
                <w:sz w:val="20"/>
                <w:szCs w:val="20"/>
                <w:color w:val="auto"/>
              </w:rPr>
            </w:pPr>
            <w:r>
              <w:rPr>
                <w:rFonts w:ascii="Arial" w:cs="Arial" w:eastAsia="Arial" w:hAnsi="Arial"/>
                <w:sz w:val="20"/>
                <w:szCs w:val="20"/>
                <w:color w:val="auto"/>
              </w:rPr>
              <w:t>Charles C. Boettcher</w:t>
            </w:r>
          </w:p>
        </w:tc>
        <w:tc>
          <w:tcPr>
            <w:tcW w:w="700" w:type="dxa"/>
            <w:vAlign w:val="bottom"/>
          </w:tcPr>
          <w:p>
            <w:pPr>
              <w:ind w:left="320"/>
              <w:spacing w:after="0"/>
              <w:rPr>
                <w:sz w:val="20"/>
                <w:szCs w:val="20"/>
                <w:color w:val="auto"/>
              </w:rPr>
            </w:pPr>
            <w:r>
              <w:rPr>
                <w:rFonts w:ascii="Arial" w:cs="Arial" w:eastAsia="Arial" w:hAnsi="Arial"/>
                <w:sz w:val="20"/>
                <w:szCs w:val="20"/>
                <w:color w:val="auto"/>
              </w:rPr>
              <w:t>51</w:t>
            </w:r>
          </w:p>
        </w:tc>
        <w:tc>
          <w:tcPr>
            <w:tcW w:w="260" w:type="dxa"/>
            <w:vAlign w:val="bottom"/>
          </w:tcPr>
          <w:p>
            <w:pPr>
              <w:ind w:left="120"/>
              <w:spacing w:after="0"/>
              <w:rPr>
                <w:sz w:val="20"/>
                <w:szCs w:val="20"/>
                <w:color w:val="auto"/>
              </w:rPr>
            </w:pPr>
            <w:r>
              <w:rPr>
                <w:rFonts w:ascii="Arial" w:cs="Arial" w:eastAsia="Arial" w:hAnsi="Arial"/>
                <w:sz w:val="20"/>
                <w:szCs w:val="20"/>
                <w:color w:val="0E3C23"/>
              </w:rPr>
              <w:t>•</w:t>
            </w:r>
          </w:p>
        </w:tc>
        <w:tc>
          <w:tcPr>
            <w:tcW w:w="5860" w:type="dxa"/>
            <w:vAlign w:val="bottom"/>
          </w:tcPr>
          <w:p>
            <w:pPr>
              <w:ind w:left="60"/>
              <w:spacing w:after="0"/>
              <w:rPr>
                <w:sz w:val="20"/>
                <w:szCs w:val="20"/>
                <w:color w:val="auto"/>
              </w:rPr>
            </w:pPr>
            <w:r>
              <w:rPr>
                <w:rFonts w:ascii="Arial" w:cs="Arial" w:eastAsia="Arial" w:hAnsi="Arial"/>
                <w:sz w:val="20"/>
                <w:szCs w:val="20"/>
                <w:color w:val="auto"/>
              </w:rPr>
              <w:t>Executive Vice President and Chief Legal officer since July 2024.</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345"/>
        </w:trPr>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20"/>
                <w:szCs w:val="20"/>
                <w:color w:val="0E3C23"/>
              </w:rPr>
              <w:t>•</w:t>
            </w:r>
          </w:p>
        </w:tc>
        <w:tc>
          <w:tcPr>
            <w:tcW w:w="6720" w:type="dxa"/>
            <w:vAlign w:val="bottom"/>
            <w:gridSpan w:val="3"/>
          </w:tcPr>
          <w:p>
            <w:pPr>
              <w:ind w:left="60"/>
              <w:spacing w:after="0"/>
              <w:rPr>
                <w:sz w:val="20"/>
                <w:szCs w:val="20"/>
                <w:color w:val="auto"/>
              </w:rPr>
            </w:pPr>
            <w:r>
              <w:rPr>
                <w:rFonts w:ascii="Arial" w:cs="Arial" w:eastAsia="Arial" w:hAnsi="Arial"/>
                <w:sz w:val="20"/>
                <w:szCs w:val="20"/>
                <w:color w:val="auto"/>
                <w:w w:val="94"/>
              </w:rPr>
              <w:t>Executive Vice President, Corporate Development and Chief Legal Officer from</w:t>
            </w:r>
          </w:p>
        </w:tc>
      </w:tr>
      <w:tr>
        <w:trPr>
          <w:trHeight w:val="226"/>
        </w:trPr>
        <w:tc>
          <w:tcPr>
            <w:tcW w:w="2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60" w:type="dxa"/>
            <w:vAlign w:val="bottom"/>
          </w:tcPr>
          <w:p>
            <w:pPr>
              <w:ind w:left="60"/>
              <w:spacing w:after="0" w:line="226" w:lineRule="exact"/>
              <w:rPr>
                <w:sz w:val="20"/>
                <w:szCs w:val="20"/>
                <w:color w:val="auto"/>
              </w:rPr>
            </w:pPr>
            <w:r>
              <w:rPr>
                <w:rFonts w:ascii="Arial" w:cs="Arial" w:eastAsia="Arial" w:hAnsi="Arial"/>
                <w:sz w:val="20"/>
                <w:szCs w:val="20"/>
                <w:color w:val="auto"/>
              </w:rPr>
              <w:t>2020 to July 2024.</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
        </w:trPr>
        <w:tc>
          <w:tcPr>
            <w:tcW w:w="2380" w:type="dxa"/>
            <w:vAlign w:val="bottom"/>
            <w:tcBorders>
              <w:bottom w:val="single" w:sz="8" w:color="0E3C23"/>
            </w:tcBorders>
          </w:tcPr>
          <w:p>
            <w:pPr>
              <w:spacing w:after="0" w:line="20" w:lineRule="exact"/>
              <w:rPr>
                <w:sz w:val="1"/>
                <w:szCs w:val="1"/>
                <w:color w:val="auto"/>
              </w:rPr>
            </w:pPr>
          </w:p>
        </w:tc>
        <w:tc>
          <w:tcPr>
            <w:tcW w:w="700" w:type="dxa"/>
            <w:vAlign w:val="bottom"/>
            <w:tcBorders>
              <w:bottom w:val="single" w:sz="8" w:color="0E3C23"/>
            </w:tcBorders>
          </w:tcPr>
          <w:p>
            <w:pPr>
              <w:spacing w:after="0" w:line="20" w:lineRule="exact"/>
              <w:rPr>
                <w:sz w:val="1"/>
                <w:szCs w:val="1"/>
                <w:color w:val="auto"/>
              </w:rPr>
            </w:pPr>
          </w:p>
        </w:tc>
        <w:tc>
          <w:tcPr>
            <w:tcW w:w="260" w:type="dxa"/>
            <w:vAlign w:val="bottom"/>
            <w:tcBorders>
              <w:bottom w:val="single" w:sz="8" w:color="0E3C23"/>
            </w:tcBorders>
          </w:tcPr>
          <w:p>
            <w:pPr>
              <w:spacing w:after="0" w:line="20" w:lineRule="exact"/>
              <w:rPr>
                <w:sz w:val="1"/>
                <w:szCs w:val="1"/>
                <w:color w:val="auto"/>
              </w:rPr>
            </w:pPr>
          </w:p>
        </w:tc>
        <w:tc>
          <w:tcPr>
            <w:tcW w:w="6720" w:type="dxa"/>
            <w:vAlign w:val="bottom"/>
            <w:tcBorders>
              <w:bottom w:val="single" w:sz="8" w:color="0E3C23"/>
            </w:tcBorders>
            <w:gridSpan w:val="3"/>
          </w:tcPr>
          <w:p>
            <w:pPr>
              <w:spacing w:after="0" w:line="20" w:lineRule="exact"/>
              <w:rPr>
                <w:sz w:val="1"/>
                <w:szCs w:val="1"/>
                <w:color w:val="auto"/>
              </w:rPr>
            </w:pPr>
          </w:p>
        </w:tc>
      </w:tr>
      <w:tr>
        <w:trPr>
          <w:trHeight w:val="237"/>
        </w:trPr>
        <w:tc>
          <w:tcPr>
            <w:tcW w:w="2380" w:type="dxa"/>
            <w:vAlign w:val="bottom"/>
          </w:tcPr>
          <w:p>
            <w:pPr>
              <w:ind w:left="60"/>
              <w:spacing w:after="0"/>
              <w:rPr>
                <w:sz w:val="20"/>
                <w:szCs w:val="20"/>
                <w:color w:val="auto"/>
              </w:rPr>
            </w:pPr>
            <w:r>
              <w:rPr>
                <w:rFonts w:ascii="Arial" w:cs="Arial" w:eastAsia="Arial" w:hAnsi="Arial"/>
                <w:sz w:val="20"/>
                <w:szCs w:val="20"/>
                <w:color w:val="auto"/>
              </w:rPr>
              <w:t>Rafael E. Carrasco</w:t>
            </w:r>
          </w:p>
        </w:tc>
        <w:tc>
          <w:tcPr>
            <w:tcW w:w="700" w:type="dxa"/>
            <w:vAlign w:val="bottom"/>
          </w:tcPr>
          <w:p>
            <w:pPr>
              <w:ind w:left="320"/>
              <w:spacing w:after="0"/>
              <w:rPr>
                <w:sz w:val="20"/>
                <w:szCs w:val="20"/>
                <w:color w:val="auto"/>
              </w:rPr>
            </w:pPr>
            <w:r>
              <w:rPr>
                <w:rFonts w:ascii="Arial" w:cs="Arial" w:eastAsia="Arial" w:hAnsi="Arial"/>
                <w:sz w:val="20"/>
                <w:szCs w:val="20"/>
                <w:color w:val="auto"/>
              </w:rPr>
              <w:t>53</w:t>
            </w:r>
          </w:p>
        </w:tc>
        <w:tc>
          <w:tcPr>
            <w:tcW w:w="260" w:type="dxa"/>
            <w:vAlign w:val="bottom"/>
          </w:tcPr>
          <w:p>
            <w:pPr>
              <w:ind w:left="120"/>
              <w:spacing w:after="0"/>
              <w:rPr>
                <w:sz w:val="20"/>
                <w:szCs w:val="20"/>
                <w:color w:val="auto"/>
              </w:rPr>
            </w:pPr>
            <w:r>
              <w:rPr>
                <w:rFonts w:ascii="Arial" w:cs="Arial" w:eastAsia="Arial" w:hAnsi="Arial"/>
                <w:sz w:val="20"/>
                <w:szCs w:val="20"/>
                <w:color w:val="0E3C23"/>
              </w:rPr>
              <w:t>•</w:t>
            </w:r>
          </w:p>
        </w:tc>
        <w:tc>
          <w:tcPr>
            <w:tcW w:w="6720" w:type="dxa"/>
            <w:vAlign w:val="bottom"/>
            <w:gridSpan w:val="3"/>
          </w:tcPr>
          <w:p>
            <w:pPr>
              <w:ind w:left="60"/>
              <w:spacing w:after="0"/>
              <w:rPr>
                <w:sz w:val="20"/>
                <w:szCs w:val="20"/>
                <w:color w:val="auto"/>
              </w:rPr>
            </w:pPr>
            <w:r>
              <w:rPr>
                <w:rFonts w:ascii="Arial" w:cs="Arial" w:eastAsia="Arial" w:hAnsi="Arial"/>
                <w:sz w:val="20"/>
                <w:szCs w:val="20"/>
                <w:color w:val="auto"/>
                <w:w w:val="95"/>
              </w:rPr>
              <w:t>Senior Vice President — Enterprise Strategy and President — WM Healthcare</w:t>
            </w:r>
          </w:p>
        </w:tc>
      </w:tr>
      <w:tr>
        <w:trPr>
          <w:trHeight w:val="226"/>
        </w:trPr>
        <w:tc>
          <w:tcPr>
            <w:tcW w:w="2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60" w:type="dxa"/>
            <w:vAlign w:val="bottom"/>
          </w:tcPr>
          <w:p>
            <w:pPr>
              <w:ind w:left="60"/>
              <w:spacing w:after="0" w:line="226" w:lineRule="exact"/>
              <w:rPr>
                <w:sz w:val="20"/>
                <w:szCs w:val="20"/>
                <w:color w:val="auto"/>
              </w:rPr>
            </w:pPr>
            <w:r>
              <w:rPr>
                <w:rFonts w:ascii="Arial" w:cs="Arial" w:eastAsia="Arial" w:hAnsi="Arial"/>
                <w:sz w:val="20"/>
                <w:szCs w:val="20"/>
                <w:color w:val="auto"/>
              </w:rPr>
              <w:t>Solutions since November 2024.</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45"/>
        </w:trPr>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20"/>
                <w:szCs w:val="20"/>
                <w:color w:val="0E3C23"/>
              </w:rPr>
              <w:t>•</w:t>
            </w:r>
          </w:p>
        </w:tc>
        <w:tc>
          <w:tcPr>
            <w:tcW w:w="5860" w:type="dxa"/>
            <w:vAlign w:val="bottom"/>
          </w:tcPr>
          <w:p>
            <w:pPr>
              <w:ind w:left="60"/>
              <w:spacing w:after="0"/>
              <w:rPr>
                <w:sz w:val="20"/>
                <w:szCs w:val="20"/>
                <w:color w:val="auto"/>
              </w:rPr>
            </w:pPr>
            <w:r>
              <w:rPr>
                <w:rFonts w:ascii="Arial" w:cs="Arial" w:eastAsia="Arial" w:hAnsi="Arial"/>
                <w:sz w:val="20"/>
                <w:szCs w:val="20"/>
                <w:color w:val="auto"/>
              </w:rPr>
              <w:t>Senior  Vice  President — Enterprise  Strategy  from  September</w:t>
            </w:r>
          </w:p>
        </w:tc>
        <w:tc>
          <w:tcPr>
            <w:tcW w:w="560" w:type="dxa"/>
            <w:vAlign w:val="bottom"/>
          </w:tcPr>
          <w:p>
            <w:pPr>
              <w:jc w:val="right"/>
              <w:spacing w:after="0"/>
              <w:rPr>
                <w:sz w:val="20"/>
                <w:szCs w:val="20"/>
                <w:color w:val="auto"/>
              </w:rPr>
            </w:pPr>
            <w:r>
              <w:rPr>
                <w:rFonts w:ascii="Arial" w:cs="Arial" w:eastAsia="Arial" w:hAnsi="Arial"/>
                <w:sz w:val="20"/>
                <w:szCs w:val="20"/>
                <w:color w:val="auto"/>
              </w:rPr>
              <w:t>2023</w:t>
            </w:r>
          </w:p>
        </w:tc>
        <w:tc>
          <w:tcPr>
            <w:tcW w:w="300" w:type="dxa"/>
            <w:vAlign w:val="bottom"/>
          </w:tcPr>
          <w:p>
            <w:pPr>
              <w:ind w:left="60"/>
              <w:spacing w:after="0"/>
              <w:rPr>
                <w:sz w:val="20"/>
                <w:szCs w:val="20"/>
                <w:color w:val="auto"/>
              </w:rPr>
            </w:pPr>
            <w:r>
              <w:rPr>
                <w:rFonts w:ascii="Arial" w:cs="Arial" w:eastAsia="Arial" w:hAnsi="Arial"/>
                <w:sz w:val="20"/>
                <w:szCs w:val="20"/>
                <w:color w:val="auto"/>
              </w:rPr>
              <w:t>to</w:t>
            </w:r>
          </w:p>
        </w:tc>
      </w:tr>
      <w:tr>
        <w:trPr>
          <w:trHeight w:val="226"/>
        </w:trPr>
        <w:tc>
          <w:tcPr>
            <w:tcW w:w="2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60" w:type="dxa"/>
            <w:vAlign w:val="bottom"/>
          </w:tcPr>
          <w:p>
            <w:pPr>
              <w:ind w:left="60"/>
              <w:spacing w:after="0" w:line="226" w:lineRule="exact"/>
              <w:rPr>
                <w:sz w:val="20"/>
                <w:szCs w:val="20"/>
                <w:color w:val="auto"/>
              </w:rPr>
            </w:pPr>
            <w:r>
              <w:rPr>
                <w:rFonts w:ascii="Arial" w:cs="Arial" w:eastAsia="Arial" w:hAnsi="Arial"/>
                <w:sz w:val="20"/>
                <w:szCs w:val="20"/>
                <w:color w:val="auto"/>
              </w:rPr>
              <w:t>November 2024.</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45"/>
        </w:trPr>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80" w:type="dxa"/>
            <w:vAlign w:val="bottom"/>
            <w:gridSpan w:val="3"/>
          </w:tcPr>
          <w:p>
            <w:pPr>
              <w:ind w:left="120"/>
              <w:spacing w:after="0"/>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Senior Vice President — Operations from July 2021 to September 2023.</w:t>
            </w:r>
          </w:p>
        </w:tc>
        <w:tc>
          <w:tcPr>
            <w:tcW w:w="300" w:type="dxa"/>
            <w:vAlign w:val="bottom"/>
          </w:tcPr>
          <w:p>
            <w:pPr>
              <w:spacing w:after="0"/>
              <w:rPr>
                <w:sz w:val="24"/>
                <w:szCs w:val="24"/>
                <w:color w:val="auto"/>
              </w:rPr>
            </w:pPr>
          </w:p>
        </w:tc>
      </w:tr>
      <w:tr>
        <w:trPr>
          <w:trHeight w:val="345"/>
        </w:trPr>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80" w:type="dxa"/>
            <w:vAlign w:val="bottom"/>
            <w:gridSpan w:val="3"/>
          </w:tcPr>
          <w:p>
            <w:pPr>
              <w:ind w:left="120"/>
              <w:spacing w:after="0"/>
              <w:rPr>
                <w:sz w:val="20"/>
                <w:szCs w:val="20"/>
                <w:color w:val="auto"/>
              </w:rPr>
            </w:pPr>
            <w:r>
              <w:rPr>
                <w:rFonts w:ascii="Arial" w:cs="Arial" w:eastAsia="Arial" w:hAnsi="Arial"/>
                <w:sz w:val="20"/>
                <w:szCs w:val="20"/>
                <w:color w:val="0E3C23"/>
                <w:w w:val="97"/>
              </w:rPr>
              <w:t xml:space="preserve">• </w:t>
            </w:r>
            <w:r>
              <w:rPr>
                <w:rFonts w:ascii="Arial" w:cs="Arial" w:eastAsia="Arial" w:hAnsi="Arial"/>
                <w:sz w:val="20"/>
                <w:szCs w:val="20"/>
                <w:color w:val="000000"/>
                <w:w w:val="97"/>
              </w:rPr>
              <w:t>Area Vice President — Greater Mid-Atlantic Area from 2017 to June 2021.</w:t>
            </w:r>
          </w:p>
        </w:tc>
        <w:tc>
          <w:tcPr>
            <w:tcW w:w="300" w:type="dxa"/>
            <w:vAlign w:val="bottom"/>
          </w:tcPr>
          <w:p>
            <w:pPr>
              <w:spacing w:after="0"/>
              <w:rPr>
                <w:sz w:val="24"/>
                <w:szCs w:val="24"/>
                <w:color w:val="auto"/>
              </w:rPr>
            </w:pPr>
          </w:p>
        </w:tc>
      </w:tr>
      <w:tr>
        <w:trPr>
          <w:trHeight w:val="23"/>
        </w:trPr>
        <w:tc>
          <w:tcPr>
            <w:tcW w:w="2380" w:type="dxa"/>
            <w:vAlign w:val="bottom"/>
            <w:tcBorders>
              <w:bottom w:val="single" w:sz="8" w:color="0E3C23"/>
            </w:tcBorders>
          </w:tcPr>
          <w:p>
            <w:pPr>
              <w:spacing w:after="0" w:line="20" w:lineRule="exact"/>
              <w:rPr>
                <w:sz w:val="1"/>
                <w:szCs w:val="1"/>
                <w:color w:val="auto"/>
              </w:rPr>
            </w:pPr>
          </w:p>
        </w:tc>
        <w:tc>
          <w:tcPr>
            <w:tcW w:w="700" w:type="dxa"/>
            <w:vAlign w:val="bottom"/>
            <w:tcBorders>
              <w:bottom w:val="single" w:sz="8" w:color="0E3C23"/>
            </w:tcBorders>
          </w:tcPr>
          <w:p>
            <w:pPr>
              <w:spacing w:after="0" w:line="20" w:lineRule="exact"/>
              <w:rPr>
                <w:sz w:val="1"/>
                <w:szCs w:val="1"/>
                <w:color w:val="auto"/>
              </w:rPr>
            </w:pPr>
          </w:p>
        </w:tc>
        <w:tc>
          <w:tcPr>
            <w:tcW w:w="260" w:type="dxa"/>
            <w:vAlign w:val="bottom"/>
            <w:tcBorders>
              <w:bottom w:val="single" w:sz="8" w:color="0E3C23"/>
            </w:tcBorders>
          </w:tcPr>
          <w:p>
            <w:pPr>
              <w:spacing w:after="0" w:line="20" w:lineRule="exact"/>
              <w:rPr>
                <w:sz w:val="1"/>
                <w:szCs w:val="1"/>
                <w:color w:val="auto"/>
              </w:rPr>
            </w:pPr>
          </w:p>
        </w:tc>
        <w:tc>
          <w:tcPr>
            <w:tcW w:w="5860" w:type="dxa"/>
            <w:vAlign w:val="bottom"/>
            <w:tcBorders>
              <w:bottom w:val="single" w:sz="8" w:color="0E3C23"/>
            </w:tcBorders>
          </w:tcPr>
          <w:p>
            <w:pPr>
              <w:spacing w:after="0" w:line="20" w:lineRule="exact"/>
              <w:rPr>
                <w:sz w:val="1"/>
                <w:szCs w:val="1"/>
                <w:color w:val="auto"/>
              </w:rPr>
            </w:pPr>
          </w:p>
        </w:tc>
        <w:tc>
          <w:tcPr>
            <w:tcW w:w="560" w:type="dxa"/>
            <w:vAlign w:val="bottom"/>
            <w:tcBorders>
              <w:bottom w:val="single" w:sz="8" w:color="0E3C23"/>
            </w:tcBorders>
          </w:tcPr>
          <w:p>
            <w:pPr>
              <w:spacing w:after="0" w:line="20" w:lineRule="exact"/>
              <w:rPr>
                <w:sz w:val="1"/>
                <w:szCs w:val="1"/>
                <w:color w:val="auto"/>
              </w:rPr>
            </w:pPr>
          </w:p>
        </w:tc>
        <w:tc>
          <w:tcPr>
            <w:tcW w:w="300" w:type="dxa"/>
            <w:vAlign w:val="bottom"/>
            <w:tcBorders>
              <w:bottom w:val="single" w:sz="8" w:color="0E3C23"/>
            </w:tcBorders>
          </w:tcPr>
          <w:p>
            <w:pPr>
              <w:spacing w:after="0" w:line="20" w:lineRule="exact"/>
              <w:rPr>
                <w:sz w:val="1"/>
                <w:szCs w:val="1"/>
                <w:color w:val="auto"/>
              </w:rPr>
            </w:pPr>
          </w:p>
        </w:tc>
      </w:tr>
      <w:tr>
        <w:trPr>
          <w:trHeight w:val="237"/>
        </w:trPr>
        <w:tc>
          <w:tcPr>
            <w:tcW w:w="2380" w:type="dxa"/>
            <w:vAlign w:val="bottom"/>
          </w:tcPr>
          <w:p>
            <w:pPr>
              <w:ind w:left="60"/>
              <w:spacing w:after="0"/>
              <w:rPr>
                <w:sz w:val="20"/>
                <w:szCs w:val="20"/>
                <w:color w:val="auto"/>
              </w:rPr>
            </w:pPr>
            <w:r>
              <w:rPr>
                <w:rFonts w:ascii="Arial" w:cs="Arial" w:eastAsia="Arial" w:hAnsi="Arial"/>
                <w:sz w:val="20"/>
                <w:szCs w:val="20"/>
                <w:color w:val="auto"/>
              </w:rPr>
              <w:t>John A. Carroll</w:t>
            </w:r>
          </w:p>
        </w:tc>
        <w:tc>
          <w:tcPr>
            <w:tcW w:w="700" w:type="dxa"/>
            <w:vAlign w:val="bottom"/>
          </w:tcPr>
          <w:p>
            <w:pPr>
              <w:ind w:left="320"/>
              <w:spacing w:after="0"/>
              <w:rPr>
                <w:sz w:val="20"/>
                <w:szCs w:val="20"/>
                <w:color w:val="auto"/>
              </w:rPr>
            </w:pPr>
            <w:r>
              <w:rPr>
                <w:rFonts w:ascii="Arial" w:cs="Arial" w:eastAsia="Arial" w:hAnsi="Arial"/>
                <w:sz w:val="20"/>
                <w:szCs w:val="20"/>
                <w:color w:val="auto"/>
              </w:rPr>
              <w:t>52</w:t>
            </w:r>
          </w:p>
        </w:tc>
        <w:tc>
          <w:tcPr>
            <w:tcW w:w="260" w:type="dxa"/>
            <w:vAlign w:val="bottom"/>
          </w:tcPr>
          <w:p>
            <w:pPr>
              <w:ind w:left="120"/>
              <w:spacing w:after="0"/>
              <w:rPr>
                <w:sz w:val="20"/>
                <w:szCs w:val="20"/>
                <w:color w:val="auto"/>
              </w:rPr>
            </w:pPr>
            <w:r>
              <w:rPr>
                <w:rFonts w:ascii="Arial" w:cs="Arial" w:eastAsia="Arial" w:hAnsi="Arial"/>
                <w:sz w:val="20"/>
                <w:szCs w:val="20"/>
                <w:color w:val="0E3C23"/>
              </w:rPr>
              <w:t>•</w:t>
            </w:r>
          </w:p>
        </w:tc>
        <w:tc>
          <w:tcPr>
            <w:tcW w:w="5860" w:type="dxa"/>
            <w:vAlign w:val="bottom"/>
          </w:tcPr>
          <w:p>
            <w:pPr>
              <w:ind w:left="60"/>
              <w:spacing w:after="0"/>
              <w:rPr>
                <w:sz w:val="20"/>
                <w:szCs w:val="20"/>
                <w:color w:val="auto"/>
              </w:rPr>
            </w:pPr>
            <w:r>
              <w:rPr>
                <w:rFonts w:ascii="Arial" w:cs="Arial" w:eastAsia="Arial" w:hAnsi="Arial"/>
                <w:sz w:val="20"/>
                <w:szCs w:val="20"/>
                <w:color w:val="auto"/>
              </w:rPr>
              <w:t>Vice President and Chief Accounting Officer since March 2023.</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45"/>
        </w:trPr>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20"/>
                <w:szCs w:val="20"/>
                <w:color w:val="0E3C23"/>
              </w:rPr>
              <w:t>•</w:t>
            </w:r>
          </w:p>
        </w:tc>
        <w:tc>
          <w:tcPr>
            <w:tcW w:w="6420" w:type="dxa"/>
            <w:vAlign w:val="bottom"/>
            <w:gridSpan w:val="2"/>
          </w:tcPr>
          <w:p>
            <w:pPr>
              <w:ind w:left="60"/>
              <w:spacing w:after="0"/>
              <w:rPr>
                <w:sz w:val="20"/>
                <w:szCs w:val="20"/>
                <w:color w:val="auto"/>
              </w:rPr>
            </w:pPr>
            <w:r>
              <w:rPr>
                <w:rFonts w:ascii="Arial" w:cs="Arial" w:eastAsia="Arial" w:hAnsi="Arial"/>
                <w:sz w:val="20"/>
                <w:szCs w:val="20"/>
                <w:color w:val="auto"/>
              </w:rPr>
              <w:t>Vice President, Internal Audit and Controls from 2018 to March 2023.</w:t>
            </w:r>
          </w:p>
        </w:tc>
        <w:tc>
          <w:tcPr>
            <w:tcW w:w="300" w:type="dxa"/>
            <w:vAlign w:val="bottom"/>
          </w:tcPr>
          <w:p>
            <w:pPr>
              <w:spacing w:after="0"/>
              <w:rPr>
                <w:sz w:val="24"/>
                <w:szCs w:val="24"/>
                <w:color w:val="auto"/>
              </w:rPr>
            </w:pPr>
          </w:p>
        </w:tc>
      </w:tr>
      <w:tr>
        <w:trPr>
          <w:trHeight w:val="23"/>
        </w:trPr>
        <w:tc>
          <w:tcPr>
            <w:tcW w:w="2380" w:type="dxa"/>
            <w:vAlign w:val="bottom"/>
            <w:tcBorders>
              <w:bottom w:val="single" w:sz="8" w:color="0E3C23"/>
            </w:tcBorders>
          </w:tcPr>
          <w:p>
            <w:pPr>
              <w:spacing w:after="0" w:line="20" w:lineRule="exact"/>
              <w:rPr>
                <w:sz w:val="1"/>
                <w:szCs w:val="1"/>
                <w:color w:val="auto"/>
              </w:rPr>
            </w:pPr>
          </w:p>
        </w:tc>
        <w:tc>
          <w:tcPr>
            <w:tcW w:w="700" w:type="dxa"/>
            <w:vAlign w:val="bottom"/>
            <w:tcBorders>
              <w:bottom w:val="single" w:sz="8" w:color="0E3C23"/>
            </w:tcBorders>
          </w:tcPr>
          <w:p>
            <w:pPr>
              <w:spacing w:after="0" w:line="20" w:lineRule="exact"/>
              <w:rPr>
                <w:sz w:val="1"/>
                <w:szCs w:val="1"/>
                <w:color w:val="auto"/>
              </w:rPr>
            </w:pPr>
          </w:p>
        </w:tc>
        <w:tc>
          <w:tcPr>
            <w:tcW w:w="260" w:type="dxa"/>
            <w:vAlign w:val="bottom"/>
            <w:tcBorders>
              <w:bottom w:val="single" w:sz="8" w:color="0E3C23"/>
            </w:tcBorders>
          </w:tcPr>
          <w:p>
            <w:pPr>
              <w:spacing w:after="0" w:line="20" w:lineRule="exact"/>
              <w:rPr>
                <w:sz w:val="1"/>
                <w:szCs w:val="1"/>
                <w:color w:val="auto"/>
              </w:rPr>
            </w:pPr>
          </w:p>
        </w:tc>
        <w:tc>
          <w:tcPr>
            <w:tcW w:w="5860" w:type="dxa"/>
            <w:vAlign w:val="bottom"/>
            <w:tcBorders>
              <w:bottom w:val="single" w:sz="8" w:color="0E3C23"/>
            </w:tcBorders>
          </w:tcPr>
          <w:p>
            <w:pPr>
              <w:spacing w:after="0" w:line="20" w:lineRule="exact"/>
              <w:rPr>
                <w:sz w:val="1"/>
                <w:szCs w:val="1"/>
                <w:color w:val="auto"/>
              </w:rPr>
            </w:pPr>
          </w:p>
        </w:tc>
        <w:tc>
          <w:tcPr>
            <w:tcW w:w="560" w:type="dxa"/>
            <w:vAlign w:val="bottom"/>
            <w:tcBorders>
              <w:bottom w:val="single" w:sz="8" w:color="0E3C23"/>
            </w:tcBorders>
          </w:tcPr>
          <w:p>
            <w:pPr>
              <w:spacing w:after="0" w:line="20" w:lineRule="exact"/>
              <w:rPr>
                <w:sz w:val="1"/>
                <w:szCs w:val="1"/>
                <w:color w:val="auto"/>
              </w:rPr>
            </w:pPr>
          </w:p>
        </w:tc>
        <w:tc>
          <w:tcPr>
            <w:tcW w:w="300" w:type="dxa"/>
            <w:vAlign w:val="bottom"/>
            <w:tcBorders>
              <w:bottom w:val="single" w:sz="8" w:color="0E3C23"/>
            </w:tcBorders>
          </w:tcPr>
          <w:p>
            <w:pPr>
              <w:spacing w:after="0" w:line="20" w:lineRule="exact"/>
              <w:rPr>
                <w:sz w:val="1"/>
                <w:szCs w:val="1"/>
                <w:color w:val="auto"/>
              </w:rPr>
            </w:pPr>
          </w:p>
        </w:tc>
      </w:tr>
      <w:tr>
        <w:trPr>
          <w:trHeight w:val="237"/>
        </w:trPr>
        <w:tc>
          <w:tcPr>
            <w:tcW w:w="2380" w:type="dxa"/>
            <w:vAlign w:val="bottom"/>
          </w:tcPr>
          <w:p>
            <w:pPr>
              <w:ind w:left="60"/>
              <w:spacing w:after="0"/>
              <w:rPr>
                <w:sz w:val="20"/>
                <w:szCs w:val="20"/>
                <w:color w:val="auto"/>
              </w:rPr>
            </w:pPr>
            <w:r>
              <w:rPr>
                <w:rFonts w:ascii="Arial" w:cs="Arial" w:eastAsia="Arial" w:hAnsi="Arial"/>
                <w:sz w:val="20"/>
                <w:szCs w:val="20"/>
                <w:color w:val="auto"/>
              </w:rPr>
              <w:t>Christopher P. DeSantis</w:t>
            </w:r>
          </w:p>
        </w:tc>
        <w:tc>
          <w:tcPr>
            <w:tcW w:w="700" w:type="dxa"/>
            <w:vAlign w:val="bottom"/>
          </w:tcPr>
          <w:p>
            <w:pPr>
              <w:ind w:left="320"/>
              <w:spacing w:after="0"/>
              <w:rPr>
                <w:sz w:val="20"/>
                <w:szCs w:val="20"/>
                <w:color w:val="auto"/>
              </w:rPr>
            </w:pPr>
            <w:r>
              <w:rPr>
                <w:rFonts w:ascii="Arial" w:cs="Arial" w:eastAsia="Arial" w:hAnsi="Arial"/>
                <w:sz w:val="20"/>
                <w:szCs w:val="20"/>
                <w:color w:val="auto"/>
              </w:rPr>
              <w:t>61</w:t>
            </w:r>
          </w:p>
        </w:tc>
        <w:tc>
          <w:tcPr>
            <w:tcW w:w="260" w:type="dxa"/>
            <w:vAlign w:val="bottom"/>
          </w:tcPr>
          <w:p>
            <w:pPr>
              <w:ind w:left="120"/>
              <w:spacing w:after="0"/>
              <w:rPr>
                <w:sz w:val="20"/>
                <w:szCs w:val="20"/>
                <w:color w:val="auto"/>
              </w:rPr>
            </w:pPr>
            <w:r>
              <w:rPr>
                <w:rFonts w:ascii="Arial" w:cs="Arial" w:eastAsia="Arial" w:hAnsi="Arial"/>
                <w:sz w:val="20"/>
                <w:szCs w:val="20"/>
                <w:color w:val="0E3C23"/>
              </w:rPr>
              <w:t>•</w:t>
            </w:r>
          </w:p>
        </w:tc>
        <w:tc>
          <w:tcPr>
            <w:tcW w:w="5860" w:type="dxa"/>
            <w:vAlign w:val="bottom"/>
          </w:tcPr>
          <w:p>
            <w:pPr>
              <w:ind w:left="60"/>
              <w:spacing w:after="0"/>
              <w:rPr>
                <w:sz w:val="20"/>
                <w:szCs w:val="20"/>
                <w:color w:val="auto"/>
              </w:rPr>
            </w:pPr>
            <w:r>
              <w:rPr>
                <w:rFonts w:ascii="Arial" w:cs="Arial" w:eastAsia="Arial" w:hAnsi="Arial"/>
                <w:sz w:val="20"/>
                <w:szCs w:val="20"/>
                <w:color w:val="auto"/>
              </w:rPr>
              <w:t>Senior Vice President — Operations since October 2023</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45"/>
        </w:trPr>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20" w:type="dxa"/>
            <w:vAlign w:val="bottom"/>
            <w:gridSpan w:val="2"/>
          </w:tcPr>
          <w:p>
            <w:pPr>
              <w:ind w:left="120"/>
              <w:spacing w:after="0"/>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Area Vice President — New England from 2009 to October 2023.</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
        </w:trPr>
        <w:tc>
          <w:tcPr>
            <w:tcW w:w="2380" w:type="dxa"/>
            <w:vAlign w:val="bottom"/>
            <w:tcBorders>
              <w:bottom w:val="single" w:sz="8" w:color="0E3C23"/>
            </w:tcBorders>
          </w:tcPr>
          <w:p>
            <w:pPr>
              <w:spacing w:after="0" w:line="20" w:lineRule="exact"/>
              <w:rPr>
                <w:sz w:val="1"/>
                <w:szCs w:val="1"/>
                <w:color w:val="auto"/>
              </w:rPr>
            </w:pPr>
          </w:p>
        </w:tc>
        <w:tc>
          <w:tcPr>
            <w:tcW w:w="700" w:type="dxa"/>
            <w:vAlign w:val="bottom"/>
            <w:tcBorders>
              <w:bottom w:val="single" w:sz="8" w:color="0E3C23"/>
            </w:tcBorders>
          </w:tcPr>
          <w:p>
            <w:pPr>
              <w:spacing w:after="0" w:line="20" w:lineRule="exact"/>
              <w:rPr>
                <w:sz w:val="1"/>
                <w:szCs w:val="1"/>
                <w:color w:val="auto"/>
              </w:rPr>
            </w:pPr>
          </w:p>
        </w:tc>
        <w:tc>
          <w:tcPr>
            <w:tcW w:w="260" w:type="dxa"/>
            <w:vAlign w:val="bottom"/>
            <w:tcBorders>
              <w:bottom w:val="single" w:sz="8" w:color="0E3C23"/>
            </w:tcBorders>
          </w:tcPr>
          <w:p>
            <w:pPr>
              <w:spacing w:after="0" w:line="20" w:lineRule="exact"/>
              <w:rPr>
                <w:sz w:val="1"/>
                <w:szCs w:val="1"/>
                <w:color w:val="auto"/>
              </w:rPr>
            </w:pPr>
          </w:p>
        </w:tc>
        <w:tc>
          <w:tcPr>
            <w:tcW w:w="6420" w:type="dxa"/>
            <w:vAlign w:val="bottom"/>
            <w:tcBorders>
              <w:bottom w:val="single" w:sz="8" w:color="0E3C23"/>
            </w:tcBorders>
            <w:gridSpan w:val="2"/>
          </w:tcPr>
          <w:p>
            <w:pPr>
              <w:spacing w:after="0" w:line="20" w:lineRule="exact"/>
              <w:rPr>
                <w:sz w:val="1"/>
                <w:szCs w:val="1"/>
                <w:color w:val="auto"/>
              </w:rPr>
            </w:pPr>
          </w:p>
        </w:tc>
        <w:tc>
          <w:tcPr>
            <w:tcW w:w="300" w:type="dxa"/>
            <w:vAlign w:val="bottom"/>
            <w:tcBorders>
              <w:bottom w:val="single" w:sz="8" w:color="0E3C23"/>
            </w:tcBorders>
          </w:tcPr>
          <w:p>
            <w:pPr>
              <w:spacing w:after="0" w:line="20" w:lineRule="exact"/>
              <w:rPr>
                <w:sz w:val="1"/>
                <w:szCs w:val="1"/>
                <w:color w:val="auto"/>
              </w:rPr>
            </w:pPr>
          </w:p>
        </w:tc>
      </w:tr>
      <w:tr>
        <w:trPr>
          <w:trHeight w:val="237"/>
        </w:trPr>
        <w:tc>
          <w:tcPr>
            <w:tcW w:w="2380" w:type="dxa"/>
            <w:vAlign w:val="bottom"/>
          </w:tcPr>
          <w:p>
            <w:pPr>
              <w:ind w:left="60"/>
              <w:spacing w:after="0"/>
              <w:rPr>
                <w:sz w:val="20"/>
                <w:szCs w:val="20"/>
                <w:color w:val="auto"/>
              </w:rPr>
            </w:pPr>
            <w:r>
              <w:rPr>
                <w:rFonts w:ascii="Arial" w:cs="Arial" w:eastAsia="Arial" w:hAnsi="Arial"/>
                <w:sz w:val="20"/>
                <w:szCs w:val="20"/>
                <w:color w:val="auto"/>
              </w:rPr>
              <w:t>Tara J. Hemmer</w:t>
            </w:r>
          </w:p>
        </w:tc>
        <w:tc>
          <w:tcPr>
            <w:tcW w:w="700" w:type="dxa"/>
            <w:vAlign w:val="bottom"/>
          </w:tcPr>
          <w:p>
            <w:pPr>
              <w:ind w:left="320"/>
              <w:spacing w:after="0"/>
              <w:rPr>
                <w:sz w:val="20"/>
                <w:szCs w:val="20"/>
                <w:color w:val="auto"/>
              </w:rPr>
            </w:pPr>
            <w:r>
              <w:rPr>
                <w:rFonts w:ascii="Arial" w:cs="Arial" w:eastAsia="Arial" w:hAnsi="Arial"/>
                <w:sz w:val="20"/>
                <w:szCs w:val="20"/>
                <w:color w:val="auto"/>
              </w:rPr>
              <w:t>52</w:t>
            </w:r>
          </w:p>
        </w:tc>
        <w:tc>
          <w:tcPr>
            <w:tcW w:w="260" w:type="dxa"/>
            <w:vAlign w:val="bottom"/>
          </w:tcPr>
          <w:p>
            <w:pPr>
              <w:ind w:left="120"/>
              <w:spacing w:after="0"/>
              <w:rPr>
                <w:sz w:val="20"/>
                <w:szCs w:val="20"/>
                <w:color w:val="auto"/>
              </w:rPr>
            </w:pPr>
            <w:r>
              <w:rPr>
                <w:rFonts w:ascii="Arial" w:cs="Arial" w:eastAsia="Arial" w:hAnsi="Arial"/>
                <w:sz w:val="20"/>
                <w:szCs w:val="20"/>
                <w:color w:val="0E3C23"/>
              </w:rPr>
              <w:t>•</w:t>
            </w:r>
          </w:p>
        </w:tc>
        <w:tc>
          <w:tcPr>
            <w:tcW w:w="6420" w:type="dxa"/>
            <w:vAlign w:val="bottom"/>
            <w:gridSpan w:val="2"/>
          </w:tcPr>
          <w:p>
            <w:pPr>
              <w:ind w:left="60"/>
              <w:spacing w:after="0"/>
              <w:rPr>
                <w:sz w:val="20"/>
                <w:szCs w:val="20"/>
                <w:color w:val="auto"/>
              </w:rPr>
            </w:pPr>
            <w:r>
              <w:rPr>
                <w:rFonts w:ascii="Arial" w:cs="Arial" w:eastAsia="Arial" w:hAnsi="Arial"/>
                <w:sz w:val="20"/>
                <w:szCs w:val="20"/>
                <w:color w:val="auto"/>
              </w:rPr>
              <w:t>Senior Vice President and Chief Sustainability Officer since July 2021.</w:t>
            </w:r>
          </w:p>
        </w:tc>
        <w:tc>
          <w:tcPr>
            <w:tcW w:w="300" w:type="dxa"/>
            <w:vAlign w:val="bottom"/>
          </w:tcPr>
          <w:p>
            <w:pPr>
              <w:spacing w:after="0"/>
              <w:rPr>
                <w:sz w:val="20"/>
                <w:szCs w:val="20"/>
                <w:color w:val="auto"/>
              </w:rPr>
            </w:pPr>
          </w:p>
        </w:tc>
      </w:tr>
      <w:tr>
        <w:trPr>
          <w:trHeight w:val="345"/>
        </w:trPr>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20" w:type="dxa"/>
            <w:vAlign w:val="bottom"/>
            <w:gridSpan w:val="2"/>
          </w:tcPr>
          <w:p>
            <w:pPr>
              <w:ind w:left="120"/>
              <w:spacing w:after="0"/>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Senior Vice President — Operations from 2019 to June 2021.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
        </w:trPr>
        <w:tc>
          <w:tcPr>
            <w:tcW w:w="2380" w:type="dxa"/>
            <w:vAlign w:val="bottom"/>
            <w:tcBorders>
              <w:bottom w:val="single" w:sz="8" w:color="0E3C23"/>
            </w:tcBorders>
          </w:tcPr>
          <w:p>
            <w:pPr>
              <w:spacing w:after="0" w:line="20" w:lineRule="exact"/>
              <w:rPr>
                <w:sz w:val="1"/>
                <w:szCs w:val="1"/>
                <w:color w:val="auto"/>
              </w:rPr>
            </w:pPr>
          </w:p>
        </w:tc>
        <w:tc>
          <w:tcPr>
            <w:tcW w:w="700" w:type="dxa"/>
            <w:vAlign w:val="bottom"/>
            <w:tcBorders>
              <w:bottom w:val="single" w:sz="8" w:color="0E3C23"/>
            </w:tcBorders>
          </w:tcPr>
          <w:p>
            <w:pPr>
              <w:spacing w:after="0" w:line="20" w:lineRule="exact"/>
              <w:rPr>
                <w:sz w:val="1"/>
                <w:szCs w:val="1"/>
                <w:color w:val="auto"/>
              </w:rPr>
            </w:pPr>
          </w:p>
        </w:tc>
        <w:tc>
          <w:tcPr>
            <w:tcW w:w="260" w:type="dxa"/>
            <w:vAlign w:val="bottom"/>
            <w:tcBorders>
              <w:bottom w:val="single" w:sz="8" w:color="0E3C23"/>
            </w:tcBorders>
          </w:tcPr>
          <w:p>
            <w:pPr>
              <w:spacing w:after="0" w:line="20" w:lineRule="exact"/>
              <w:rPr>
                <w:sz w:val="1"/>
                <w:szCs w:val="1"/>
                <w:color w:val="auto"/>
              </w:rPr>
            </w:pPr>
          </w:p>
        </w:tc>
        <w:tc>
          <w:tcPr>
            <w:tcW w:w="5860" w:type="dxa"/>
            <w:vAlign w:val="bottom"/>
            <w:tcBorders>
              <w:bottom w:val="single" w:sz="8" w:color="0E3C23"/>
            </w:tcBorders>
          </w:tcPr>
          <w:p>
            <w:pPr>
              <w:spacing w:after="0" w:line="20" w:lineRule="exact"/>
              <w:rPr>
                <w:sz w:val="1"/>
                <w:szCs w:val="1"/>
                <w:color w:val="auto"/>
              </w:rPr>
            </w:pPr>
          </w:p>
        </w:tc>
        <w:tc>
          <w:tcPr>
            <w:tcW w:w="560" w:type="dxa"/>
            <w:vAlign w:val="bottom"/>
            <w:tcBorders>
              <w:bottom w:val="single" w:sz="8" w:color="0E3C23"/>
            </w:tcBorders>
          </w:tcPr>
          <w:p>
            <w:pPr>
              <w:spacing w:after="0" w:line="20" w:lineRule="exact"/>
              <w:rPr>
                <w:sz w:val="1"/>
                <w:szCs w:val="1"/>
                <w:color w:val="auto"/>
              </w:rPr>
            </w:pPr>
          </w:p>
        </w:tc>
        <w:tc>
          <w:tcPr>
            <w:tcW w:w="300" w:type="dxa"/>
            <w:vAlign w:val="bottom"/>
            <w:tcBorders>
              <w:bottom w:val="single" w:sz="8" w:color="0E3C23"/>
            </w:tcBorders>
          </w:tcPr>
          <w:p>
            <w:pPr>
              <w:spacing w:after="0" w:line="20" w:lineRule="exact"/>
              <w:rPr>
                <w:sz w:val="1"/>
                <w:szCs w:val="1"/>
                <w:color w:val="auto"/>
              </w:rPr>
            </w:pPr>
          </w:p>
        </w:tc>
      </w:tr>
      <w:tr>
        <w:trPr>
          <w:trHeight w:val="237"/>
        </w:trPr>
        <w:tc>
          <w:tcPr>
            <w:tcW w:w="2380" w:type="dxa"/>
            <w:vAlign w:val="bottom"/>
          </w:tcPr>
          <w:p>
            <w:pPr>
              <w:ind w:left="60"/>
              <w:spacing w:after="0"/>
              <w:rPr>
                <w:sz w:val="20"/>
                <w:szCs w:val="20"/>
                <w:color w:val="auto"/>
              </w:rPr>
            </w:pPr>
            <w:r>
              <w:rPr>
                <w:rFonts w:ascii="Arial" w:cs="Arial" w:eastAsia="Arial" w:hAnsi="Arial"/>
                <w:sz w:val="20"/>
                <w:szCs w:val="20"/>
                <w:color w:val="auto"/>
              </w:rPr>
              <w:t>John J. Morris, Jr.</w:t>
            </w:r>
          </w:p>
        </w:tc>
        <w:tc>
          <w:tcPr>
            <w:tcW w:w="700" w:type="dxa"/>
            <w:vAlign w:val="bottom"/>
          </w:tcPr>
          <w:p>
            <w:pPr>
              <w:ind w:left="320"/>
              <w:spacing w:after="0"/>
              <w:rPr>
                <w:sz w:val="20"/>
                <w:szCs w:val="20"/>
                <w:color w:val="auto"/>
              </w:rPr>
            </w:pPr>
            <w:r>
              <w:rPr>
                <w:rFonts w:ascii="Arial" w:cs="Arial" w:eastAsia="Arial" w:hAnsi="Arial"/>
                <w:sz w:val="20"/>
                <w:szCs w:val="20"/>
                <w:color w:val="auto"/>
              </w:rPr>
              <w:t>55</w:t>
            </w:r>
          </w:p>
        </w:tc>
        <w:tc>
          <w:tcPr>
            <w:tcW w:w="260" w:type="dxa"/>
            <w:vAlign w:val="bottom"/>
          </w:tcPr>
          <w:p>
            <w:pPr>
              <w:ind w:left="120"/>
              <w:spacing w:after="0"/>
              <w:rPr>
                <w:sz w:val="20"/>
                <w:szCs w:val="20"/>
                <w:color w:val="auto"/>
              </w:rPr>
            </w:pPr>
            <w:r>
              <w:rPr>
                <w:rFonts w:ascii="Arial" w:cs="Arial" w:eastAsia="Arial" w:hAnsi="Arial"/>
                <w:sz w:val="20"/>
                <w:szCs w:val="20"/>
                <w:color w:val="0E3C23"/>
              </w:rPr>
              <w:t>•</w:t>
            </w:r>
          </w:p>
        </w:tc>
        <w:tc>
          <w:tcPr>
            <w:tcW w:w="5860" w:type="dxa"/>
            <w:vAlign w:val="bottom"/>
          </w:tcPr>
          <w:p>
            <w:pPr>
              <w:ind w:left="60"/>
              <w:spacing w:after="0"/>
              <w:rPr>
                <w:sz w:val="20"/>
                <w:szCs w:val="20"/>
                <w:color w:val="auto"/>
              </w:rPr>
            </w:pPr>
            <w:r>
              <w:rPr>
                <w:rFonts w:ascii="Arial" w:cs="Arial" w:eastAsia="Arial" w:hAnsi="Arial"/>
                <w:sz w:val="20"/>
                <w:szCs w:val="20"/>
                <w:color w:val="auto"/>
                <w:w w:val="99"/>
              </w:rPr>
              <w:t>Executive Vice President and Chief Operating Officer since 2019.</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48"/>
        </w:trPr>
        <w:tc>
          <w:tcPr>
            <w:tcW w:w="2380" w:type="dxa"/>
            <w:vAlign w:val="bottom"/>
            <w:tcBorders>
              <w:bottom w:val="single" w:sz="8" w:color="0E3C23"/>
            </w:tcBorders>
          </w:tcPr>
          <w:p>
            <w:pPr>
              <w:spacing w:after="0"/>
              <w:rPr>
                <w:sz w:val="21"/>
                <w:szCs w:val="21"/>
                <w:color w:val="auto"/>
              </w:rPr>
            </w:pPr>
          </w:p>
        </w:tc>
        <w:tc>
          <w:tcPr>
            <w:tcW w:w="700" w:type="dxa"/>
            <w:vAlign w:val="bottom"/>
            <w:tcBorders>
              <w:bottom w:val="single" w:sz="8" w:color="0E3C23"/>
            </w:tcBorders>
          </w:tcPr>
          <w:p>
            <w:pPr>
              <w:spacing w:after="0"/>
              <w:rPr>
                <w:sz w:val="21"/>
                <w:szCs w:val="21"/>
                <w:color w:val="auto"/>
              </w:rPr>
            </w:pPr>
          </w:p>
        </w:tc>
        <w:tc>
          <w:tcPr>
            <w:tcW w:w="260" w:type="dxa"/>
            <w:vAlign w:val="bottom"/>
            <w:tcBorders>
              <w:bottom w:val="single" w:sz="8" w:color="0E3C23"/>
            </w:tcBorders>
          </w:tcPr>
          <w:p>
            <w:pPr>
              <w:spacing w:after="0"/>
              <w:rPr>
                <w:sz w:val="21"/>
                <w:szCs w:val="21"/>
                <w:color w:val="auto"/>
              </w:rPr>
            </w:pPr>
          </w:p>
        </w:tc>
        <w:tc>
          <w:tcPr>
            <w:tcW w:w="5860" w:type="dxa"/>
            <w:vAlign w:val="bottom"/>
            <w:tcBorders>
              <w:bottom w:val="single" w:sz="8" w:color="0E3C23"/>
            </w:tcBorders>
          </w:tcPr>
          <w:p>
            <w:pPr>
              <w:spacing w:after="0"/>
              <w:rPr>
                <w:sz w:val="21"/>
                <w:szCs w:val="21"/>
                <w:color w:val="auto"/>
              </w:rPr>
            </w:pPr>
          </w:p>
        </w:tc>
        <w:tc>
          <w:tcPr>
            <w:tcW w:w="560" w:type="dxa"/>
            <w:vAlign w:val="bottom"/>
            <w:tcBorders>
              <w:bottom w:val="single" w:sz="8" w:color="0E3C23"/>
            </w:tcBorders>
          </w:tcPr>
          <w:p>
            <w:pPr>
              <w:spacing w:after="0"/>
              <w:rPr>
                <w:sz w:val="21"/>
                <w:szCs w:val="21"/>
                <w:color w:val="auto"/>
              </w:rPr>
            </w:pPr>
          </w:p>
        </w:tc>
        <w:tc>
          <w:tcPr>
            <w:tcW w:w="300" w:type="dxa"/>
            <w:vAlign w:val="bottom"/>
            <w:tcBorders>
              <w:bottom w:val="single" w:sz="8" w:color="0E3C23"/>
            </w:tcBorders>
          </w:tcPr>
          <w:p>
            <w:pPr>
              <w:spacing w:after="0"/>
              <w:rPr>
                <w:sz w:val="21"/>
                <w:szCs w:val="21"/>
                <w:color w:val="auto"/>
              </w:rPr>
            </w:pPr>
          </w:p>
        </w:tc>
      </w:tr>
      <w:tr>
        <w:trPr>
          <w:trHeight w:val="237"/>
        </w:trPr>
        <w:tc>
          <w:tcPr>
            <w:tcW w:w="2380" w:type="dxa"/>
            <w:vAlign w:val="bottom"/>
          </w:tcPr>
          <w:p>
            <w:pPr>
              <w:ind w:left="60"/>
              <w:spacing w:after="0"/>
              <w:rPr>
                <w:sz w:val="20"/>
                <w:szCs w:val="20"/>
                <w:color w:val="auto"/>
              </w:rPr>
            </w:pPr>
            <w:r>
              <w:rPr>
                <w:rFonts w:ascii="Arial" w:cs="Arial" w:eastAsia="Arial" w:hAnsi="Arial"/>
                <w:sz w:val="20"/>
                <w:szCs w:val="20"/>
                <w:color w:val="auto"/>
              </w:rPr>
              <w:t>Devina A. Rankin</w:t>
            </w:r>
          </w:p>
        </w:tc>
        <w:tc>
          <w:tcPr>
            <w:tcW w:w="700" w:type="dxa"/>
            <w:vAlign w:val="bottom"/>
          </w:tcPr>
          <w:p>
            <w:pPr>
              <w:ind w:left="320"/>
              <w:spacing w:after="0"/>
              <w:rPr>
                <w:sz w:val="20"/>
                <w:szCs w:val="20"/>
                <w:color w:val="auto"/>
              </w:rPr>
            </w:pPr>
            <w:r>
              <w:rPr>
                <w:rFonts w:ascii="Arial" w:cs="Arial" w:eastAsia="Arial" w:hAnsi="Arial"/>
                <w:sz w:val="20"/>
                <w:szCs w:val="20"/>
                <w:color w:val="auto"/>
              </w:rPr>
              <w:t>49</w:t>
            </w:r>
          </w:p>
        </w:tc>
        <w:tc>
          <w:tcPr>
            <w:tcW w:w="260" w:type="dxa"/>
            <w:vAlign w:val="bottom"/>
          </w:tcPr>
          <w:p>
            <w:pPr>
              <w:ind w:left="120"/>
              <w:spacing w:after="0"/>
              <w:rPr>
                <w:sz w:val="20"/>
                <w:szCs w:val="20"/>
                <w:color w:val="auto"/>
              </w:rPr>
            </w:pPr>
            <w:r>
              <w:rPr>
                <w:rFonts w:ascii="Arial" w:cs="Arial" w:eastAsia="Arial" w:hAnsi="Arial"/>
                <w:sz w:val="20"/>
                <w:szCs w:val="20"/>
                <w:color w:val="0E3C23"/>
              </w:rPr>
              <w:t>•</w:t>
            </w:r>
          </w:p>
        </w:tc>
        <w:tc>
          <w:tcPr>
            <w:tcW w:w="5860" w:type="dxa"/>
            <w:vAlign w:val="bottom"/>
          </w:tcPr>
          <w:p>
            <w:pPr>
              <w:ind w:left="60"/>
              <w:spacing w:after="0"/>
              <w:rPr>
                <w:sz w:val="20"/>
                <w:szCs w:val="20"/>
                <w:color w:val="auto"/>
              </w:rPr>
            </w:pPr>
            <w:r>
              <w:rPr>
                <w:rFonts w:ascii="Arial" w:cs="Arial" w:eastAsia="Arial" w:hAnsi="Arial"/>
                <w:sz w:val="20"/>
                <w:szCs w:val="20"/>
                <w:color w:val="auto"/>
              </w:rPr>
              <w:t>Executive Vice President and Chief Financial Officer since 2020.</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45"/>
        </w:trPr>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20"/>
                <w:szCs w:val="20"/>
                <w:color w:val="0E3C23"/>
              </w:rPr>
              <w:t>•</w:t>
            </w:r>
          </w:p>
        </w:tc>
        <w:tc>
          <w:tcPr>
            <w:tcW w:w="5860" w:type="dxa"/>
            <w:vAlign w:val="bottom"/>
          </w:tcPr>
          <w:p>
            <w:pPr>
              <w:ind w:left="60"/>
              <w:spacing w:after="0"/>
              <w:rPr>
                <w:sz w:val="20"/>
                <w:szCs w:val="20"/>
                <w:color w:val="auto"/>
              </w:rPr>
            </w:pPr>
            <w:r>
              <w:rPr>
                <w:rFonts w:ascii="Arial" w:cs="Arial" w:eastAsia="Arial" w:hAnsi="Arial"/>
                <w:sz w:val="20"/>
                <w:szCs w:val="20"/>
                <w:color w:val="auto"/>
                <w:w w:val="95"/>
              </w:rPr>
              <w:t>Senior Vice President and Chief Financial Officer from 2017 to 2020.</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
        </w:trPr>
        <w:tc>
          <w:tcPr>
            <w:tcW w:w="2380" w:type="dxa"/>
            <w:vAlign w:val="bottom"/>
            <w:tcBorders>
              <w:bottom w:val="single" w:sz="8" w:color="0E3C23"/>
            </w:tcBorders>
          </w:tcPr>
          <w:p>
            <w:pPr>
              <w:spacing w:after="0" w:line="20" w:lineRule="exact"/>
              <w:rPr>
                <w:sz w:val="1"/>
                <w:szCs w:val="1"/>
                <w:color w:val="auto"/>
              </w:rPr>
            </w:pPr>
          </w:p>
        </w:tc>
        <w:tc>
          <w:tcPr>
            <w:tcW w:w="700" w:type="dxa"/>
            <w:vAlign w:val="bottom"/>
            <w:tcBorders>
              <w:bottom w:val="single" w:sz="8" w:color="0E3C23"/>
            </w:tcBorders>
          </w:tcPr>
          <w:p>
            <w:pPr>
              <w:spacing w:after="0" w:line="20" w:lineRule="exact"/>
              <w:rPr>
                <w:sz w:val="1"/>
                <w:szCs w:val="1"/>
                <w:color w:val="auto"/>
              </w:rPr>
            </w:pPr>
          </w:p>
        </w:tc>
        <w:tc>
          <w:tcPr>
            <w:tcW w:w="260" w:type="dxa"/>
            <w:vAlign w:val="bottom"/>
            <w:tcBorders>
              <w:bottom w:val="single" w:sz="8" w:color="0E3C23"/>
            </w:tcBorders>
          </w:tcPr>
          <w:p>
            <w:pPr>
              <w:spacing w:after="0" w:line="20" w:lineRule="exact"/>
              <w:rPr>
                <w:sz w:val="1"/>
                <w:szCs w:val="1"/>
                <w:color w:val="auto"/>
              </w:rPr>
            </w:pPr>
          </w:p>
        </w:tc>
        <w:tc>
          <w:tcPr>
            <w:tcW w:w="5860" w:type="dxa"/>
            <w:vAlign w:val="bottom"/>
            <w:tcBorders>
              <w:bottom w:val="single" w:sz="8" w:color="0E3C23"/>
            </w:tcBorders>
          </w:tcPr>
          <w:p>
            <w:pPr>
              <w:spacing w:after="0" w:line="20" w:lineRule="exact"/>
              <w:rPr>
                <w:sz w:val="1"/>
                <w:szCs w:val="1"/>
                <w:color w:val="auto"/>
              </w:rPr>
            </w:pPr>
          </w:p>
        </w:tc>
        <w:tc>
          <w:tcPr>
            <w:tcW w:w="560" w:type="dxa"/>
            <w:vAlign w:val="bottom"/>
            <w:tcBorders>
              <w:bottom w:val="single" w:sz="8" w:color="0E3C23"/>
            </w:tcBorders>
          </w:tcPr>
          <w:p>
            <w:pPr>
              <w:spacing w:after="0" w:line="20" w:lineRule="exact"/>
              <w:rPr>
                <w:sz w:val="1"/>
                <w:szCs w:val="1"/>
                <w:color w:val="auto"/>
              </w:rPr>
            </w:pPr>
          </w:p>
        </w:tc>
        <w:tc>
          <w:tcPr>
            <w:tcW w:w="300" w:type="dxa"/>
            <w:vAlign w:val="bottom"/>
            <w:tcBorders>
              <w:bottom w:val="single" w:sz="8" w:color="0E3C23"/>
            </w:tcBorders>
          </w:tcPr>
          <w:p>
            <w:pPr>
              <w:spacing w:after="0" w:line="20" w:lineRule="exact"/>
              <w:rPr>
                <w:sz w:val="1"/>
                <w:szCs w:val="1"/>
                <w:color w:val="auto"/>
              </w:rPr>
            </w:pPr>
          </w:p>
        </w:tc>
      </w:tr>
      <w:tr>
        <w:trPr>
          <w:trHeight w:val="237"/>
        </w:trPr>
        <w:tc>
          <w:tcPr>
            <w:tcW w:w="2380" w:type="dxa"/>
            <w:vAlign w:val="bottom"/>
          </w:tcPr>
          <w:p>
            <w:pPr>
              <w:ind w:left="60"/>
              <w:spacing w:after="0"/>
              <w:rPr>
                <w:sz w:val="20"/>
                <w:szCs w:val="20"/>
                <w:color w:val="auto"/>
              </w:rPr>
            </w:pPr>
            <w:r>
              <w:rPr>
                <w:rFonts w:ascii="Arial" w:cs="Arial" w:eastAsia="Arial" w:hAnsi="Arial"/>
                <w:sz w:val="20"/>
                <w:szCs w:val="20"/>
                <w:color w:val="auto"/>
              </w:rPr>
              <w:t>Donald J. Smith</w:t>
            </w:r>
          </w:p>
        </w:tc>
        <w:tc>
          <w:tcPr>
            <w:tcW w:w="700" w:type="dxa"/>
            <w:vAlign w:val="bottom"/>
          </w:tcPr>
          <w:p>
            <w:pPr>
              <w:ind w:left="320"/>
              <w:spacing w:after="0"/>
              <w:rPr>
                <w:sz w:val="20"/>
                <w:szCs w:val="20"/>
                <w:color w:val="auto"/>
              </w:rPr>
            </w:pPr>
            <w:r>
              <w:rPr>
                <w:rFonts w:ascii="Arial" w:cs="Arial" w:eastAsia="Arial" w:hAnsi="Arial"/>
                <w:sz w:val="20"/>
                <w:szCs w:val="20"/>
                <w:color w:val="auto"/>
              </w:rPr>
              <w:t>58</w:t>
            </w:r>
          </w:p>
        </w:tc>
        <w:tc>
          <w:tcPr>
            <w:tcW w:w="260" w:type="dxa"/>
            <w:vAlign w:val="bottom"/>
          </w:tcPr>
          <w:p>
            <w:pPr>
              <w:ind w:left="120"/>
              <w:spacing w:after="0"/>
              <w:rPr>
                <w:sz w:val="20"/>
                <w:szCs w:val="20"/>
                <w:color w:val="auto"/>
              </w:rPr>
            </w:pPr>
            <w:r>
              <w:rPr>
                <w:rFonts w:ascii="Arial" w:cs="Arial" w:eastAsia="Arial" w:hAnsi="Arial"/>
                <w:sz w:val="20"/>
                <w:szCs w:val="20"/>
                <w:color w:val="0E3C23"/>
              </w:rPr>
              <w:t>•</w:t>
            </w:r>
          </w:p>
        </w:tc>
        <w:tc>
          <w:tcPr>
            <w:tcW w:w="5860" w:type="dxa"/>
            <w:vAlign w:val="bottom"/>
          </w:tcPr>
          <w:p>
            <w:pPr>
              <w:ind w:left="60"/>
              <w:spacing w:after="0"/>
              <w:rPr>
                <w:sz w:val="20"/>
                <w:szCs w:val="20"/>
                <w:color w:val="auto"/>
              </w:rPr>
            </w:pPr>
            <w:r>
              <w:rPr>
                <w:rFonts w:ascii="Arial" w:cs="Arial" w:eastAsia="Arial" w:hAnsi="Arial"/>
                <w:sz w:val="20"/>
                <w:szCs w:val="20"/>
                <w:color w:val="auto"/>
              </w:rPr>
              <w:t>Senior Vice President — Operations since January 2023.</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45"/>
        </w:trPr>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20"/>
                <w:szCs w:val="20"/>
                <w:color w:val="0E3C23"/>
              </w:rPr>
              <w:t>•</w:t>
            </w:r>
          </w:p>
        </w:tc>
        <w:tc>
          <w:tcPr>
            <w:tcW w:w="6720" w:type="dxa"/>
            <w:vAlign w:val="bottom"/>
            <w:gridSpan w:val="3"/>
          </w:tcPr>
          <w:p>
            <w:pPr>
              <w:ind w:left="60"/>
              <w:spacing w:after="0"/>
              <w:rPr>
                <w:sz w:val="20"/>
                <w:szCs w:val="20"/>
                <w:color w:val="auto"/>
              </w:rPr>
            </w:pPr>
            <w:r>
              <w:rPr>
                <w:rFonts w:ascii="Arial" w:cs="Arial" w:eastAsia="Arial" w:hAnsi="Arial"/>
                <w:sz w:val="20"/>
                <w:szCs w:val="20"/>
                <w:color w:val="auto"/>
                <w:w w:val="95"/>
              </w:rPr>
              <w:t>Area Vice President — Texas &amp; Oklahoma Area from 2012 to December 2022.</w:t>
            </w:r>
          </w:p>
        </w:tc>
      </w:tr>
      <w:tr>
        <w:trPr>
          <w:trHeight w:val="22"/>
        </w:trPr>
        <w:tc>
          <w:tcPr>
            <w:tcW w:w="2380" w:type="dxa"/>
            <w:vAlign w:val="bottom"/>
            <w:tcBorders>
              <w:bottom w:val="single" w:sz="8" w:color="0E3C23"/>
            </w:tcBorders>
          </w:tcPr>
          <w:p>
            <w:pPr>
              <w:spacing w:after="0" w:line="20" w:lineRule="exact"/>
              <w:rPr>
                <w:sz w:val="1"/>
                <w:szCs w:val="1"/>
                <w:color w:val="auto"/>
              </w:rPr>
            </w:pPr>
          </w:p>
        </w:tc>
        <w:tc>
          <w:tcPr>
            <w:tcW w:w="700" w:type="dxa"/>
            <w:vAlign w:val="bottom"/>
            <w:tcBorders>
              <w:bottom w:val="single" w:sz="8" w:color="0E3C23"/>
            </w:tcBorders>
          </w:tcPr>
          <w:p>
            <w:pPr>
              <w:spacing w:after="0" w:line="20" w:lineRule="exact"/>
              <w:rPr>
                <w:sz w:val="1"/>
                <w:szCs w:val="1"/>
                <w:color w:val="auto"/>
              </w:rPr>
            </w:pPr>
          </w:p>
        </w:tc>
        <w:tc>
          <w:tcPr>
            <w:tcW w:w="260" w:type="dxa"/>
            <w:vAlign w:val="bottom"/>
            <w:tcBorders>
              <w:bottom w:val="single" w:sz="8" w:color="0E3C23"/>
            </w:tcBorders>
          </w:tcPr>
          <w:p>
            <w:pPr>
              <w:spacing w:after="0" w:line="20" w:lineRule="exact"/>
              <w:rPr>
                <w:sz w:val="1"/>
                <w:szCs w:val="1"/>
                <w:color w:val="auto"/>
              </w:rPr>
            </w:pPr>
          </w:p>
        </w:tc>
        <w:tc>
          <w:tcPr>
            <w:tcW w:w="6720" w:type="dxa"/>
            <w:vAlign w:val="bottom"/>
            <w:tcBorders>
              <w:bottom w:val="single" w:sz="8" w:color="0E3C23"/>
            </w:tcBorders>
            <w:gridSpan w:val="3"/>
          </w:tcPr>
          <w:p>
            <w:pPr>
              <w:spacing w:after="0" w:line="20" w:lineRule="exact"/>
              <w:rPr>
                <w:sz w:val="1"/>
                <w:szCs w:val="1"/>
                <w:color w:val="auto"/>
              </w:rPr>
            </w:pPr>
          </w:p>
        </w:tc>
      </w:tr>
      <w:tr>
        <w:trPr>
          <w:trHeight w:val="237"/>
        </w:trPr>
        <w:tc>
          <w:tcPr>
            <w:tcW w:w="2380" w:type="dxa"/>
            <w:vAlign w:val="bottom"/>
          </w:tcPr>
          <w:p>
            <w:pPr>
              <w:ind w:left="60"/>
              <w:spacing w:after="0"/>
              <w:rPr>
                <w:sz w:val="20"/>
                <w:szCs w:val="20"/>
                <w:color w:val="auto"/>
              </w:rPr>
            </w:pPr>
            <w:r>
              <w:rPr>
                <w:rFonts w:ascii="Arial" w:cs="Arial" w:eastAsia="Arial" w:hAnsi="Arial"/>
                <w:sz w:val="20"/>
                <w:szCs w:val="20"/>
                <w:color w:val="auto"/>
              </w:rPr>
              <w:t>Kimberly G. Stith</w:t>
            </w:r>
          </w:p>
        </w:tc>
        <w:tc>
          <w:tcPr>
            <w:tcW w:w="700" w:type="dxa"/>
            <w:vAlign w:val="bottom"/>
          </w:tcPr>
          <w:p>
            <w:pPr>
              <w:ind w:left="320"/>
              <w:spacing w:after="0"/>
              <w:rPr>
                <w:sz w:val="20"/>
                <w:szCs w:val="20"/>
                <w:color w:val="auto"/>
              </w:rPr>
            </w:pPr>
            <w:r>
              <w:rPr>
                <w:rFonts w:ascii="Arial" w:cs="Arial" w:eastAsia="Arial" w:hAnsi="Arial"/>
                <w:sz w:val="20"/>
                <w:szCs w:val="20"/>
                <w:color w:val="auto"/>
              </w:rPr>
              <w:t>59</w:t>
            </w:r>
          </w:p>
        </w:tc>
        <w:tc>
          <w:tcPr>
            <w:tcW w:w="260" w:type="dxa"/>
            <w:vAlign w:val="bottom"/>
          </w:tcPr>
          <w:p>
            <w:pPr>
              <w:ind w:left="120"/>
              <w:spacing w:after="0"/>
              <w:rPr>
                <w:sz w:val="20"/>
                <w:szCs w:val="20"/>
                <w:color w:val="auto"/>
              </w:rPr>
            </w:pPr>
            <w:r>
              <w:rPr>
                <w:rFonts w:ascii="Arial" w:cs="Arial" w:eastAsia="Arial" w:hAnsi="Arial"/>
                <w:sz w:val="20"/>
                <w:szCs w:val="20"/>
                <w:color w:val="0E3C23"/>
              </w:rPr>
              <w:t>•</w:t>
            </w:r>
          </w:p>
        </w:tc>
        <w:tc>
          <w:tcPr>
            <w:tcW w:w="6720" w:type="dxa"/>
            <w:vAlign w:val="bottom"/>
            <w:gridSpan w:val="3"/>
          </w:tcPr>
          <w:p>
            <w:pPr>
              <w:ind w:left="60"/>
              <w:spacing w:after="0"/>
              <w:rPr>
                <w:sz w:val="20"/>
                <w:szCs w:val="20"/>
                <w:color w:val="auto"/>
              </w:rPr>
            </w:pPr>
            <w:r>
              <w:rPr>
                <w:rFonts w:ascii="Arial" w:cs="Arial" w:eastAsia="Arial" w:hAnsi="Arial"/>
                <w:sz w:val="20"/>
                <w:szCs w:val="20"/>
                <w:color w:val="auto"/>
              </w:rPr>
              <w:t>Senior  Vice  President  and  Chief  Human  Resources  Officer  since</w:t>
            </w:r>
          </w:p>
        </w:tc>
      </w:tr>
      <w:tr>
        <w:trPr>
          <w:trHeight w:val="226"/>
        </w:trPr>
        <w:tc>
          <w:tcPr>
            <w:tcW w:w="2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60" w:type="dxa"/>
            <w:vAlign w:val="bottom"/>
          </w:tcPr>
          <w:p>
            <w:pPr>
              <w:ind w:left="60"/>
              <w:spacing w:after="0" w:line="226" w:lineRule="exact"/>
              <w:rPr>
                <w:sz w:val="20"/>
                <w:szCs w:val="20"/>
                <w:color w:val="auto"/>
              </w:rPr>
            </w:pPr>
            <w:r>
              <w:rPr>
                <w:rFonts w:ascii="Arial" w:cs="Arial" w:eastAsia="Arial" w:hAnsi="Arial"/>
                <w:sz w:val="20"/>
                <w:szCs w:val="20"/>
                <w:color w:val="auto"/>
              </w:rPr>
              <w:t>September 2024.</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45"/>
        </w:trPr>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20"/>
                <w:szCs w:val="20"/>
                <w:color w:val="0E3C23"/>
              </w:rPr>
              <w:t>•</w:t>
            </w:r>
          </w:p>
        </w:tc>
        <w:tc>
          <w:tcPr>
            <w:tcW w:w="6720" w:type="dxa"/>
            <w:vAlign w:val="bottom"/>
            <w:gridSpan w:val="3"/>
          </w:tcPr>
          <w:p>
            <w:pPr>
              <w:ind w:left="60"/>
              <w:spacing w:after="0"/>
              <w:rPr>
                <w:sz w:val="20"/>
                <w:szCs w:val="20"/>
                <w:color w:val="auto"/>
              </w:rPr>
            </w:pPr>
            <w:r>
              <w:rPr>
                <w:rFonts w:ascii="Arial" w:cs="Arial" w:eastAsia="Arial" w:hAnsi="Arial"/>
                <w:sz w:val="20"/>
                <w:szCs w:val="20"/>
                <w:color w:val="auto"/>
              </w:rPr>
              <w:t>Vice President, General Counsel — Employment &amp; Benefits from 2012 to</w:t>
            </w:r>
          </w:p>
        </w:tc>
      </w:tr>
      <w:tr>
        <w:trPr>
          <w:trHeight w:val="226"/>
        </w:trPr>
        <w:tc>
          <w:tcPr>
            <w:tcW w:w="2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60" w:type="dxa"/>
            <w:vAlign w:val="bottom"/>
          </w:tcPr>
          <w:p>
            <w:pPr>
              <w:ind w:left="60"/>
              <w:spacing w:after="0" w:line="226" w:lineRule="exact"/>
              <w:rPr>
                <w:sz w:val="20"/>
                <w:szCs w:val="20"/>
                <w:color w:val="auto"/>
              </w:rPr>
            </w:pPr>
            <w:r>
              <w:rPr>
                <w:rFonts w:ascii="Arial" w:cs="Arial" w:eastAsia="Arial" w:hAnsi="Arial"/>
                <w:sz w:val="20"/>
                <w:szCs w:val="20"/>
                <w:color w:val="auto"/>
              </w:rPr>
              <w:t>September 2024.</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
        </w:trPr>
        <w:tc>
          <w:tcPr>
            <w:tcW w:w="2380" w:type="dxa"/>
            <w:vAlign w:val="bottom"/>
            <w:tcBorders>
              <w:bottom w:val="single" w:sz="8" w:color="0E3C23"/>
            </w:tcBorders>
          </w:tcPr>
          <w:p>
            <w:pPr>
              <w:spacing w:after="0" w:line="20" w:lineRule="exact"/>
              <w:rPr>
                <w:sz w:val="1"/>
                <w:szCs w:val="1"/>
                <w:color w:val="auto"/>
              </w:rPr>
            </w:pPr>
          </w:p>
        </w:tc>
        <w:tc>
          <w:tcPr>
            <w:tcW w:w="700" w:type="dxa"/>
            <w:vAlign w:val="bottom"/>
            <w:tcBorders>
              <w:bottom w:val="single" w:sz="8" w:color="0E3C23"/>
            </w:tcBorders>
          </w:tcPr>
          <w:p>
            <w:pPr>
              <w:spacing w:after="0" w:line="20" w:lineRule="exact"/>
              <w:rPr>
                <w:sz w:val="1"/>
                <w:szCs w:val="1"/>
                <w:color w:val="auto"/>
              </w:rPr>
            </w:pPr>
          </w:p>
        </w:tc>
        <w:tc>
          <w:tcPr>
            <w:tcW w:w="260" w:type="dxa"/>
            <w:vAlign w:val="bottom"/>
            <w:tcBorders>
              <w:bottom w:val="single" w:sz="8" w:color="0E3C23"/>
            </w:tcBorders>
          </w:tcPr>
          <w:p>
            <w:pPr>
              <w:spacing w:after="0" w:line="20" w:lineRule="exact"/>
              <w:rPr>
                <w:sz w:val="1"/>
                <w:szCs w:val="1"/>
                <w:color w:val="auto"/>
              </w:rPr>
            </w:pPr>
          </w:p>
        </w:tc>
        <w:tc>
          <w:tcPr>
            <w:tcW w:w="6420" w:type="dxa"/>
            <w:vAlign w:val="bottom"/>
            <w:tcBorders>
              <w:bottom w:val="single" w:sz="8" w:color="0E3C23"/>
            </w:tcBorders>
            <w:gridSpan w:val="2"/>
          </w:tcPr>
          <w:p>
            <w:pPr>
              <w:spacing w:after="0" w:line="20" w:lineRule="exact"/>
              <w:rPr>
                <w:sz w:val="1"/>
                <w:szCs w:val="1"/>
                <w:color w:val="auto"/>
              </w:rPr>
            </w:pPr>
          </w:p>
        </w:tc>
        <w:tc>
          <w:tcPr>
            <w:tcW w:w="300" w:type="dxa"/>
            <w:vAlign w:val="bottom"/>
            <w:tcBorders>
              <w:bottom w:val="single" w:sz="8" w:color="0E3C23"/>
            </w:tcBorders>
          </w:tcPr>
          <w:p>
            <w:pPr>
              <w:spacing w:after="0" w:line="20" w:lineRule="exact"/>
              <w:rPr>
                <w:sz w:val="1"/>
                <w:szCs w:val="1"/>
                <w:color w:val="auto"/>
              </w:rPr>
            </w:pPr>
          </w:p>
        </w:tc>
      </w:tr>
      <w:tr>
        <w:trPr>
          <w:trHeight w:val="237"/>
        </w:trPr>
        <w:tc>
          <w:tcPr>
            <w:tcW w:w="2380" w:type="dxa"/>
            <w:vAlign w:val="bottom"/>
          </w:tcPr>
          <w:p>
            <w:pPr>
              <w:ind w:left="60"/>
              <w:spacing w:after="0"/>
              <w:rPr>
                <w:sz w:val="20"/>
                <w:szCs w:val="20"/>
                <w:color w:val="auto"/>
              </w:rPr>
            </w:pPr>
            <w:r>
              <w:rPr>
                <w:rFonts w:ascii="Arial" w:cs="Arial" w:eastAsia="Arial" w:hAnsi="Arial"/>
                <w:sz w:val="20"/>
                <w:szCs w:val="20"/>
                <w:color w:val="auto"/>
              </w:rPr>
              <w:t>Johnson Varkey</w:t>
            </w:r>
          </w:p>
        </w:tc>
        <w:tc>
          <w:tcPr>
            <w:tcW w:w="700" w:type="dxa"/>
            <w:vAlign w:val="bottom"/>
          </w:tcPr>
          <w:p>
            <w:pPr>
              <w:ind w:left="320"/>
              <w:spacing w:after="0"/>
              <w:rPr>
                <w:sz w:val="20"/>
                <w:szCs w:val="20"/>
                <w:color w:val="auto"/>
              </w:rPr>
            </w:pPr>
            <w:r>
              <w:rPr>
                <w:rFonts w:ascii="Arial" w:cs="Arial" w:eastAsia="Arial" w:hAnsi="Arial"/>
                <w:sz w:val="20"/>
                <w:szCs w:val="20"/>
                <w:color w:val="auto"/>
              </w:rPr>
              <w:t>53</w:t>
            </w:r>
          </w:p>
        </w:tc>
        <w:tc>
          <w:tcPr>
            <w:tcW w:w="260" w:type="dxa"/>
            <w:vAlign w:val="bottom"/>
          </w:tcPr>
          <w:p>
            <w:pPr>
              <w:ind w:left="120"/>
              <w:spacing w:after="0"/>
              <w:rPr>
                <w:sz w:val="20"/>
                <w:szCs w:val="20"/>
                <w:color w:val="auto"/>
              </w:rPr>
            </w:pPr>
            <w:r>
              <w:rPr>
                <w:rFonts w:ascii="Arial" w:cs="Arial" w:eastAsia="Arial" w:hAnsi="Arial"/>
                <w:sz w:val="20"/>
                <w:szCs w:val="20"/>
                <w:color w:val="0E3C23"/>
              </w:rPr>
              <w:t>•</w:t>
            </w:r>
          </w:p>
        </w:tc>
        <w:tc>
          <w:tcPr>
            <w:tcW w:w="6420" w:type="dxa"/>
            <w:vAlign w:val="bottom"/>
            <w:gridSpan w:val="2"/>
          </w:tcPr>
          <w:p>
            <w:pPr>
              <w:ind w:left="60"/>
              <w:spacing w:after="0"/>
              <w:rPr>
                <w:sz w:val="20"/>
                <w:szCs w:val="20"/>
                <w:color w:val="auto"/>
              </w:rPr>
            </w:pPr>
            <w:r>
              <w:rPr>
                <w:rFonts w:ascii="Arial" w:cs="Arial" w:eastAsia="Arial" w:hAnsi="Arial"/>
                <w:sz w:val="20"/>
                <w:szCs w:val="20"/>
                <w:color w:val="auto"/>
                <w:w w:val="99"/>
              </w:rPr>
              <w:t>Senior Vice President and Chief Information Officer since January 2024.</w:t>
            </w:r>
          </w:p>
        </w:tc>
        <w:tc>
          <w:tcPr>
            <w:tcW w:w="300" w:type="dxa"/>
            <w:vAlign w:val="bottom"/>
          </w:tcPr>
          <w:p>
            <w:pPr>
              <w:spacing w:after="0"/>
              <w:rPr>
                <w:sz w:val="20"/>
                <w:szCs w:val="20"/>
                <w:color w:val="auto"/>
              </w:rPr>
            </w:pPr>
          </w:p>
        </w:tc>
      </w:tr>
      <w:tr>
        <w:trPr>
          <w:trHeight w:val="345"/>
        </w:trPr>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20" w:type="dxa"/>
            <w:vAlign w:val="bottom"/>
            <w:gridSpan w:val="2"/>
          </w:tcPr>
          <w:p>
            <w:pPr>
              <w:ind w:left="120"/>
              <w:spacing w:after="0"/>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Vice  President  and  Chief  Information  Officer  from  March</w:t>
            </w:r>
          </w:p>
        </w:tc>
        <w:tc>
          <w:tcPr>
            <w:tcW w:w="560" w:type="dxa"/>
            <w:vAlign w:val="bottom"/>
          </w:tcPr>
          <w:p>
            <w:pPr>
              <w:jc w:val="right"/>
              <w:spacing w:after="0"/>
              <w:rPr>
                <w:sz w:val="20"/>
                <w:szCs w:val="20"/>
                <w:color w:val="auto"/>
              </w:rPr>
            </w:pPr>
            <w:r>
              <w:rPr>
                <w:rFonts w:ascii="Arial" w:cs="Arial" w:eastAsia="Arial" w:hAnsi="Arial"/>
                <w:sz w:val="20"/>
                <w:szCs w:val="20"/>
                <w:color w:val="auto"/>
                <w:w w:val="98"/>
              </w:rPr>
              <w:t>2023</w:t>
            </w:r>
          </w:p>
        </w:tc>
        <w:tc>
          <w:tcPr>
            <w:tcW w:w="300" w:type="dxa"/>
            <w:vAlign w:val="bottom"/>
          </w:tcPr>
          <w:p>
            <w:pPr>
              <w:ind w:left="80"/>
              <w:spacing w:after="0"/>
              <w:rPr>
                <w:sz w:val="20"/>
                <w:szCs w:val="20"/>
                <w:color w:val="auto"/>
              </w:rPr>
            </w:pPr>
            <w:r>
              <w:rPr>
                <w:rFonts w:ascii="Arial" w:cs="Arial" w:eastAsia="Arial" w:hAnsi="Arial"/>
                <w:sz w:val="20"/>
                <w:szCs w:val="20"/>
                <w:color w:val="auto"/>
              </w:rPr>
              <w:t>to</w:t>
            </w:r>
          </w:p>
        </w:tc>
      </w:tr>
      <w:tr>
        <w:trPr>
          <w:trHeight w:val="226"/>
        </w:trPr>
        <w:tc>
          <w:tcPr>
            <w:tcW w:w="2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60" w:type="dxa"/>
            <w:vAlign w:val="bottom"/>
          </w:tcPr>
          <w:p>
            <w:pPr>
              <w:ind w:left="60"/>
              <w:spacing w:after="0" w:line="226" w:lineRule="exact"/>
              <w:rPr>
                <w:sz w:val="20"/>
                <w:szCs w:val="20"/>
                <w:color w:val="auto"/>
              </w:rPr>
            </w:pPr>
            <w:r>
              <w:rPr>
                <w:rFonts w:ascii="Arial" w:cs="Arial" w:eastAsia="Arial" w:hAnsi="Arial"/>
                <w:sz w:val="20"/>
                <w:szCs w:val="20"/>
                <w:color w:val="auto"/>
              </w:rPr>
              <w:t>December 2023.</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45"/>
        </w:trPr>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80" w:type="dxa"/>
            <w:vAlign w:val="bottom"/>
            <w:gridSpan w:val="3"/>
          </w:tcPr>
          <w:p>
            <w:pPr>
              <w:ind w:left="120"/>
              <w:spacing w:after="0"/>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Vice President — Enterprise Digital Services from 2019 to March 2023.</w:t>
            </w:r>
          </w:p>
        </w:tc>
        <w:tc>
          <w:tcPr>
            <w:tcW w:w="300" w:type="dxa"/>
            <w:vAlign w:val="bottom"/>
          </w:tcPr>
          <w:p>
            <w:pPr>
              <w:spacing w:after="0"/>
              <w:rPr>
                <w:sz w:val="24"/>
                <w:szCs w:val="24"/>
                <w:color w:val="auto"/>
              </w:rPr>
            </w:pPr>
          </w:p>
        </w:tc>
      </w:tr>
      <w:tr>
        <w:trPr>
          <w:trHeight w:val="22"/>
        </w:trPr>
        <w:tc>
          <w:tcPr>
            <w:tcW w:w="2380" w:type="dxa"/>
            <w:vAlign w:val="bottom"/>
            <w:tcBorders>
              <w:bottom w:val="single" w:sz="8" w:color="0E3C23"/>
            </w:tcBorders>
          </w:tcPr>
          <w:p>
            <w:pPr>
              <w:spacing w:after="0" w:line="20" w:lineRule="exact"/>
              <w:rPr>
                <w:sz w:val="1"/>
                <w:szCs w:val="1"/>
                <w:color w:val="auto"/>
              </w:rPr>
            </w:pPr>
          </w:p>
        </w:tc>
        <w:tc>
          <w:tcPr>
            <w:tcW w:w="700" w:type="dxa"/>
            <w:vAlign w:val="bottom"/>
            <w:tcBorders>
              <w:bottom w:val="single" w:sz="8" w:color="0E3C23"/>
            </w:tcBorders>
          </w:tcPr>
          <w:p>
            <w:pPr>
              <w:spacing w:after="0" w:line="20" w:lineRule="exact"/>
              <w:rPr>
                <w:sz w:val="1"/>
                <w:szCs w:val="1"/>
                <w:color w:val="auto"/>
              </w:rPr>
            </w:pPr>
          </w:p>
        </w:tc>
        <w:tc>
          <w:tcPr>
            <w:tcW w:w="260" w:type="dxa"/>
            <w:vAlign w:val="bottom"/>
            <w:tcBorders>
              <w:bottom w:val="single" w:sz="8" w:color="0E3C23"/>
            </w:tcBorders>
          </w:tcPr>
          <w:p>
            <w:pPr>
              <w:spacing w:after="0" w:line="20" w:lineRule="exact"/>
              <w:rPr>
                <w:sz w:val="1"/>
                <w:szCs w:val="1"/>
                <w:color w:val="auto"/>
              </w:rPr>
            </w:pPr>
          </w:p>
        </w:tc>
        <w:tc>
          <w:tcPr>
            <w:tcW w:w="5860" w:type="dxa"/>
            <w:vAlign w:val="bottom"/>
            <w:tcBorders>
              <w:bottom w:val="single" w:sz="8" w:color="0E3C23"/>
            </w:tcBorders>
          </w:tcPr>
          <w:p>
            <w:pPr>
              <w:spacing w:after="0" w:line="20" w:lineRule="exact"/>
              <w:rPr>
                <w:sz w:val="1"/>
                <w:szCs w:val="1"/>
                <w:color w:val="auto"/>
              </w:rPr>
            </w:pPr>
          </w:p>
        </w:tc>
        <w:tc>
          <w:tcPr>
            <w:tcW w:w="560" w:type="dxa"/>
            <w:vAlign w:val="bottom"/>
            <w:tcBorders>
              <w:bottom w:val="single" w:sz="8" w:color="0E3C23"/>
            </w:tcBorders>
          </w:tcPr>
          <w:p>
            <w:pPr>
              <w:spacing w:after="0" w:line="20" w:lineRule="exact"/>
              <w:rPr>
                <w:sz w:val="1"/>
                <w:szCs w:val="1"/>
                <w:color w:val="auto"/>
              </w:rPr>
            </w:pPr>
          </w:p>
        </w:tc>
        <w:tc>
          <w:tcPr>
            <w:tcW w:w="300" w:type="dxa"/>
            <w:vAlign w:val="bottom"/>
            <w:tcBorders>
              <w:bottom w:val="single" w:sz="8" w:color="0E3C23"/>
            </w:tcBorders>
          </w:tcPr>
          <w:p>
            <w:pPr>
              <w:spacing w:after="0" w:line="20" w:lineRule="exact"/>
              <w:rPr>
                <w:sz w:val="1"/>
                <w:szCs w:val="1"/>
                <w:color w:val="auto"/>
              </w:rPr>
            </w:pPr>
          </w:p>
        </w:tc>
      </w:tr>
      <w:tr>
        <w:trPr>
          <w:trHeight w:val="237"/>
        </w:trPr>
        <w:tc>
          <w:tcPr>
            <w:tcW w:w="2380" w:type="dxa"/>
            <w:vAlign w:val="bottom"/>
          </w:tcPr>
          <w:p>
            <w:pPr>
              <w:ind w:left="60"/>
              <w:spacing w:after="0"/>
              <w:rPr>
                <w:sz w:val="20"/>
                <w:szCs w:val="20"/>
                <w:color w:val="auto"/>
              </w:rPr>
            </w:pPr>
            <w:r>
              <w:rPr>
                <w:rFonts w:ascii="Arial" w:cs="Arial" w:eastAsia="Arial" w:hAnsi="Arial"/>
                <w:sz w:val="20"/>
                <w:szCs w:val="20"/>
                <w:color w:val="auto"/>
              </w:rPr>
              <w:t>Michael J. Watson</w:t>
            </w:r>
          </w:p>
        </w:tc>
        <w:tc>
          <w:tcPr>
            <w:tcW w:w="700" w:type="dxa"/>
            <w:vAlign w:val="bottom"/>
          </w:tcPr>
          <w:p>
            <w:pPr>
              <w:ind w:left="320"/>
              <w:spacing w:after="0"/>
              <w:rPr>
                <w:sz w:val="20"/>
                <w:szCs w:val="20"/>
                <w:color w:val="auto"/>
              </w:rPr>
            </w:pPr>
            <w:r>
              <w:rPr>
                <w:rFonts w:ascii="Arial" w:cs="Arial" w:eastAsia="Arial" w:hAnsi="Arial"/>
                <w:sz w:val="20"/>
                <w:szCs w:val="20"/>
                <w:color w:val="auto"/>
              </w:rPr>
              <w:t>55</w:t>
            </w:r>
          </w:p>
        </w:tc>
        <w:tc>
          <w:tcPr>
            <w:tcW w:w="260" w:type="dxa"/>
            <w:vAlign w:val="bottom"/>
          </w:tcPr>
          <w:p>
            <w:pPr>
              <w:ind w:left="120"/>
              <w:spacing w:after="0"/>
              <w:rPr>
                <w:sz w:val="20"/>
                <w:szCs w:val="20"/>
                <w:color w:val="auto"/>
              </w:rPr>
            </w:pPr>
            <w:r>
              <w:rPr>
                <w:rFonts w:ascii="Arial" w:cs="Arial" w:eastAsia="Arial" w:hAnsi="Arial"/>
                <w:sz w:val="20"/>
                <w:szCs w:val="20"/>
                <w:color w:val="0E3C23"/>
              </w:rPr>
              <w:t>•</w:t>
            </w:r>
          </w:p>
        </w:tc>
        <w:tc>
          <w:tcPr>
            <w:tcW w:w="5860" w:type="dxa"/>
            <w:vAlign w:val="bottom"/>
          </w:tcPr>
          <w:p>
            <w:pPr>
              <w:ind w:left="60"/>
              <w:spacing w:after="0"/>
              <w:rPr>
                <w:sz w:val="20"/>
                <w:szCs w:val="20"/>
                <w:color w:val="auto"/>
              </w:rPr>
            </w:pPr>
            <w:r>
              <w:rPr>
                <w:rFonts w:ascii="Arial" w:cs="Arial" w:eastAsia="Arial" w:hAnsi="Arial"/>
                <w:sz w:val="20"/>
                <w:szCs w:val="20"/>
                <w:color w:val="auto"/>
              </w:rPr>
              <w:t>Senior Vice President and Chief Customer Officer since 2018.</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63"/>
        </w:trPr>
        <w:tc>
          <w:tcPr>
            <w:tcW w:w="2380" w:type="dxa"/>
            <w:vAlign w:val="bottom"/>
            <w:tcBorders>
              <w:bottom w:val="single" w:sz="8" w:color="0E3C23"/>
            </w:tcBorders>
          </w:tcPr>
          <w:p>
            <w:pPr>
              <w:spacing w:after="0"/>
              <w:rPr>
                <w:sz w:val="22"/>
                <w:szCs w:val="22"/>
                <w:color w:val="auto"/>
              </w:rPr>
            </w:pPr>
          </w:p>
        </w:tc>
        <w:tc>
          <w:tcPr>
            <w:tcW w:w="700" w:type="dxa"/>
            <w:vAlign w:val="bottom"/>
            <w:tcBorders>
              <w:bottom w:val="single" w:sz="8" w:color="0E3C23"/>
            </w:tcBorders>
          </w:tcPr>
          <w:p>
            <w:pPr>
              <w:spacing w:after="0"/>
              <w:rPr>
                <w:sz w:val="22"/>
                <w:szCs w:val="22"/>
                <w:color w:val="auto"/>
              </w:rPr>
            </w:pPr>
          </w:p>
        </w:tc>
        <w:tc>
          <w:tcPr>
            <w:tcW w:w="260" w:type="dxa"/>
            <w:vAlign w:val="bottom"/>
            <w:tcBorders>
              <w:bottom w:val="single" w:sz="8" w:color="0E3C23"/>
            </w:tcBorders>
          </w:tcPr>
          <w:p>
            <w:pPr>
              <w:spacing w:after="0"/>
              <w:rPr>
                <w:sz w:val="22"/>
                <w:szCs w:val="22"/>
                <w:color w:val="auto"/>
              </w:rPr>
            </w:pPr>
          </w:p>
        </w:tc>
        <w:tc>
          <w:tcPr>
            <w:tcW w:w="5860" w:type="dxa"/>
            <w:vAlign w:val="bottom"/>
            <w:tcBorders>
              <w:bottom w:val="single" w:sz="8" w:color="0E3C23"/>
            </w:tcBorders>
          </w:tcPr>
          <w:p>
            <w:pPr>
              <w:spacing w:after="0"/>
              <w:rPr>
                <w:sz w:val="22"/>
                <w:szCs w:val="22"/>
                <w:color w:val="auto"/>
              </w:rPr>
            </w:pPr>
          </w:p>
        </w:tc>
        <w:tc>
          <w:tcPr>
            <w:tcW w:w="560" w:type="dxa"/>
            <w:vAlign w:val="bottom"/>
            <w:tcBorders>
              <w:bottom w:val="single" w:sz="8" w:color="0E3C23"/>
            </w:tcBorders>
          </w:tcPr>
          <w:p>
            <w:pPr>
              <w:spacing w:after="0"/>
              <w:rPr>
                <w:sz w:val="22"/>
                <w:szCs w:val="22"/>
                <w:color w:val="auto"/>
              </w:rPr>
            </w:pPr>
          </w:p>
        </w:tc>
        <w:tc>
          <w:tcPr>
            <w:tcW w:w="300" w:type="dxa"/>
            <w:vAlign w:val="bottom"/>
            <w:tcBorders>
              <w:bottom w:val="single" w:sz="8" w:color="0E3C23"/>
            </w:tcBorders>
          </w:tcPr>
          <w:p>
            <w:pPr>
              <w:spacing w:after="0"/>
              <w:rPr>
                <w:sz w:val="22"/>
                <w:szCs w:val="22"/>
                <w:color w:val="auto"/>
              </w:rPr>
            </w:pPr>
          </w:p>
        </w:tc>
      </w:tr>
    </w:tbl>
    <w:p>
      <w:pPr>
        <w:spacing w:after="0" w:line="200" w:lineRule="exact"/>
        <w:rPr>
          <w:sz w:val="20"/>
          <w:szCs w:val="20"/>
          <w:color w:val="auto"/>
        </w:rPr>
      </w:pPr>
    </w:p>
    <w:p>
      <w:pPr>
        <w:sectPr>
          <w:pgSz w:w="13320" w:h="16920" w:orient="portrait"/>
          <w:cols w:equalWidth="0" w:num="1">
            <w:col w:w="10440"/>
          </w:cols>
          <w:pgMar w:left="1440" w:top="1440"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30</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03">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04">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440" w:right="1440" w:bottom="1036" w:gutter="0" w:footer="0" w:header="0"/>
          <w:type w:val="continuous"/>
        </w:sectPr>
      </w:pPr>
    </w:p>
    <w:bookmarkStart w:id="36" w:name="page37"/>
    <w:bookmarkEnd w:id="36"/>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Arial" w:cs="Arial" w:eastAsia="Arial" w:hAnsi="Arial"/>
          <w:sz w:val="40"/>
          <w:szCs w:val="40"/>
          <w:color w:val="0E3C23"/>
        </w:rPr>
        <w:t>EXECUTIVE COMPENSATION</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COMPENSATION DISCUSSION AND ANALYSIS</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Introduction</w:t>
      </w:r>
    </w:p>
    <w:p>
      <w:pPr>
        <w:spacing w:after="0" w:line="142" w:lineRule="exact"/>
        <w:rPr>
          <w:sz w:val="20"/>
          <w:szCs w:val="20"/>
          <w:color w:val="auto"/>
        </w:rPr>
      </w:pPr>
    </w:p>
    <w:p>
      <w:pPr>
        <w:jc w:val="both"/>
        <w:ind w:left="180" w:right="200"/>
        <w:spacing w:after="0" w:line="252" w:lineRule="auto"/>
        <w:rPr>
          <w:sz w:val="20"/>
          <w:szCs w:val="20"/>
          <w:color w:val="auto"/>
        </w:rPr>
      </w:pPr>
      <w:r>
        <w:rPr>
          <w:rFonts w:ascii="Arial" w:cs="Arial" w:eastAsia="Arial" w:hAnsi="Arial"/>
          <w:sz w:val="20"/>
          <w:szCs w:val="20"/>
          <w:color w:val="auto"/>
        </w:rPr>
        <w:t>The Company’s Compensation Discussion and Analysis provides information about the Company’s executive compensation philosophy and the components of its compensation programs. This includes information about how compensation of the Company’s named executive officers for the fiscal year ended December 31, 2024 aligned with the Company’s 2024 financial goals and performance. The Compensation Discussion and Analysis helps readers better understand the information found in the Summary Compensation Table and other accompanying tables included in this Proxy Statement.</w:t>
      </w:r>
    </w:p>
    <w:p>
      <w:pPr>
        <w:spacing w:after="0" w:line="126" w:lineRule="exact"/>
        <w:rPr>
          <w:sz w:val="20"/>
          <w:szCs w:val="20"/>
          <w:color w:val="auto"/>
        </w:rPr>
      </w:pPr>
    </w:p>
    <w:p>
      <w:pPr>
        <w:jc w:val="both"/>
        <w:ind w:left="180" w:right="200"/>
        <w:spacing w:after="0" w:line="246" w:lineRule="auto"/>
        <w:rPr>
          <w:sz w:val="20"/>
          <w:szCs w:val="20"/>
          <w:color w:val="auto"/>
        </w:rPr>
      </w:pPr>
      <w:r>
        <w:rPr>
          <w:rFonts w:ascii="Arial" w:cs="Arial" w:eastAsia="Arial" w:hAnsi="Arial"/>
          <w:sz w:val="20"/>
          <w:szCs w:val="20"/>
          <w:color w:val="auto"/>
        </w:rPr>
        <w:t>This Compensation Discussion and Analysis focuses on our executive pay program as it relates to the following executive officers during 2024, whom we refer to as the “named executive officers” or “named executives”:</w:t>
      </w:r>
    </w:p>
    <w:p>
      <w:pPr>
        <w:spacing w:after="0" w:line="126" w:lineRule="exact"/>
        <w:rPr>
          <w:sz w:val="20"/>
          <w:szCs w:val="20"/>
          <w:color w:val="auto"/>
        </w:rPr>
      </w:pPr>
    </w:p>
    <w:p>
      <w:pPr>
        <w:ind w:left="780" w:hanging="203"/>
        <w:spacing w:after="0"/>
        <w:tabs>
          <w:tab w:leader="none" w:pos="780" w:val="left"/>
        </w:tabs>
        <w:numPr>
          <w:ilvl w:val="0"/>
          <w:numId w:val="14"/>
        </w:numPr>
        <w:rPr>
          <w:rFonts w:ascii="Arial" w:cs="Arial" w:eastAsia="Arial" w:hAnsi="Arial"/>
          <w:sz w:val="20"/>
          <w:szCs w:val="20"/>
          <w:color w:val="0E3C23"/>
        </w:rPr>
      </w:pPr>
      <w:r>
        <w:rPr>
          <w:rFonts w:ascii="Arial" w:cs="Arial" w:eastAsia="Arial" w:hAnsi="Arial"/>
          <w:sz w:val="20"/>
          <w:szCs w:val="20"/>
          <w:color w:val="auto"/>
        </w:rPr>
        <w:t>Mr. James C. Fish, Jr. — President and Chief Executive Officer since November 2016.</w:t>
      </w:r>
    </w:p>
    <w:p>
      <w:pPr>
        <w:spacing w:after="0" w:line="131" w:lineRule="exact"/>
        <w:rPr>
          <w:rFonts w:ascii="Arial" w:cs="Arial" w:eastAsia="Arial" w:hAnsi="Arial"/>
          <w:sz w:val="20"/>
          <w:szCs w:val="20"/>
          <w:color w:val="0E3C23"/>
        </w:rPr>
      </w:pPr>
    </w:p>
    <w:p>
      <w:pPr>
        <w:ind w:left="780" w:hanging="203"/>
        <w:spacing w:after="0"/>
        <w:tabs>
          <w:tab w:leader="none" w:pos="780" w:val="left"/>
        </w:tabs>
        <w:numPr>
          <w:ilvl w:val="0"/>
          <w:numId w:val="14"/>
        </w:numPr>
        <w:rPr>
          <w:rFonts w:ascii="Arial" w:cs="Arial" w:eastAsia="Arial" w:hAnsi="Arial"/>
          <w:sz w:val="20"/>
          <w:szCs w:val="20"/>
          <w:color w:val="0E3C23"/>
        </w:rPr>
      </w:pPr>
      <w:r>
        <w:rPr>
          <w:rFonts w:ascii="Arial" w:cs="Arial" w:eastAsia="Arial" w:hAnsi="Arial"/>
          <w:sz w:val="20"/>
          <w:szCs w:val="20"/>
          <w:color w:val="auto"/>
        </w:rPr>
        <w:t>Ms. Devina A. Rankin — Executive Vice President and Chief Financial Officer since February 2020.</w:t>
      </w:r>
    </w:p>
    <w:p>
      <w:pPr>
        <w:spacing w:after="0" w:line="131" w:lineRule="exact"/>
        <w:rPr>
          <w:rFonts w:ascii="Arial" w:cs="Arial" w:eastAsia="Arial" w:hAnsi="Arial"/>
          <w:sz w:val="20"/>
          <w:szCs w:val="20"/>
          <w:color w:val="0E3C23"/>
        </w:rPr>
      </w:pPr>
    </w:p>
    <w:p>
      <w:pPr>
        <w:ind w:left="780" w:hanging="203"/>
        <w:spacing w:after="0"/>
        <w:tabs>
          <w:tab w:leader="none" w:pos="780" w:val="left"/>
        </w:tabs>
        <w:numPr>
          <w:ilvl w:val="0"/>
          <w:numId w:val="14"/>
        </w:numPr>
        <w:rPr>
          <w:rFonts w:ascii="Arial" w:cs="Arial" w:eastAsia="Arial" w:hAnsi="Arial"/>
          <w:sz w:val="20"/>
          <w:szCs w:val="20"/>
          <w:color w:val="0E3C23"/>
        </w:rPr>
      </w:pPr>
      <w:r>
        <w:rPr>
          <w:rFonts w:ascii="Arial" w:cs="Arial" w:eastAsia="Arial" w:hAnsi="Arial"/>
          <w:sz w:val="20"/>
          <w:szCs w:val="20"/>
          <w:color w:val="auto"/>
        </w:rPr>
        <w:t>Mr. John J. Morris, Jr. — Executive Vice President and Chief Operating Officer since January 2019.</w:t>
      </w:r>
    </w:p>
    <w:p>
      <w:pPr>
        <w:spacing w:after="0" w:line="131" w:lineRule="exact"/>
        <w:rPr>
          <w:rFonts w:ascii="Arial" w:cs="Arial" w:eastAsia="Arial" w:hAnsi="Arial"/>
          <w:sz w:val="20"/>
          <w:szCs w:val="20"/>
          <w:color w:val="0E3C23"/>
        </w:rPr>
      </w:pPr>
    </w:p>
    <w:p>
      <w:pPr>
        <w:ind w:left="780" w:hanging="203"/>
        <w:spacing w:after="0"/>
        <w:tabs>
          <w:tab w:leader="none" w:pos="780" w:val="left"/>
        </w:tabs>
        <w:numPr>
          <w:ilvl w:val="0"/>
          <w:numId w:val="14"/>
        </w:numPr>
        <w:rPr>
          <w:rFonts w:ascii="Arial" w:cs="Arial" w:eastAsia="Arial" w:hAnsi="Arial"/>
          <w:sz w:val="20"/>
          <w:szCs w:val="20"/>
          <w:color w:val="0E3C23"/>
        </w:rPr>
      </w:pPr>
      <w:r>
        <w:rPr>
          <w:rFonts w:ascii="Arial" w:cs="Arial" w:eastAsia="Arial" w:hAnsi="Arial"/>
          <w:sz w:val="20"/>
          <w:szCs w:val="20"/>
          <w:color w:val="auto"/>
        </w:rPr>
        <w:t>Ms. Tara J. Hemmer — Senior Vice President and Chief Sustainability Officer since July 2021.</w:t>
      </w:r>
    </w:p>
    <w:p>
      <w:pPr>
        <w:spacing w:after="0" w:line="136" w:lineRule="exact"/>
        <w:rPr>
          <w:rFonts w:ascii="Arial" w:cs="Arial" w:eastAsia="Arial" w:hAnsi="Arial"/>
          <w:sz w:val="20"/>
          <w:szCs w:val="20"/>
          <w:color w:val="0E3C23"/>
        </w:rPr>
      </w:pPr>
    </w:p>
    <w:p>
      <w:pPr>
        <w:ind w:left="780" w:right="200" w:hanging="203"/>
        <w:spacing w:after="0" w:line="246" w:lineRule="auto"/>
        <w:tabs>
          <w:tab w:leader="none" w:pos="780" w:val="left"/>
        </w:tabs>
        <w:numPr>
          <w:ilvl w:val="0"/>
          <w:numId w:val="14"/>
        </w:numPr>
        <w:rPr>
          <w:rFonts w:ascii="Arial" w:cs="Arial" w:eastAsia="Arial" w:hAnsi="Arial"/>
          <w:sz w:val="20"/>
          <w:szCs w:val="20"/>
          <w:color w:val="0E3C23"/>
        </w:rPr>
      </w:pPr>
      <w:r>
        <w:rPr>
          <w:rFonts w:ascii="Arial" w:cs="Arial" w:eastAsia="Arial" w:hAnsi="Arial"/>
          <w:sz w:val="20"/>
          <w:szCs w:val="20"/>
          <w:color w:val="auto"/>
        </w:rPr>
        <w:t>Mr. Rafael E. Carrasco — Senior Vice President — Enterprise Strategy since September 2023, and President — WM Healthcare Solutions since November 2024.</w:t>
      </w:r>
    </w:p>
    <w:p>
      <w:pPr>
        <w:spacing w:after="0" w:line="131" w:lineRule="exact"/>
        <w:rPr>
          <w:sz w:val="20"/>
          <w:szCs w:val="20"/>
          <w:color w:val="auto"/>
        </w:rPr>
      </w:pPr>
    </w:p>
    <w:p>
      <w:pPr>
        <w:jc w:val="both"/>
        <w:ind w:left="180" w:right="200"/>
        <w:spacing w:after="0" w:line="246" w:lineRule="auto"/>
        <w:rPr>
          <w:sz w:val="20"/>
          <w:szCs w:val="20"/>
          <w:color w:val="auto"/>
        </w:rPr>
      </w:pPr>
      <w:r>
        <w:rPr>
          <w:rFonts w:ascii="Arial" w:cs="Arial" w:eastAsia="Arial" w:hAnsi="Arial"/>
          <w:sz w:val="20"/>
          <w:szCs w:val="20"/>
          <w:color w:val="auto"/>
        </w:rPr>
        <w:t>For additional information about the named executives’ background and prior experience with the Company, see “Executive Officers” above.</w:t>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0E3C23"/>
        </w:rPr>
        <w:t>Executive Summary</w:t>
      </w:r>
    </w:p>
    <w:p>
      <w:pPr>
        <w:spacing w:after="0" w:line="147" w:lineRule="exact"/>
        <w:rPr>
          <w:sz w:val="20"/>
          <w:szCs w:val="20"/>
          <w:color w:val="auto"/>
        </w:rPr>
      </w:pPr>
    </w:p>
    <w:p>
      <w:pPr>
        <w:jc w:val="both"/>
        <w:ind w:left="180" w:right="200"/>
        <w:spacing w:after="0" w:line="250" w:lineRule="auto"/>
        <w:rPr>
          <w:sz w:val="20"/>
          <w:szCs w:val="20"/>
          <w:color w:val="auto"/>
        </w:rPr>
      </w:pPr>
      <w:r>
        <w:rPr>
          <w:rFonts w:ascii="Arial" w:cs="Arial" w:eastAsia="Arial" w:hAnsi="Arial"/>
          <w:sz w:val="20"/>
          <w:szCs w:val="20"/>
          <w:color w:val="auto"/>
        </w:rPr>
        <w:t>The objective of our executive compensation program is to attract, retain, reward and incentivize talented employees who will lead the Company in the successful execution of our strategy. The Company seeks to accomplish this goal by designing a compensation program that is supportive of and aligns with the strategy of the Company and the creation of stockholder value, while discouraging excessive risk-taking.</w:t>
      </w:r>
    </w:p>
    <w:p>
      <w:pPr>
        <w:spacing w:after="0" w:line="127" w:lineRule="exact"/>
        <w:rPr>
          <w:sz w:val="20"/>
          <w:szCs w:val="20"/>
          <w:color w:val="auto"/>
        </w:rPr>
      </w:pPr>
    </w:p>
    <w:p>
      <w:pPr>
        <w:jc w:val="both"/>
        <w:ind w:left="180" w:right="200"/>
        <w:spacing w:after="0" w:line="251" w:lineRule="auto"/>
        <w:rPr>
          <w:sz w:val="20"/>
          <w:szCs w:val="20"/>
          <w:color w:val="auto"/>
        </w:rPr>
      </w:pPr>
      <w:r>
        <w:rPr>
          <w:rFonts w:ascii="Arial" w:cs="Arial" w:eastAsia="Arial" w:hAnsi="Arial"/>
          <w:sz w:val="20"/>
          <w:szCs w:val="20"/>
          <w:color w:val="auto"/>
        </w:rPr>
        <w:t>We have enabled a people-first, technology-led focus to deliver on our brand promise, ALWAYS WORKING FOR A SUSTAINABLE TOMORROW®. Our strategy leverages and sustains the strongest asset network in the industry to drive best in class customer experience and growth. As North America’s leading provider of comprehensive waste management environmental services, sustainability and environmental stewardship are embedded in all that we do. As a result, we believe that positive financial results, including the results for the performance measures on which our executives are compensated, are naturally aligned with the successful execution of our goals to put our people first and position them to serve and care for our customers, the environment, the communities in which we work and our stockholders. We believe our Company would not be successful, on financial performance measures or otherwise, without our industry-leading focus on sustainability.</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The following key structural elements and policies further the objective of our executive compensation program:</w:t>
      </w:r>
    </w:p>
    <w:p>
      <w:pPr>
        <w:spacing w:after="0" w:line="137" w:lineRule="exact"/>
        <w:rPr>
          <w:sz w:val="20"/>
          <w:szCs w:val="20"/>
          <w:color w:val="auto"/>
        </w:rPr>
      </w:pPr>
    </w:p>
    <w:p>
      <w:pPr>
        <w:jc w:val="both"/>
        <w:ind w:left="780" w:right="200" w:hanging="203"/>
        <w:spacing w:after="0" w:line="250" w:lineRule="auto"/>
        <w:tabs>
          <w:tab w:leader="none" w:pos="780" w:val="left"/>
        </w:tabs>
        <w:numPr>
          <w:ilvl w:val="0"/>
          <w:numId w:val="15"/>
        </w:numPr>
        <w:rPr>
          <w:rFonts w:ascii="Arial" w:cs="Arial" w:eastAsia="Arial" w:hAnsi="Arial"/>
          <w:sz w:val="20"/>
          <w:szCs w:val="20"/>
          <w:color w:val="0E3C23"/>
        </w:rPr>
      </w:pPr>
      <w:r>
        <w:rPr>
          <w:rFonts w:ascii="Arial" w:cs="Arial" w:eastAsia="Arial" w:hAnsi="Arial"/>
          <w:sz w:val="20"/>
          <w:szCs w:val="20"/>
          <w:color w:val="auto"/>
        </w:rPr>
        <w:t>a substantial majority of executive compensation is linked to Company performance, through annual cash incentive performance criteria and long-term equity-based incentive awards. As a result, our executive compensation program provides for notably higher total compensation in periods of above-target Company performance, as we saw with respect to equity awards with a three-year performance period ended 2024 and the 2024 annual cash incentive award;</w:t>
      </w:r>
    </w:p>
    <w:p>
      <w:pPr>
        <w:spacing w:after="0" w:line="129" w:lineRule="exact"/>
        <w:rPr>
          <w:rFonts w:ascii="Arial" w:cs="Arial" w:eastAsia="Arial" w:hAnsi="Arial"/>
          <w:sz w:val="20"/>
          <w:szCs w:val="20"/>
          <w:color w:val="0E3C23"/>
        </w:rPr>
      </w:pPr>
    </w:p>
    <w:p>
      <w:pPr>
        <w:jc w:val="both"/>
        <w:ind w:left="780" w:right="200" w:hanging="203"/>
        <w:spacing w:after="0" w:line="249" w:lineRule="auto"/>
        <w:tabs>
          <w:tab w:leader="none" w:pos="780" w:val="left"/>
        </w:tabs>
        <w:numPr>
          <w:ilvl w:val="0"/>
          <w:numId w:val="15"/>
        </w:numPr>
        <w:rPr>
          <w:rFonts w:ascii="Arial" w:cs="Arial" w:eastAsia="Arial" w:hAnsi="Arial"/>
          <w:sz w:val="20"/>
          <w:szCs w:val="20"/>
          <w:color w:val="0E3C23"/>
        </w:rPr>
      </w:pPr>
      <w:r>
        <w:rPr>
          <w:rFonts w:ascii="Arial" w:cs="Arial" w:eastAsia="Arial" w:hAnsi="Arial"/>
          <w:sz w:val="20"/>
          <w:szCs w:val="20"/>
          <w:color w:val="auto"/>
        </w:rPr>
        <w:t>at target, 72% of total compensation of our President and Chief Executive Officer was tied to long-term equity awards, and 61% of total compensation of our other named executives, on average, was tied to long-term equity awards, which aligns executives’ interests with those of stockholders;</w:t>
      </w:r>
    </w:p>
    <w:p>
      <w:pPr>
        <w:spacing w:after="0" w:line="200" w:lineRule="exact"/>
        <w:rPr>
          <w:sz w:val="20"/>
          <w:szCs w:val="20"/>
          <w:color w:val="auto"/>
        </w:rPr>
      </w:pPr>
    </w:p>
    <w:p>
      <w:pPr>
        <w:spacing w:after="0" w:line="220"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-207010</wp:posOffset>
            </wp:positionV>
            <wp:extent cx="538480" cy="1619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05">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440" w:right="1440" w:bottom="1036" w:gutter="0" w:footer="0" w:header="0"/>
        </w:sectPr>
      </w:pPr>
    </w:p>
    <w:bookmarkStart w:id="37" w:name="page38"/>
    <w:bookmarkEnd w:id="37"/>
    <w:p>
      <w:pPr>
        <w:ind w:left="180"/>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210" w:lineRule="exact"/>
        <w:rPr>
          <w:sz w:val="20"/>
          <w:szCs w:val="20"/>
          <w:color w:val="auto"/>
        </w:rPr>
      </w:pPr>
    </w:p>
    <w:p>
      <w:pPr>
        <w:ind w:left="780" w:right="200" w:hanging="203"/>
        <w:spacing w:after="0" w:line="246" w:lineRule="auto"/>
        <w:tabs>
          <w:tab w:leader="none" w:pos="780" w:val="left"/>
        </w:tabs>
        <w:numPr>
          <w:ilvl w:val="0"/>
          <w:numId w:val="16"/>
        </w:numPr>
        <w:rPr>
          <w:rFonts w:ascii="Arial" w:cs="Arial" w:eastAsia="Arial" w:hAnsi="Arial"/>
          <w:sz w:val="20"/>
          <w:szCs w:val="20"/>
          <w:color w:val="0E3C23"/>
        </w:rPr>
      </w:pPr>
      <w:r>
        <w:rPr>
          <w:rFonts w:ascii="Arial" w:cs="Arial" w:eastAsia="Arial" w:hAnsi="Arial"/>
          <w:sz w:val="20"/>
          <w:szCs w:val="20"/>
          <w:color w:val="auto"/>
        </w:rPr>
        <w:t>our total direct compensation opportunities for named executive officers are targeted to fall in a range around the competitive median;</w:t>
      </w:r>
    </w:p>
    <w:p>
      <w:pPr>
        <w:spacing w:after="0" w:line="131" w:lineRule="exact"/>
        <w:rPr>
          <w:rFonts w:ascii="Arial" w:cs="Arial" w:eastAsia="Arial" w:hAnsi="Arial"/>
          <w:sz w:val="20"/>
          <w:szCs w:val="20"/>
          <w:color w:val="0E3C23"/>
        </w:rPr>
      </w:pPr>
    </w:p>
    <w:p>
      <w:pPr>
        <w:jc w:val="both"/>
        <w:ind w:left="780" w:right="200" w:hanging="203"/>
        <w:spacing w:after="0" w:line="300" w:lineRule="auto"/>
        <w:tabs>
          <w:tab w:leader="none" w:pos="780" w:val="left"/>
        </w:tabs>
        <w:numPr>
          <w:ilvl w:val="0"/>
          <w:numId w:val="16"/>
        </w:numPr>
        <w:rPr>
          <w:rFonts w:ascii="Arial" w:cs="Arial" w:eastAsia="Arial" w:hAnsi="Arial"/>
          <w:sz w:val="18"/>
          <w:szCs w:val="18"/>
          <w:color w:val="0E3C23"/>
        </w:rPr>
      </w:pPr>
      <w:r>
        <w:rPr>
          <w:rFonts w:ascii="Arial" w:cs="Arial" w:eastAsia="Arial" w:hAnsi="Arial"/>
          <w:sz w:val="18"/>
          <w:szCs w:val="18"/>
          <w:color w:val="auto"/>
        </w:rPr>
        <w:t>performance-based awards include threshold, target and maximum payouts correlating to a range of performance outcomes and are based on a variety of indicators of performance, which limits risk-taking behavior;</w:t>
      </w:r>
    </w:p>
    <w:p>
      <w:pPr>
        <w:spacing w:after="0" w:line="85" w:lineRule="exact"/>
        <w:rPr>
          <w:rFonts w:ascii="Arial" w:cs="Arial" w:eastAsia="Arial" w:hAnsi="Arial"/>
          <w:sz w:val="18"/>
          <w:szCs w:val="18"/>
          <w:color w:val="0E3C23"/>
        </w:rPr>
      </w:pPr>
    </w:p>
    <w:p>
      <w:pPr>
        <w:jc w:val="both"/>
        <w:ind w:left="780" w:right="200" w:hanging="203"/>
        <w:spacing w:after="0" w:line="249" w:lineRule="auto"/>
        <w:tabs>
          <w:tab w:leader="none" w:pos="780" w:val="left"/>
        </w:tabs>
        <w:numPr>
          <w:ilvl w:val="0"/>
          <w:numId w:val="16"/>
        </w:numPr>
        <w:rPr>
          <w:rFonts w:ascii="Arial" w:cs="Arial" w:eastAsia="Arial" w:hAnsi="Arial"/>
          <w:sz w:val="20"/>
          <w:szCs w:val="20"/>
          <w:color w:val="0E3C23"/>
        </w:rPr>
      </w:pPr>
      <w:r>
        <w:rPr>
          <w:rFonts w:ascii="Arial" w:cs="Arial" w:eastAsia="Arial" w:hAnsi="Arial"/>
          <w:sz w:val="20"/>
          <w:szCs w:val="20"/>
          <w:color w:val="auto"/>
        </w:rPr>
        <w:t>performance stock units with a three-year performance period, as well as stock options that vest over a three-year period, link executives’ interests with long-term performance and reduce incentives to maximize performance in any one year at the expense of future years;</w:t>
      </w:r>
    </w:p>
    <w:p>
      <w:pPr>
        <w:spacing w:after="0" w:line="128" w:lineRule="exact"/>
        <w:rPr>
          <w:rFonts w:ascii="Arial" w:cs="Arial" w:eastAsia="Arial" w:hAnsi="Arial"/>
          <w:sz w:val="20"/>
          <w:szCs w:val="20"/>
          <w:color w:val="0E3C23"/>
        </w:rPr>
      </w:pPr>
    </w:p>
    <w:p>
      <w:pPr>
        <w:ind w:left="780" w:right="200" w:hanging="203"/>
        <w:spacing w:after="0" w:line="246" w:lineRule="auto"/>
        <w:tabs>
          <w:tab w:leader="none" w:pos="780" w:val="left"/>
        </w:tabs>
        <w:numPr>
          <w:ilvl w:val="0"/>
          <w:numId w:val="16"/>
        </w:numPr>
        <w:rPr>
          <w:rFonts w:ascii="Arial" w:cs="Arial" w:eastAsia="Arial" w:hAnsi="Arial"/>
          <w:sz w:val="20"/>
          <w:szCs w:val="20"/>
          <w:color w:val="0E3C23"/>
        </w:rPr>
      </w:pPr>
      <w:r>
        <w:rPr>
          <w:rFonts w:ascii="Arial" w:cs="Arial" w:eastAsia="Arial" w:hAnsi="Arial"/>
          <w:sz w:val="20"/>
          <w:szCs w:val="20"/>
          <w:color w:val="auto"/>
        </w:rPr>
        <w:t>all of our executive officers are subject to stock ownership guidelines, which we believe demonstrates a commitment to, and confidence in, the Company’s long-term prospects;</w:t>
      </w:r>
    </w:p>
    <w:p>
      <w:pPr>
        <w:spacing w:after="0" w:line="131" w:lineRule="exact"/>
        <w:rPr>
          <w:rFonts w:ascii="Arial" w:cs="Arial" w:eastAsia="Arial" w:hAnsi="Arial"/>
          <w:sz w:val="20"/>
          <w:szCs w:val="20"/>
          <w:color w:val="0E3C23"/>
        </w:rPr>
      </w:pPr>
    </w:p>
    <w:p>
      <w:pPr>
        <w:jc w:val="both"/>
        <w:ind w:left="780" w:right="200" w:hanging="203"/>
        <w:spacing w:after="0" w:line="250" w:lineRule="auto"/>
        <w:tabs>
          <w:tab w:leader="none" w:pos="780" w:val="left"/>
        </w:tabs>
        <w:numPr>
          <w:ilvl w:val="0"/>
          <w:numId w:val="16"/>
        </w:numPr>
        <w:rPr>
          <w:rFonts w:ascii="Arial" w:cs="Arial" w:eastAsia="Arial" w:hAnsi="Arial"/>
          <w:sz w:val="20"/>
          <w:szCs w:val="20"/>
          <w:color w:val="0E3C23"/>
        </w:rPr>
      </w:pPr>
      <w:r>
        <w:rPr>
          <w:rFonts w:ascii="Arial" w:cs="Arial" w:eastAsia="Arial" w:hAnsi="Arial"/>
          <w:sz w:val="20"/>
          <w:szCs w:val="20"/>
          <w:color w:val="auto"/>
        </w:rPr>
        <w:t>in addition to adoption of the executive compensation clawback policy mandated by the New York Stock Exchange in 2023, the Company has clawback provisions in its equity award agreements and executive officer employment agreements, and has adopted a clawback policy applicable to annual incentive compensation, designed to recoup compensation when cause and/or misconduct are found;</w:t>
      </w:r>
    </w:p>
    <w:p>
      <w:pPr>
        <w:spacing w:after="0" w:line="127" w:lineRule="exact"/>
        <w:rPr>
          <w:rFonts w:ascii="Arial" w:cs="Arial" w:eastAsia="Arial" w:hAnsi="Arial"/>
          <w:sz w:val="20"/>
          <w:szCs w:val="20"/>
          <w:color w:val="0E3C23"/>
        </w:rPr>
      </w:pPr>
    </w:p>
    <w:p>
      <w:pPr>
        <w:ind w:left="780" w:right="200" w:hanging="203"/>
        <w:spacing w:after="0" w:line="246" w:lineRule="auto"/>
        <w:tabs>
          <w:tab w:leader="none" w:pos="780" w:val="left"/>
        </w:tabs>
        <w:numPr>
          <w:ilvl w:val="0"/>
          <w:numId w:val="16"/>
        </w:numPr>
        <w:rPr>
          <w:rFonts w:ascii="Arial" w:cs="Arial" w:eastAsia="Arial" w:hAnsi="Arial"/>
          <w:sz w:val="20"/>
          <w:szCs w:val="20"/>
          <w:color w:val="0E3C23"/>
        </w:rPr>
      </w:pPr>
      <w:r>
        <w:rPr>
          <w:rFonts w:ascii="Arial" w:cs="Arial" w:eastAsia="Arial" w:hAnsi="Arial"/>
          <w:sz w:val="20"/>
          <w:szCs w:val="20"/>
          <w:color w:val="auto"/>
        </w:rPr>
        <w:t>our executive officer severance policy implemented a limitation on the amount of benefits the Company may provide to its executive officers under severance agreements (the “Severance Limitation Policy”); and</w:t>
      </w:r>
    </w:p>
    <w:p>
      <w:pPr>
        <w:spacing w:after="0" w:line="131" w:lineRule="exact"/>
        <w:rPr>
          <w:rFonts w:ascii="Arial" w:cs="Arial" w:eastAsia="Arial" w:hAnsi="Arial"/>
          <w:sz w:val="20"/>
          <w:szCs w:val="20"/>
          <w:color w:val="0E3C23"/>
        </w:rPr>
      </w:pPr>
    </w:p>
    <w:p>
      <w:pPr>
        <w:ind w:left="780" w:right="200" w:hanging="203"/>
        <w:spacing w:after="0" w:line="246" w:lineRule="auto"/>
        <w:tabs>
          <w:tab w:leader="none" w:pos="780" w:val="left"/>
        </w:tabs>
        <w:numPr>
          <w:ilvl w:val="0"/>
          <w:numId w:val="16"/>
        </w:numPr>
        <w:rPr>
          <w:rFonts w:ascii="Arial" w:cs="Arial" w:eastAsia="Arial" w:hAnsi="Arial"/>
          <w:sz w:val="20"/>
          <w:szCs w:val="20"/>
          <w:color w:val="0E3C23"/>
        </w:rPr>
      </w:pPr>
      <w:r>
        <w:rPr>
          <w:rFonts w:ascii="Arial" w:cs="Arial" w:eastAsia="Arial" w:hAnsi="Arial"/>
          <w:sz w:val="20"/>
          <w:szCs w:val="20"/>
          <w:color w:val="auto"/>
        </w:rPr>
        <w:t>the Company has adopted a policy that prohibits it from entering into agreements with executive officers that provide for certain death benefits or tax gross-up payments.</w:t>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0E3C23"/>
        </w:rPr>
        <w:t>2024 Compensation Program Results and Company Performance</w:t>
      </w:r>
    </w:p>
    <w:p>
      <w:pPr>
        <w:spacing w:after="0" w:line="147" w:lineRule="exact"/>
        <w:rPr>
          <w:sz w:val="20"/>
          <w:szCs w:val="20"/>
          <w:color w:val="auto"/>
        </w:rPr>
      </w:pPr>
    </w:p>
    <w:p>
      <w:pPr>
        <w:jc w:val="both"/>
        <w:ind w:left="180" w:right="180"/>
        <w:spacing w:after="0" w:line="265" w:lineRule="auto"/>
        <w:rPr>
          <w:sz w:val="20"/>
          <w:szCs w:val="20"/>
          <w:color w:val="auto"/>
        </w:rPr>
      </w:pPr>
      <w:r>
        <w:rPr>
          <w:rFonts w:ascii="Arial" w:cs="Arial" w:eastAsia="Arial" w:hAnsi="Arial"/>
          <w:sz w:val="19"/>
          <w:szCs w:val="19"/>
          <w:color w:val="auto"/>
        </w:rPr>
        <w:t>During 2024, we continued to focus on our priorities to advance our strategy — enhancing employee engagement, reducing our cost to serve through the use of technology and automation, and investing in growth through acquisitions and our recycling processing and sales and renewable energy businesses. We invested approximately $8 billion, with $7.5 billion funded in cash and $500 million as the assumption of debt, on acquisitions in 2024, including completion of our acquisition of Stericycle in early November. We remain diligent in offering competitive and differentiated services that meet the needs of our customers, and we are focused on driving operating efficiencies and reducing discretionary spend. We continue to invest in our people by paying a competitive market wage, investing in our digital platform and providing training for our team members. We also continue to make investments in automation and optimization to enhance our operational efficiency and improve labor productivity for all lines of business. This strategic focus, combined with strong operational execution, resulted in increased revenue, income from operations and income from operations margin in 2024 when compared to the prior year. During 2024, the Company allocated $3.231 billion of available cash to capital expenditures. We also allocated $1.472 billion of available cash to our stockholders during 2024 through dividends and Common Stock repurchases.</w:t>
      </w:r>
    </w:p>
    <w:p>
      <w:pPr>
        <w:spacing w:after="0" w:line="123" w:lineRule="exact"/>
        <w:rPr>
          <w:sz w:val="20"/>
          <w:szCs w:val="20"/>
          <w:color w:val="auto"/>
        </w:rPr>
      </w:pPr>
    </w:p>
    <w:p>
      <w:pPr>
        <w:jc w:val="both"/>
        <w:ind w:left="180" w:right="200"/>
        <w:spacing w:after="0" w:line="250" w:lineRule="auto"/>
        <w:rPr>
          <w:sz w:val="20"/>
          <w:szCs w:val="20"/>
          <w:color w:val="auto"/>
        </w:rPr>
      </w:pPr>
      <w:r>
        <w:rPr>
          <w:rFonts w:ascii="Arial" w:cs="Arial" w:eastAsia="Arial" w:hAnsi="Arial"/>
          <w:sz w:val="20"/>
          <w:szCs w:val="20"/>
          <w:color w:val="auto"/>
        </w:rPr>
        <w:t>Following is a summary of the 2024 compensation program results. Incentive compensation measures presented in this proxy statement are defined differently than corresponding measures reported in the Company’s quarterly earnings press release. See Appendix A for additional information and reconciliations of non-GAAP measures to the most comparable GAAP measures.</w:t>
      </w:r>
    </w:p>
    <w:p>
      <w:pPr>
        <w:spacing w:after="0" w:line="245" w:lineRule="exact"/>
        <w:rPr>
          <w:sz w:val="20"/>
          <w:szCs w:val="20"/>
          <w:color w:val="auto"/>
        </w:rPr>
      </w:pPr>
    </w:p>
    <w:p>
      <w:pPr>
        <w:ind w:left="180"/>
        <w:spacing w:after="0"/>
        <w:rPr>
          <w:sz w:val="20"/>
          <w:szCs w:val="20"/>
          <w:color w:val="auto"/>
        </w:rPr>
      </w:pPr>
      <w:r>
        <w:rPr>
          <w:rFonts w:ascii="Arial" w:cs="Arial" w:eastAsia="Arial" w:hAnsi="Arial"/>
          <w:sz w:val="20"/>
          <w:szCs w:val="20"/>
          <w:b w:val="1"/>
          <w:bCs w:val="1"/>
          <w:i w:val="1"/>
          <w:iCs w:val="1"/>
          <w:u w:val="single" w:color="auto"/>
          <w:color w:val="auto"/>
        </w:rPr>
        <w:t>Total Shareholder Return</w:t>
      </w:r>
    </w:p>
    <w:p>
      <w:pPr>
        <w:spacing w:after="0" w:line="131" w:lineRule="exact"/>
        <w:rPr>
          <w:sz w:val="20"/>
          <w:szCs w:val="20"/>
          <w:color w:val="auto"/>
        </w:rPr>
      </w:pPr>
    </w:p>
    <w:p>
      <w:pPr>
        <w:jc w:val="both"/>
        <w:ind w:left="180" w:right="200"/>
        <w:spacing w:after="0" w:line="266" w:lineRule="auto"/>
        <w:rPr>
          <w:sz w:val="20"/>
          <w:szCs w:val="20"/>
          <w:color w:val="auto"/>
        </w:rPr>
      </w:pPr>
      <w:r>
        <w:rPr>
          <w:rFonts w:ascii="Arial" w:cs="Arial" w:eastAsia="Arial" w:hAnsi="Arial"/>
          <w:sz w:val="19"/>
          <w:szCs w:val="19"/>
          <w:color w:val="auto"/>
        </w:rPr>
        <w:t>With respect to the half of the performance share units (“PSUs”) granted in 2022 with a three-year performance period ended December 31, 2024 that was subject to total shareholder return relative to the S&amp;P 500 (“TSR PSUs”), the performance of the Company’s Common Stock on this measure translated into a percentile rank relative to the S&amp;P 500 of 66.80%, resulting in a 167.22% payout on these PSUs in shares of Common Stock. This performance directly benefited our stockholders, delivering total shareholder return of 35.73% over the three-year performance period.</w:t>
      </w:r>
    </w:p>
    <w:p>
      <w:pPr>
        <w:spacing w:after="0" w:line="234" w:lineRule="exact"/>
        <w:rPr>
          <w:sz w:val="20"/>
          <w:szCs w:val="20"/>
          <w:color w:val="auto"/>
        </w:rPr>
      </w:pPr>
    </w:p>
    <w:p>
      <w:pPr>
        <w:ind w:left="180"/>
        <w:spacing w:after="0"/>
        <w:rPr>
          <w:sz w:val="20"/>
          <w:szCs w:val="20"/>
          <w:color w:val="auto"/>
        </w:rPr>
      </w:pPr>
      <w:r>
        <w:rPr>
          <w:rFonts w:ascii="Arial" w:cs="Arial" w:eastAsia="Arial" w:hAnsi="Arial"/>
          <w:sz w:val="20"/>
          <w:szCs w:val="20"/>
          <w:b w:val="1"/>
          <w:bCs w:val="1"/>
          <w:i w:val="1"/>
          <w:iCs w:val="1"/>
          <w:u w:val="single" w:color="auto"/>
          <w:color w:val="auto"/>
        </w:rPr>
        <w:t>Cash Flow Generation</w:t>
      </w:r>
    </w:p>
    <w:p>
      <w:pPr>
        <w:spacing w:after="0" w:line="131" w:lineRule="exact"/>
        <w:rPr>
          <w:sz w:val="20"/>
          <w:szCs w:val="20"/>
          <w:color w:val="auto"/>
        </w:rPr>
      </w:pPr>
    </w:p>
    <w:p>
      <w:pPr>
        <w:jc w:val="both"/>
        <w:ind w:left="180" w:right="200"/>
        <w:spacing w:after="0" w:line="267" w:lineRule="auto"/>
        <w:rPr>
          <w:sz w:val="20"/>
          <w:szCs w:val="20"/>
          <w:color w:val="auto"/>
        </w:rPr>
      </w:pPr>
      <w:r>
        <w:rPr>
          <w:rFonts w:ascii="Arial" w:cs="Arial" w:eastAsia="Arial" w:hAnsi="Arial"/>
          <w:sz w:val="19"/>
          <w:szCs w:val="19"/>
          <w:color w:val="auto"/>
        </w:rPr>
        <w:t>The Company generated net cash flow from operating activities, less capital expenditures, for purposes of the performance goal associated with the other half of our PSUs (“Cash Flow PSUs”) granted in 2022, of $6.847 billion, exceeding the target performance level of $6.634 billion for the three-year performance period ended December 31,</w:t>
      </w:r>
    </w:p>
    <w:p>
      <w:pPr>
        <w:spacing w:after="0" w:line="200" w:lineRule="exact"/>
        <w:rPr>
          <w:sz w:val="20"/>
          <w:szCs w:val="20"/>
          <w:color w:val="auto"/>
        </w:rPr>
      </w:pPr>
    </w:p>
    <w:p>
      <w:pPr>
        <w:spacing w:after="0" w:line="205"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06">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07">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sectPr>
      </w:pPr>
    </w:p>
    <w:bookmarkStart w:id="38" w:name="page39"/>
    <w:bookmarkEnd w:id="38"/>
    <w:p>
      <w:pPr>
        <w:ind w:left="798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279" w:lineRule="exact"/>
        <w:rPr>
          <w:sz w:val="20"/>
          <w:szCs w:val="20"/>
          <w:color w:val="auto"/>
        </w:rPr>
      </w:pPr>
    </w:p>
    <w:p>
      <w:pPr>
        <w:jc w:val="both"/>
        <w:ind w:left="180" w:right="200"/>
        <w:spacing w:after="0" w:line="263" w:lineRule="auto"/>
        <w:rPr>
          <w:sz w:val="20"/>
          <w:szCs w:val="20"/>
          <w:color w:val="auto"/>
        </w:rPr>
      </w:pPr>
      <w:r>
        <w:rPr>
          <w:rFonts w:ascii="Arial" w:cs="Arial" w:eastAsia="Arial" w:hAnsi="Arial"/>
          <w:sz w:val="19"/>
          <w:szCs w:val="19"/>
          <w:color w:val="auto"/>
        </w:rPr>
        <w:t>2024. This performance resulted in a 135.56% payout on these PSUs in shares of Common Stock. The three-year cash flow targets established in 2022 were lower compared to the prior year, as they were reflective of intentional increases in capital spending that were publicly announced in the first quarter of 2022 to accelerate our sustainability growth strategy. The Company subsequently announced additional increases in capital spending commitments to further expand and accelerate our sustainability growth strategy that includes significant previous and on-going investments in our renewable energy and recycling processing and sales businesses. Accordingly, as discussed in last year’s 2024 Compensation Program Preview, the performance results for the Cash Flow PSUs granted in 2022 exclude the impact of $700 million of aggregate incremental sustainability growth investments in 2022, 2023 and 2024 that were not contemplated at the time this performance measure was established but were subsequently approved by our Board in furtherance of the Company’s strategy. The incremental benefits from these strategic investments that were not contemplated at the time the performance measure was established did not materially impact the calculated results for executive compensation performance measures in 2024. Additionally, the calculation of performance on the cash flow measure excludes the benefits of investment tax credits that were not contemplated at the time this performance measure was established, the two months of post-closing contributions from the acquired Stericycle business, and transaction and integration costs related to the Stericycle acquisition. See “Named Executives’ 2024 Compensation Program and Results — Long-Term Equity Incentives — Payout on PSUs for the Performance Period Ended December 31, 2024” below and Appendix A for additional information about the calculation of these results. The robust cash flow generation of our business over the three-year performance period has allowed the Company to fulfill its priorities of investing in and growing the business, funding acquisitions with strong returns, and returning available cash to stockholders through dividend growth and Common Stock repurchases.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20"/>
          <w:szCs w:val="20"/>
          <w:b w:val="1"/>
          <w:bCs w:val="1"/>
          <w:i w:val="1"/>
          <w:iCs w:val="1"/>
          <w:u w:val="single" w:color="auto"/>
          <w:color w:val="auto"/>
        </w:rPr>
        <w:t>Annual Cash Incentive Performance Measures</w:t>
      </w:r>
    </w:p>
    <w:p>
      <w:pPr>
        <w:spacing w:after="0" w:line="131" w:lineRule="exact"/>
        <w:rPr>
          <w:sz w:val="20"/>
          <w:szCs w:val="20"/>
          <w:color w:val="auto"/>
        </w:rPr>
      </w:pPr>
    </w:p>
    <w:p>
      <w:pPr>
        <w:jc w:val="both"/>
        <w:ind w:left="180" w:right="200"/>
        <w:spacing w:after="0" w:line="248" w:lineRule="auto"/>
        <w:rPr>
          <w:sz w:val="20"/>
          <w:szCs w:val="20"/>
          <w:color w:val="auto"/>
        </w:rPr>
      </w:pPr>
      <w:r>
        <w:rPr>
          <w:rFonts w:ascii="Arial" w:cs="Arial" w:eastAsia="Arial" w:hAnsi="Arial"/>
          <w:sz w:val="20"/>
          <w:szCs w:val="20"/>
          <w:color w:val="auto"/>
        </w:rPr>
        <w:t>Company performance on annual cash incentive performance measures for named executive officers is set forth below. For additional information about the definition and calculation of these performance measures, see “Named Executives’ 2024 Compensation Program and Results — Annual Cash Incentive” below and Appendix A. Based on these financial results, the named executives earned an annual cash incentive payment for 2024 equal to 133.08% of target, before application of the sustainability modifier and the individual performance modifier.</w:t>
      </w:r>
    </w:p>
    <w:p>
      <w:pPr>
        <w:spacing w:after="0" w:line="127" w:lineRule="exact"/>
        <w:rPr>
          <w:sz w:val="20"/>
          <w:szCs w:val="20"/>
          <w:color w:val="auto"/>
        </w:rPr>
      </w:pPr>
    </w:p>
    <w:p>
      <w:pPr>
        <w:jc w:val="both"/>
        <w:ind w:left="580" w:right="200"/>
        <w:spacing w:after="0" w:line="248" w:lineRule="auto"/>
        <w:rPr>
          <w:sz w:val="20"/>
          <w:szCs w:val="20"/>
          <w:color w:val="auto"/>
        </w:rPr>
      </w:pPr>
      <w:r>
        <w:rPr>
          <w:rFonts w:ascii="Arial" w:cs="Arial" w:eastAsia="Arial" w:hAnsi="Arial"/>
          <w:sz w:val="20"/>
          <w:szCs w:val="20"/>
          <w:b w:val="1"/>
          <w:bCs w:val="1"/>
          <w:i w:val="1"/>
          <w:iCs w:val="1"/>
          <w:color w:val="auto"/>
        </w:rPr>
        <w:t xml:space="preserve">Operating EBITDA </w:t>
      </w:r>
      <w:r>
        <w:rPr>
          <w:rFonts w:ascii="Arial" w:cs="Arial" w:eastAsia="Arial" w:hAnsi="Arial"/>
          <w:sz w:val="20"/>
          <w:szCs w:val="20"/>
          <w:color w:val="auto"/>
        </w:rPr>
        <w:t>(generally defined as the Company’s income from operations, excluding depreciation, depletion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and amortization, “Restructuring” and “(Gain) Loss from Divestitures, Asset Impairments and Unusual Items, Net” reported in our Annual Report on Form 10-K, and also excluding the impacts of our recycling brokerage business) — </w:t>
      </w:r>
      <w:r>
        <w:rPr>
          <w:rFonts w:ascii="Arial" w:cs="Arial" w:eastAsia="Arial" w:hAnsi="Arial"/>
          <w:sz w:val="20"/>
          <w:szCs w:val="20"/>
          <w:i w:val="1"/>
          <w:iCs w:val="1"/>
          <w:color w:val="auto"/>
        </w:rPr>
        <w:t>$6.472 billion, yielding a payout of 140.51%</w:t>
      </w:r>
    </w:p>
    <w:p>
      <w:pPr>
        <w:spacing w:after="0" w:line="127" w:lineRule="exact"/>
        <w:rPr>
          <w:sz w:val="20"/>
          <w:szCs w:val="20"/>
          <w:color w:val="auto"/>
        </w:rPr>
      </w:pPr>
    </w:p>
    <w:p>
      <w:pPr>
        <w:jc w:val="both"/>
        <w:ind w:left="580" w:right="200"/>
        <w:spacing w:after="0" w:line="265" w:lineRule="auto"/>
        <w:rPr>
          <w:sz w:val="20"/>
          <w:szCs w:val="20"/>
          <w:color w:val="auto"/>
        </w:rPr>
      </w:pPr>
      <w:r>
        <w:rPr>
          <w:rFonts w:ascii="Arial" w:cs="Arial" w:eastAsia="Arial" w:hAnsi="Arial"/>
          <w:sz w:val="19"/>
          <w:szCs w:val="19"/>
          <w:b w:val="1"/>
          <w:bCs w:val="1"/>
          <w:i w:val="1"/>
          <w:iCs w:val="1"/>
          <w:color w:val="auto"/>
        </w:rPr>
        <w:t xml:space="preserve">Income from Operations Margin </w:t>
      </w:r>
      <w:r>
        <w:rPr>
          <w:rFonts w:ascii="Arial" w:cs="Arial" w:eastAsia="Arial" w:hAnsi="Arial"/>
          <w:sz w:val="19"/>
          <w:szCs w:val="19"/>
          <w:color w:val="auto"/>
        </w:rPr>
        <w:t>(generally defined as the Company’s income from operations, excluding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“Restructuring” and “(Gain) Loss from Divestitures, Asset Impairments and Unusual Items, Net” reported in our Annual Report on Form 10-K, as a percentage of revenue, also excluding the impacts of our recycling brokerage business from both income from operations and revenue) — </w:t>
      </w:r>
      <w:r>
        <w:rPr>
          <w:rFonts w:ascii="Arial" w:cs="Arial" w:eastAsia="Arial" w:hAnsi="Arial"/>
          <w:sz w:val="19"/>
          <w:szCs w:val="19"/>
          <w:i w:val="1"/>
          <w:iCs w:val="1"/>
          <w:color w:val="auto"/>
        </w:rPr>
        <w:t>20.50%, yielding a payout of 180.71%</w:t>
      </w:r>
    </w:p>
    <w:p>
      <w:pPr>
        <w:spacing w:after="0" w:line="113" w:lineRule="exact"/>
        <w:rPr>
          <w:sz w:val="20"/>
          <w:szCs w:val="20"/>
          <w:color w:val="auto"/>
        </w:rPr>
      </w:pPr>
    </w:p>
    <w:p>
      <w:pPr>
        <w:jc w:val="both"/>
        <w:ind w:left="580" w:right="200"/>
        <w:spacing w:after="0" w:line="271" w:lineRule="auto"/>
        <w:rPr>
          <w:sz w:val="20"/>
          <w:szCs w:val="20"/>
          <w:color w:val="auto"/>
        </w:rPr>
      </w:pPr>
      <w:r>
        <w:rPr>
          <w:rFonts w:ascii="Arial" w:cs="Arial" w:eastAsia="Arial" w:hAnsi="Arial"/>
          <w:sz w:val="19"/>
          <w:szCs w:val="19"/>
          <w:b w:val="1"/>
          <w:bCs w:val="1"/>
          <w:i w:val="1"/>
          <w:iCs w:val="1"/>
          <w:color w:val="auto"/>
        </w:rPr>
        <w:t xml:space="preserve">Internal Revenue Growth </w:t>
      </w:r>
      <w:r>
        <w:rPr>
          <w:rFonts w:ascii="Arial" w:cs="Arial" w:eastAsia="Arial" w:hAnsi="Arial"/>
          <w:sz w:val="19"/>
          <w:szCs w:val="19"/>
          <w:color w:val="auto"/>
        </w:rPr>
        <w:t>(defined as internal revenue growth from yield, plus internal revenue growth from volume,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at the consolidated level for the collection and disposal business) — </w:t>
      </w:r>
      <w:r>
        <w:rPr>
          <w:rFonts w:ascii="Arial" w:cs="Arial" w:eastAsia="Arial" w:hAnsi="Arial"/>
          <w:sz w:val="19"/>
          <w:szCs w:val="19"/>
          <w:i w:val="1"/>
          <w:iCs w:val="1"/>
          <w:color w:val="auto"/>
        </w:rPr>
        <w:t>4.57%, yielding a payout of 70.58%.</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20"/>
          <w:szCs w:val="20"/>
          <w:b w:val="1"/>
          <w:bCs w:val="1"/>
          <w:i w:val="1"/>
          <w:iCs w:val="1"/>
          <w:u w:val="single" w:color="auto"/>
          <w:color w:val="auto"/>
        </w:rPr>
        <w:t>Sustainability Modifier to Annual Cash Incentive Awards</w:t>
      </w:r>
    </w:p>
    <w:p>
      <w:pPr>
        <w:spacing w:after="0" w:line="131" w:lineRule="exact"/>
        <w:rPr>
          <w:sz w:val="20"/>
          <w:szCs w:val="20"/>
          <w:color w:val="auto"/>
        </w:rPr>
      </w:pPr>
    </w:p>
    <w:p>
      <w:pPr>
        <w:jc w:val="both"/>
        <w:ind w:left="180" w:right="200"/>
        <w:spacing w:after="0" w:line="264" w:lineRule="auto"/>
        <w:rPr>
          <w:sz w:val="20"/>
          <w:szCs w:val="20"/>
          <w:color w:val="auto"/>
        </w:rPr>
      </w:pPr>
      <w:r>
        <w:rPr>
          <w:rFonts w:ascii="Arial" w:cs="Arial" w:eastAsia="Arial" w:hAnsi="Arial"/>
          <w:sz w:val="19"/>
          <w:szCs w:val="19"/>
          <w:color w:val="auto"/>
        </w:rPr>
        <w:t>Since 2023, the MD&amp;C Committee has incorporated a sustainability modifier into the annual cash incentive program. As a result, annual cash incentive payouts to executive officers for 2024 were eligible to be increased, or decreased, up to 10% depending on achievement calculated using a sustainability scorecard, an increase from the 5% weighting of the sustainability modifier in 2023. The 2024 sustainability scorecard contained quantifiable performance measures in the areas of safety; employee engagement; circularity and climate. As discussed further below under “Named Executives’ 2024 Compensation Program and Results — Annual Cash Incentive,” the Company earned sufficient points on the sustainability scorecard to correlate to a 3% increase to the annual cash incentive payment for 2024 otherwise earned.</w:t>
      </w:r>
    </w:p>
    <w:p>
      <w:pPr>
        <w:sectPr>
          <w:pgSz w:w="13320" w:h="16920" w:orient="portrait"/>
          <w:cols w:equalWidth="0" w:num="1">
            <w:col w:w="10440"/>
          </w:cols>
          <w:pgMar w:left="1440" w:top="1232" w:right="1440" w:bottom="10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4"/>
          <w:szCs w:val="34"/>
          <w:b w:val="1"/>
          <w:bCs w:val="1"/>
          <w:color w:val="0E3C23"/>
        </w:rPr>
        <w:t xml:space="preserve">|  </w:t>
      </w:r>
      <w:r>
        <w:rPr>
          <w:rFonts w:ascii="Arial" w:cs="Arial" w:eastAsia="Arial" w:hAnsi="Arial"/>
          <w:sz w:val="18"/>
          <w:szCs w:val="18"/>
          <w:color w:val="00000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-192405</wp:posOffset>
            </wp:positionV>
            <wp:extent cx="538480" cy="1619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08">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59" w:gutter="0" w:footer="0" w:header="0"/>
          <w:type w:val="continuous"/>
        </w:sectPr>
      </w:pPr>
    </w:p>
    <w:bookmarkStart w:id="39" w:name="page40"/>
    <w:bookmarkEnd w:id="39"/>
    <w:p>
      <w:pPr>
        <w:ind w:left="180"/>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2024 Actual Performance and Compensation Payouts</w:t>
      </w:r>
    </w:p>
    <w:p>
      <w:pPr>
        <w:spacing w:after="0" w:line="165" w:lineRule="exact"/>
        <w:rPr>
          <w:sz w:val="20"/>
          <w:szCs w:val="20"/>
          <w:color w:val="auto"/>
        </w:rPr>
      </w:pPr>
    </w:p>
    <w:tbl>
      <w:tblPr>
        <w:tblLayout w:type="fixed"/>
        <w:tblInd w:w="320" w:type="dxa"/>
        <w:tblCellMar>
          <w:top w:w="0" w:type="dxa"/>
          <w:left w:w="0" w:type="dxa"/>
          <w:bottom w:w="0" w:type="dxa"/>
          <w:right w:w="0" w:type="dxa"/>
        </w:tblCellMar>
      </w:tblPr>
      <w:tr>
        <w:trPr>
          <w:trHeight w:val="222"/>
        </w:trPr>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3"/>
          </w:tcPr>
          <w:p>
            <w:pPr>
              <w:ind w:left="240"/>
              <w:spacing w:after="0"/>
              <w:rPr>
                <w:sz w:val="20"/>
                <w:szCs w:val="20"/>
                <w:color w:val="auto"/>
              </w:rPr>
            </w:pPr>
            <w:r>
              <w:rPr>
                <w:rFonts w:ascii="Arial" w:cs="Arial" w:eastAsia="Arial" w:hAnsi="Arial"/>
                <w:sz w:val="16"/>
                <w:szCs w:val="16"/>
                <w:b w:val="1"/>
                <w:bCs w:val="1"/>
                <w:color w:val="auto"/>
              </w:rPr>
              <w:t>Annual Cash Incentive</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740" w:type="dxa"/>
            <w:vAlign w:val="bottom"/>
            <w:gridSpan w:val="5"/>
          </w:tcPr>
          <w:p>
            <w:pPr>
              <w:jc w:val="center"/>
              <w:spacing w:after="0"/>
              <w:rPr>
                <w:sz w:val="20"/>
                <w:szCs w:val="20"/>
                <w:color w:val="auto"/>
              </w:rPr>
            </w:pPr>
            <w:r>
              <w:rPr>
                <w:rFonts w:ascii="Arial" w:cs="Arial" w:eastAsia="Arial" w:hAnsi="Arial"/>
                <w:sz w:val="16"/>
                <w:szCs w:val="16"/>
                <w:b w:val="1"/>
                <w:bCs w:val="1"/>
                <w:color w:val="auto"/>
              </w:rPr>
              <w:t>Long-Term Performance Share Units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bottom w:val="single" w:sz="8" w:color="0E3C23"/>
            </w:tcBorders>
          </w:tcPr>
          <w:p>
            <w:pPr>
              <w:spacing w:after="0"/>
              <w:rPr>
                <w:sz w:val="17"/>
                <w:szCs w:val="17"/>
                <w:color w:val="auto"/>
              </w:rPr>
            </w:pPr>
          </w:p>
        </w:tc>
        <w:tc>
          <w:tcPr>
            <w:tcW w:w="1140" w:type="dxa"/>
            <w:vAlign w:val="bottom"/>
            <w:tcBorders>
              <w:bottom w:val="single" w:sz="8" w:color="0E3C23"/>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bottom w:val="single" w:sz="8" w:color="0E3C23"/>
            </w:tcBorders>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bottom w:val="single" w:sz="8" w:color="0E3C23"/>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bottom w:val="single" w:sz="8" w:color="0E3C23"/>
            </w:tcBorders>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Borders>
              <w:bottom w:val="single" w:sz="8" w:color="0E3C23"/>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0E3C23"/>
            </w:tcBorders>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bottom w:val="single" w:sz="8" w:color="0E3C23"/>
            </w:tcBorders>
          </w:tcPr>
          <w:p>
            <w:pPr>
              <w:spacing w:after="0"/>
              <w:rPr>
                <w:sz w:val="10"/>
                <w:szCs w:val="10"/>
                <w:color w:val="auto"/>
              </w:rPr>
            </w:pPr>
          </w:p>
        </w:tc>
        <w:tc>
          <w:tcPr>
            <w:tcW w:w="120" w:type="dxa"/>
            <w:vAlign w:val="bottom"/>
            <w:tcBorders>
              <w:bottom w:val="single" w:sz="8" w:color="0E3C23"/>
            </w:tcBorders>
          </w:tcPr>
          <w:p>
            <w:pPr>
              <w:spacing w:after="0"/>
              <w:rPr>
                <w:sz w:val="10"/>
                <w:szCs w:val="10"/>
                <w:color w:val="auto"/>
              </w:rPr>
            </w:pPr>
          </w:p>
        </w:tc>
        <w:tc>
          <w:tcPr>
            <w:tcW w:w="100" w:type="dxa"/>
            <w:vAlign w:val="bottom"/>
            <w:tcBorders>
              <w:right w:val="single" w:sz="8" w:color="0E3C23"/>
            </w:tcBorders>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Borders>
              <w:right w:val="single" w:sz="8" w:color="0E3C23"/>
            </w:tcBorders>
          </w:tcPr>
          <w:p>
            <w:pPr>
              <w:jc w:val="center"/>
              <w:spacing w:after="0" w:line="117" w:lineRule="exact"/>
              <w:rPr>
                <w:sz w:val="20"/>
                <w:szCs w:val="20"/>
                <w:color w:val="auto"/>
              </w:rPr>
            </w:pPr>
            <w:r>
              <w:rPr>
                <w:rFonts w:ascii="Arial" w:cs="Arial" w:eastAsia="Arial" w:hAnsi="Arial"/>
                <w:sz w:val="13"/>
                <w:szCs w:val="13"/>
                <w:b w:val="1"/>
                <w:bCs w:val="1"/>
                <w:color w:val="auto"/>
              </w:rPr>
              <w:t>66.8th Percentile</w:t>
            </w:r>
          </w:p>
        </w:tc>
        <w:tc>
          <w:tcPr>
            <w:tcW w:w="200" w:type="dxa"/>
            <w:vAlign w:val="bottom"/>
            <w:tcBorders>
              <w:right w:val="single" w:sz="8" w:color="0E3C23"/>
            </w:tcBorders>
          </w:tcPr>
          <w:p>
            <w:pPr>
              <w:spacing w:after="0"/>
              <w:rPr>
                <w:sz w:val="10"/>
                <w:szCs w:val="10"/>
                <w:color w:val="auto"/>
              </w:rPr>
            </w:pPr>
          </w:p>
        </w:tc>
        <w:tc>
          <w:tcPr>
            <w:tcW w:w="1100" w:type="dxa"/>
            <w:vAlign w:val="bottom"/>
            <w:tcBorders>
              <w:right w:val="single" w:sz="8" w:color="0E3C23"/>
            </w:tcBorders>
          </w:tcPr>
          <w:p>
            <w:pPr>
              <w:jc w:val="center"/>
              <w:spacing w:after="0" w:line="117" w:lineRule="exact"/>
              <w:rPr>
                <w:sz w:val="20"/>
                <w:szCs w:val="20"/>
                <w:color w:val="auto"/>
              </w:rPr>
            </w:pPr>
            <w:r>
              <w:rPr>
                <w:rFonts w:ascii="Arial" w:cs="Arial" w:eastAsia="Arial" w:hAnsi="Arial"/>
                <w:sz w:val="13"/>
                <w:szCs w:val="13"/>
                <w:b w:val="1"/>
                <w:bCs w:val="1"/>
                <w:color w:val="auto"/>
                <w:w w:val="99"/>
              </w:rPr>
              <w:t>$6.847B Actual</w:t>
            </w:r>
          </w:p>
        </w:tc>
        <w:tc>
          <w:tcPr>
            <w:tcW w:w="280" w:type="dxa"/>
            <w:vAlign w:val="bottom"/>
            <w:tcBorders>
              <w:right w:val="single" w:sz="8" w:color="0E3C23"/>
            </w:tcBorders>
          </w:tcPr>
          <w:p>
            <w:pPr>
              <w:spacing w:after="0"/>
              <w:rPr>
                <w:sz w:val="10"/>
                <w:szCs w:val="10"/>
                <w:color w:val="auto"/>
              </w:rPr>
            </w:pPr>
          </w:p>
        </w:tc>
        <w:tc>
          <w:tcPr>
            <w:tcW w:w="1020" w:type="dxa"/>
            <w:vAlign w:val="bottom"/>
            <w:tcBorders>
              <w:right w:val="single" w:sz="8" w:color="0E3C23"/>
            </w:tcBorders>
            <w:vMerge w:val="restart"/>
          </w:tcPr>
          <w:p>
            <w:pPr>
              <w:jc w:val="center"/>
              <w:spacing w:after="0"/>
              <w:rPr>
                <w:sz w:val="20"/>
                <w:szCs w:val="20"/>
                <w:color w:val="auto"/>
              </w:rPr>
            </w:pPr>
            <w:r>
              <w:rPr>
                <w:rFonts w:ascii="Arial" w:cs="Arial" w:eastAsia="Arial" w:hAnsi="Arial"/>
                <w:sz w:val="14"/>
                <w:szCs w:val="14"/>
                <w:b w:val="1"/>
                <w:bCs w:val="1"/>
                <w:color w:val="auto"/>
                <w:w w:val="93"/>
              </w:rPr>
              <w:t>Combined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100" w:type="dxa"/>
            <w:vAlign w:val="bottom"/>
            <w:tcBorders>
              <w:right w:val="single" w:sz="8" w:color="0E3C23"/>
            </w:tcBorders>
          </w:tcPr>
          <w:p>
            <w:pPr>
              <w:spacing w:after="0"/>
              <w:rPr>
                <w:sz w:val="15"/>
                <w:szCs w:val="15"/>
                <w:color w:val="auto"/>
              </w:rPr>
            </w:pPr>
          </w:p>
        </w:tc>
        <w:tc>
          <w:tcPr>
            <w:tcW w:w="1080" w:type="dxa"/>
            <w:vAlign w:val="bottom"/>
            <w:tcBorders>
              <w:right w:val="single" w:sz="8" w:color="0E3C23"/>
            </w:tcBorders>
          </w:tcPr>
          <w:p>
            <w:pPr>
              <w:jc w:val="center"/>
              <w:spacing w:after="0"/>
              <w:rPr>
                <w:sz w:val="20"/>
                <w:szCs w:val="20"/>
                <w:color w:val="auto"/>
              </w:rPr>
            </w:pPr>
            <w:r>
              <w:rPr>
                <w:rFonts w:ascii="Arial" w:cs="Arial" w:eastAsia="Arial" w:hAnsi="Arial"/>
                <w:sz w:val="14"/>
                <w:szCs w:val="14"/>
                <w:b w:val="1"/>
                <w:bCs w:val="1"/>
                <w:color w:val="auto"/>
                <w:w w:val="94"/>
              </w:rPr>
              <w:t>$6.472B Actual</w:t>
            </w:r>
          </w:p>
        </w:tc>
        <w:tc>
          <w:tcPr>
            <w:tcW w:w="240" w:type="dxa"/>
            <w:vAlign w:val="bottom"/>
            <w:tcBorders>
              <w:right w:val="single" w:sz="8" w:color="0E3C23"/>
            </w:tcBorders>
          </w:tcPr>
          <w:p>
            <w:pPr>
              <w:spacing w:after="0"/>
              <w:rPr>
                <w:sz w:val="15"/>
                <w:szCs w:val="15"/>
                <w:color w:val="auto"/>
              </w:rPr>
            </w:pPr>
          </w:p>
        </w:tc>
        <w:tc>
          <w:tcPr>
            <w:tcW w:w="980" w:type="dxa"/>
            <w:vAlign w:val="bottom"/>
            <w:tcBorders>
              <w:right w:val="single" w:sz="8" w:color="0E3C23"/>
            </w:tcBorders>
          </w:tcPr>
          <w:p>
            <w:pPr>
              <w:jc w:val="center"/>
              <w:spacing w:after="0"/>
              <w:rPr>
                <w:sz w:val="20"/>
                <w:szCs w:val="20"/>
                <w:color w:val="auto"/>
              </w:rPr>
            </w:pPr>
            <w:r>
              <w:rPr>
                <w:rFonts w:ascii="Arial" w:cs="Arial" w:eastAsia="Arial" w:hAnsi="Arial"/>
                <w:sz w:val="14"/>
                <w:szCs w:val="14"/>
                <w:b w:val="1"/>
                <w:bCs w:val="1"/>
                <w:color w:val="auto"/>
                <w:w w:val="93"/>
              </w:rPr>
              <w:t>20.50% Actual</w:t>
            </w:r>
          </w:p>
        </w:tc>
        <w:tc>
          <w:tcPr>
            <w:tcW w:w="240" w:type="dxa"/>
            <w:vAlign w:val="bottom"/>
            <w:tcBorders>
              <w:right w:val="single" w:sz="8" w:color="0E3C23"/>
            </w:tcBorders>
          </w:tcPr>
          <w:p>
            <w:pPr>
              <w:spacing w:after="0"/>
              <w:rPr>
                <w:sz w:val="15"/>
                <w:szCs w:val="15"/>
                <w:color w:val="auto"/>
              </w:rPr>
            </w:pPr>
          </w:p>
        </w:tc>
        <w:tc>
          <w:tcPr>
            <w:tcW w:w="1060" w:type="dxa"/>
            <w:vAlign w:val="bottom"/>
            <w:tcBorders>
              <w:right w:val="single" w:sz="8" w:color="0E3C23"/>
            </w:tcBorders>
          </w:tcPr>
          <w:p>
            <w:pPr>
              <w:jc w:val="center"/>
              <w:spacing w:after="0"/>
              <w:rPr>
                <w:sz w:val="20"/>
                <w:szCs w:val="20"/>
                <w:color w:val="auto"/>
              </w:rPr>
            </w:pPr>
            <w:r>
              <w:rPr>
                <w:rFonts w:ascii="Arial" w:cs="Arial" w:eastAsia="Arial" w:hAnsi="Arial"/>
                <w:sz w:val="14"/>
                <w:szCs w:val="14"/>
                <w:b w:val="1"/>
                <w:bCs w:val="1"/>
                <w:color w:val="auto"/>
                <w:w w:val="92"/>
              </w:rPr>
              <w:t>4.57% Actual</w:t>
            </w:r>
          </w:p>
        </w:tc>
        <w:tc>
          <w:tcPr>
            <w:tcW w:w="80" w:type="dxa"/>
            <w:vAlign w:val="bottom"/>
            <w:tcBorders>
              <w:right w:val="single" w:sz="8" w:color="0E3C23"/>
            </w:tcBorders>
          </w:tcPr>
          <w:p>
            <w:pPr>
              <w:spacing w:after="0"/>
              <w:rPr>
                <w:sz w:val="15"/>
                <w:szCs w:val="15"/>
                <w:color w:val="auto"/>
              </w:rPr>
            </w:pPr>
          </w:p>
        </w:tc>
        <w:tc>
          <w:tcPr>
            <w:tcW w:w="1260" w:type="dxa"/>
            <w:vAlign w:val="bottom"/>
            <w:tcBorders>
              <w:right w:val="single" w:sz="8" w:color="0E3C23"/>
            </w:tcBorders>
            <w:gridSpan w:val="2"/>
          </w:tcPr>
          <w:p>
            <w:pPr>
              <w:jc w:val="center"/>
              <w:ind w:right="60"/>
              <w:spacing w:after="0"/>
              <w:rPr>
                <w:sz w:val="20"/>
                <w:szCs w:val="20"/>
                <w:color w:val="auto"/>
              </w:rPr>
            </w:pPr>
            <w:r>
              <w:rPr>
                <w:rFonts w:ascii="Arial" w:cs="Arial" w:eastAsia="Arial" w:hAnsi="Arial"/>
                <w:sz w:val="14"/>
                <w:szCs w:val="14"/>
                <w:b w:val="1"/>
                <w:bCs w:val="1"/>
                <w:color w:val="auto"/>
                <w:w w:val="94"/>
              </w:rPr>
              <w:t>Combined Results:</w:t>
            </w:r>
          </w:p>
        </w:tc>
        <w:tc>
          <w:tcPr>
            <w:tcW w:w="100" w:type="dxa"/>
            <w:vAlign w:val="bottom"/>
            <w:tcBorders>
              <w:right w:val="single" w:sz="8" w:color="0E3C23"/>
            </w:tcBorders>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Borders>
              <w:right w:val="single" w:sz="8" w:color="0E3C23"/>
            </w:tcBorders>
          </w:tcPr>
          <w:p>
            <w:pPr>
              <w:jc w:val="center"/>
              <w:spacing w:after="0"/>
              <w:rPr>
                <w:sz w:val="20"/>
                <w:szCs w:val="20"/>
                <w:color w:val="auto"/>
              </w:rPr>
            </w:pPr>
            <w:r>
              <w:rPr>
                <w:rFonts w:ascii="Arial" w:cs="Arial" w:eastAsia="Arial" w:hAnsi="Arial"/>
                <w:sz w:val="14"/>
                <w:szCs w:val="14"/>
                <w:b w:val="1"/>
                <w:bCs w:val="1"/>
                <w:color w:val="auto"/>
                <w:w w:val="93"/>
              </w:rPr>
              <w:t>Actual</w:t>
            </w:r>
          </w:p>
        </w:tc>
        <w:tc>
          <w:tcPr>
            <w:tcW w:w="200" w:type="dxa"/>
            <w:vAlign w:val="bottom"/>
            <w:tcBorders>
              <w:right w:val="single" w:sz="8" w:color="0E3C23"/>
            </w:tcBorders>
          </w:tcPr>
          <w:p>
            <w:pPr>
              <w:spacing w:after="0"/>
              <w:rPr>
                <w:sz w:val="15"/>
                <w:szCs w:val="15"/>
                <w:color w:val="auto"/>
              </w:rPr>
            </w:pPr>
          </w:p>
        </w:tc>
        <w:tc>
          <w:tcPr>
            <w:tcW w:w="1100" w:type="dxa"/>
            <w:vAlign w:val="bottom"/>
            <w:tcBorders>
              <w:right w:val="single" w:sz="8" w:color="0E3C23"/>
            </w:tcBorders>
          </w:tcPr>
          <w:p>
            <w:pPr>
              <w:jc w:val="center"/>
              <w:spacing w:after="0"/>
              <w:rPr>
                <w:sz w:val="20"/>
                <w:szCs w:val="20"/>
                <w:color w:val="auto"/>
              </w:rPr>
            </w:pPr>
            <w:r>
              <w:rPr>
                <w:rFonts w:ascii="Arial" w:cs="Arial" w:eastAsia="Arial" w:hAnsi="Arial"/>
                <w:sz w:val="14"/>
                <w:szCs w:val="14"/>
                <w:b w:val="1"/>
                <w:bCs w:val="1"/>
                <w:color w:val="auto"/>
                <w:w w:val="92"/>
              </w:rPr>
              <w:t>$6.634B Target</w:t>
            </w:r>
          </w:p>
        </w:tc>
        <w:tc>
          <w:tcPr>
            <w:tcW w:w="280" w:type="dxa"/>
            <w:vAlign w:val="bottom"/>
            <w:tcBorders>
              <w:right w:val="single" w:sz="8" w:color="0E3C23"/>
            </w:tcBorders>
          </w:tcPr>
          <w:p>
            <w:pPr>
              <w:spacing w:after="0"/>
              <w:rPr>
                <w:sz w:val="15"/>
                <w:szCs w:val="15"/>
                <w:color w:val="auto"/>
              </w:rPr>
            </w:pPr>
          </w:p>
        </w:tc>
        <w:tc>
          <w:tcPr>
            <w:tcW w:w="1020" w:type="dxa"/>
            <w:vAlign w:val="bottom"/>
            <w:tcBorders>
              <w:right w:val="single" w:sz="8" w:color="0E3C23"/>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60" w:type="dxa"/>
            <w:vAlign w:val="bottom"/>
          </w:tcPr>
          <w:p>
            <w:pPr>
              <w:spacing w:after="0"/>
              <w:rPr>
                <w:sz w:val="20"/>
                <w:szCs w:val="20"/>
                <w:color w:val="auto"/>
              </w:rPr>
            </w:pPr>
            <w:r>
              <w:rPr>
                <w:rFonts w:ascii="Arial" w:cs="Arial" w:eastAsia="Arial" w:hAnsi="Arial"/>
                <w:sz w:val="14"/>
                <w:szCs w:val="14"/>
                <w:b w:val="1"/>
                <w:bCs w:val="1"/>
                <w:color w:val="auto"/>
              </w:rPr>
              <w:t>Maximum</w:t>
            </w:r>
          </w:p>
        </w:tc>
        <w:tc>
          <w:tcPr>
            <w:tcW w:w="100" w:type="dxa"/>
            <w:vAlign w:val="bottom"/>
            <w:tcBorders>
              <w:right w:val="single" w:sz="8" w:color="0E3C23"/>
            </w:tcBorders>
          </w:tcPr>
          <w:p>
            <w:pPr>
              <w:spacing w:after="0"/>
              <w:rPr>
                <w:sz w:val="14"/>
                <w:szCs w:val="14"/>
                <w:color w:val="auto"/>
              </w:rPr>
            </w:pPr>
          </w:p>
        </w:tc>
        <w:tc>
          <w:tcPr>
            <w:tcW w:w="1080" w:type="dxa"/>
            <w:vAlign w:val="bottom"/>
            <w:tcBorders>
              <w:right w:val="single" w:sz="8" w:color="0E3C23"/>
            </w:tcBorders>
          </w:tcPr>
          <w:p>
            <w:pPr>
              <w:jc w:val="center"/>
              <w:spacing w:after="0"/>
              <w:rPr>
                <w:sz w:val="20"/>
                <w:szCs w:val="20"/>
                <w:color w:val="auto"/>
              </w:rPr>
            </w:pPr>
            <w:r>
              <w:rPr>
                <w:rFonts w:ascii="Arial" w:cs="Arial" w:eastAsia="Arial" w:hAnsi="Arial"/>
                <w:sz w:val="14"/>
                <w:szCs w:val="14"/>
                <w:b w:val="1"/>
                <w:bCs w:val="1"/>
                <w:color w:val="auto"/>
                <w:w w:val="94"/>
              </w:rPr>
              <w:t>$6.352B Target</w:t>
            </w:r>
          </w:p>
        </w:tc>
        <w:tc>
          <w:tcPr>
            <w:tcW w:w="240" w:type="dxa"/>
            <w:vAlign w:val="bottom"/>
            <w:tcBorders>
              <w:right w:val="single" w:sz="8" w:color="0E3C23"/>
            </w:tcBorders>
          </w:tcPr>
          <w:p>
            <w:pPr>
              <w:spacing w:after="0"/>
              <w:rPr>
                <w:sz w:val="14"/>
                <w:szCs w:val="14"/>
                <w:color w:val="auto"/>
              </w:rPr>
            </w:pPr>
          </w:p>
        </w:tc>
        <w:tc>
          <w:tcPr>
            <w:tcW w:w="980" w:type="dxa"/>
            <w:vAlign w:val="bottom"/>
            <w:tcBorders>
              <w:right w:val="single" w:sz="8" w:color="0E3C23"/>
            </w:tcBorders>
          </w:tcPr>
          <w:p>
            <w:pPr>
              <w:jc w:val="center"/>
              <w:spacing w:after="0"/>
              <w:rPr>
                <w:sz w:val="20"/>
                <w:szCs w:val="20"/>
                <w:color w:val="auto"/>
              </w:rPr>
            </w:pPr>
            <w:r>
              <w:rPr>
                <w:rFonts w:ascii="Arial" w:cs="Arial" w:eastAsia="Arial" w:hAnsi="Arial"/>
                <w:sz w:val="14"/>
                <w:szCs w:val="14"/>
                <w:b w:val="1"/>
                <w:bCs w:val="1"/>
                <w:color w:val="auto"/>
                <w:w w:val="93"/>
              </w:rPr>
              <w:t>19.70% Target</w:t>
            </w:r>
          </w:p>
        </w:tc>
        <w:tc>
          <w:tcPr>
            <w:tcW w:w="240" w:type="dxa"/>
            <w:vAlign w:val="bottom"/>
            <w:tcBorders>
              <w:right w:val="single" w:sz="8" w:color="0E3C23"/>
            </w:tcBorders>
          </w:tcPr>
          <w:p>
            <w:pPr>
              <w:spacing w:after="0"/>
              <w:rPr>
                <w:sz w:val="14"/>
                <w:szCs w:val="14"/>
                <w:color w:val="auto"/>
              </w:rPr>
            </w:pPr>
          </w:p>
        </w:tc>
        <w:tc>
          <w:tcPr>
            <w:tcW w:w="1060" w:type="dxa"/>
            <w:vAlign w:val="bottom"/>
            <w:tcBorders>
              <w:right w:val="single" w:sz="8" w:color="0E3C23"/>
            </w:tcBorders>
          </w:tcPr>
          <w:p>
            <w:pPr>
              <w:jc w:val="center"/>
              <w:spacing w:after="0"/>
              <w:rPr>
                <w:sz w:val="20"/>
                <w:szCs w:val="20"/>
                <w:color w:val="auto"/>
              </w:rPr>
            </w:pPr>
            <w:r>
              <w:rPr>
                <w:rFonts w:ascii="Arial" w:cs="Arial" w:eastAsia="Arial" w:hAnsi="Arial"/>
                <w:sz w:val="14"/>
                <w:szCs w:val="14"/>
                <w:b w:val="1"/>
                <w:bCs w:val="1"/>
                <w:color w:val="auto"/>
                <w:w w:val="92"/>
              </w:rPr>
              <w:t>5.60% Target</w:t>
            </w:r>
          </w:p>
        </w:tc>
        <w:tc>
          <w:tcPr>
            <w:tcW w:w="80" w:type="dxa"/>
            <w:vAlign w:val="bottom"/>
            <w:tcBorders>
              <w:right w:val="single" w:sz="8" w:color="0E3C23"/>
            </w:tcBorders>
          </w:tcPr>
          <w:p>
            <w:pPr>
              <w:spacing w:after="0"/>
              <w:rPr>
                <w:sz w:val="14"/>
                <w:szCs w:val="14"/>
                <w:color w:val="auto"/>
              </w:rPr>
            </w:pPr>
          </w:p>
        </w:tc>
        <w:tc>
          <w:tcPr>
            <w:tcW w:w="1260" w:type="dxa"/>
            <w:vAlign w:val="bottom"/>
            <w:tcBorders>
              <w:right w:val="single" w:sz="8" w:color="0E3C23"/>
            </w:tcBorders>
            <w:gridSpan w:val="2"/>
          </w:tcPr>
          <w:p>
            <w:pPr>
              <w:jc w:val="center"/>
              <w:ind w:right="60"/>
              <w:spacing w:after="0"/>
              <w:rPr>
                <w:sz w:val="20"/>
                <w:szCs w:val="20"/>
                <w:color w:val="auto"/>
              </w:rPr>
            </w:pPr>
            <w:r>
              <w:rPr>
                <w:rFonts w:ascii="Arial" w:cs="Arial" w:eastAsia="Arial" w:hAnsi="Arial"/>
                <w:sz w:val="14"/>
                <w:szCs w:val="14"/>
                <w:b w:val="1"/>
                <w:bCs w:val="1"/>
                <w:color w:val="auto"/>
                <w:w w:val="91"/>
              </w:rPr>
              <w:t>(Financial</w:t>
            </w:r>
          </w:p>
        </w:tc>
        <w:tc>
          <w:tcPr>
            <w:tcW w:w="100" w:type="dxa"/>
            <w:vAlign w:val="bottom"/>
            <w:tcBorders>
              <w:right w:val="single" w:sz="8" w:color="0E3C23"/>
            </w:tcBorders>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Borders>
              <w:right w:val="single" w:sz="8" w:color="0E3C23"/>
            </w:tcBorders>
          </w:tcPr>
          <w:p>
            <w:pPr>
              <w:jc w:val="center"/>
              <w:spacing w:after="0"/>
              <w:rPr>
                <w:sz w:val="20"/>
                <w:szCs w:val="20"/>
                <w:color w:val="auto"/>
              </w:rPr>
            </w:pPr>
            <w:r>
              <w:rPr>
                <w:rFonts w:ascii="Arial" w:cs="Arial" w:eastAsia="Arial" w:hAnsi="Arial"/>
                <w:sz w:val="14"/>
                <w:szCs w:val="14"/>
                <w:b w:val="1"/>
                <w:bCs w:val="1"/>
                <w:color w:val="auto"/>
                <w:w w:val="92"/>
              </w:rPr>
              <w:t>50th Percentile</w:t>
            </w:r>
          </w:p>
        </w:tc>
        <w:tc>
          <w:tcPr>
            <w:tcW w:w="200" w:type="dxa"/>
            <w:vAlign w:val="bottom"/>
            <w:tcBorders>
              <w:right w:val="single" w:sz="8" w:color="0E3C23"/>
            </w:tcBorders>
          </w:tcPr>
          <w:p>
            <w:pPr>
              <w:spacing w:after="0"/>
              <w:rPr>
                <w:sz w:val="14"/>
                <w:szCs w:val="14"/>
                <w:color w:val="auto"/>
              </w:rPr>
            </w:pPr>
          </w:p>
        </w:tc>
        <w:tc>
          <w:tcPr>
            <w:tcW w:w="1100" w:type="dxa"/>
            <w:vAlign w:val="bottom"/>
            <w:tcBorders>
              <w:right w:val="single" w:sz="8" w:color="0E3C23"/>
            </w:tcBorders>
          </w:tcPr>
          <w:p>
            <w:pPr>
              <w:jc w:val="center"/>
              <w:spacing w:after="0"/>
              <w:rPr>
                <w:sz w:val="20"/>
                <w:szCs w:val="20"/>
                <w:color w:val="auto"/>
              </w:rPr>
            </w:pPr>
            <w:r>
              <w:rPr>
                <w:rFonts w:ascii="Arial" w:cs="Arial" w:eastAsia="Arial" w:hAnsi="Arial"/>
                <w:sz w:val="14"/>
                <w:szCs w:val="14"/>
                <w:b w:val="1"/>
                <w:bCs w:val="1"/>
                <w:color w:val="auto"/>
                <w:w w:val="93"/>
              </w:rPr>
              <w:t>(50% weight)</w:t>
            </w:r>
          </w:p>
        </w:tc>
        <w:tc>
          <w:tcPr>
            <w:tcW w:w="280" w:type="dxa"/>
            <w:vAlign w:val="bottom"/>
            <w:tcBorders>
              <w:right w:val="single" w:sz="8" w:color="0E3C23"/>
            </w:tcBorders>
          </w:tcPr>
          <w:p>
            <w:pPr>
              <w:spacing w:after="0"/>
              <w:rPr>
                <w:sz w:val="14"/>
                <w:szCs w:val="14"/>
                <w:color w:val="auto"/>
              </w:rPr>
            </w:pPr>
          </w:p>
        </w:tc>
        <w:tc>
          <w:tcPr>
            <w:tcW w:w="1020" w:type="dxa"/>
            <w:vAlign w:val="bottom"/>
            <w:tcBorders>
              <w:right w:val="single" w:sz="8" w:color="0E3C23"/>
            </w:tcBorders>
          </w:tcPr>
          <w:p>
            <w:pPr>
              <w:jc w:val="center"/>
              <w:spacing w:after="0"/>
              <w:rPr>
                <w:sz w:val="20"/>
                <w:szCs w:val="20"/>
                <w:color w:val="auto"/>
              </w:rPr>
            </w:pPr>
            <w:r>
              <w:rPr>
                <w:rFonts w:ascii="Arial" w:cs="Arial" w:eastAsia="Arial" w:hAnsi="Arial"/>
                <w:sz w:val="14"/>
                <w:szCs w:val="14"/>
                <w:b w:val="1"/>
                <w:bCs w:val="1"/>
                <w:color w:val="auto"/>
                <w:w w:val="94"/>
              </w:rPr>
              <w:t>Results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760" w:type="dxa"/>
            <w:vAlign w:val="bottom"/>
          </w:tcPr>
          <w:p>
            <w:pPr>
              <w:spacing w:after="0"/>
              <w:rPr>
                <w:sz w:val="7"/>
                <w:szCs w:val="7"/>
                <w:color w:val="auto"/>
              </w:rPr>
            </w:pPr>
          </w:p>
        </w:tc>
        <w:tc>
          <w:tcPr>
            <w:tcW w:w="100" w:type="dxa"/>
            <w:vAlign w:val="bottom"/>
            <w:tcBorders>
              <w:right w:val="single" w:sz="8" w:color="0E3C23"/>
            </w:tcBorders>
          </w:tcPr>
          <w:p>
            <w:pPr>
              <w:spacing w:after="0"/>
              <w:rPr>
                <w:sz w:val="7"/>
                <w:szCs w:val="7"/>
                <w:color w:val="auto"/>
              </w:rPr>
            </w:pPr>
          </w:p>
        </w:tc>
        <w:tc>
          <w:tcPr>
            <w:tcW w:w="1080" w:type="dxa"/>
            <w:vAlign w:val="bottom"/>
            <w:tcBorders>
              <w:right w:val="single" w:sz="8" w:color="0E3C23"/>
            </w:tcBorders>
            <w:vMerge w:val="restart"/>
          </w:tcPr>
          <w:p>
            <w:pPr>
              <w:jc w:val="center"/>
              <w:spacing w:after="0"/>
              <w:rPr>
                <w:sz w:val="20"/>
                <w:szCs w:val="20"/>
                <w:color w:val="auto"/>
              </w:rPr>
            </w:pPr>
            <w:r>
              <w:rPr>
                <w:rFonts w:ascii="Arial" w:cs="Arial" w:eastAsia="Arial" w:hAnsi="Arial"/>
                <w:sz w:val="14"/>
                <w:szCs w:val="14"/>
                <w:b w:val="1"/>
                <w:bCs w:val="1"/>
                <w:color w:val="auto"/>
                <w:w w:val="93"/>
              </w:rPr>
              <w:t>(50% weight)</w:t>
            </w:r>
          </w:p>
        </w:tc>
        <w:tc>
          <w:tcPr>
            <w:tcW w:w="240" w:type="dxa"/>
            <w:vAlign w:val="bottom"/>
            <w:tcBorders>
              <w:right w:val="single" w:sz="8" w:color="0E3C23"/>
            </w:tcBorders>
          </w:tcPr>
          <w:p>
            <w:pPr>
              <w:spacing w:after="0"/>
              <w:rPr>
                <w:sz w:val="7"/>
                <w:szCs w:val="7"/>
                <w:color w:val="auto"/>
              </w:rPr>
            </w:pPr>
          </w:p>
        </w:tc>
        <w:tc>
          <w:tcPr>
            <w:tcW w:w="980" w:type="dxa"/>
            <w:vAlign w:val="bottom"/>
            <w:tcBorders>
              <w:right w:val="single" w:sz="8" w:color="0E3C23"/>
            </w:tcBorders>
            <w:vMerge w:val="restart"/>
          </w:tcPr>
          <w:p>
            <w:pPr>
              <w:jc w:val="center"/>
              <w:spacing w:after="0"/>
              <w:rPr>
                <w:sz w:val="20"/>
                <w:szCs w:val="20"/>
                <w:color w:val="auto"/>
              </w:rPr>
            </w:pPr>
            <w:r>
              <w:rPr>
                <w:rFonts w:ascii="Arial" w:cs="Arial" w:eastAsia="Arial" w:hAnsi="Arial"/>
                <w:sz w:val="14"/>
                <w:szCs w:val="14"/>
                <w:b w:val="1"/>
                <w:bCs w:val="1"/>
                <w:color w:val="auto"/>
                <w:w w:val="93"/>
              </w:rPr>
              <w:t>(25% weight)</w:t>
            </w:r>
          </w:p>
        </w:tc>
        <w:tc>
          <w:tcPr>
            <w:tcW w:w="240" w:type="dxa"/>
            <w:vAlign w:val="bottom"/>
            <w:tcBorders>
              <w:right w:val="single" w:sz="8" w:color="0E3C23"/>
            </w:tcBorders>
          </w:tcPr>
          <w:p>
            <w:pPr>
              <w:spacing w:after="0"/>
              <w:rPr>
                <w:sz w:val="7"/>
                <w:szCs w:val="7"/>
                <w:color w:val="auto"/>
              </w:rPr>
            </w:pPr>
          </w:p>
        </w:tc>
        <w:tc>
          <w:tcPr>
            <w:tcW w:w="1060" w:type="dxa"/>
            <w:vAlign w:val="bottom"/>
            <w:tcBorders>
              <w:right w:val="single" w:sz="8" w:color="0E3C23"/>
            </w:tcBorders>
            <w:vMerge w:val="restart"/>
          </w:tcPr>
          <w:p>
            <w:pPr>
              <w:jc w:val="center"/>
              <w:spacing w:after="0"/>
              <w:rPr>
                <w:sz w:val="20"/>
                <w:szCs w:val="20"/>
                <w:color w:val="auto"/>
              </w:rPr>
            </w:pPr>
            <w:r>
              <w:rPr>
                <w:rFonts w:ascii="Arial" w:cs="Arial" w:eastAsia="Arial" w:hAnsi="Arial"/>
                <w:sz w:val="14"/>
                <w:szCs w:val="14"/>
                <w:b w:val="1"/>
                <w:bCs w:val="1"/>
                <w:color w:val="auto"/>
                <w:w w:val="93"/>
              </w:rPr>
              <w:t>(25% weight)</w:t>
            </w:r>
          </w:p>
        </w:tc>
        <w:tc>
          <w:tcPr>
            <w:tcW w:w="80" w:type="dxa"/>
            <w:vAlign w:val="bottom"/>
            <w:tcBorders>
              <w:right w:val="single" w:sz="8" w:color="0E3C23"/>
            </w:tcBorders>
          </w:tcPr>
          <w:p>
            <w:pPr>
              <w:spacing w:after="0"/>
              <w:rPr>
                <w:sz w:val="7"/>
                <w:szCs w:val="7"/>
                <w:color w:val="auto"/>
              </w:rPr>
            </w:pPr>
          </w:p>
        </w:tc>
        <w:tc>
          <w:tcPr>
            <w:tcW w:w="1260" w:type="dxa"/>
            <w:vAlign w:val="bottom"/>
            <w:tcBorders>
              <w:right w:val="single" w:sz="8" w:color="0E3C23"/>
            </w:tcBorders>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Performance</w:t>
            </w:r>
          </w:p>
        </w:tc>
        <w:tc>
          <w:tcPr>
            <w:tcW w:w="100" w:type="dxa"/>
            <w:vAlign w:val="bottom"/>
            <w:tcBorders>
              <w:right w:val="single" w:sz="8" w:color="0E3C23"/>
            </w:tcBorders>
          </w:tcPr>
          <w:p>
            <w:pPr>
              <w:spacing w:after="0"/>
              <w:rPr>
                <w:sz w:val="7"/>
                <w:szCs w:val="7"/>
                <w:color w:val="auto"/>
              </w:rPr>
            </w:pPr>
          </w:p>
        </w:tc>
        <w:tc>
          <w:tcPr>
            <w:tcW w:w="40" w:type="dxa"/>
            <w:vAlign w:val="bottom"/>
            <w:vMerge w:val="restart"/>
          </w:tcPr>
          <w:p>
            <w:pPr>
              <w:spacing w:after="0"/>
              <w:rPr>
                <w:sz w:val="7"/>
                <w:szCs w:val="7"/>
                <w:color w:val="auto"/>
              </w:rPr>
            </w:pPr>
          </w:p>
        </w:tc>
        <w:tc>
          <w:tcPr>
            <w:tcW w:w="1140" w:type="dxa"/>
            <w:vAlign w:val="bottom"/>
            <w:tcBorders>
              <w:right w:val="single" w:sz="8" w:color="0E3C23"/>
            </w:tcBorders>
            <w:vMerge w:val="restart"/>
          </w:tcPr>
          <w:p>
            <w:pPr>
              <w:jc w:val="center"/>
              <w:spacing w:after="0"/>
              <w:rPr>
                <w:sz w:val="20"/>
                <w:szCs w:val="20"/>
                <w:color w:val="auto"/>
              </w:rPr>
            </w:pPr>
            <w:r>
              <w:rPr>
                <w:rFonts w:ascii="Arial" w:cs="Arial" w:eastAsia="Arial" w:hAnsi="Arial"/>
                <w:sz w:val="14"/>
                <w:szCs w:val="14"/>
                <w:b w:val="1"/>
                <w:bCs w:val="1"/>
                <w:color w:val="auto"/>
                <w:w w:val="93"/>
              </w:rPr>
              <w:t>Target</w:t>
            </w:r>
          </w:p>
        </w:tc>
        <w:tc>
          <w:tcPr>
            <w:tcW w:w="200" w:type="dxa"/>
            <w:vAlign w:val="bottom"/>
            <w:tcBorders>
              <w:right w:val="single" w:sz="8" w:color="0E3C23"/>
            </w:tcBorders>
          </w:tcPr>
          <w:p>
            <w:pPr>
              <w:spacing w:after="0"/>
              <w:rPr>
                <w:sz w:val="7"/>
                <w:szCs w:val="7"/>
                <w:color w:val="auto"/>
              </w:rPr>
            </w:pPr>
          </w:p>
        </w:tc>
        <w:tc>
          <w:tcPr>
            <w:tcW w:w="1100" w:type="dxa"/>
            <w:vAlign w:val="bottom"/>
            <w:tcBorders>
              <w:bottom w:val="single" w:sz="8" w:color="0E3C23"/>
              <w:right w:val="single" w:sz="8" w:color="0E3C23"/>
            </w:tcBorders>
          </w:tcPr>
          <w:p>
            <w:pPr>
              <w:spacing w:after="0"/>
              <w:rPr>
                <w:sz w:val="7"/>
                <w:szCs w:val="7"/>
                <w:color w:val="auto"/>
              </w:rPr>
            </w:pPr>
          </w:p>
        </w:tc>
        <w:tc>
          <w:tcPr>
            <w:tcW w:w="280" w:type="dxa"/>
            <w:vAlign w:val="bottom"/>
            <w:tcBorders>
              <w:right w:val="single" w:sz="8" w:color="0E3C23"/>
            </w:tcBorders>
          </w:tcPr>
          <w:p>
            <w:pPr>
              <w:spacing w:after="0"/>
              <w:rPr>
                <w:sz w:val="7"/>
                <w:szCs w:val="7"/>
                <w:color w:val="auto"/>
              </w:rPr>
            </w:pPr>
          </w:p>
        </w:tc>
        <w:tc>
          <w:tcPr>
            <w:tcW w:w="1020" w:type="dxa"/>
            <w:vAlign w:val="bottom"/>
            <w:tcBorders>
              <w:bottom w:val="single" w:sz="8" w:color="0E3C23"/>
              <w:right w:val="single" w:sz="8" w:color="0E3C23"/>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60" w:type="dxa"/>
            <w:vAlign w:val="bottom"/>
          </w:tcPr>
          <w:p>
            <w:pPr>
              <w:spacing w:after="0"/>
              <w:rPr>
                <w:sz w:val="5"/>
                <w:szCs w:val="5"/>
                <w:color w:val="auto"/>
              </w:rPr>
            </w:pPr>
          </w:p>
        </w:tc>
        <w:tc>
          <w:tcPr>
            <w:tcW w:w="100" w:type="dxa"/>
            <w:vAlign w:val="bottom"/>
            <w:tcBorders>
              <w:right w:val="single" w:sz="8" w:color="0E3C23"/>
            </w:tcBorders>
          </w:tcPr>
          <w:p>
            <w:pPr>
              <w:spacing w:after="0"/>
              <w:rPr>
                <w:sz w:val="5"/>
                <w:szCs w:val="5"/>
                <w:color w:val="auto"/>
              </w:rPr>
            </w:pPr>
          </w:p>
        </w:tc>
        <w:tc>
          <w:tcPr>
            <w:tcW w:w="1080" w:type="dxa"/>
            <w:vAlign w:val="bottom"/>
            <w:tcBorders>
              <w:bottom w:val="single" w:sz="8" w:color="0E3C23"/>
              <w:right w:val="single" w:sz="8" w:color="0E3C23"/>
            </w:tcBorders>
            <w:vMerge w:val="continue"/>
          </w:tcPr>
          <w:p>
            <w:pPr>
              <w:spacing w:after="0"/>
              <w:rPr>
                <w:sz w:val="5"/>
                <w:szCs w:val="5"/>
                <w:color w:val="auto"/>
              </w:rPr>
            </w:pPr>
          </w:p>
        </w:tc>
        <w:tc>
          <w:tcPr>
            <w:tcW w:w="240" w:type="dxa"/>
            <w:vAlign w:val="bottom"/>
            <w:tcBorders>
              <w:right w:val="single" w:sz="8" w:color="0E3C23"/>
            </w:tcBorders>
          </w:tcPr>
          <w:p>
            <w:pPr>
              <w:spacing w:after="0"/>
              <w:rPr>
                <w:sz w:val="5"/>
                <w:szCs w:val="5"/>
                <w:color w:val="auto"/>
              </w:rPr>
            </w:pPr>
          </w:p>
        </w:tc>
        <w:tc>
          <w:tcPr>
            <w:tcW w:w="980" w:type="dxa"/>
            <w:vAlign w:val="bottom"/>
            <w:tcBorders>
              <w:bottom w:val="single" w:sz="8" w:color="0E3C23"/>
              <w:right w:val="single" w:sz="8" w:color="0E3C23"/>
            </w:tcBorders>
            <w:vMerge w:val="continue"/>
          </w:tcPr>
          <w:p>
            <w:pPr>
              <w:spacing w:after="0"/>
              <w:rPr>
                <w:sz w:val="5"/>
                <w:szCs w:val="5"/>
                <w:color w:val="auto"/>
              </w:rPr>
            </w:pPr>
          </w:p>
        </w:tc>
        <w:tc>
          <w:tcPr>
            <w:tcW w:w="240" w:type="dxa"/>
            <w:vAlign w:val="bottom"/>
            <w:tcBorders>
              <w:right w:val="single" w:sz="8" w:color="0E3C23"/>
            </w:tcBorders>
          </w:tcPr>
          <w:p>
            <w:pPr>
              <w:spacing w:after="0"/>
              <w:rPr>
                <w:sz w:val="5"/>
                <w:szCs w:val="5"/>
                <w:color w:val="auto"/>
              </w:rPr>
            </w:pPr>
          </w:p>
        </w:tc>
        <w:tc>
          <w:tcPr>
            <w:tcW w:w="1060" w:type="dxa"/>
            <w:vAlign w:val="bottom"/>
            <w:tcBorders>
              <w:bottom w:val="single" w:sz="8" w:color="0E3C23"/>
              <w:right w:val="single" w:sz="8" w:color="0E3C23"/>
            </w:tcBorders>
            <w:vMerge w:val="continue"/>
          </w:tcPr>
          <w:p>
            <w:pPr>
              <w:spacing w:after="0"/>
              <w:rPr>
                <w:sz w:val="5"/>
                <w:szCs w:val="5"/>
                <w:color w:val="auto"/>
              </w:rPr>
            </w:pPr>
          </w:p>
        </w:tc>
        <w:tc>
          <w:tcPr>
            <w:tcW w:w="80" w:type="dxa"/>
            <w:vAlign w:val="bottom"/>
            <w:tcBorders>
              <w:right w:val="single" w:sz="8" w:color="0E3C23"/>
            </w:tcBorders>
          </w:tcPr>
          <w:p>
            <w:pPr>
              <w:spacing w:after="0"/>
              <w:rPr>
                <w:sz w:val="5"/>
                <w:szCs w:val="5"/>
                <w:color w:val="auto"/>
              </w:rPr>
            </w:pPr>
          </w:p>
        </w:tc>
        <w:tc>
          <w:tcPr>
            <w:tcW w:w="1260" w:type="dxa"/>
            <w:vAlign w:val="bottom"/>
            <w:tcBorders>
              <w:right w:val="single" w:sz="8" w:color="0E3C23"/>
            </w:tcBorders>
            <w:gridSpan w:val="2"/>
            <w:vMerge w:val="continue"/>
          </w:tcPr>
          <w:p>
            <w:pPr>
              <w:spacing w:after="0"/>
              <w:rPr>
                <w:sz w:val="5"/>
                <w:szCs w:val="5"/>
                <w:color w:val="auto"/>
              </w:rPr>
            </w:pPr>
          </w:p>
        </w:tc>
        <w:tc>
          <w:tcPr>
            <w:tcW w:w="100" w:type="dxa"/>
            <w:vAlign w:val="bottom"/>
            <w:tcBorders>
              <w:right w:val="single" w:sz="8" w:color="0E3C23"/>
            </w:tcBorders>
          </w:tcPr>
          <w:p>
            <w:pPr>
              <w:spacing w:after="0"/>
              <w:rPr>
                <w:sz w:val="5"/>
                <w:szCs w:val="5"/>
                <w:color w:val="auto"/>
              </w:rPr>
            </w:pPr>
          </w:p>
        </w:tc>
        <w:tc>
          <w:tcPr>
            <w:tcW w:w="40" w:type="dxa"/>
            <w:vAlign w:val="bottom"/>
            <w:vMerge w:val="continue"/>
          </w:tcPr>
          <w:p>
            <w:pPr>
              <w:spacing w:after="0"/>
              <w:rPr>
                <w:sz w:val="5"/>
                <w:szCs w:val="5"/>
                <w:color w:val="auto"/>
              </w:rPr>
            </w:pPr>
          </w:p>
        </w:tc>
        <w:tc>
          <w:tcPr>
            <w:tcW w:w="1140" w:type="dxa"/>
            <w:vAlign w:val="bottom"/>
            <w:tcBorders>
              <w:right w:val="single" w:sz="8" w:color="0E3C23"/>
            </w:tcBorders>
            <w:vMerge w:val="continue"/>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20" w:type="dxa"/>
            <w:vAlign w:val="bottom"/>
            <w:gridSpan w:val="2"/>
            <w:vMerge w:val="restart"/>
          </w:tcPr>
          <w:p>
            <w:pPr>
              <w:jc w:val="center"/>
              <w:ind w:left="140"/>
              <w:spacing w:after="0"/>
              <w:rPr>
                <w:sz w:val="20"/>
                <w:szCs w:val="20"/>
                <w:color w:val="auto"/>
              </w:rPr>
            </w:pPr>
            <w:r>
              <w:rPr>
                <w:rFonts w:ascii="Arial" w:cs="Arial" w:eastAsia="Arial" w:hAnsi="Arial"/>
                <w:sz w:val="16"/>
                <w:szCs w:val="16"/>
                <w:b w:val="1"/>
                <w:bCs w:val="1"/>
                <w:color w:val="auto"/>
              </w:rPr>
              <w:t>180.71%</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Borders>
              <w:right w:val="single" w:sz="8" w:color="0E3C23"/>
            </w:tcBorders>
          </w:tcPr>
          <w:p>
            <w:pPr>
              <w:spacing w:after="0"/>
              <w:rPr>
                <w:sz w:val="13"/>
                <w:szCs w:val="13"/>
                <w:color w:val="auto"/>
              </w:rPr>
            </w:pPr>
          </w:p>
        </w:tc>
        <w:tc>
          <w:tcPr>
            <w:tcW w:w="1260" w:type="dxa"/>
            <w:vAlign w:val="bottom"/>
            <w:tcBorders>
              <w:right w:val="single" w:sz="8" w:color="0E3C23"/>
            </w:tcBorders>
            <w:gridSpan w:val="2"/>
          </w:tcPr>
          <w:p>
            <w:pPr>
              <w:jc w:val="center"/>
              <w:ind w:right="40"/>
              <w:spacing w:after="0" w:line="152" w:lineRule="exact"/>
              <w:rPr>
                <w:sz w:val="20"/>
                <w:szCs w:val="20"/>
                <w:color w:val="auto"/>
              </w:rPr>
            </w:pPr>
            <w:r>
              <w:rPr>
                <w:rFonts w:ascii="Arial" w:cs="Arial" w:eastAsia="Arial" w:hAnsi="Arial"/>
                <w:sz w:val="14"/>
                <w:szCs w:val="14"/>
                <w:b w:val="1"/>
                <w:bCs w:val="1"/>
                <w:color w:val="auto"/>
                <w:w w:val="93"/>
              </w:rPr>
              <w:t>Payout of 133.08%,</w:t>
            </w:r>
          </w:p>
        </w:tc>
        <w:tc>
          <w:tcPr>
            <w:tcW w:w="100" w:type="dxa"/>
            <w:vAlign w:val="bottom"/>
            <w:tcBorders>
              <w:right w:val="single" w:sz="8" w:color="0E3C23"/>
            </w:tcBorders>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Borders>
              <w:right w:val="single" w:sz="8" w:color="0E3C23"/>
            </w:tcBorders>
          </w:tcPr>
          <w:p>
            <w:pPr>
              <w:jc w:val="center"/>
              <w:spacing w:after="0" w:line="152" w:lineRule="exact"/>
              <w:rPr>
                <w:sz w:val="20"/>
                <w:szCs w:val="20"/>
                <w:color w:val="auto"/>
              </w:rPr>
            </w:pPr>
            <w:r>
              <w:rPr>
                <w:rFonts w:ascii="Arial" w:cs="Arial" w:eastAsia="Arial" w:hAnsi="Arial"/>
                <w:sz w:val="14"/>
                <w:szCs w:val="14"/>
                <w:b w:val="1"/>
                <w:bCs w:val="1"/>
                <w:color w:val="auto"/>
                <w:w w:val="93"/>
              </w:rPr>
              <w:t>(50% weight)</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Borders>
              <w:right w:val="single" w:sz="8" w:color="0E3C23"/>
            </w:tcBorders>
          </w:tcPr>
          <w:p>
            <w:pPr>
              <w:spacing w:after="0"/>
              <w:rPr>
                <w:sz w:val="4"/>
                <w:szCs w:val="4"/>
                <w:color w:val="auto"/>
              </w:rPr>
            </w:pPr>
          </w:p>
        </w:tc>
        <w:tc>
          <w:tcPr>
            <w:tcW w:w="1260" w:type="dxa"/>
            <w:vAlign w:val="bottom"/>
            <w:tcBorders>
              <w:right w:val="single" w:sz="8" w:color="0E3C23"/>
            </w:tcBorders>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Sustainability</w:t>
            </w:r>
          </w:p>
        </w:tc>
        <w:tc>
          <w:tcPr>
            <w:tcW w:w="100" w:type="dxa"/>
            <w:vAlign w:val="bottom"/>
            <w:tcBorders>
              <w:right w:val="single" w:sz="8" w:color="0E3C23"/>
            </w:tcBorders>
          </w:tcPr>
          <w:p>
            <w:pPr>
              <w:spacing w:after="0"/>
              <w:rPr>
                <w:sz w:val="4"/>
                <w:szCs w:val="4"/>
                <w:color w:val="auto"/>
              </w:rPr>
            </w:pPr>
          </w:p>
        </w:tc>
        <w:tc>
          <w:tcPr>
            <w:tcW w:w="40" w:type="dxa"/>
            <w:vAlign w:val="bottom"/>
            <w:tcBorders>
              <w:bottom w:val="single" w:sz="8" w:color="0E3C23"/>
            </w:tcBorders>
          </w:tcPr>
          <w:p>
            <w:pPr>
              <w:spacing w:after="0"/>
              <w:rPr>
                <w:sz w:val="4"/>
                <w:szCs w:val="4"/>
                <w:color w:val="auto"/>
              </w:rPr>
            </w:pPr>
          </w:p>
        </w:tc>
        <w:tc>
          <w:tcPr>
            <w:tcW w:w="1140" w:type="dxa"/>
            <w:vAlign w:val="bottom"/>
            <w:tcBorders>
              <w:bottom w:val="single" w:sz="8" w:color="0E3C23"/>
              <w:right w:val="single" w:sz="8" w:color="0E3C23"/>
            </w:tcBorders>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Borders>
              <w:right w:val="single" w:sz="8" w:color="0E3C23"/>
            </w:tcBorders>
          </w:tcPr>
          <w:p>
            <w:pPr>
              <w:spacing w:after="0"/>
              <w:rPr>
                <w:sz w:val="8"/>
                <w:szCs w:val="8"/>
                <w:color w:val="auto"/>
              </w:rPr>
            </w:pPr>
          </w:p>
        </w:tc>
        <w:tc>
          <w:tcPr>
            <w:tcW w:w="1260" w:type="dxa"/>
            <w:vAlign w:val="bottom"/>
            <w:tcBorders>
              <w:right w:val="single" w:sz="8" w:color="0E3C23"/>
            </w:tcBorders>
            <w:gridSpan w:val="2"/>
            <w:vMerge w:val="continue"/>
          </w:tcPr>
          <w:p>
            <w:pPr>
              <w:spacing w:after="0"/>
              <w:rPr>
                <w:sz w:val="8"/>
                <w:szCs w:val="8"/>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167.22%</w:t>
            </w: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Borders>
              <w:right w:val="single" w:sz="8" w:color="0E3C23"/>
            </w:tcBorders>
          </w:tcPr>
          <w:p>
            <w:pPr>
              <w:spacing w:after="0"/>
              <w:rPr>
                <w:sz w:val="18"/>
                <w:szCs w:val="18"/>
                <w:color w:val="auto"/>
              </w:rPr>
            </w:pPr>
          </w:p>
        </w:tc>
        <w:tc>
          <w:tcPr>
            <w:tcW w:w="1260" w:type="dxa"/>
            <w:vAlign w:val="bottom"/>
            <w:tcBorders>
              <w:bottom w:val="single" w:sz="8" w:color="0E3C23"/>
              <w:right w:val="single" w:sz="8" w:color="0E3C23"/>
            </w:tcBorders>
            <w:gridSpan w:val="2"/>
          </w:tcPr>
          <w:p>
            <w:pPr>
              <w:jc w:val="center"/>
              <w:ind w:right="60"/>
              <w:spacing w:after="0"/>
              <w:rPr>
                <w:sz w:val="20"/>
                <w:szCs w:val="20"/>
                <w:color w:val="auto"/>
              </w:rPr>
            </w:pPr>
            <w:r>
              <w:rPr>
                <w:rFonts w:ascii="Arial" w:cs="Arial" w:eastAsia="Arial" w:hAnsi="Arial"/>
                <w:sz w:val="14"/>
                <w:szCs w:val="14"/>
                <w:b w:val="1"/>
                <w:bCs w:val="1"/>
                <w:color w:val="auto"/>
                <w:w w:val="92"/>
              </w:rPr>
              <w:t>Modifier of +3%)</w:t>
            </w:r>
          </w:p>
        </w:tc>
        <w:tc>
          <w:tcPr>
            <w:tcW w:w="12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0" w:type="dxa"/>
            <w:vAlign w:val="bottom"/>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8"/>
              </w:rPr>
              <w:t>140.51%</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gridSpan w:val="2"/>
            <w:vMerge w:val="restart"/>
          </w:tcPr>
          <w:p>
            <w:pPr>
              <w:jc w:val="right"/>
              <w:ind w:right="110"/>
              <w:spacing w:after="0"/>
              <w:rPr>
                <w:sz w:val="20"/>
                <w:szCs w:val="20"/>
                <w:color w:val="auto"/>
              </w:rPr>
            </w:pPr>
            <w:r>
              <w:rPr>
                <w:rFonts w:ascii="Arial" w:cs="Arial" w:eastAsia="Arial" w:hAnsi="Arial"/>
                <w:sz w:val="16"/>
                <w:szCs w:val="16"/>
                <w:b w:val="1"/>
                <w:bCs w:val="1"/>
                <w:color w:val="FFFFFF"/>
              </w:rPr>
              <w:t>137.07%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gridSpan w:val="2"/>
            <w:vMerge w:val="restart"/>
          </w:tcPr>
          <w:p>
            <w:pPr>
              <w:jc w:val="center"/>
              <w:ind w:left="100"/>
              <w:spacing w:after="0"/>
              <w:rPr>
                <w:sz w:val="20"/>
                <w:szCs w:val="20"/>
                <w:color w:val="auto"/>
              </w:rPr>
            </w:pPr>
            <w:r>
              <w:rPr>
                <w:rFonts w:ascii="Arial" w:cs="Arial" w:eastAsia="Arial" w:hAnsi="Arial"/>
                <w:sz w:val="16"/>
                <w:szCs w:val="16"/>
                <w:b w:val="1"/>
                <w:bCs w:val="1"/>
                <w:color w:val="auto"/>
              </w:rPr>
              <w:t>135.56%</w:t>
            </w:r>
          </w:p>
        </w:tc>
        <w:tc>
          <w:tcPr>
            <w:tcW w:w="2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FFFFFF"/>
              </w:rPr>
              <w:t>151.39%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6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Target</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7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300" w:type="dxa"/>
            <w:vAlign w:val="bottom"/>
            <w:gridSpan w:val="2"/>
            <w:vMerge w:val="restart"/>
          </w:tcPr>
          <w:p>
            <w:pPr>
              <w:jc w:val="center"/>
              <w:ind w:left="120"/>
              <w:spacing w:after="0"/>
              <w:rPr>
                <w:sz w:val="20"/>
                <w:szCs w:val="20"/>
                <w:color w:val="auto"/>
              </w:rPr>
            </w:pPr>
            <w:r>
              <w:rPr>
                <w:rFonts w:ascii="Arial" w:cs="Arial" w:eastAsia="Arial" w:hAnsi="Arial"/>
                <w:sz w:val="16"/>
                <w:szCs w:val="16"/>
                <w:b w:val="1"/>
                <w:bCs w:val="1"/>
                <w:color w:val="auto"/>
                <w:w w:val="99"/>
              </w:rPr>
              <w:t>70.58%</w:t>
            </w: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5"/>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-1585595</wp:posOffset>
            </wp:positionV>
            <wp:extent cx="5761990" cy="2326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09">
                      <a:extLst>
                        <a:ext uri="{28A0092B-C50C-407E-A947-70E740481C1C}"/>
                      </a:extLst>
                    </a:blip>
                    <a:srcRect/>
                    <a:stretch>
                      <a:fillRect/>
                    </a:stretch>
                  </pic:blipFill>
                  <pic:spPr bwMode="auto">
                    <a:xfrm>
                      <a:off x="0" y="0"/>
                      <a:ext cx="5761990" cy="232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Threshold</w:t>
      </w:r>
    </w:p>
    <w:p>
      <w:pPr>
        <w:spacing w:after="0" w:line="3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300" w:type="dxa"/>
            <w:vAlign w:val="bottom"/>
          </w:tcPr>
          <w:p>
            <w:pPr>
              <w:spacing w:after="0"/>
              <w:rPr>
                <w:sz w:val="20"/>
                <w:szCs w:val="20"/>
                <w:color w:val="auto"/>
              </w:rPr>
            </w:pPr>
            <w:r>
              <w:rPr>
                <w:rFonts w:ascii="Arial" w:cs="Arial" w:eastAsia="Arial" w:hAnsi="Arial"/>
                <w:sz w:val="14"/>
                <w:szCs w:val="14"/>
                <w:color w:val="auto"/>
              </w:rPr>
              <w:t>Operating EBITDA</w:t>
            </w:r>
          </w:p>
        </w:tc>
        <w:tc>
          <w:tcPr>
            <w:tcW w:w="1220" w:type="dxa"/>
            <w:vAlign w:val="bottom"/>
          </w:tcPr>
          <w:p>
            <w:pPr>
              <w:jc w:val="center"/>
              <w:ind w:right="90"/>
              <w:spacing w:after="0"/>
              <w:rPr>
                <w:sz w:val="20"/>
                <w:szCs w:val="20"/>
                <w:color w:val="auto"/>
              </w:rPr>
            </w:pPr>
            <w:r>
              <w:rPr>
                <w:rFonts w:ascii="Arial" w:cs="Arial" w:eastAsia="Arial" w:hAnsi="Arial"/>
                <w:sz w:val="14"/>
                <w:szCs w:val="14"/>
                <w:color w:val="auto"/>
              </w:rPr>
              <w:t>Income from</w:t>
            </w:r>
          </w:p>
        </w:tc>
        <w:tc>
          <w:tcPr>
            <w:tcW w:w="1140" w:type="dxa"/>
            <w:vAlign w:val="bottom"/>
          </w:tcPr>
          <w:p>
            <w:pPr>
              <w:jc w:val="center"/>
              <w:spacing w:after="0"/>
              <w:rPr>
                <w:sz w:val="20"/>
                <w:szCs w:val="20"/>
                <w:color w:val="auto"/>
              </w:rPr>
            </w:pPr>
            <w:r>
              <w:rPr>
                <w:rFonts w:ascii="Arial" w:cs="Arial" w:eastAsia="Arial" w:hAnsi="Arial"/>
                <w:sz w:val="14"/>
                <w:szCs w:val="14"/>
                <w:color w:val="auto"/>
              </w:rPr>
              <w:t>Internal</w:t>
            </w: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Annual Cash</w:t>
            </w:r>
          </w:p>
        </w:tc>
        <w:tc>
          <w:tcPr>
            <w:tcW w:w="1360" w:type="dxa"/>
            <w:vAlign w:val="bottom"/>
          </w:tcPr>
          <w:p>
            <w:pPr>
              <w:jc w:val="center"/>
              <w:spacing w:after="0"/>
              <w:rPr>
                <w:sz w:val="20"/>
                <w:szCs w:val="20"/>
                <w:color w:val="auto"/>
              </w:rPr>
            </w:pPr>
            <w:r>
              <w:rPr>
                <w:rFonts w:ascii="Arial" w:cs="Arial" w:eastAsia="Arial" w:hAnsi="Arial"/>
                <w:sz w:val="14"/>
                <w:szCs w:val="14"/>
                <w:color w:val="auto"/>
              </w:rPr>
              <w:t>Relative TSR</w:t>
            </w:r>
          </w:p>
        </w:tc>
        <w:tc>
          <w:tcPr>
            <w:tcW w:w="1300" w:type="dxa"/>
            <w:vAlign w:val="bottom"/>
          </w:tcPr>
          <w:p>
            <w:pPr>
              <w:ind w:left="300"/>
              <w:spacing w:after="0"/>
              <w:rPr>
                <w:sz w:val="20"/>
                <w:szCs w:val="20"/>
                <w:color w:val="auto"/>
              </w:rPr>
            </w:pPr>
            <w:r>
              <w:rPr>
                <w:rFonts w:ascii="Arial" w:cs="Arial" w:eastAsia="Arial" w:hAnsi="Arial"/>
                <w:sz w:val="14"/>
                <w:szCs w:val="14"/>
                <w:color w:val="auto"/>
              </w:rPr>
              <w:t>Cash Flow</w:t>
            </w:r>
          </w:p>
        </w:tc>
        <w:tc>
          <w:tcPr>
            <w:tcW w:w="1040" w:type="dxa"/>
            <w:vAlign w:val="bottom"/>
          </w:tcPr>
          <w:p>
            <w:pPr>
              <w:jc w:val="center"/>
              <w:ind w:left="250"/>
              <w:spacing w:after="0"/>
              <w:rPr>
                <w:sz w:val="20"/>
                <w:szCs w:val="20"/>
                <w:color w:val="auto"/>
              </w:rPr>
            </w:pPr>
            <w:r>
              <w:rPr>
                <w:rFonts w:ascii="Arial" w:cs="Arial" w:eastAsia="Arial" w:hAnsi="Arial"/>
                <w:sz w:val="14"/>
                <w:szCs w:val="14"/>
                <w:color w:val="auto"/>
                <w:w w:val="99"/>
              </w:rPr>
              <w:t>PSU Award</w:t>
            </w:r>
          </w:p>
        </w:tc>
      </w:tr>
      <w:tr>
        <w:trPr>
          <w:trHeight w:val="175"/>
        </w:trPr>
        <w:tc>
          <w:tcPr>
            <w:tcW w:w="1300" w:type="dxa"/>
            <w:vAlign w:val="bottom"/>
          </w:tcPr>
          <w:p>
            <w:pPr>
              <w:spacing w:after="0"/>
              <w:rPr>
                <w:sz w:val="15"/>
                <w:szCs w:val="15"/>
                <w:color w:val="auto"/>
              </w:rPr>
            </w:pPr>
          </w:p>
        </w:tc>
        <w:tc>
          <w:tcPr>
            <w:tcW w:w="1220" w:type="dxa"/>
            <w:vAlign w:val="bottom"/>
          </w:tcPr>
          <w:p>
            <w:pPr>
              <w:jc w:val="center"/>
              <w:ind w:right="70"/>
              <w:spacing w:after="0"/>
              <w:rPr>
                <w:sz w:val="20"/>
                <w:szCs w:val="20"/>
                <w:color w:val="auto"/>
              </w:rPr>
            </w:pPr>
            <w:r>
              <w:rPr>
                <w:rFonts w:ascii="Arial" w:cs="Arial" w:eastAsia="Arial" w:hAnsi="Arial"/>
                <w:sz w:val="14"/>
                <w:szCs w:val="14"/>
                <w:color w:val="auto"/>
                <w:w w:val="99"/>
              </w:rPr>
              <w:t>Operations</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Revenue</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Incentive</w:t>
            </w: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(S&amp;P 500)</w:t>
            </w:r>
          </w:p>
        </w:tc>
        <w:tc>
          <w:tcPr>
            <w:tcW w:w="1300" w:type="dxa"/>
            <w:vAlign w:val="bottom"/>
          </w:tcPr>
          <w:p>
            <w:pPr>
              <w:ind w:left="300"/>
              <w:spacing w:after="0"/>
              <w:rPr>
                <w:sz w:val="20"/>
                <w:szCs w:val="20"/>
                <w:color w:val="auto"/>
              </w:rPr>
            </w:pPr>
            <w:r>
              <w:rPr>
                <w:rFonts w:ascii="Arial" w:cs="Arial" w:eastAsia="Arial" w:hAnsi="Arial"/>
                <w:sz w:val="14"/>
                <w:szCs w:val="14"/>
                <w:color w:val="auto"/>
              </w:rPr>
              <w:t>Generation</w:t>
            </w:r>
          </w:p>
        </w:tc>
        <w:tc>
          <w:tcPr>
            <w:tcW w:w="1040" w:type="dxa"/>
            <w:vAlign w:val="bottom"/>
          </w:tcPr>
          <w:p>
            <w:pPr>
              <w:jc w:val="center"/>
              <w:ind w:left="230"/>
              <w:spacing w:after="0"/>
              <w:rPr>
                <w:sz w:val="20"/>
                <w:szCs w:val="20"/>
                <w:color w:val="auto"/>
              </w:rPr>
            </w:pPr>
            <w:r>
              <w:rPr>
                <w:rFonts w:ascii="Arial" w:cs="Arial" w:eastAsia="Arial" w:hAnsi="Arial"/>
                <w:sz w:val="14"/>
                <w:szCs w:val="14"/>
                <w:color w:val="auto"/>
                <w:w w:val="96"/>
              </w:rPr>
              <w:t>Payout</w:t>
            </w:r>
          </w:p>
        </w:tc>
      </w:tr>
      <w:tr>
        <w:trPr>
          <w:trHeight w:val="185"/>
        </w:trPr>
        <w:tc>
          <w:tcPr>
            <w:tcW w:w="1300" w:type="dxa"/>
            <w:vAlign w:val="bottom"/>
          </w:tcPr>
          <w:p>
            <w:pPr>
              <w:spacing w:after="0"/>
              <w:rPr>
                <w:sz w:val="16"/>
                <w:szCs w:val="16"/>
                <w:color w:val="auto"/>
              </w:rPr>
            </w:pPr>
          </w:p>
        </w:tc>
        <w:tc>
          <w:tcPr>
            <w:tcW w:w="1220" w:type="dxa"/>
            <w:vAlign w:val="bottom"/>
          </w:tcPr>
          <w:p>
            <w:pPr>
              <w:jc w:val="center"/>
              <w:ind w:right="90"/>
              <w:spacing w:after="0"/>
              <w:rPr>
                <w:sz w:val="20"/>
                <w:szCs w:val="20"/>
                <w:color w:val="auto"/>
              </w:rPr>
            </w:pPr>
            <w:r>
              <w:rPr>
                <w:rFonts w:ascii="Arial" w:cs="Arial" w:eastAsia="Arial" w:hAnsi="Arial"/>
                <w:sz w:val="14"/>
                <w:szCs w:val="14"/>
                <w:color w:val="auto"/>
                <w:w w:val="98"/>
              </w:rPr>
              <w:t>Margin</w:t>
            </w:r>
          </w:p>
        </w:tc>
        <w:tc>
          <w:tcPr>
            <w:tcW w:w="1140" w:type="dxa"/>
            <w:vAlign w:val="bottom"/>
          </w:tcPr>
          <w:p>
            <w:pPr>
              <w:jc w:val="center"/>
              <w:spacing w:after="0"/>
              <w:rPr>
                <w:sz w:val="20"/>
                <w:szCs w:val="20"/>
                <w:color w:val="auto"/>
              </w:rPr>
            </w:pPr>
            <w:r>
              <w:rPr>
                <w:rFonts w:ascii="Arial" w:cs="Arial" w:eastAsia="Arial" w:hAnsi="Arial"/>
                <w:sz w:val="14"/>
                <w:szCs w:val="14"/>
                <w:color w:val="auto"/>
                <w:w w:val="97"/>
              </w:rPr>
              <w:t>Growth</w:t>
            </w:r>
          </w:p>
        </w:tc>
        <w:tc>
          <w:tcPr>
            <w:tcW w:w="1340" w:type="dxa"/>
            <w:vAlign w:val="bottom"/>
          </w:tcPr>
          <w:p>
            <w:pPr>
              <w:jc w:val="center"/>
              <w:spacing w:after="0"/>
              <w:rPr>
                <w:sz w:val="20"/>
                <w:szCs w:val="20"/>
                <w:color w:val="auto"/>
              </w:rPr>
            </w:pPr>
            <w:r>
              <w:rPr>
                <w:rFonts w:ascii="Arial" w:cs="Arial" w:eastAsia="Arial" w:hAnsi="Arial"/>
                <w:sz w:val="14"/>
                <w:szCs w:val="14"/>
                <w:color w:val="auto"/>
                <w:w w:val="91"/>
              </w:rPr>
              <w:t>Award Payout</w:t>
            </w:r>
          </w:p>
        </w:tc>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212" w:lineRule="exact"/>
        <w:rPr>
          <w:sz w:val="20"/>
          <w:szCs w:val="20"/>
          <w:color w:val="auto"/>
        </w:rPr>
      </w:pPr>
    </w:p>
    <w:p>
      <w:pPr>
        <w:jc w:val="both"/>
        <w:ind w:left="180" w:right="200"/>
        <w:spacing w:after="0" w:line="259" w:lineRule="auto"/>
        <w:rPr>
          <w:sz w:val="20"/>
          <w:szCs w:val="20"/>
          <w:color w:val="auto"/>
        </w:rPr>
      </w:pPr>
      <w:r>
        <w:rPr>
          <w:rFonts w:ascii="Arial" w:cs="Arial" w:eastAsia="Arial" w:hAnsi="Arial"/>
          <w:sz w:val="20"/>
          <w:szCs w:val="20"/>
          <w:color w:val="auto"/>
        </w:rPr>
        <w:t>In 2024, each of the executive compensation incentive awards continued to demonstrate strong alignment between executive pay and Company performance. The payouts on the PSUs granted in 2022 correlate with outstanding cash flow generation and total shareholder return over the three-year performance period. Additionally, the above-target combined results on our annual cash incentive performance measures are reflective of another year of strong business growth and overall financial performance. The Company’s incentive compensation results evidence that our executives have taken the right actions to deliver on operational, strategic and financial priorities in the face of broader macroeconomic pressures, including inflation, supply chain disruption, labor market constraints, rising interest rates and commodity price volatility. Management continues to successfully develop and advance strategic initiatives to grow our business while driving efficiencies. As a result, both stockholders and executives were rewarded by above-target results on executive compensation financial performance measures in 2024, coupled with positive results on the sustainability scorecard.</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0E3C23"/>
        </w:rPr>
        <w:t>Consideration of Stockholder Advisory Vote</w:t>
      </w:r>
    </w:p>
    <w:p>
      <w:pPr>
        <w:spacing w:after="0" w:line="147" w:lineRule="exact"/>
        <w:rPr>
          <w:sz w:val="20"/>
          <w:szCs w:val="20"/>
          <w:color w:val="auto"/>
        </w:rPr>
      </w:pPr>
    </w:p>
    <w:p>
      <w:pPr>
        <w:jc w:val="both"/>
        <w:ind w:left="180" w:right="200"/>
        <w:spacing w:after="0" w:line="259" w:lineRule="auto"/>
        <w:rPr>
          <w:sz w:val="20"/>
          <w:szCs w:val="20"/>
          <w:color w:val="auto"/>
        </w:rPr>
      </w:pPr>
      <w:r>
        <w:rPr>
          <w:rFonts w:ascii="Arial" w:cs="Arial" w:eastAsia="Arial" w:hAnsi="Arial"/>
          <w:sz w:val="20"/>
          <w:szCs w:val="20"/>
          <w:color w:val="auto"/>
        </w:rPr>
        <w:t>When establishing 2024 compensation for the named executives, the MD&amp;C Committee noted the results of the 2023 advisory stockholder vote on executive compensation, with approximately 94% of shares present and entitled to vote at the annual meeting voting in favor of the Company’s executive compensation. Accordingly, the results of the stockholder advisory vote did not cause the MD&amp;C Committee to make any changes to executive compensation practices for 2024, although the MD&amp;C Committee does consider feedback received by the Company through stockholder engagement throughout the year.</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0E3C23"/>
        </w:rPr>
        <w:t>2025 Compensation Program Preview</w:t>
      </w:r>
    </w:p>
    <w:p>
      <w:pPr>
        <w:spacing w:after="0" w:line="147" w:lineRule="exact"/>
        <w:rPr>
          <w:sz w:val="20"/>
          <w:szCs w:val="20"/>
          <w:color w:val="auto"/>
        </w:rPr>
      </w:pPr>
    </w:p>
    <w:p>
      <w:pPr>
        <w:jc w:val="both"/>
        <w:ind w:left="180" w:right="200"/>
        <w:spacing w:after="0" w:line="292" w:lineRule="auto"/>
        <w:rPr>
          <w:sz w:val="20"/>
          <w:szCs w:val="20"/>
          <w:color w:val="auto"/>
        </w:rPr>
      </w:pPr>
      <w:r>
        <w:rPr>
          <w:rFonts w:ascii="Arial" w:cs="Arial" w:eastAsia="Arial" w:hAnsi="Arial"/>
          <w:sz w:val="18"/>
          <w:szCs w:val="18"/>
          <w:color w:val="auto"/>
        </w:rPr>
        <w:t>The MD&amp;C Committee continually reviews our compensation program to ensure it is clearly aligned with the business strategy and best supports the accomplishment of our goals. The MD&amp;C Committee also believes that consistency in program design reinforces its efforts to maintain a compensation program that is straightforward, easy to communicate and readily translates into actionable goals. The MD&amp;C Committee’s choice of long-term performance measures and respective weighting has been consistent since 2016, and the MD&amp;C Committee is pleased with the financial results and stockholder value that has been generated. Accordingly, the MD&amp;C Committee has approved keeping the 2025 long-term incentive program design for executive officers, comprised of stock options and PSUs, consistent with prior years.</w:t>
      </w:r>
    </w:p>
    <w:p>
      <w:pPr>
        <w:sectPr>
          <w:pgSz w:w="13320" w:h="16920" w:orient="portrait"/>
          <w:cols w:equalWidth="0" w:num="1">
            <w:col w:w="104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10">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11">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40" w:name="page41"/>
    <w:bookmarkEnd w:id="40"/>
    <w:p>
      <w:pPr>
        <w:ind w:left="798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279" w:lineRule="exact"/>
        <w:rPr>
          <w:sz w:val="20"/>
          <w:szCs w:val="20"/>
          <w:color w:val="auto"/>
        </w:rPr>
      </w:pPr>
    </w:p>
    <w:p>
      <w:pPr>
        <w:jc w:val="both"/>
        <w:ind w:left="180" w:right="200"/>
        <w:spacing w:after="0" w:line="249" w:lineRule="auto"/>
        <w:rPr>
          <w:sz w:val="20"/>
          <w:szCs w:val="20"/>
          <w:color w:val="auto"/>
        </w:rPr>
      </w:pPr>
      <w:r>
        <w:rPr>
          <w:rFonts w:ascii="Arial" w:cs="Arial" w:eastAsia="Arial" w:hAnsi="Arial"/>
          <w:sz w:val="20"/>
          <w:szCs w:val="20"/>
          <w:color w:val="auto"/>
        </w:rPr>
        <w:t>With respect to the Cash Flow PSUs granted in 2023 with a performance period ended December 31, 2025, the MD&amp;C Committee anticipates that it will be appropriate to calculate the cash flow generation performance results consistent with the 2024 Cash Flow PSU Definition discussed below, which was updated last year to proactively address considerations related to the Company’s growth through strategic investments and acquisitions. The 2024 Cash Flow PSU Definition excludes impacts from discrete growth capital investment projects made to support the long-term organic growth of the business that were not planned for when the performance measures were established and impacts and costs from the acquisition of Stericycle, which also were not contemplated when the performance measures were established. The MD&amp;C Committee believes that these exclusions are supportive of positive actions by management to advance sustainable growth.</w:t>
      </w:r>
    </w:p>
    <w:p>
      <w:pPr>
        <w:spacing w:after="0" w:line="128" w:lineRule="exact"/>
        <w:rPr>
          <w:sz w:val="20"/>
          <w:szCs w:val="20"/>
          <w:color w:val="auto"/>
        </w:rPr>
      </w:pPr>
    </w:p>
    <w:p>
      <w:pPr>
        <w:jc w:val="both"/>
        <w:ind w:left="180" w:right="200"/>
        <w:spacing w:after="0" w:line="264" w:lineRule="auto"/>
        <w:rPr>
          <w:sz w:val="20"/>
          <w:szCs w:val="20"/>
          <w:color w:val="auto"/>
        </w:rPr>
      </w:pPr>
      <w:r>
        <w:rPr>
          <w:rFonts w:ascii="Arial" w:cs="Arial" w:eastAsia="Arial" w:hAnsi="Arial"/>
          <w:sz w:val="19"/>
          <w:szCs w:val="19"/>
          <w:color w:val="auto"/>
        </w:rPr>
        <w:t>The MD&amp;C Committee has approved an annual cash incentive program for 2025 with the same performance measures and weighting as the 2024 annual cash incentive program, except that the Income from Operations Margin performance measure has been replaced with an income from operations excluding depreciation and amortization margin performance measure, maintaining its 25% weighting. This temporary change in the performance measure is primarily a response to our acquisition of Stericycle, consistent with actions we took after our 2020 acquisition of Advanced Disposal, Inc. (“Advanced Disposal”), and is intended to encourage responsible, high margin revenue growth and cost management, while removing variability that may be caused by Stericycle purchase price accounting.</w:t>
      </w:r>
    </w:p>
    <w:p>
      <w:pPr>
        <w:spacing w:after="0" w:line="114" w:lineRule="exact"/>
        <w:rPr>
          <w:sz w:val="20"/>
          <w:szCs w:val="20"/>
          <w:color w:val="auto"/>
        </w:rPr>
      </w:pPr>
    </w:p>
    <w:p>
      <w:pPr>
        <w:jc w:val="both"/>
        <w:ind w:left="180" w:right="200"/>
        <w:spacing w:after="0" w:line="264" w:lineRule="auto"/>
        <w:rPr>
          <w:sz w:val="20"/>
          <w:szCs w:val="20"/>
          <w:color w:val="auto"/>
        </w:rPr>
      </w:pPr>
      <w:r>
        <w:rPr>
          <w:rFonts w:ascii="Arial" w:cs="Arial" w:eastAsia="Arial" w:hAnsi="Arial"/>
          <w:sz w:val="19"/>
          <w:szCs w:val="19"/>
          <w:color w:val="auto"/>
        </w:rPr>
        <w:t>The MD&amp;C Committee has also approved continued use of a sustainability modifier applicable to this program. Annual cash incentive payouts to executive officers for 2025 may be increased, or decreased, up to 10% depending on achievement calculated using the 2025 sustainability scorecard. The 2025 sustainability scorecard contains quantifiable performance measures in the areas of safety; employee engagement; circularity and climate. The MD&amp;C Committee believes that these performance measures align with the Company’s commitments and values, sustainability growth strategy and 2030 goals presented in the Company’s Sustainability Report.</w:t>
      </w:r>
    </w:p>
    <w:p>
      <w:pPr>
        <w:spacing w:after="0" w:line="74"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0E3C23"/>
        </w:rPr>
        <w:t>Our Compensation Philosophy for Named Executive Officers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The Company’s compensation philosophy is designed to:</w:t>
      </w:r>
    </w:p>
    <w:p>
      <w:pPr>
        <w:spacing w:after="0" w:line="109" w:lineRule="exact"/>
        <w:rPr>
          <w:sz w:val="20"/>
          <w:szCs w:val="20"/>
          <w:color w:val="auto"/>
        </w:rPr>
      </w:pPr>
    </w:p>
    <w:p>
      <w:pPr>
        <w:ind w:left="780" w:hanging="203"/>
        <w:spacing w:after="0"/>
        <w:tabs>
          <w:tab w:leader="none" w:pos="780" w:val="left"/>
        </w:tabs>
        <w:numPr>
          <w:ilvl w:val="0"/>
          <w:numId w:val="17"/>
        </w:numPr>
        <w:rPr>
          <w:rFonts w:ascii="Arial" w:cs="Arial" w:eastAsia="Arial" w:hAnsi="Arial"/>
          <w:sz w:val="20"/>
          <w:szCs w:val="20"/>
          <w:color w:val="0E3C23"/>
        </w:rPr>
      </w:pPr>
      <w:r>
        <w:rPr>
          <w:rFonts w:ascii="Arial" w:cs="Arial" w:eastAsia="Arial" w:hAnsi="Arial"/>
          <w:sz w:val="20"/>
          <w:szCs w:val="20"/>
          <w:color w:val="auto"/>
        </w:rPr>
        <w:t>Attract and retain exceptional employees through competitive compensation opportunities;</w:t>
      </w:r>
    </w:p>
    <w:p>
      <w:pPr>
        <w:spacing w:after="0" w:line="114" w:lineRule="exact"/>
        <w:rPr>
          <w:rFonts w:ascii="Arial" w:cs="Arial" w:eastAsia="Arial" w:hAnsi="Arial"/>
          <w:sz w:val="20"/>
          <w:szCs w:val="20"/>
          <w:color w:val="0E3C23"/>
        </w:rPr>
      </w:pPr>
    </w:p>
    <w:p>
      <w:pPr>
        <w:ind w:left="780" w:right="220" w:hanging="203"/>
        <w:spacing w:after="0" w:line="244" w:lineRule="auto"/>
        <w:tabs>
          <w:tab w:leader="none" w:pos="780" w:val="left"/>
        </w:tabs>
        <w:numPr>
          <w:ilvl w:val="0"/>
          <w:numId w:val="17"/>
        </w:numPr>
        <w:rPr>
          <w:rFonts w:ascii="Arial" w:cs="Arial" w:eastAsia="Arial" w:hAnsi="Arial"/>
          <w:sz w:val="20"/>
          <w:szCs w:val="20"/>
          <w:color w:val="0E3C23"/>
        </w:rPr>
      </w:pPr>
      <w:r>
        <w:rPr>
          <w:rFonts w:ascii="Arial" w:cs="Arial" w:eastAsia="Arial" w:hAnsi="Arial"/>
          <w:sz w:val="20"/>
          <w:szCs w:val="20"/>
          <w:color w:val="auto"/>
        </w:rPr>
        <w:t>Encourage and reward performance through substantial at-risk performance-based compensation, while discouraging excessive risk-taking behavior; and</w:t>
      </w:r>
    </w:p>
    <w:p>
      <w:pPr>
        <w:spacing w:after="0" w:line="111" w:lineRule="exact"/>
        <w:rPr>
          <w:rFonts w:ascii="Arial" w:cs="Arial" w:eastAsia="Arial" w:hAnsi="Arial"/>
          <w:sz w:val="20"/>
          <w:szCs w:val="20"/>
          <w:color w:val="0E3C23"/>
        </w:rPr>
      </w:pPr>
    </w:p>
    <w:p>
      <w:pPr>
        <w:ind w:left="780" w:right="200" w:hanging="203"/>
        <w:spacing w:after="0" w:line="244" w:lineRule="auto"/>
        <w:tabs>
          <w:tab w:leader="none" w:pos="780" w:val="left"/>
        </w:tabs>
        <w:numPr>
          <w:ilvl w:val="0"/>
          <w:numId w:val="17"/>
        </w:numPr>
        <w:rPr>
          <w:rFonts w:ascii="Arial" w:cs="Arial" w:eastAsia="Arial" w:hAnsi="Arial"/>
          <w:sz w:val="20"/>
          <w:szCs w:val="20"/>
          <w:color w:val="0E3C23"/>
        </w:rPr>
      </w:pPr>
      <w:r>
        <w:rPr>
          <w:rFonts w:ascii="Arial" w:cs="Arial" w:eastAsia="Arial" w:hAnsi="Arial"/>
          <w:sz w:val="20"/>
          <w:szCs w:val="20"/>
          <w:color w:val="auto"/>
        </w:rPr>
        <w:t>Align our decision makers’ long-term interests with those of our stockholders through emphasis on equity ownership.</w:t>
      </w:r>
    </w:p>
    <w:p>
      <w:pPr>
        <w:spacing w:after="0" w:line="131" w:lineRule="exact"/>
        <w:rPr>
          <w:sz w:val="20"/>
          <w:szCs w:val="20"/>
          <w:color w:val="auto"/>
        </w:rPr>
      </w:pPr>
    </w:p>
    <w:p>
      <w:pPr>
        <w:ind w:left="180" w:right="200"/>
        <w:spacing w:after="0" w:line="244" w:lineRule="auto"/>
        <w:rPr>
          <w:sz w:val="20"/>
          <w:szCs w:val="20"/>
          <w:color w:val="auto"/>
        </w:rPr>
      </w:pPr>
      <w:r>
        <w:rPr>
          <w:rFonts w:ascii="Arial" w:cs="Arial" w:eastAsia="Arial" w:hAnsi="Arial"/>
          <w:sz w:val="20"/>
          <w:szCs w:val="20"/>
          <w:color w:val="auto"/>
        </w:rPr>
        <w:t>Additionally, our compensation philosophy is intended to encourage executives to embrace the Company’s strategy and to lead the Company in setting aspirations that will continue to drive exemplary performance.</w:t>
      </w:r>
    </w:p>
    <w:p>
      <w:pPr>
        <w:spacing w:after="0" w:line="131" w:lineRule="exact"/>
        <w:rPr>
          <w:sz w:val="20"/>
          <w:szCs w:val="20"/>
          <w:color w:val="auto"/>
        </w:rPr>
      </w:pPr>
    </w:p>
    <w:p>
      <w:pPr>
        <w:ind w:left="180" w:right="200"/>
        <w:spacing w:after="0" w:line="244" w:lineRule="auto"/>
        <w:rPr>
          <w:sz w:val="20"/>
          <w:szCs w:val="20"/>
          <w:color w:val="auto"/>
        </w:rPr>
      </w:pPr>
      <w:r>
        <w:rPr>
          <w:rFonts w:ascii="Arial" w:cs="Arial" w:eastAsia="Arial" w:hAnsi="Arial"/>
          <w:sz w:val="20"/>
          <w:szCs w:val="20"/>
          <w:color w:val="auto"/>
        </w:rPr>
        <w:t>With respect to our named executive officers, the MD&amp;C Committee believes that total direct compensation at target should generally be in a range around the competitive median according to the following:</w:t>
      </w:r>
    </w:p>
    <w:p>
      <w:pPr>
        <w:spacing w:after="0" w:line="111" w:lineRule="exact"/>
        <w:rPr>
          <w:sz w:val="20"/>
          <w:szCs w:val="20"/>
          <w:color w:val="auto"/>
        </w:rPr>
      </w:pPr>
    </w:p>
    <w:p>
      <w:pPr>
        <w:jc w:val="both"/>
        <w:ind w:left="780" w:right="200" w:hanging="203"/>
        <w:spacing w:after="0" w:line="246" w:lineRule="auto"/>
        <w:tabs>
          <w:tab w:leader="none" w:pos="780" w:val="left"/>
        </w:tabs>
        <w:numPr>
          <w:ilvl w:val="0"/>
          <w:numId w:val="18"/>
        </w:numPr>
        <w:rPr>
          <w:rFonts w:ascii="Arial" w:cs="Arial" w:eastAsia="Arial" w:hAnsi="Arial"/>
          <w:sz w:val="20"/>
          <w:szCs w:val="20"/>
          <w:color w:val="0E3C23"/>
        </w:rPr>
      </w:pPr>
      <w:r>
        <w:rPr>
          <w:rFonts w:ascii="Arial" w:cs="Arial" w:eastAsia="Arial" w:hAnsi="Arial"/>
          <w:sz w:val="20"/>
          <w:szCs w:val="20"/>
          <w:color w:val="auto"/>
        </w:rPr>
        <w:t>Base salaries should be paid within a range of plus or minus 10% around the competitive median, with attention given to individual circumstances, including strategic importance of the named executive’s role, the executive’s experience and individual performance;</w:t>
      </w:r>
    </w:p>
    <w:p>
      <w:pPr>
        <w:spacing w:after="0" w:line="111" w:lineRule="exact"/>
        <w:rPr>
          <w:rFonts w:ascii="Arial" w:cs="Arial" w:eastAsia="Arial" w:hAnsi="Arial"/>
          <w:sz w:val="20"/>
          <w:szCs w:val="20"/>
          <w:color w:val="0E3C23"/>
        </w:rPr>
      </w:pPr>
    </w:p>
    <w:p>
      <w:pPr>
        <w:ind w:left="780" w:hanging="203"/>
        <w:spacing w:after="0"/>
        <w:tabs>
          <w:tab w:leader="none" w:pos="780" w:val="left"/>
        </w:tabs>
        <w:numPr>
          <w:ilvl w:val="0"/>
          <w:numId w:val="18"/>
        </w:numPr>
        <w:rPr>
          <w:rFonts w:ascii="Arial" w:cs="Arial" w:eastAsia="Arial" w:hAnsi="Arial"/>
          <w:sz w:val="19"/>
          <w:szCs w:val="19"/>
          <w:color w:val="0E3C23"/>
        </w:rPr>
      </w:pPr>
      <w:r>
        <w:rPr>
          <w:rFonts w:ascii="Arial" w:cs="Arial" w:eastAsia="Arial" w:hAnsi="Arial"/>
          <w:sz w:val="19"/>
          <w:szCs w:val="19"/>
          <w:color w:val="auto"/>
        </w:rPr>
        <w:t>Target short-term and long-term incentive opportunities should generally be set at the competitive median; and</w:t>
      </w:r>
    </w:p>
    <w:p>
      <w:pPr>
        <w:spacing w:after="0" w:line="120" w:lineRule="exact"/>
        <w:rPr>
          <w:rFonts w:ascii="Arial" w:cs="Arial" w:eastAsia="Arial" w:hAnsi="Arial"/>
          <w:sz w:val="19"/>
          <w:szCs w:val="19"/>
          <w:color w:val="0E3C23"/>
        </w:rPr>
      </w:pPr>
    </w:p>
    <w:p>
      <w:pPr>
        <w:ind w:left="780" w:right="200" w:hanging="203"/>
        <w:spacing w:after="0" w:line="244" w:lineRule="auto"/>
        <w:tabs>
          <w:tab w:leader="none" w:pos="780" w:val="left"/>
        </w:tabs>
        <w:numPr>
          <w:ilvl w:val="0"/>
          <w:numId w:val="18"/>
        </w:numPr>
        <w:rPr>
          <w:rFonts w:ascii="Arial" w:cs="Arial" w:eastAsia="Arial" w:hAnsi="Arial"/>
          <w:sz w:val="20"/>
          <w:szCs w:val="20"/>
          <w:color w:val="0E3C23"/>
        </w:rPr>
      </w:pPr>
      <w:r>
        <w:rPr>
          <w:rFonts w:ascii="Arial" w:cs="Arial" w:eastAsia="Arial" w:hAnsi="Arial"/>
          <w:sz w:val="20"/>
          <w:szCs w:val="20"/>
          <w:color w:val="auto"/>
        </w:rPr>
        <w:t>Total direct compensation opportunities should generally be within a range of plus or minus 20% around the competitive median.</w:t>
      </w:r>
    </w:p>
    <w:p>
      <w:pPr>
        <w:sectPr>
          <w:pgSz w:w="13320" w:h="16920" w:orient="portrait"/>
          <w:cols w:equalWidth="0" w:num="1">
            <w:col w:w="104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-207010</wp:posOffset>
            </wp:positionV>
            <wp:extent cx="538480" cy="1619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12">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41" w:name="page42"/>
    <w:bookmarkEnd w:id="41"/>
    <w:p>
      <w:pPr>
        <w:ind w:left="180"/>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0E3C23"/>
        </w:rPr>
        <w:t>Overview of Elements of Our 2024 Executive Compensation Program</w:t>
      </w:r>
    </w:p>
    <w:p>
      <w:pPr>
        <w:spacing w:after="0" w:line="141"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1620" w:type="dxa"/>
            <w:vAlign w:val="bottom"/>
          </w:tcPr>
          <w:p>
            <w:pPr>
              <w:ind w:left="60"/>
              <w:spacing w:after="0"/>
              <w:rPr>
                <w:sz w:val="20"/>
                <w:szCs w:val="20"/>
                <w:color w:val="auto"/>
              </w:rPr>
            </w:pPr>
            <w:r>
              <w:rPr>
                <w:rFonts w:ascii="Arial" w:cs="Arial" w:eastAsia="Arial" w:hAnsi="Arial"/>
                <w:sz w:val="16"/>
                <w:szCs w:val="16"/>
                <w:b w:val="1"/>
                <w:bCs w:val="1"/>
                <w:color w:val="0E3C23"/>
              </w:rPr>
              <w:t>Timing</w:t>
            </w:r>
          </w:p>
        </w:tc>
        <w:tc>
          <w:tcPr>
            <w:tcW w:w="1620" w:type="dxa"/>
            <w:vAlign w:val="bottom"/>
          </w:tcPr>
          <w:p>
            <w:pPr>
              <w:ind w:left="120"/>
              <w:spacing w:after="0"/>
              <w:rPr>
                <w:sz w:val="20"/>
                <w:szCs w:val="20"/>
                <w:color w:val="auto"/>
              </w:rPr>
            </w:pPr>
            <w:r>
              <w:rPr>
                <w:rFonts w:ascii="Arial" w:cs="Arial" w:eastAsia="Arial" w:hAnsi="Arial"/>
                <w:sz w:val="16"/>
                <w:szCs w:val="16"/>
                <w:b w:val="1"/>
                <w:bCs w:val="1"/>
                <w:color w:val="0E3C23"/>
              </w:rPr>
              <w:t>Component</w:t>
            </w:r>
          </w:p>
        </w:tc>
        <w:tc>
          <w:tcPr>
            <w:tcW w:w="2400" w:type="dxa"/>
            <w:vAlign w:val="bottom"/>
          </w:tcPr>
          <w:p>
            <w:pPr>
              <w:ind w:left="180"/>
              <w:spacing w:after="0"/>
              <w:rPr>
                <w:sz w:val="20"/>
                <w:szCs w:val="20"/>
                <w:color w:val="auto"/>
              </w:rPr>
            </w:pPr>
            <w:r>
              <w:rPr>
                <w:rFonts w:ascii="Arial" w:cs="Arial" w:eastAsia="Arial" w:hAnsi="Arial"/>
                <w:sz w:val="16"/>
                <w:szCs w:val="16"/>
                <w:b w:val="1"/>
                <w:bCs w:val="1"/>
                <w:color w:val="0E3C23"/>
              </w:rPr>
              <w:t>Purpose</w:t>
            </w:r>
          </w:p>
        </w:tc>
        <w:tc>
          <w:tcPr>
            <w:tcW w:w="4420" w:type="dxa"/>
            <w:vAlign w:val="bottom"/>
          </w:tcPr>
          <w:p>
            <w:pPr>
              <w:ind w:left="120"/>
              <w:spacing w:after="0"/>
              <w:rPr>
                <w:sz w:val="20"/>
                <w:szCs w:val="20"/>
                <w:color w:val="auto"/>
              </w:rPr>
            </w:pPr>
            <w:r>
              <w:rPr>
                <w:rFonts w:ascii="Arial" w:cs="Arial" w:eastAsia="Arial" w:hAnsi="Arial"/>
                <w:sz w:val="16"/>
                <w:szCs w:val="16"/>
                <w:b w:val="1"/>
                <w:bCs w:val="1"/>
                <w:color w:val="0E3C23"/>
              </w:rPr>
              <w:t>Key Features</w:t>
            </w:r>
          </w:p>
        </w:tc>
        <w:tc>
          <w:tcPr>
            <w:tcW w:w="0" w:type="dxa"/>
            <w:vAlign w:val="bottom"/>
          </w:tcPr>
          <w:p>
            <w:pPr>
              <w:spacing w:after="0"/>
              <w:rPr>
                <w:sz w:val="1"/>
                <w:szCs w:val="1"/>
                <w:color w:val="auto"/>
              </w:rPr>
            </w:pPr>
          </w:p>
        </w:tc>
      </w:tr>
      <w:tr>
        <w:trPr>
          <w:trHeight w:val="29"/>
        </w:trPr>
        <w:tc>
          <w:tcPr>
            <w:tcW w:w="1620" w:type="dxa"/>
            <w:vAlign w:val="bottom"/>
            <w:tcBorders>
              <w:bottom w:val="single" w:sz="8" w:color="0E3C23"/>
            </w:tcBorders>
          </w:tcPr>
          <w:p>
            <w:pPr>
              <w:spacing w:after="0"/>
              <w:rPr>
                <w:sz w:val="2"/>
                <w:szCs w:val="2"/>
                <w:color w:val="auto"/>
              </w:rPr>
            </w:pPr>
          </w:p>
        </w:tc>
        <w:tc>
          <w:tcPr>
            <w:tcW w:w="1620" w:type="dxa"/>
            <w:vAlign w:val="bottom"/>
            <w:tcBorders>
              <w:bottom w:val="single" w:sz="8" w:color="0E3C23"/>
            </w:tcBorders>
          </w:tcPr>
          <w:p>
            <w:pPr>
              <w:spacing w:after="0"/>
              <w:rPr>
                <w:sz w:val="2"/>
                <w:szCs w:val="2"/>
                <w:color w:val="auto"/>
              </w:rPr>
            </w:pPr>
          </w:p>
        </w:tc>
        <w:tc>
          <w:tcPr>
            <w:tcW w:w="2400" w:type="dxa"/>
            <w:vAlign w:val="bottom"/>
            <w:tcBorders>
              <w:bottom w:val="single" w:sz="8" w:color="0E3C23"/>
            </w:tcBorders>
          </w:tcPr>
          <w:p>
            <w:pPr>
              <w:spacing w:after="0"/>
              <w:rPr>
                <w:sz w:val="2"/>
                <w:szCs w:val="2"/>
                <w:color w:val="auto"/>
              </w:rPr>
            </w:pPr>
          </w:p>
        </w:tc>
        <w:tc>
          <w:tcPr>
            <w:tcW w:w="4420" w:type="dxa"/>
            <w:vAlign w:val="bottom"/>
            <w:tcBorders>
              <w:bottom w:val="single" w:sz="8" w:color="0E3C23"/>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1620" w:type="dxa"/>
            <w:vAlign w:val="bottom"/>
          </w:tcPr>
          <w:p>
            <w:pPr>
              <w:ind w:left="60"/>
              <w:spacing w:after="0"/>
              <w:rPr>
                <w:sz w:val="20"/>
                <w:szCs w:val="20"/>
                <w:color w:val="auto"/>
              </w:rPr>
            </w:pPr>
            <w:r>
              <w:rPr>
                <w:rFonts w:ascii="Arial" w:cs="Arial" w:eastAsia="Arial" w:hAnsi="Arial"/>
                <w:sz w:val="16"/>
                <w:szCs w:val="16"/>
                <w:b w:val="1"/>
                <w:bCs w:val="1"/>
                <w:color w:val="auto"/>
              </w:rPr>
              <w:t>Current</w:t>
            </w:r>
          </w:p>
        </w:tc>
        <w:tc>
          <w:tcPr>
            <w:tcW w:w="1620" w:type="dxa"/>
            <w:vAlign w:val="bottom"/>
          </w:tcPr>
          <w:p>
            <w:pPr>
              <w:ind w:left="120"/>
              <w:spacing w:after="0"/>
              <w:rPr>
                <w:sz w:val="20"/>
                <w:szCs w:val="20"/>
                <w:color w:val="auto"/>
              </w:rPr>
            </w:pPr>
            <w:r>
              <w:rPr>
                <w:rFonts w:ascii="Arial" w:cs="Arial" w:eastAsia="Arial" w:hAnsi="Arial"/>
                <w:sz w:val="16"/>
                <w:szCs w:val="16"/>
                <w:color w:val="auto"/>
              </w:rPr>
              <w:t>Base Salary</w:t>
            </w:r>
          </w:p>
        </w:tc>
        <w:tc>
          <w:tcPr>
            <w:tcW w:w="2400" w:type="dxa"/>
            <w:vAlign w:val="bottom"/>
          </w:tcPr>
          <w:p>
            <w:pPr>
              <w:ind w:left="180"/>
              <w:spacing w:after="0"/>
              <w:rPr>
                <w:sz w:val="20"/>
                <w:szCs w:val="20"/>
                <w:color w:val="auto"/>
              </w:rPr>
            </w:pPr>
            <w:r>
              <w:rPr>
                <w:rFonts w:ascii="Arial" w:cs="Arial" w:eastAsia="Arial" w:hAnsi="Arial"/>
                <w:sz w:val="16"/>
                <w:szCs w:val="16"/>
                <w:color w:val="auto"/>
              </w:rPr>
              <w:t>To attract and retain</w:t>
            </w:r>
          </w:p>
        </w:tc>
        <w:tc>
          <w:tcPr>
            <w:tcW w:w="4420" w:type="dxa"/>
            <w:vAlign w:val="bottom"/>
          </w:tcPr>
          <w:p>
            <w:pPr>
              <w:ind w:left="120"/>
              <w:spacing w:after="0"/>
              <w:rPr>
                <w:sz w:val="20"/>
                <w:szCs w:val="20"/>
                <w:color w:val="auto"/>
              </w:rPr>
            </w:pPr>
            <w:r>
              <w:rPr>
                <w:rFonts w:ascii="Arial" w:cs="Arial" w:eastAsia="Arial" w:hAnsi="Arial"/>
                <w:sz w:val="16"/>
                <w:szCs w:val="16"/>
                <w:color w:val="auto"/>
              </w:rPr>
              <w:t>Adjustments to base salary primarily consider competitive</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ind w:left="180"/>
              <w:spacing w:after="0" w:line="179" w:lineRule="exact"/>
              <w:rPr>
                <w:sz w:val="20"/>
                <w:szCs w:val="20"/>
                <w:color w:val="auto"/>
              </w:rPr>
            </w:pPr>
            <w:r>
              <w:rPr>
                <w:rFonts w:ascii="Arial" w:cs="Arial" w:eastAsia="Arial" w:hAnsi="Arial"/>
                <w:sz w:val="16"/>
                <w:szCs w:val="16"/>
                <w:color w:val="auto"/>
              </w:rPr>
              <w:t>executives with a competitive</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market data and the executive’s tenure, individual</w:t>
            </w:r>
          </w:p>
        </w:tc>
        <w:tc>
          <w:tcPr>
            <w:tcW w:w="0" w:type="dxa"/>
            <w:vAlign w:val="bottom"/>
          </w:tcPr>
          <w:p>
            <w:pPr>
              <w:spacing w:after="0"/>
              <w:rPr>
                <w:sz w:val="1"/>
                <w:szCs w:val="1"/>
                <w:color w:val="auto"/>
              </w:rPr>
            </w:pPr>
          </w:p>
        </w:tc>
      </w:tr>
      <w:tr>
        <w:trPr>
          <w:trHeight w:val="180"/>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ind w:left="180"/>
              <w:spacing w:after="0" w:line="180" w:lineRule="exact"/>
              <w:rPr>
                <w:sz w:val="20"/>
                <w:szCs w:val="20"/>
                <w:color w:val="auto"/>
              </w:rPr>
            </w:pPr>
            <w:r>
              <w:rPr>
                <w:rFonts w:ascii="Arial" w:cs="Arial" w:eastAsia="Arial" w:hAnsi="Arial"/>
                <w:sz w:val="16"/>
                <w:szCs w:val="16"/>
                <w:color w:val="auto"/>
              </w:rPr>
              <w:t>level of regular income</w:t>
            </w:r>
          </w:p>
        </w:tc>
        <w:tc>
          <w:tcPr>
            <w:tcW w:w="4420" w:type="dxa"/>
            <w:vAlign w:val="bottom"/>
          </w:tcPr>
          <w:p>
            <w:pPr>
              <w:ind w:left="120"/>
              <w:spacing w:after="0" w:line="180" w:lineRule="exact"/>
              <w:rPr>
                <w:sz w:val="20"/>
                <w:szCs w:val="20"/>
                <w:color w:val="auto"/>
              </w:rPr>
            </w:pPr>
            <w:r>
              <w:rPr>
                <w:rFonts w:ascii="Arial" w:cs="Arial" w:eastAsia="Arial" w:hAnsi="Arial"/>
                <w:sz w:val="16"/>
                <w:szCs w:val="16"/>
                <w:color w:val="auto"/>
              </w:rPr>
              <w:t>performance and responsibilities.</w:t>
            </w:r>
          </w:p>
        </w:tc>
        <w:tc>
          <w:tcPr>
            <w:tcW w:w="0" w:type="dxa"/>
            <w:vAlign w:val="bottom"/>
          </w:tcPr>
          <w:p>
            <w:pPr>
              <w:spacing w:after="0"/>
              <w:rPr>
                <w:sz w:val="1"/>
                <w:szCs w:val="1"/>
                <w:color w:val="auto"/>
              </w:rPr>
            </w:pPr>
          </w:p>
        </w:tc>
      </w:tr>
      <w:tr>
        <w:trPr>
          <w:trHeight w:val="26"/>
        </w:trPr>
        <w:tc>
          <w:tcPr>
            <w:tcW w:w="1620" w:type="dxa"/>
            <w:vAlign w:val="bottom"/>
            <w:tcBorders>
              <w:bottom w:val="single" w:sz="8" w:color="0E3C23"/>
            </w:tcBorders>
          </w:tcPr>
          <w:p>
            <w:pPr>
              <w:spacing w:after="0"/>
              <w:rPr>
                <w:sz w:val="2"/>
                <w:szCs w:val="2"/>
                <w:color w:val="auto"/>
              </w:rPr>
            </w:pPr>
          </w:p>
        </w:tc>
        <w:tc>
          <w:tcPr>
            <w:tcW w:w="1620" w:type="dxa"/>
            <w:vAlign w:val="bottom"/>
            <w:tcBorders>
              <w:bottom w:val="single" w:sz="8" w:color="0E3C23"/>
            </w:tcBorders>
          </w:tcPr>
          <w:p>
            <w:pPr>
              <w:spacing w:after="0"/>
              <w:rPr>
                <w:sz w:val="2"/>
                <w:szCs w:val="2"/>
                <w:color w:val="auto"/>
              </w:rPr>
            </w:pPr>
          </w:p>
        </w:tc>
        <w:tc>
          <w:tcPr>
            <w:tcW w:w="2400" w:type="dxa"/>
            <w:vAlign w:val="bottom"/>
            <w:tcBorders>
              <w:bottom w:val="single" w:sz="8" w:color="0E3C23"/>
            </w:tcBorders>
          </w:tcPr>
          <w:p>
            <w:pPr>
              <w:spacing w:after="0"/>
              <w:rPr>
                <w:sz w:val="2"/>
                <w:szCs w:val="2"/>
                <w:color w:val="auto"/>
              </w:rPr>
            </w:pPr>
          </w:p>
        </w:tc>
        <w:tc>
          <w:tcPr>
            <w:tcW w:w="4420" w:type="dxa"/>
            <w:vAlign w:val="bottom"/>
            <w:tcBorders>
              <w:bottom w:val="single" w:sz="8" w:color="0E3C23"/>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1620" w:type="dxa"/>
            <w:vAlign w:val="bottom"/>
          </w:tcPr>
          <w:p>
            <w:pPr>
              <w:ind w:left="60"/>
              <w:spacing w:after="0"/>
              <w:rPr>
                <w:sz w:val="20"/>
                <w:szCs w:val="20"/>
                <w:color w:val="auto"/>
              </w:rPr>
            </w:pPr>
            <w:r>
              <w:rPr>
                <w:rFonts w:ascii="Arial" w:cs="Arial" w:eastAsia="Arial" w:hAnsi="Arial"/>
                <w:sz w:val="16"/>
                <w:szCs w:val="16"/>
                <w:b w:val="1"/>
                <w:bCs w:val="1"/>
                <w:color w:val="auto"/>
              </w:rPr>
              <w:t>Short-Term</w:t>
            </w:r>
          </w:p>
        </w:tc>
        <w:tc>
          <w:tcPr>
            <w:tcW w:w="1620" w:type="dxa"/>
            <w:vAlign w:val="bottom"/>
          </w:tcPr>
          <w:p>
            <w:pPr>
              <w:ind w:left="120"/>
              <w:spacing w:after="0"/>
              <w:rPr>
                <w:sz w:val="20"/>
                <w:szCs w:val="20"/>
                <w:color w:val="auto"/>
              </w:rPr>
            </w:pPr>
            <w:r>
              <w:rPr>
                <w:rFonts w:ascii="Arial" w:cs="Arial" w:eastAsia="Arial" w:hAnsi="Arial"/>
                <w:sz w:val="16"/>
                <w:szCs w:val="16"/>
                <w:color w:val="auto"/>
              </w:rPr>
              <w:t>Annual Cash</w:t>
            </w:r>
          </w:p>
        </w:tc>
        <w:tc>
          <w:tcPr>
            <w:tcW w:w="2400" w:type="dxa"/>
            <w:vAlign w:val="bottom"/>
          </w:tcPr>
          <w:p>
            <w:pPr>
              <w:ind w:left="180"/>
              <w:spacing w:after="0"/>
              <w:rPr>
                <w:sz w:val="20"/>
                <w:szCs w:val="20"/>
                <w:color w:val="auto"/>
              </w:rPr>
            </w:pPr>
            <w:r>
              <w:rPr>
                <w:rFonts w:ascii="Arial" w:cs="Arial" w:eastAsia="Arial" w:hAnsi="Arial"/>
                <w:sz w:val="16"/>
                <w:szCs w:val="16"/>
                <w:color w:val="auto"/>
              </w:rPr>
              <w:t>To encourage and reward</w:t>
            </w:r>
          </w:p>
        </w:tc>
        <w:tc>
          <w:tcPr>
            <w:tcW w:w="4420" w:type="dxa"/>
            <w:vAlign w:val="bottom"/>
          </w:tcPr>
          <w:p>
            <w:pPr>
              <w:ind w:left="120"/>
              <w:spacing w:after="0"/>
              <w:rPr>
                <w:sz w:val="20"/>
                <w:szCs w:val="20"/>
                <w:color w:val="auto"/>
              </w:rPr>
            </w:pPr>
            <w:r>
              <w:rPr>
                <w:rFonts w:ascii="Arial" w:cs="Arial" w:eastAsia="Arial" w:hAnsi="Arial"/>
                <w:sz w:val="16"/>
                <w:szCs w:val="16"/>
                <w:color w:val="auto"/>
              </w:rPr>
              <w:t>Cash incentives are targeted at a percentage of base salary</w:t>
            </w:r>
          </w:p>
        </w:tc>
        <w:tc>
          <w:tcPr>
            <w:tcW w:w="0" w:type="dxa"/>
            <w:vAlign w:val="bottom"/>
          </w:tcPr>
          <w:p>
            <w:pPr>
              <w:spacing w:after="0"/>
              <w:rPr>
                <w:sz w:val="1"/>
                <w:szCs w:val="1"/>
                <w:color w:val="auto"/>
              </w:rPr>
            </w:pPr>
          </w:p>
        </w:tc>
      </w:tr>
      <w:tr>
        <w:trPr>
          <w:trHeight w:val="179"/>
        </w:trPr>
        <w:tc>
          <w:tcPr>
            <w:tcW w:w="1620" w:type="dxa"/>
            <w:vAlign w:val="bottom"/>
          </w:tcPr>
          <w:p>
            <w:pPr>
              <w:ind w:left="60"/>
              <w:spacing w:after="0" w:line="179" w:lineRule="exact"/>
              <w:rPr>
                <w:sz w:val="20"/>
                <w:szCs w:val="20"/>
                <w:color w:val="auto"/>
              </w:rPr>
            </w:pPr>
            <w:r>
              <w:rPr>
                <w:rFonts w:ascii="Arial" w:cs="Arial" w:eastAsia="Arial" w:hAnsi="Arial"/>
                <w:sz w:val="16"/>
                <w:szCs w:val="16"/>
                <w:b w:val="1"/>
                <w:bCs w:val="1"/>
                <w:color w:val="auto"/>
              </w:rPr>
              <w:t>Performance</w:t>
            </w:r>
          </w:p>
        </w:tc>
        <w:tc>
          <w:tcPr>
            <w:tcW w:w="1620" w:type="dxa"/>
            <w:vAlign w:val="bottom"/>
          </w:tcPr>
          <w:p>
            <w:pPr>
              <w:ind w:left="120"/>
              <w:spacing w:after="0" w:line="179" w:lineRule="exact"/>
              <w:rPr>
                <w:sz w:val="20"/>
                <w:szCs w:val="20"/>
                <w:color w:val="auto"/>
              </w:rPr>
            </w:pPr>
            <w:r>
              <w:rPr>
                <w:rFonts w:ascii="Arial" w:cs="Arial" w:eastAsia="Arial" w:hAnsi="Arial"/>
                <w:sz w:val="16"/>
                <w:szCs w:val="16"/>
                <w:color w:val="auto"/>
              </w:rPr>
              <w:t>Incentive</w:t>
            </w:r>
          </w:p>
        </w:tc>
        <w:tc>
          <w:tcPr>
            <w:tcW w:w="2400" w:type="dxa"/>
            <w:vAlign w:val="bottom"/>
          </w:tcPr>
          <w:p>
            <w:pPr>
              <w:ind w:left="180"/>
              <w:spacing w:after="0" w:line="179" w:lineRule="exact"/>
              <w:rPr>
                <w:sz w:val="20"/>
                <w:szCs w:val="20"/>
                <w:color w:val="auto"/>
              </w:rPr>
            </w:pPr>
            <w:r>
              <w:rPr>
                <w:rFonts w:ascii="Arial" w:cs="Arial" w:eastAsia="Arial" w:hAnsi="Arial"/>
                <w:sz w:val="16"/>
                <w:szCs w:val="16"/>
                <w:color w:val="auto"/>
              </w:rPr>
              <w:t>contributions to our annual</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w w:val="98"/>
              </w:rPr>
              <w:t>and range from zero to 200% of target based on the following</w:t>
            </w:r>
          </w:p>
        </w:tc>
        <w:tc>
          <w:tcPr>
            <w:tcW w:w="0" w:type="dxa"/>
            <w:vAlign w:val="bottom"/>
          </w:tcPr>
          <w:p>
            <w:pPr>
              <w:spacing w:after="0"/>
              <w:rPr>
                <w:sz w:val="1"/>
                <w:szCs w:val="1"/>
                <w:color w:val="auto"/>
              </w:rPr>
            </w:pPr>
          </w:p>
        </w:tc>
      </w:tr>
      <w:tr>
        <w:trPr>
          <w:trHeight w:val="181"/>
        </w:trPr>
        <w:tc>
          <w:tcPr>
            <w:tcW w:w="1620" w:type="dxa"/>
            <w:vAlign w:val="bottom"/>
          </w:tcPr>
          <w:p>
            <w:pPr>
              <w:ind w:left="60"/>
              <w:spacing w:after="0" w:line="181" w:lineRule="exact"/>
              <w:rPr>
                <w:sz w:val="20"/>
                <w:szCs w:val="20"/>
                <w:color w:val="auto"/>
              </w:rPr>
            </w:pPr>
            <w:r>
              <w:rPr>
                <w:rFonts w:ascii="Arial" w:cs="Arial" w:eastAsia="Arial" w:hAnsi="Arial"/>
                <w:sz w:val="16"/>
                <w:szCs w:val="16"/>
                <w:b w:val="1"/>
                <w:bCs w:val="1"/>
                <w:color w:val="auto"/>
              </w:rPr>
              <w:t>Incentive</w:t>
            </w:r>
          </w:p>
        </w:tc>
        <w:tc>
          <w:tcPr>
            <w:tcW w:w="1620" w:type="dxa"/>
            <w:vAlign w:val="bottom"/>
          </w:tcPr>
          <w:p>
            <w:pPr>
              <w:spacing w:after="0"/>
              <w:rPr>
                <w:sz w:val="15"/>
                <w:szCs w:val="15"/>
                <w:color w:val="auto"/>
              </w:rPr>
            </w:pPr>
          </w:p>
        </w:tc>
        <w:tc>
          <w:tcPr>
            <w:tcW w:w="2400" w:type="dxa"/>
            <w:vAlign w:val="bottom"/>
          </w:tcPr>
          <w:p>
            <w:pPr>
              <w:ind w:left="180"/>
              <w:spacing w:after="0" w:line="181" w:lineRule="exact"/>
              <w:rPr>
                <w:sz w:val="20"/>
                <w:szCs w:val="20"/>
                <w:color w:val="auto"/>
              </w:rPr>
            </w:pPr>
            <w:r>
              <w:rPr>
                <w:rFonts w:ascii="Arial" w:cs="Arial" w:eastAsia="Arial" w:hAnsi="Arial"/>
                <w:sz w:val="16"/>
                <w:szCs w:val="16"/>
                <w:color w:val="auto"/>
              </w:rPr>
              <w:t>financial objectives through</w:t>
            </w:r>
          </w:p>
        </w:tc>
        <w:tc>
          <w:tcPr>
            <w:tcW w:w="4420" w:type="dxa"/>
            <w:vAlign w:val="bottom"/>
          </w:tcPr>
          <w:p>
            <w:pPr>
              <w:ind w:left="120"/>
              <w:spacing w:after="0" w:line="181" w:lineRule="exact"/>
              <w:rPr>
                <w:sz w:val="20"/>
                <w:szCs w:val="20"/>
                <w:color w:val="auto"/>
              </w:rPr>
            </w:pPr>
            <w:r>
              <w:rPr>
                <w:rFonts w:ascii="Arial" w:cs="Arial" w:eastAsia="Arial" w:hAnsi="Arial"/>
                <w:sz w:val="16"/>
                <w:szCs w:val="16"/>
                <w:color w:val="auto"/>
              </w:rPr>
              <w:t>performance measures:</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ind w:left="180"/>
              <w:spacing w:after="0" w:line="179" w:lineRule="exact"/>
              <w:rPr>
                <w:sz w:val="20"/>
                <w:szCs w:val="20"/>
                <w:color w:val="auto"/>
              </w:rPr>
            </w:pPr>
            <w:r>
              <w:rPr>
                <w:rFonts w:ascii="Arial" w:cs="Arial" w:eastAsia="Arial" w:hAnsi="Arial"/>
                <w:sz w:val="16"/>
                <w:szCs w:val="16"/>
                <w:color w:val="auto"/>
              </w:rPr>
              <w:t>performance-based</w:t>
            </w:r>
          </w:p>
        </w:tc>
        <w:tc>
          <w:tcPr>
            <w:tcW w:w="4420" w:type="dxa"/>
            <w:vAlign w:val="bottom"/>
            <w:vMerge w:val="restart"/>
          </w:tcPr>
          <w:p>
            <w:pPr>
              <w:ind w:left="120"/>
              <w:spacing w:after="0"/>
              <w:rPr>
                <w:sz w:val="20"/>
                <w:szCs w:val="20"/>
                <w:color w:val="auto"/>
              </w:rPr>
            </w:pPr>
            <w:r>
              <w:rPr>
                <w:rFonts w:ascii="Arial" w:cs="Arial" w:eastAsia="Arial" w:hAnsi="Arial"/>
                <w:sz w:val="16"/>
                <w:szCs w:val="16"/>
                <w:color w:val="0E3C23"/>
              </w:rPr>
              <w:t xml:space="preserve">• </w:t>
            </w:r>
            <w:r>
              <w:rPr>
                <w:rFonts w:ascii="Arial" w:cs="Arial" w:eastAsia="Arial" w:hAnsi="Arial"/>
                <w:sz w:val="16"/>
                <w:szCs w:val="16"/>
                <w:color w:val="000000"/>
              </w:rPr>
              <w:t>Operating EBITDA — designed to encourage balanced</w:t>
            </w:r>
          </w:p>
        </w:tc>
        <w:tc>
          <w:tcPr>
            <w:tcW w:w="0" w:type="dxa"/>
            <w:vAlign w:val="bottom"/>
          </w:tcPr>
          <w:p>
            <w:pPr>
              <w:spacing w:after="0"/>
              <w:rPr>
                <w:sz w:val="1"/>
                <w:szCs w:val="1"/>
                <w:color w:val="auto"/>
              </w:rPr>
            </w:pPr>
          </w:p>
        </w:tc>
      </w:tr>
      <w:tr>
        <w:trPr>
          <w:trHeight w:val="120"/>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vMerge w:val="restart"/>
          </w:tcPr>
          <w:p>
            <w:pPr>
              <w:ind w:left="180"/>
              <w:spacing w:after="0" w:line="179" w:lineRule="exact"/>
              <w:rPr>
                <w:sz w:val="20"/>
                <w:szCs w:val="20"/>
                <w:color w:val="auto"/>
              </w:rPr>
            </w:pPr>
            <w:r>
              <w:rPr>
                <w:rFonts w:ascii="Arial" w:cs="Arial" w:eastAsia="Arial" w:hAnsi="Arial"/>
                <w:sz w:val="16"/>
                <w:szCs w:val="16"/>
                <w:color w:val="auto"/>
              </w:rPr>
              <w:t>compensation subject to</w:t>
            </w: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16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400" w:type="dxa"/>
            <w:vAlign w:val="bottom"/>
            <w:vMerge w:val="continue"/>
          </w:tcPr>
          <w:p>
            <w:pPr>
              <w:spacing w:after="0"/>
              <w:rPr>
                <w:sz w:val="5"/>
                <w:szCs w:val="5"/>
                <w:color w:val="auto"/>
              </w:rPr>
            </w:pPr>
          </w:p>
        </w:tc>
        <w:tc>
          <w:tcPr>
            <w:tcW w:w="4420" w:type="dxa"/>
            <w:vAlign w:val="bottom"/>
            <w:vMerge w:val="restart"/>
          </w:tcPr>
          <w:p>
            <w:pPr>
              <w:ind w:left="280"/>
              <w:spacing w:after="0" w:line="179" w:lineRule="exact"/>
              <w:rPr>
                <w:sz w:val="20"/>
                <w:szCs w:val="20"/>
                <w:color w:val="auto"/>
              </w:rPr>
            </w:pPr>
            <w:r>
              <w:rPr>
                <w:rFonts w:ascii="Arial" w:cs="Arial" w:eastAsia="Arial" w:hAnsi="Arial"/>
                <w:sz w:val="16"/>
                <w:szCs w:val="16"/>
                <w:color w:val="auto"/>
              </w:rPr>
              <w:t>growth and profitability and assess the financial outcome</w:t>
            </w:r>
          </w:p>
        </w:tc>
        <w:tc>
          <w:tcPr>
            <w:tcW w:w="0" w:type="dxa"/>
            <w:vAlign w:val="bottom"/>
          </w:tcPr>
          <w:p>
            <w:pPr>
              <w:spacing w:after="0"/>
              <w:rPr>
                <w:sz w:val="1"/>
                <w:szCs w:val="1"/>
                <w:color w:val="auto"/>
              </w:rPr>
            </w:pPr>
          </w:p>
        </w:tc>
      </w:tr>
      <w:tr>
        <w:trPr>
          <w:trHeight w:val="120"/>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vMerge w:val="restart"/>
          </w:tcPr>
          <w:p>
            <w:pPr>
              <w:ind w:left="180"/>
              <w:spacing w:after="0" w:line="179" w:lineRule="exact"/>
              <w:rPr>
                <w:sz w:val="20"/>
                <w:szCs w:val="20"/>
                <w:color w:val="auto"/>
              </w:rPr>
            </w:pPr>
            <w:r>
              <w:rPr>
                <w:rFonts w:ascii="Arial" w:cs="Arial" w:eastAsia="Arial" w:hAnsi="Arial"/>
                <w:sz w:val="16"/>
                <w:szCs w:val="16"/>
                <w:color w:val="auto"/>
              </w:rPr>
              <w:t>challenging, yet attainable,</w:t>
            </w: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16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400" w:type="dxa"/>
            <w:vAlign w:val="bottom"/>
            <w:vMerge w:val="continue"/>
          </w:tcPr>
          <w:p>
            <w:pPr>
              <w:spacing w:after="0"/>
              <w:rPr>
                <w:sz w:val="5"/>
                <w:szCs w:val="5"/>
                <w:color w:val="auto"/>
              </w:rPr>
            </w:pPr>
          </w:p>
        </w:tc>
        <w:tc>
          <w:tcPr>
            <w:tcW w:w="4420" w:type="dxa"/>
            <w:vAlign w:val="bottom"/>
            <w:vMerge w:val="restart"/>
          </w:tcPr>
          <w:p>
            <w:pPr>
              <w:ind w:left="280"/>
              <w:spacing w:after="0" w:line="180" w:lineRule="exact"/>
              <w:rPr>
                <w:sz w:val="20"/>
                <w:szCs w:val="20"/>
                <w:color w:val="auto"/>
              </w:rPr>
            </w:pPr>
            <w:r>
              <w:rPr>
                <w:rFonts w:ascii="Arial" w:cs="Arial" w:eastAsia="Arial" w:hAnsi="Arial"/>
                <w:sz w:val="16"/>
                <w:szCs w:val="16"/>
                <w:color w:val="auto"/>
              </w:rPr>
              <w:t>from execution of strategic priorities (weighted 50%);</w:t>
            </w:r>
          </w:p>
        </w:tc>
        <w:tc>
          <w:tcPr>
            <w:tcW w:w="0" w:type="dxa"/>
            <w:vAlign w:val="bottom"/>
          </w:tcPr>
          <w:p>
            <w:pPr>
              <w:spacing w:after="0"/>
              <w:rPr>
                <w:sz w:val="1"/>
                <w:szCs w:val="1"/>
                <w:color w:val="auto"/>
              </w:rPr>
            </w:pPr>
          </w:p>
        </w:tc>
      </w:tr>
      <w:tr>
        <w:trPr>
          <w:trHeight w:val="120"/>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vMerge w:val="restart"/>
          </w:tcPr>
          <w:p>
            <w:pPr>
              <w:ind w:left="180"/>
              <w:spacing w:after="0" w:line="179" w:lineRule="exact"/>
              <w:rPr>
                <w:sz w:val="20"/>
                <w:szCs w:val="20"/>
                <w:color w:val="auto"/>
              </w:rPr>
            </w:pPr>
            <w:r>
              <w:rPr>
                <w:rFonts w:ascii="Arial" w:cs="Arial" w:eastAsia="Arial" w:hAnsi="Arial"/>
                <w:sz w:val="16"/>
                <w:szCs w:val="16"/>
                <w:color w:val="auto"/>
              </w:rPr>
              <w:t>objective and transparent</w:t>
            </w: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6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400" w:type="dxa"/>
            <w:vAlign w:val="bottom"/>
            <w:vMerge w:val="continue"/>
          </w:tcPr>
          <w:p>
            <w:pPr>
              <w:spacing w:after="0"/>
              <w:rPr>
                <w:sz w:val="5"/>
                <w:szCs w:val="5"/>
                <w:color w:val="auto"/>
              </w:rPr>
            </w:pPr>
          </w:p>
        </w:tc>
        <w:tc>
          <w:tcPr>
            <w:tcW w:w="4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ind w:left="180"/>
              <w:spacing w:after="0" w:line="180" w:lineRule="exact"/>
              <w:rPr>
                <w:sz w:val="20"/>
                <w:szCs w:val="20"/>
                <w:color w:val="auto"/>
              </w:rPr>
            </w:pPr>
            <w:r>
              <w:rPr>
                <w:rFonts w:ascii="Arial" w:cs="Arial" w:eastAsia="Arial" w:hAnsi="Arial"/>
                <w:sz w:val="16"/>
                <w:szCs w:val="16"/>
                <w:color w:val="auto"/>
              </w:rPr>
              <w:t>metrics</w:t>
            </w:r>
          </w:p>
        </w:tc>
        <w:tc>
          <w:tcPr>
            <w:tcW w:w="4420" w:type="dxa"/>
            <w:vAlign w:val="bottom"/>
            <w:vMerge w:val="restart"/>
          </w:tcPr>
          <w:p>
            <w:pPr>
              <w:ind w:left="120"/>
              <w:spacing w:after="0"/>
              <w:rPr>
                <w:sz w:val="20"/>
                <w:szCs w:val="20"/>
                <w:color w:val="auto"/>
              </w:rPr>
            </w:pPr>
            <w:r>
              <w:rPr>
                <w:rFonts w:ascii="Arial" w:cs="Arial" w:eastAsia="Arial" w:hAnsi="Arial"/>
                <w:sz w:val="16"/>
                <w:szCs w:val="16"/>
                <w:color w:val="0E3C23"/>
              </w:rPr>
              <w:t xml:space="preserve">• </w:t>
            </w:r>
            <w:r>
              <w:rPr>
                <w:rFonts w:ascii="Arial" w:cs="Arial" w:eastAsia="Arial" w:hAnsi="Arial"/>
                <w:sz w:val="16"/>
                <w:szCs w:val="16"/>
                <w:color w:val="000000"/>
              </w:rPr>
              <w:t>Income from Operations Margin — designed to motivate</w:t>
            </w:r>
          </w:p>
        </w:tc>
        <w:tc>
          <w:tcPr>
            <w:tcW w:w="0" w:type="dxa"/>
            <w:vAlign w:val="bottom"/>
          </w:tcPr>
          <w:p>
            <w:pPr>
              <w:spacing w:after="0"/>
              <w:rPr>
                <w:sz w:val="1"/>
                <w:szCs w:val="1"/>
                <w:color w:val="auto"/>
              </w:rPr>
            </w:pPr>
          </w:p>
        </w:tc>
      </w:tr>
      <w:tr>
        <w:trPr>
          <w:trHeight w:val="60"/>
        </w:trPr>
        <w:tc>
          <w:tcPr>
            <w:tcW w:w="16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4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280"/>
              <w:spacing w:after="0" w:line="179" w:lineRule="exact"/>
              <w:rPr>
                <w:sz w:val="20"/>
                <w:szCs w:val="20"/>
                <w:color w:val="auto"/>
              </w:rPr>
            </w:pPr>
            <w:r>
              <w:rPr>
                <w:rFonts w:ascii="Arial" w:cs="Arial" w:eastAsia="Arial" w:hAnsi="Arial"/>
                <w:sz w:val="16"/>
                <w:szCs w:val="16"/>
                <w:color w:val="auto"/>
              </w:rPr>
              <w:t>pursuit of high margin revenue growth while also</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280"/>
              <w:spacing w:after="0" w:line="179" w:lineRule="exact"/>
              <w:rPr>
                <w:sz w:val="20"/>
                <w:szCs w:val="20"/>
                <w:color w:val="auto"/>
              </w:rPr>
            </w:pPr>
            <w:r>
              <w:rPr>
                <w:rFonts w:ascii="Arial" w:cs="Arial" w:eastAsia="Arial" w:hAnsi="Arial"/>
                <w:sz w:val="16"/>
                <w:szCs w:val="16"/>
                <w:color w:val="auto"/>
              </w:rPr>
              <w:t>controlling costs and operating efficiently (weighted 25%);</w:t>
            </w:r>
          </w:p>
        </w:tc>
        <w:tc>
          <w:tcPr>
            <w:tcW w:w="0" w:type="dxa"/>
            <w:vAlign w:val="bottom"/>
          </w:tcPr>
          <w:p>
            <w:pPr>
              <w:spacing w:after="0"/>
              <w:rPr>
                <w:sz w:val="1"/>
                <w:szCs w:val="1"/>
                <w:color w:val="auto"/>
              </w:rPr>
            </w:pPr>
          </w:p>
        </w:tc>
      </w:tr>
      <w:tr>
        <w:trPr>
          <w:trHeight w:val="180"/>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280"/>
              <w:spacing w:after="0" w:line="180" w:lineRule="exact"/>
              <w:rPr>
                <w:sz w:val="20"/>
                <w:szCs w:val="20"/>
                <w:color w:val="auto"/>
              </w:rPr>
            </w:pPr>
            <w:r>
              <w:rPr>
                <w:rFonts w:ascii="Arial" w:cs="Arial" w:eastAsia="Arial" w:hAnsi="Arial"/>
                <w:sz w:val="16"/>
                <w:szCs w:val="16"/>
                <w:color w:val="auto"/>
              </w:rPr>
              <w:t>and</w:t>
            </w:r>
          </w:p>
        </w:tc>
        <w:tc>
          <w:tcPr>
            <w:tcW w:w="0" w:type="dxa"/>
            <w:vAlign w:val="bottom"/>
          </w:tcPr>
          <w:p>
            <w:pPr>
              <w:spacing w:after="0"/>
              <w:rPr>
                <w:sz w:val="1"/>
                <w:szCs w:val="1"/>
                <w:color w:val="auto"/>
              </w:rPr>
            </w:pPr>
          </w:p>
        </w:tc>
      </w:tr>
      <w:tr>
        <w:trPr>
          <w:trHeight w:val="298"/>
        </w:trPr>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0E3C23"/>
                <w:w w:val="98"/>
              </w:rPr>
              <w:t xml:space="preserve">• </w:t>
            </w:r>
            <w:r>
              <w:rPr>
                <w:rFonts w:ascii="Arial" w:cs="Arial" w:eastAsia="Arial" w:hAnsi="Arial"/>
                <w:sz w:val="16"/>
                <w:szCs w:val="16"/>
                <w:color w:val="000000"/>
                <w:w w:val="98"/>
              </w:rPr>
              <w:t>Internal Revenue Growth — targeted at executing on pricing</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280"/>
              <w:spacing w:after="0" w:line="179" w:lineRule="exact"/>
              <w:rPr>
                <w:sz w:val="20"/>
                <w:szCs w:val="20"/>
                <w:color w:val="auto"/>
              </w:rPr>
            </w:pPr>
            <w:r>
              <w:rPr>
                <w:rFonts w:ascii="Arial" w:cs="Arial" w:eastAsia="Arial" w:hAnsi="Arial"/>
                <w:sz w:val="16"/>
                <w:szCs w:val="16"/>
                <w:color w:val="auto"/>
              </w:rPr>
              <w:t>strategy and appropriate volume growth aligned with</w:t>
            </w:r>
          </w:p>
        </w:tc>
        <w:tc>
          <w:tcPr>
            <w:tcW w:w="0" w:type="dxa"/>
            <w:vAlign w:val="bottom"/>
          </w:tcPr>
          <w:p>
            <w:pPr>
              <w:spacing w:after="0"/>
              <w:rPr>
                <w:sz w:val="1"/>
                <w:szCs w:val="1"/>
                <w:color w:val="auto"/>
              </w:rPr>
            </w:pPr>
          </w:p>
        </w:tc>
      </w:tr>
      <w:tr>
        <w:trPr>
          <w:trHeight w:val="180"/>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280"/>
              <w:spacing w:after="0" w:line="180" w:lineRule="exact"/>
              <w:rPr>
                <w:sz w:val="20"/>
                <w:szCs w:val="20"/>
                <w:color w:val="auto"/>
              </w:rPr>
            </w:pPr>
            <w:r>
              <w:rPr>
                <w:rFonts w:ascii="Arial" w:cs="Arial" w:eastAsia="Arial" w:hAnsi="Arial"/>
                <w:sz w:val="16"/>
                <w:szCs w:val="16"/>
                <w:color w:val="auto"/>
              </w:rPr>
              <w:t>strategic growth goals (weighted 25%).</w:t>
            </w:r>
          </w:p>
        </w:tc>
        <w:tc>
          <w:tcPr>
            <w:tcW w:w="0" w:type="dxa"/>
            <w:vAlign w:val="bottom"/>
          </w:tcPr>
          <w:p>
            <w:pPr>
              <w:spacing w:after="0"/>
              <w:rPr>
                <w:sz w:val="1"/>
                <w:szCs w:val="1"/>
                <w:color w:val="auto"/>
              </w:rPr>
            </w:pPr>
          </w:p>
        </w:tc>
      </w:tr>
      <w:tr>
        <w:trPr>
          <w:trHeight w:val="298"/>
        </w:trPr>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auto"/>
              </w:rPr>
              <w:t>Payouts of cash incentives based on the performance</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w w:val="96"/>
              </w:rPr>
              <w:t>measures above can be increased or decreased by up to 10%,</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w w:val="98"/>
              </w:rPr>
              <w:t>depending on achievement calculated using the sustainability</w:t>
            </w:r>
          </w:p>
        </w:tc>
        <w:tc>
          <w:tcPr>
            <w:tcW w:w="0" w:type="dxa"/>
            <w:vAlign w:val="bottom"/>
          </w:tcPr>
          <w:p>
            <w:pPr>
              <w:spacing w:after="0"/>
              <w:rPr>
                <w:sz w:val="1"/>
                <w:szCs w:val="1"/>
                <w:color w:val="auto"/>
              </w:rPr>
            </w:pPr>
          </w:p>
        </w:tc>
      </w:tr>
      <w:tr>
        <w:trPr>
          <w:trHeight w:val="180"/>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120"/>
              <w:spacing w:after="0" w:line="180" w:lineRule="exact"/>
              <w:rPr>
                <w:sz w:val="20"/>
                <w:szCs w:val="20"/>
                <w:color w:val="auto"/>
              </w:rPr>
            </w:pPr>
            <w:r>
              <w:rPr>
                <w:rFonts w:ascii="Arial" w:cs="Arial" w:eastAsia="Arial" w:hAnsi="Arial"/>
                <w:sz w:val="16"/>
                <w:szCs w:val="16"/>
                <w:color w:val="auto"/>
              </w:rPr>
              <w:t>scorecard.</w:t>
            </w:r>
          </w:p>
        </w:tc>
        <w:tc>
          <w:tcPr>
            <w:tcW w:w="0" w:type="dxa"/>
            <w:vAlign w:val="bottom"/>
          </w:tcPr>
          <w:p>
            <w:pPr>
              <w:spacing w:after="0"/>
              <w:rPr>
                <w:sz w:val="1"/>
                <w:szCs w:val="1"/>
                <w:color w:val="auto"/>
              </w:rPr>
            </w:pPr>
          </w:p>
        </w:tc>
      </w:tr>
      <w:tr>
        <w:trPr>
          <w:trHeight w:val="298"/>
        </w:trPr>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auto"/>
                <w:w w:val="98"/>
              </w:rPr>
              <w:t>The MD&amp;C Committee has discretion to increase or decrease</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w w:val="97"/>
              </w:rPr>
              <w:t>an individual’s cash incentive payment by up to 25% based on</w:t>
            </w:r>
          </w:p>
        </w:tc>
        <w:tc>
          <w:tcPr>
            <w:tcW w:w="0" w:type="dxa"/>
            <w:vAlign w:val="bottom"/>
          </w:tcPr>
          <w:p>
            <w:pPr>
              <w:spacing w:after="0"/>
              <w:rPr>
                <w:sz w:val="1"/>
                <w:szCs w:val="1"/>
                <w:color w:val="auto"/>
              </w:rPr>
            </w:pPr>
          </w:p>
        </w:tc>
      </w:tr>
      <w:tr>
        <w:trPr>
          <w:trHeight w:val="180"/>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120"/>
              <w:spacing w:after="0" w:line="180" w:lineRule="exact"/>
              <w:rPr>
                <w:sz w:val="20"/>
                <w:szCs w:val="20"/>
                <w:color w:val="auto"/>
              </w:rPr>
            </w:pPr>
            <w:r>
              <w:rPr>
                <w:rFonts w:ascii="Arial" w:cs="Arial" w:eastAsia="Arial" w:hAnsi="Arial"/>
                <w:sz w:val="16"/>
                <w:szCs w:val="16"/>
                <w:color w:val="auto"/>
              </w:rPr>
              <w:t>individual performance.</w:t>
            </w:r>
          </w:p>
        </w:tc>
        <w:tc>
          <w:tcPr>
            <w:tcW w:w="0" w:type="dxa"/>
            <w:vAlign w:val="bottom"/>
          </w:tcPr>
          <w:p>
            <w:pPr>
              <w:spacing w:after="0"/>
              <w:rPr>
                <w:sz w:val="1"/>
                <w:szCs w:val="1"/>
                <w:color w:val="auto"/>
              </w:rPr>
            </w:pPr>
          </w:p>
        </w:tc>
      </w:tr>
      <w:tr>
        <w:trPr>
          <w:trHeight w:val="25"/>
        </w:trPr>
        <w:tc>
          <w:tcPr>
            <w:tcW w:w="1620" w:type="dxa"/>
            <w:vAlign w:val="bottom"/>
            <w:tcBorders>
              <w:bottom w:val="single" w:sz="8" w:color="0E3C23"/>
            </w:tcBorders>
          </w:tcPr>
          <w:p>
            <w:pPr>
              <w:spacing w:after="0"/>
              <w:rPr>
                <w:sz w:val="2"/>
                <w:szCs w:val="2"/>
                <w:color w:val="auto"/>
              </w:rPr>
            </w:pPr>
          </w:p>
        </w:tc>
        <w:tc>
          <w:tcPr>
            <w:tcW w:w="1620" w:type="dxa"/>
            <w:vAlign w:val="bottom"/>
            <w:tcBorders>
              <w:bottom w:val="single" w:sz="8" w:color="0E3C23"/>
            </w:tcBorders>
          </w:tcPr>
          <w:p>
            <w:pPr>
              <w:spacing w:after="0"/>
              <w:rPr>
                <w:sz w:val="2"/>
                <w:szCs w:val="2"/>
                <w:color w:val="auto"/>
              </w:rPr>
            </w:pPr>
          </w:p>
        </w:tc>
        <w:tc>
          <w:tcPr>
            <w:tcW w:w="2400" w:type="dxa"/>
            <w:vAlign w:val="bottom"/>
            <w:tcBorders>
              <w:bottom w:val="single" w:sz="8" w:color="0E3C23"/>
            </w:tcBorders>
          </w:tcPr>
          <w:p>
            <w:pPr>
              <w:spacing w:after="0"/>
              <w:rPr>
                <w:sz w:val="2"/>
                <w:szCs w:val="2"/>
                <w:color w:val="auto"/>
              </w:rPr>
            </w:pPr>
          </w:p>
        </w:tc>
        <w:tc>
          <w:tcPr>
            <w:tcW w:w="4420" w:type="dxa"/>
            <w:vAlign w:val="bottom"/>
            <w:tcBorders>
              <w:bottom w:val="single" w:sz="8" w:color="0E3C23"/>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1620" w:type="dxa"/>
            <w:vAlign w:val="bottom"/>
          </w:tcPr>
          <w:p>
            <w:pPr>
              <w:ind w:left="60"/>
              <w:spacing w:after="0"/>
              <w:rPr>
                <w:sz w:val="20"/>
                <w:szCs w:val="20"/>
                <w:color w:val="auto"/>
              </w:rPr>
            </w:pPr>
            <w:r>
              <w:rPr>
                <w:rFonts w:ascii="Arial" w:cs="Arial" w:eastAsia="Arial" w:hAnsi="Arial"/>
                <w:sz w:val="16"/>
                <w:szCs w:val="16"/>
                <w:b w:val="1"/>
                <w:bCs w:val="1"/>
                <w:color w:val="auto"/>
              </w:rPr>
              <w:t>Long-Term</w:t>
            </w:r>
          </w:p>
        </w:tc>
        <w:tc>
          <w:tcPr>
            <w:tcW w:w="1620" w:type="dxa"/>
            <w:vAlign w:val="bottom"/>
          </w:tcPr>
          <w:p>
            <w:pPr>
              <w:ind w:left="120"/>
              <w:spacing w:after="0"/>
              <w:rPr>
                <w:sz w:val="20"/>
                <w:szCs w:val="20"/>
                <w:color w:val="auto"/>
              </w:rPr>
            </w:pPr>
            <w:r>
              <w:rPr>
                <w:rFonts w:ascii="Arial" w:cs="Arial" w:eastAsia="Arial" w:hAnsi="Arial"/>
                <w:sz w:val="16"/>
                <w:szCs w:val="16"/>
                <w:color w:val="auto"/>
              </w:rPr>
              <w:t>Performance Share</w:t>
            </w:r>
          </w:p>
        </w:tc>
        <w:tc>
          <w:tcPr>
            <w:tcW w:w="2400" w:type="dxa"/>
            <w:vAlign w:val="bottom"/>
          </w:tcPr>
          <w:p>
            <w:pPr>
              <w:ind w:left="180"/>
              <w:spacing w:after="0"/>
              <w:rPr>
                <w:sz w:val="20"/>
                <w:szCs w:val="20"/>
                <w:color w:val="auto"/>
              </w:rPr>
            </w:pPr>
            <w:r>
              <w:rPr>
                <w:rFonts w:ascii="Arial" w:cs="Arial" w:eastAsia="Arial" w:hAnsi="Arial"/>
                <w:sz w:val="16"/>
                <w:szCs w:val="16"/>
                <w:color w:val="auto"/>
              </w:rPr>
              <w:t>To encourage and reward</w:t>
            </w:r>
          </w:p>
        </w:tc>
        <w:tc>
          <w:tcPr>
            <w:tcW w:w="4420" w:type="dxa"/>
            <w:vAlign w:val="bottom"/>
          </w:tcPr>
          <w:p>
            <w:pPr>
              <w:ind w:left="120"/>
              <w:spacing w:after="0"/>
              <w:rPr>
                <w:sz w:val="20"/>
                <w:szCs w:val="20"/>
                <w:color w:val="auto"/>
              </w:rPr>
            </w:pPr>
            <w:r>
              <w:rPr>
                <w:rFonts w:ascii="Arial" w:cs="Arial" w:eastAsia="Arial" w:hAnsi="Arial"/>
                <w:sz w:val="16"/>
                <w:szCs w:val="16"/>
                <w:color w:val="auto"/>
              </w:rPr>
              <w:t>Number of shares delivered range from zero to 200% of the</w:t>
            </w:r>
          </w:p>
        </w:tc>
        <w:tc>
          <w:tcPr>
            <w:tcW w:w="0" w:type="dxa"/>
            <w:vAlign w:val="bottom"/>
          </w:tcPr>
          <w:p>
            <w:pPr>
              <w:spacing w:after="0"/>
              <w:rPr>
                <w:sz w:val="1"/>
                <w:szCs w:val="1"/>
                <w:color w:val="auto"/>
              </w:rPr>
            </w:pPr>
          </w:p>
        </w:tc>
      </w:tr>
      <w:tr>
        <w:trPr>
          <w:trHeight w:val="179"/>
        </w:trPr>
        <w:tc>
          <w:tcPr>
            <w:tcW w:w="1620" w:type="dxa"/>
            <w:vAlign w:val="bottom"/>
          </w:tcPr>
          <w:p>
            <w:pPr>
              <w:ind w:left="60"/>
              <w:spacing w:after="0" w:line="179" w:lineRule="exact"/>
              <w:rPr>
                <w:sz w:val="20"/>
                <w:szCs w:val="20"/>
                <w:color w:val="auto"/>
              </w:rPr>
            </w:pPr>
            <w:r>
              <w:rPr>
                <w:rFonts w:ascii="Arial" w:cs="Arial" w:eastAsia="Arial" w:hAnsi="Arial"/>
                <w:sz w:val="16"/>
                <w:szCs w:val="16"/>
                <w:b w:val="1"/>
                <w:bCs w:val="1"/>
                <w:color w:val="auto"/>
              </w:rPr>
              <w:t>Performance</w:t>
            </w:r>
          </w:p>
        </w:tc>
        <w:tc>
          <w:tcPr>
            <w:tcW w:w="1620" w:type="dxa"/>
            <w:vAlign w:val="bottom"/>
          </w:tcPr>
          <w:p>
            <w:pPr>
              <w:ind w:left="120"/>
              <w:spacing w:after="0" w:line="179" w:lineRule="exact"/>
              <w:rPr>
                <w:sz w:val="20"/>
                <w:szCs w:val="20"/>
                <w:color w:val="auto"/>
              </w:rPr>
            </w:pPr>
            <w:r>
              <w:rPr>
                <w:rFonts w:ascii="Arial" w:cs="Arial" w:eastAsia="Arial" w:hAnsi="Arial"/>
                <w:sz w:val="16"/>
                <w:szCs w:val="16"/>
                <w:color w:val="auto"/>
              </w:rPr>
              <w:t>Units</w:t>
            </w:r>
          </w:p>
        </w:tc>
        <w:tc>
          <w:tcPr>
            <w:tcW w:w="2400" w:type="dxa"/>
            <w:vAlign w:val="bottom"/>
          </w:tcPr>
          <w:p>
            <w:pPr>
              <w:ind w:left="180"/>
              <w:spacing w:after="0" w:line="179" w:lineRule="exact"/>
              <w:rPr>
                <w:sz w:val="20"/>
                <w:szCs w:val="20"/>
                <w:color w:val="auto"/>
              </w:rPr>
            </w:pPr>
            <w:r>
              <w:rPr>
                <w:rFonts w:ascii="Arial" w:cs="Arial" w:eastAsia="Arial" w:hAnsi="Arial"/>
                <w:sz w:val="16"/>
                <w:szCs w:val="16"/>
                <w:color w:val="auto"/>
              </w:rPr>
              <w:t>building long-term stockholder</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initial target grant based on performance over a three-year</w:t>
            </w:r>
          </w:p>
        </w:tc>
        <w:tc>
          <w:tcPr>
            <w:tcW w:w="0" w:type="dxa"/>
            <w:vAlign w:val="bottom"/>
          </w:tcPr>
          <w:p>
            <w:pPr>
              <w:spacing w:after="0"/>
              <w:rPr>
                <w:sz w:val="1"/>
                <w:szCs w:val="1"/>
                <w:color w:val="auto"/>
              </w:rPr>
            </w:pPr>
          </w:p>
        </w:tc>
      </w:tr>
      <w:tr>
        <w:trPr>
          <w:trHeight w:val="181"/>
        </w:trPr>
        <w:tc>
          <w:tcPr>
            <w:tcW w:w="1620" w:type="dxa"/>
            <w:vAlign w:val="bottom"/>
          </w:tcPr>
          <w:p>
            <w:pPr>
              <w:ind w:left="60"/>
              <w:spacing w:after="0" w:line="181" w:lineRule="exact"/>
              <w:rPr>
                <w:sz w:val="20"/>
                <w:szCs w:val="20"/>
                <w:color w:val="auto"/>
              </w:rPr>
            </w:pPr>
            <w:r>
              <w:rPr>
                <w:rFonts w:ascii="Arial" w:cs="Arial" w:eastAsia="Arial" w:hAnsi="Arial"/>
                <w:sz w:val="16"/>
                <w:szCs w:val="16"/>
                <w:b w:val="1"/>
                <w:bCs w:val="1"/>
                <w:color w:val="auto"/>
              </w:rPr>
              <w:t>Incentives</w:t>
            </w:r>
          </w:p>
        </w:tc>
        <w:tc>
          <w:tcPr>
            <w:tcW w:w="1620" w:type="dxa"/>
            <w:vAlign w:val="bottom"/>
          </w:tcPr>
          <w:p>
            <w:pPr>
              <w:spacing w:after="0"/>
              <w:rPr>
                <w:sz w:val="15"/>
                <w:szCs w:val="15"/>
                <w:color w:val="auto"/>
              </w:rPr>
            </w:pPr>
          </w:p>
        </w:tc>
        <w:tc>
          <w:tcPr>
            <w:tcW w:w="2400" w:type="dxa"/>
            <w:vAlign w:val="bottom"/>
          </w:tcPr>
          <w:p>
            <w:pPr>
              <w:ind w:left="180"/>
              <w:spacing w:after="0" w:line="181" w:lineRule="exact"/>
              <w:rPr>
                <w:sz w:val="20"/>
                <w:szCs w:val="20"/>
                <w:color w:val="auto"/>
              </w:rPr>
            </w:pPr>
            <w:r>
              <w:rPr>
                <w:rFonts w:ascii="Arial" w:cs="Arial" w:eastAsia="Arial" w:hAnsi="Arial"/>
                <w:sz w:val="16"/>
                <w:szCs w:val="16"/>
                <w:color w:val="auto"/>
              </w:rPr>
              <w:t>value through successful</w:t>
            </w:r>
          </w:p>
        </w:tc>
        <w:tc>
          <w:tcPr>
            <w:tcW w:w="4420" w:type="dxa"/>
            <w:vAlign w:val="bottom"/>
          </w:tcPr>
          <w:p>
            <w:pPr>
              <w:ind w:left="120"/>
              <w:spacing w:after="0" w:line="181" w:lineRule="exact"/>
              <w:rPr>
                <w:sz w:val="20"/>
                <w:szCs w:val="20"/>
                <w:color w:val="auto"/>
              </w:rPr>
            </w:pPr>
            <w:r>
              <w:rPr>
                <w:rFonts w:ascii="Arial" w:cs="Arial" w:eastAsia="Arial" w:hAnsi="Arial"/>
                <w:sz w:val="16"/>
                <w:szCs w:val="16"/>
                <w:color w:val="auto"/>
              </w:rPr>
              <w:t>performance period.</w:t>
            </w:r>
          </w:p>
        </w:tc>
        <w:tc>
          <w:tcPr>
            <w:tcW w:w="0" w:type="dxa"/>
            <w:vAlign w:val="bottom"/>
          </w:tcPr>
          <w:p>
            <w:pPr>
              <w:spacing w:after="0"/>
              <w:rPr>
                <w:sz w:val="1"/>
                <w:szCs w:val="1"/>
                <w:color w:val="auto"/>
              </w:rPr>
            </w:pPr>
          </w:p>
        </w:tc>
      </w:tr>
      <w:tr>
        <w:trPr>
          <w:trHeight w:val="180"/>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ind w:left="180"/>
              <w:spacing w:after="0" w:line="180" w:lineRule="exact"/>
              <w:rPr>
                <w:sz w:val="20"/>
                <w:szCs w:val="20"/>
                <w:color w:val="auto"/>
              </w:rPr>
            </w:pPr>
            <w:r>
              <w:rPr>
                <w:rFonts w:ascii="Arial" w:cs="Arial" w:eastAsia="Arial" w:hAnsi="Arial"/>
                <w:sz w:val="16"/>
                <w:szCs w:val="16"/>
                <w:color w:val="auto"/>
              </w:rPr>
              <w:t>strategy execution;</w:t>
            </w:r>
          </w:p>
        </w:tc>
        <w:tc>
          <w:tcPr>
            <w:tcW w:w="4420" w:type="dxa"/>
            <w:vAlign w:val="bottom"/>
            <w:vMerge w:val="restart"/>
          </w:tcPr>
          <w:p>
            <w:pPr>
              <w:ind w:left="120"/>
              <w:spacing w:after="0"/>
              <w:rPr>
                <w:sz w:val="20"/>
                <w:szCs w:val="20"/>
                <w:color w:val="auto"/>
              </w:rPr>
            </w:pPr>
            <w:r>
              <w:rPr>
                <w:rFonts w:ascii="Arial" w:cs="Arial" w:eastAsia="Arial" w:hAnsi="Arial"/>
                <w:sz w:val="16"/>
                <w:szCs w:val="16"/>
                <w:color w:val="auto"/>
              </w:rPr>
              <w:t>Payout on half of each executive’s PSUs granted in 2024 is</w:t>
            </w:r>
          </w:p>
        </w:tc>
        <w:tc>
          <w:tcPr>
            <w:tcW w:w="0" w:type="dxa"/>
            <w:vAlign w:val="bottom"/>
          </w:tcPr>
          <w:p>
            <w:pPr>
              <w:spacing w:after="0"/>
              <w:rPr>
                <w:sz w:val="1"/>
                <w:szCs w:val="1"/>
                <w:color w:val="auto"/>
              </w:rPr>
            </w:pPr>
          </w:p>
        </w:tc>
      </w:tr>
      <w:tr>
        <w:trPr>
          <w:trHeight w:val="119"/>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vMerge w:val="restart"/>
          </w:tcPr>
          <w:p>
            <w:pPr>
              <w:ind w:left="180"/>
              <w:spacing w:after="0"/>
              <w:rPr>
                <w:sz w:val="20"/>
                <w:szCs w:val="20"/>
                <w:color w:val="auto"/>
              </w:rPr>
            </w:pPr>
            <w:r>
              <w:rPr>
                <w:rFonts w:ascii="Arial" w:cs="Arial" w:eastAsia="Arial" w:hAnsi="Arial"/>
                <w:sz w:val="16"/>
                <w:szCs w:val="16"/>
                <w:color w:val="auto"/>
              </w:rPr>
              <w:t>To retain executives; and</w:t>
            </w: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w w:val="99"/>
              </w:rPr>
              <w:t>dependent on cash flow generation, defined as net cash flow</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vMerge w:val="restart"/>
          </w:tcPr>
          <w:p>
            <w:pPr>
              <w:ind w:left="180"/>
              <w:spacing w:after="0"/>
              <w:rPr>
                <w:sz w:val="20"/>
                <w:szCs w:val="20"/>
                <w:color w:val="auto"/>
              </w:rPr>
            </w:pPr>
            <w:r>
              <w:rPr>
                <w:rFonts w:ascii="Arial" w:cs="Arial" w:eastAsia="Arial" w:hAnsi="Arial"/>
                <w:sz w:val="16"/>
                <w:szCs w:val="16"/>
                <w:color w:val="auto"/>
              </w:rPr>
              <w:t>To increase stockholder</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provided by operating activities, less capital expenditures,</w:t>
            </w:r>
          </w:p>
        </w:tc>
        <w:tc>
          <w:tcPr>
            <w:tcW w:w="0" w:type="dxa"/>
            <w:vAlign w:val="bottom"/>
          </w:tcPr>
          <w:p>
            <w:pPr>
              <w:spacing w:after="0"/>
              <w:rPr>
                <w:sz w:val="1"/>
                <w:szCs w:val="1"/>
                <w:color w:val="auto"/>
              </w:rPr>
            </w:pPr>
          </w:p>
        </w:tc>
      </w:tr>
      <w:tr>
        <w:trPr>
          <w:trHeight w:val="120"/>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4420" w:type="dxa"/>
            <w:vAlign w:val="bottom"/>
            <w:vMerge w:val="restart"/>
          </w:tcPr>
          <w:p>
            <w:pPr>
              <w:ind w:left="120"/>
              <w:spacing w:after="0" w:line="179" w:lineRule="exact"/>
              <w:rPr>
                <w:sz w:val="20"/>
                <w:szCs w:val="20"/>
                <w:color w:val="auto"/>
              </w:rPr>
            </w:pPr>
            <w:r>
              <w:rPr>
                <w:rFonts w:ascii="Arial" w:cs="Arial" w:eastAsia="Arial" w:hAnsi="Arial"/>
                <w:sz w:val="16"/>
                <w:szCs w:val="16"/>
                <w:color w:val="auto"/>
              </w:rPr>
              <w:t>with certain exclusions, which continues our focus on capital</w:t>
            </w:r>
          </w:p>
        </w:tc>
        <w:tc>
          <w:tcPr>
            <w:tcW w:w="0" w:type="dxa"/>
            <w:vAlign w:val="bottom"/>
          </w:tcPr>
          <w:p>
            <w:pPr>
              <w:spacing w:after="0"/>
              <w:rPr>
                <w:sz w:val="1"/>
                <w:szCs w:val="1"/>
                <w:color w:val="auto"/>
              </w:rPr>
            </w:pPr>
          </w:p>
        </w:tc>
      </w:tr>
      <w:tr>
        <w:trPr>
          <w:trHeight w:val="60"/>
        </w:trPr>
        <w:tc>
          <w:tcPr>
            <w:tcW w:w="16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400" w:type="dxa"/>
            <w:vAlign w:val="bottom"/>
            <w:vMerge w:val="restart"/>
          </w:tcPr>
          <w:p>
            <w:pPr>
              <w:ind w:left="180"/>
              <w:spacing w:after="0" w:line="179" w:lineRule="exact"/>
              <w:rPr>
                <w:sz w:val="20"/>
                <w:szCs w:val="20"/>
                <w:color w:val="auto"/>
              </w:rPr>
            </w:pPr>
            <w:r>
              <w:rPr>
                <w:rFonts w:ascii="Arial" w:cs="Arial" w:eastAsia="Arial" w:hAnsi="Arial"/>
                <w:sz w:val="16"/>
                <w:szCs w:val="16"/>
                <w:color w:val="auto"/>
              </w:rPr>
              <w:t>alignment through executives’</w:t>
            </w:r>
          </w:p>
        </w:tc>
        <w:tc>
          <w:tcPr>
            <w:tcW w:w="4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4420" w:type="dxa"/>
            <w:vAlign w:val="bottom"/>
            <w:vMerge w:val="restart"/>
          </w:tcPr>
          <w:p>
            <w:pPr>
              <w:ind w:left="120"/>
              <w:spacing w:after="0" w:line="179" w:lineRule="exact"/>
              <w:rPr>
                <w:sz w:val="20"/>
                <w:szCs w:val="20"/>
                <w:color w:val="auto"/>
              </w:rPr>
            </w:pPr>
            <w:r>
              <w:rPr>
                <w:rFonts w:ascii="Arial" w:cs="Arial" w:eastAsia="Arial" w:hAnsi="Arial"/>
                <w:sz w:val="16"/>
                <w:szCs w:val="16"/>
                <w:color w:val="auto"/>
                <w:w w:val="98"/>
              </w:rPr>
              <w:t>discipline, while also aligning the Company with stockholders’</w:t>
            </w:r>
          </w:p>
        </w:tc>
        <w:tc>
          <w:tcPr>
            <w:tcW w:w="0" w:type="dxa"/>
            <w:vAlign w:val="bottom"/>
          </w:tcPr>
          <w:p>
            <w:pPr>
              <w:spacing w:after="0"/>
              <w:rPr>
                <w:sz w:val="1"/>
                <w:szCs w:val="1"/>
                <w:color w:val="auto"/>
              </w:rPr>
            </w:pPr>
          </w:p>
        </w:tc>
      </w:tr>
      <w:tr>
        <w:trPr>
          <w:trHeight w:val="60"/>
        </w:trPr>
        <w:tc>
          <w:tcPr>
            <w:tcW w:w="16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400" w:type="dxa"/>
            <w:vAlign w:val="bottom"/>
            <w:vMerge w:val="restart"/>
          </w:tcPr>
          <w:p>
            <w:pPr>
              <w:ind w:left="180"/>
              <w:spacing w:after="0" w:line="180" w:lineRule="exact"/>
              <w:rPr>
                <w:sz w:val="20"/>
                <w:szCs w:val="20"/>
                <w:color w:val="auto"/>
              </w:rPr>
            </w:pPr>
            <w:r>
              <w:rPr>
                <w:rFonts w:ascii="Arial" w:cs="Arial" w:eastAsia="Arial" w:hAnsi="Arial"/>
                <w:sz w:val="16"/>
                <w:szCs w:val="16"/>
                <w:color w:val="auto"/>
              </w:rPr>
              <w:t>stock ownership</w:t>
            </w:r>
          </w:p>
        </w:tc>
        <w:tc>
          <w:tcPr>
            <w:tcW w:w="4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4420" w:type="dxa"/>
            <w:vAlign w:val="bottom"/>
            <w:vMerge w:val="restart"/>
          </w:tcPr>
          <w:p>
            <w:pPr>
              <w:ind w:left="120"/>
              <w:spacing w:after="0" w:line="179" w:lineRule="exact"/>
              <w:rPr>
                <w:sz w:val="20"/>
                <w:szCs w:val="20"/>
                <w:color w:val="auto"/>
              </w:rPr>
            </w:pPr>
            <w:r>
              <w:rPr>
                <w:rFonts w:ascii="Arial" w:cs="Arial" w:eastAsia="Arial" w:hAnsi="Arial"/>
                <w:sz w:val="16"/>
                <w:szCs w:val="16"/>
                <w:color w:val="auto"/>
              </w:rPr>
              <w:t>free cash flow expectations. We refer to these as Cash Flow</w:t>
            </w:r>
          </w:p>
        </w:tc>
        <w:tc>
          <w:tcPr>
            <w:tcW w:w="0" w:type="dxa"/>
            <w:vAlign w:val="bottom"/>
          </w:tcPr>
          <w:p>
            <w:pPr>
              <w:spacing w:after="0"/>
              <w:rPr>
                <w:sz w:val="1"/>
                <w:szCs w:val="1"/>
                <w:color w:val="auto"/>
              </w:rPr>
            </w:pPr>
          </w:p>
        </w:tc>
      </w:tr>
      <w:tr>
        <w:trPr>
          <w:trHeight w:val="59"/>
        </w:trPr>
        <w:tc>
          <w:tcPr>
            <w:tcW w:w="16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4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120"/>
              <w:spacing w:after="0" w:line="180" w:lineRule="exact"/>
              <w:rPr>
                <w:sz w:val="20"/>
                <w:szCs w:val="20"/>
                <w:color w:val="auto"/>
              </w:rPr>
            </w:pPr>
            <w:r>
              <w:rPr>
                <w:rFonts w:ascii="Arial" w:cs="Arial" w:eastAsia="Arial" w:hAnsi="Arial"/>
                <w:sz w:val="16"/>
                <w:szCs w:val="16"/>
                <w:color w:val="auto"/>
              </w:rPr>
              <w:t>PSUs.</w:t>
            </w:r>
          </w:p>
        </w:tc>
        <w:tc>
          <w:tcPr>
            <w:tcW w:w="0" w:type="dxa"/>
            <w:vAlign w:val="bottom"/>
          </w:tcPr>
          <w:p>
            <w:pPr>
              <w:spacing w:after="0"/>
              <w:rPr>
                <w:sz w:val="1"/>
                <w:szCs w:val="1"/>
                <w:color w:val="auto"/>
              </w:rPr>
            </w:pPr>
          </w:p>
        </w:tc>
      </w:tr>
      <w:tr>
        <w:trPr>
          <w:trHeight w:val="298"/>
        </w:trPr>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auto"/>
              </w:rPr>
              <w:t>Payout on the remaining half of the PSUs granted in 2024 is</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dependent on total shareholder return relative to other</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companies in the S&amp;P 500 over the three-year performance</w:t>
            </w:r>
          </w:p>
        </w:tc>
        <w:tc>
          <w:tcPr>
            <w:tcW w:w="0" w:type="dxa"/>
            <w:vAlign w:val="bottom"/>
          </w:tcPr>
          <w:p>
            <w:pPr>
              <w:spacing w:after="0"/>
              <w:rPr>
                <w:sz w:val="1"/>
                <w:szCs w:val="1"/>
                <w:color w:val="auto"/>
              </w:rPr>
            </w:pPr>
          </w:p>
        </w:tc>
      </w:tr>
      <w:tr>
        <w:trPr>
          <w:trHeight w:val="180"/>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120"/>
              <w:spacing w:after="0" w:line="180" w:lineRule="exact"/>
              <w:rPr>
                <w:sz w:val="20"/>
                <w:szCs w:val="20"/>
                <w:color w:val="auto"/>
              </w:rPr>
            </w:pPr>
            <w:r>
              <w:rPr>
                <w:rFonts w:ascii="Arial" w:cs="Arial" w:eastAsia="Arial" w:hAnsi="Arial"/>
                <w:sz w:val="16"/>
                <w:szCs w:val="16"/>
                <w:color w:val="auto"/>
              </w:rPr>
              <w:t>period. We refer to these as TSR PSUs.</w:t>
            </w:r>
          </w:p>
        </w:tc>
        <w:tc>
          <w:tcPr>
            <w:tcW w:w="0" w:type="dxa"/>
            <w:vAlign w:val="bottom"/>
          </w:tcPr>
          <w:p>
            <w:pPr>
              <w:spacing w:after="0"/>
              <w:rPr>
                <w:sz w:val="1"/>
                <w:szCs w:val="1"/>
                <w:color w:val="auto"/>
              </w:rPr>
            </w:pPr>
          </w:p>
        </w:tc>
      </w:tr>
      <w:tr>
        <w:trPr>
          <w:trHeight w:val="298"/>
        </w:trPr>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auto"/>
                <w:w w:val="97"/>
              </w:rPr>
              <w:t>PSUs earn dividend equivalents that are paid at the end of the</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performance period based on the number of shares earned.</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w w:val="97"/>
              </w:rPr>
              <w:t>Recipients can defer the receipt of shares, in which case such</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w w:val="99"/>
              </w:rPr>
              <w:t>shares of Common Stock will be paid out, without interest, at</w:t>
            </w:r>
          </w:p>
        </w:tc>
        <w:tc>
          <w:tcPr>
            <w:tcW w:w="0" w:type="dxa"/>
            <w:vAlign w:val="bottom"/>
          </w:tcPr>
          <w:p>
            <w:pPr>
              <w:spacing w:after="0"/>
              <w:rPr>
                <w:sz w:val="1"/>
                <w:szCs w:val="1"/>
                <w:color w:val="auto"/>
              </w:rPr>
            </w:pPr>
          </w:p>
        </w:tc>
      </w:tr>
      <w:tr>
        <w:trPr>
          <w:trHeight w:val="180"/>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20" w:type="dxa"/>
            <w:vAlign w:val="bottom"/>
          </w:tcPr>
          <w:p>
            <w:pPr>
              <w:ind w:left="120"/>
              <w:spacing w:after="0" w:line="180" w:lineRule="exact"/>
              <w:rPr>
                <w:sz w:val="20"/>
                <w:szCs w:val="20"/>
                <w:color w:val="auto"/>
              </w:rPr>
            </w:pPr>
            <w:r>
              <w:rPr>
                <w:rFonts w:ascii="Arial" w:cs="Arial" w:eastAsia="Arial" w:hAnsi="Arial"/>
                <w:sz w:val="16"/>
                <w:szCs w:val="16"/>
                <w:color w:val="auto"/>
              </w:rPr>
              <w:t>the end of the deferral period.</w:t>
            </w:r>
          </w:p>
        </w:tc>
        <w:tc>
          <w:tcPr>
            <w:tcW w:w="0" w:type="dxa"/>
            <w:vAlign w:val="bottom"/>
          </w:tcPr>
          <w:p>
            <w:pPr>
              <w:spacing w:after="0"/>
              <w:rPr>
                <w:sz w:val="1"/>
                <w:szCs w:val="1"/>
                <w:color w:val="auto"/>
              </w:rPr>
            </w:pPr>
          </w:p>
        </w:tc>
      </w:tr>
      <w:tr>
        <w:trPr>
          <w:trHeight w:val="25"/>
        </w:trPr>
        <w:tc>
          <w:tcPr>
            <w:tcW w:w="1620" w:type="dxa"/>
            <w:vAlign w:val="bottom"/>
          </w:tcPr>
          <w:p>
            <w:pPr>
              <w:spacing w:after="0"/>
              <w:rPr>
                <w:sz w:val="2"/>
                <w:szCs w:val="2"/>
                <w:color w:val="auto"/>
              </w:rPr>
            </w:pPr>
          </w:p>
        </w:tc>
        <w:tc>
          <w:tcPr>
            <w:tcW w:w="1620" w:type="dxa"/>
            <w:vAlign w:val="bottom"/>
            <w:tcBorders>
              <w:bottom w:val="single" w:sz="8" w:color="0E3C23"/>
            </w:tcBorders>
          </w:tcPr>
          <w:p>
            <w:pPr>
              <w:spacing w:after="0"/>
              <w:rPr>
                <w:sz w:val="2"/>
                <w:szCs w:val="2"/>
                <w:color w:val="auto"/>
              </w:rPr>
            </w:pPr>
          </w:p>
        </w:tc>
        <w:tc>
          <w:tcPr>
            <w:tcW w:w="2400" w:type="dxa"/>
            <w:vAlign w:val="bottom"/>
            <w:tcBorders>
              <w:bottom w:val="single" w:sz="8" w:color="0E3C23"/>
            </w:tcBorders>
          </w:tcPr>
          <w:p>
            <w:pPr>
              <w:spacing w:after="0"/>
              <w:rPr>
                <w:sz w:val="2"/>
                <w:szCs w:val="2"/>
                <w:color w:val="auto"/>
              </w:rPr>
            </w:pPr>
          </w:p>
        </w:tc>
        <w:tc>
          <w:tcPr>
            <w:tcW w:w="4420" w:type="dxa"/>
            <w:vAlign w:val="bottom"/>
            <w:tcBorders>
              <w:bottom w:val="single" w:sz="8" w:color="0E3C23"/>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620" w:type="dxa"/>
            <w:vAlign w:val="bottom"/>
          </w:tcPr>
          <w:p>
            <w:pPr>
              <w:ind w:left="120"/>
              <w:spacing w:after="0"/>
              <w:rPr>
                <w:sz w:val="20"/>
                <w:szCs w:val="20"/>
                <w:color w:val="auto"/>
              </w:rPr>
            </w:pPr>
            <w:r>
              <w:rPr>
                <w:rFonts w:ascii="Arial" w:cs="Arial" w:eastAsia="Arial" w:hAnsi="Arial"/>
                <w:sz w:val="16"/>
                <w:szCs w:val="16"/>
                <w:color w:val="auto"/>
              </w:rPr>
              <w:t>Stock Options</w:t>
            </w:r>
          </w:p>
        </w:tc>
        <w:tc>
          <w:tcPr>
            <w:tcW w:w="2400" w:type="dxa"/>
            <w:vAlign w:val="bottom"/>
          </w:tcPr>
          <w:p>
            <w:pPr>
              <w:ind w:left="180"/>
              <w:spacing w:after="0"/>
              <w:rPr>
                <w:sz w:val="20"/>
                <w:szCs w:val="20"/>
                <w:color w:val="auto"/>
              </w:rPr>
            </w:pPr>
            <w:r>
              <w:rPr>
                <w:rFonts w:ascii="Arial" w:cs="Arial" w:eastAsia="Arial" w:hAnsi="Arial"/>
                <w:sz w:val="16"/>
                <w:szCs w:val="16"/>
                <w:color w:val="auto"/>
              </w:rPr>
              <w:t>To support the growth element</w:t>
            </w:r>
          </w:p>
        </w:tc>
        <w:tc>
          <w:tcPr>
            <w:tcW w:w="4420" w:type="dxa"/>
            <w:vAlign w:val="bottom"/>
          </w:tcPr>
          <w:p>
            <w:pPr>
              <w:ind w:left="120"/>
              <w:spacing w:after="0"/>
              <w:rPr>
                <w:sz w:val="20"/>
                <w:szCs w:val="20"/>
                <w:color w:val="auto"/>
              </w:rPr>
            </w:pPr>
            <w:r>
              <w:rPr>
                <w:rFonts w:ascii="Arial" w:cs="Arial" w:eastAsia="Arial" w:hAnsi="Arial"/>
                <w:sz w:val="16"/>
                <w:szCs w:val="16"/>
                <w:color w:val="auto"/>
              </w:rPr>
              <w:t>Stock options granted in 2024 vest ratably in three annual</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ind w:left="180"/>
              <w:spacing w:after="0" w:line="179" w:lineRule="exact"/>
              <w:rPr>
                <w:sz w:val="20"/>
                <w:szCs w:val="20"/>
                <w:color w:val="auto"/>
              </w:rPr>
            </w:pPr>
            <w:r>
              <w:rPr>
                <w:rFonts w:ascii="Arial" w:cs="Arial" w:eastAsia="Arial" w:hAnsi="Arial"/>
                <w:sz w:val="16"/>
                <w:szCs w:val="16"/>
                <w:color w:val="auto"/>
              </w:rPr>
              <w:t>of the Company’s strategy and</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increments, beginning on the first anniversary of the date of</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ind w:left="180"/>
              <w:spacing w:after="0" w:line="179" w:lineRule="exact"/>
              <w:rPr>
                <w:sz w:val="20"/>
                <w:szCs w:val="20"/>
                <w:color w:val="auto"/>
              </w:rPr>
            </w:pPr>
            <w:r>
              <w:rPr>
                <w:rFonts w:ascii="Arial" w:cs="Arial" w:eastAsia="Arial" w:hAnsi="Arial"/>
                <w:sz w:val="16"/>
                <w:szCs w:val="16"/>
                <w:color w:val="auto"/>
              </w:rPr>
              <w:t>encourage and reward stock</w:t>
            </w:r>
          </w:p>
        </w:tc>
        <w:tc>
          <w:tcPr>
            <w:tcW w:w="4420" w:type="dxa"/>
            <w:vAlign w:val="bottom"/>
          </w:tcPr>
          <w:p>
            <w:pPr>
              <w:ind w:left="120"/>
              <w:spacing w:after="0" w:line="179" w:lineRule="exact"/>
              <w:rPr>
                <w:sz w:val="20"/>
                <w:szCs w:val="20"/>
                <w:color w:val="auto"/>
              </w:rPr>
            </w:pPr>
            <w:r>
              <w:rPr>
                <w:rFonts w:ascii="Arial" w:cs="Arial" w:eastAsia="Arial" w:hAnsi="Arial"/>
                <w:sz w:val="16"/>
                <w:szCs w:val="16"/>
                <w:color w:val="auto"/>
              </w:rPr>
              <w:t>grant.</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ind w:left="180"/>
              <w:spacing w:after="0" w:line="179" w:lineRule="exact"/>
              <w:rPr>
                <w:sz w:val="20"/>
                <w:szCs w:val="20"/>
                <w:color w:val="auto"/>
              </w:rPr>
            </w:pPr>
            <w:r>
              <w:rPr>
                <w:rFonts w:ascii="Arial" w:cs="Arial" w:eastAsia="Arial" w:hAnsi="Arial"/>
                <w:sz w:val="16"/>
                <w:szCs w:val="16"/>
                <w:color w:val="auto"/>
              </w:rPr>
              <w:t>price appreciation over the</w:t>
            </w:r>
          </w:p>
        </w:tc>
        <w:tc>
          <w:tcPr>
            <w:tcW w:w="4420" w:type="dxa"/>
            <w:vAlign w:val="bottom"/>
            <w:vMerge w:val="restart"/>
          </w:tcPr>
          <w:p>
            <w:pPr>
              <w:ind w:left="120"/>
              <w:spacing w:after="0"/>
              <w:rPr>
                <w:sz w:val="20"/>
                <w:szCs w:val="20"/>
                <w:color w:val="auto"/>
              </w:rPr>
            </w:pPr>
            <w:r>
              <w:rPr>
                <w:rFonts w:ascii="Arial" w:cs="Arial" w:eastAsia="Arial" w:hAnsi="Arial"/>
                <w:sz w:val="16"/>
                <w:szCs w:val="16"/>
                <w:color w:val="auto"/>
              </w:rPr>
              <w:t>The option exercise price is the average of the high and low</w:t>
            </w:r>
          </w:p>
        </w:tc>
        <w:tc>
          <w:tcPr>
            <w:tcW w:w="0" w:type="dxa"/>
            <w:vAlign w:val="bottom"/>
          </w:tcPr>
          <w:p>
            <w:pPr>
              <w:spacing w:after="0"/>
              <w:rPr>
                <w:sz w:val="1"/>
                <w:szCs w:val="1"/>
                <w:color w:val="auto"/>
              </w:rPr>
            </w:pPr>
          </w:p>
        </w:tc>
      </w:tr>
      <w:tr>
        <w:trPr>
          <w:trHeight w:val="120"/>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vMerge w:val="restart"/>
          </w:tcPr>
          <w:p>
            <w:pPr>
              <w:ind w:left="180"/>
              <w:spacing w:after="0" w:line="180" w:lineRule="exact"/>
              <w:rPr>
                <w:sz w:val="20"/>
                <w:szCs w:val="20"/>
                <w:color w:val="auto"/>
              </w:rPr>
            </w:pPr>
            <w:r>
              <w:rPr>
                <w:rFonts w:ascii="Arial" w:cs="Arial" w:eastAsia="Arial" w:hAnsi="Arial"/>
                <w:sz w:val="16"/>
                <w:szCs w:val="16"/>
                <w:color w:val="auto"/>
              </w:rPr>
              <w:t>long-term;</w:t>
            </w: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16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400" w:type="dxa"/>
            <w:vAlign w:val="bottom"/>
            <w:vMerge w:val="continue"/>
          </w:tcPr>
          <w:p>
            <w:pPr>
              <w:spacing w:after="0"/>
              <w:rPr>
                <w:sz w:val="5"/>
                <w:szCs w:val="5"/>
                <w:color w:val="auto"/>
              </w:rPr>
            </w:pPr>
          </w:p>
        </w:tc>
        <w:tc>
          <w:tcPr>
            <w:tcW w:w="4420" w:type="dxa"/>
            <w:vAlign w:val="bottom"/>
            <w:vMerge w:val="restart"/>
          </w:tcPr>
          <w:p>
            <w:pPr>
              <w:ind w:left="120"/>
              <w:spacing w:after="0" w:line="180" w:lineRule="exact"/>
              <w:rPr>
                <w:sz w:val="20"/>
                <w:szCs w:val="20"/>
                <w:color w:val="auto"/>
              </w:rPr>
            </w:pPr>
            <w:r>
              <w:rPr>
                <w:rFonts w:ascii="Arial" w:cs="Arial" w:eastAsia="Arial" w:hAnsi="Arial"/>
                <w:sz w:val="16"/>
                <w:szCs w:val="16"/>
                <w:color w:val="auto"/>
              </w:rPr>
              <w:t>market price of our Common Stock on the date of grant.</w:t>
            </w:r>
          </w:p>
        </w:tc>
        <w:tc>
          <w:tcPr>
            <w:tcW w:w="0" w:type="dxa"/>
            <w:vAlign w:val="bottom"/>
          </w:tcPr>
          <w:p>
            <w:pPr>
              <w:spacing w:after="0"/>
              <w:rPr>
                <w:sz w:val="1"/>
                <w:szCs w:val="1"/>
                <w:color w:val="auto"/>
              </w:rPr>
            </w:pPr>
          </w:p>
        </w:tc>
      </w:tr>
      <w:tr>
        <w:trPr>
          <w:trHeight w:val="120"/>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vMerge w:val="restart"/>
          </w:tcPr>
          <w:p>
            <w:pPr>
              <w:ind w:left="180"/>
              <w:spacing w:after="0"/>
              <w:rPr>
                <w:sz w:val="20"/>
                <w:szCs w:val="20"/>
                <w:color w:val="auto"/>
              </w:rPr>
            </w:pPr>
            <w:r>
              <w:rPr>
                <w:rFonts w:ascii="Arial" w:cs="Arial" w:eastAsia="Arial" w:hAnsi="Arial"/>
                <w:sz w:val="16"/>
                <w:szCs w:val="16"/>
                <w:color w:val="auto"/>
              </w:rPr>
              <w:t>To retain executives; and</w:t>
            </w: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4420" w:type="dxa"/>
            <w:vAlign w:val="bottom"/>
            <w:vMerge w:val="restart"/>
          </w:tcPr>
          <w:p>
            <w:pPr>
              <w:ind w:left="120"/>
              <w:spacing w:after="0"/>
              <w:rPr>
                <w:sz w:val="20"/>
                <w:szCs w:val="20"/>
                <w:color w:val="auto"/>
              </w:rPr>
            </w:pPr>
            <w:r>
              <w:rPr>
                <w:rFonts w:ascii="Arial" w:cs="Arial" w:eastAsia="Arial" w:hAnsi="Arial"/>
                <w:sz w:val="16"/>
                <w:szCs w:val="16"/>
                <w:color w:val="auto"/>
              </w:rPr>
              <w:t>Stock options have a term of 10 years.</w:t>
            </w:r>
          </w:p>
        </w:tc>
        <w:tc>
          <w:tcPr>
            <w:tcW w:w="0" w:type="dxa"/>
            <w:vAlign w:val="bottom"/>
          </w:tcPr>
          <w:p>
            <w:pPr>
              <w:spacing w:after="0"/>
              <w:rPr>
                <w:sz w:val="1"/>
                <w:szCs w:val="1"/>
                <w:color w:val="auto"/>
              </w:rPr>
            </w:pPr>
          </w:p>
        </w:tc>
      </w:tr>
      <w:tr>
        <w:trPr>
          <w:trHeight w:val="120"/>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vMerge w:val="restart"/>
          </w:tcPr>
          <w:p>
            <w:pPr>
              <w:ind w:left="180"/>
              <w:spacing w:after="0"/>
              <w:rPr>
                <w:sz w:val="20"/>
                <w:szCs w:val="20"/>
                <w:color w:val="auto"/>
              </w:rPr>
            </w:pPr>
            <w:r>
              <w:rPr>
                <w:rFonts w:ascii="Arial" w:cs="Arial" w:eastAsia="Arial" w:hAnsi="Arial"/>
                <w:sz w:val="16"/>
                <w:szCs w:val="16"/>
                <w:color w:val="auto"/>
              </w:rPr>
              <w:t>To increase stockholder</w:t>
            </w: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4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ind w:left="180"/>
              <w:spacing w:after="0" w:line="179" w:lineRule="exact"/>
              <w:rPr>
                <w:sz w:val="20"/>
                <w:szCs w:val="20"/>
                <w:color w:val="auto"/>
              </w:rPr>
            </w:pPr>
            <w:r>
              <w:rPr>
                <w:rFonts w:ascii="Arial" w:cs="Arial" w:eastAsia="Arial" w:hAnsi="Arial"/>
                <w:sz w:val="16"/>
                <w:szCs w:val="16"/>
                <w:color w:val="auto"/>
              </w:rPr>
              <w:t>alignment through executives’</w:t>
            </w:r>
          </w:p>
        </w:tc>
        <w:tc>
          <w:tcPr>
            <w:tcW w:w="4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ind w:left="180"/>
              <w:spacing w:after="0" w:line="180" w:lineRule="exact"/>
              <w:rPr>
                <w:sz w:val="20"/>
                <w:szCs w:val="20"/>
                <w:color w:val="auto"/>
              </w:rPr>
            </w:pPr>
            <w:r>
              <w:rPr>
                <w:rFonts w:ascii="Arial" w:cs="Arial" w:eastAsia="Arial" w:hAnsi="Arial"/>
                <w:sz w:val="16"/>
                <w:szCs w:val="16"/>
                <w:color w:val="auto"/>
              </w:rPr>
              <w:t>stock ownership</w:t>
            </w:r>
          </w:p>
        </w:tc>
        <w:tc>
          <w:tcPr>
            <w:tcW w:w="4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-6708775</wp:posOffset>
                </wp:positionV>
                <wp:extent cx="1026160" cy="765937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26160" cy="7659370"/>
                        </a:xfrm>
                        <a:prstGeom prst="rect">
                          <a:avLst/>
                        </a:prstGeom>
                        <a:solidFill>
                          <a:srgbClr val="E6E6E6"/>
                        </a:solidFill>
                      </wps:spPr>
                      <wps:bodyPr/>
                    </wps:wsp>
                  </a:graphicData>
                </a:graphic>
              </wp:anchor>
            </w:drawing>
          </mc:Choice>
          <mc:Fallback>
            <w:pict>
              <v:rect id="Shape 153" o:spid="_x0000_s1178" style="position:absolute;margin-left:8.9pt;margin-top:-528.2499pt;width:80.8pt;height:60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2204085</wp:posOffset>
                </wp:positionH>
                <wp:positionV relativeFrom="paragraph">
                  <wp:posOffset>-6708775</wp:posOffset>
                </wp:positionV>
                <wp:extent cx="1495425" cy="765937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5425" cy="7659370"/>
                        </a:xfrm>
                        <a:prstGeom prst="rect">
                          <a:avLst/>
                        </a:prstGeom>
                        <a:solidFill>
                          <a:srgbClr val="E6E6E6"/>
                        </a:solidFill>
                      </wps:spPr>
                      <wps:bodyPr/>
                    </wps:wsp>
                  </a:graphicData>
                </a:graphic>
              </wp:anchor>
            </w:drawing>
          </mc:Choice>
          <mc:Fallback>
            <w:pict>
              <v:rect id="Shape 154" o:spid="_x0000_s1179" style="position:absolute;margin-left:173.55pt;margin-top:-528.2499pt;width:117.75pt;height:60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1139190</wp:posOffset>
                </wp:positionH>
                <wp:positionV relativeFrom="paragraph">
                  <wp:posOffset>18415</wp:posOffset>
                </wp:positionV>
                <wp:extent cx="5360035"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0035" cy="4763"/>
                        </a:xfrm>
                        <a:prstGeom prst="line">
                          <a:avLst/>
                        </a:prstGeom>
                        <a:solidFill>
                          <a:srgbClr val="FFFFFF"/>
                        </a:solidFill>
                        <a:ln w="6337">
                          <a:solidFill>
                            <a:srgbClr val="0E3C23"/>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7pt,1.45pt" to="511.75pt,1.45pt" o:allowincell="f" strokecolor="#0E3C23" strokeweight="0.499pt"/>
            </w:pict>
          </mc:Fallback>
        </mc:AlternateContent>
      </w:r>
    </w:p>
    <w:p>
      <w:pPr>
        <w:sectPr>
          <w:pgSz w:w="13320" w:h="16920" w:orient="portrait"/>
          <w:cols w:equalWidth="0" w:num="1">
            <w:col w:w="10440"/>
          </w:cols>
          <w:pgMar w:left="1440" w:top="1232" w:right="1440" w:bottom="1036" w:gutter="0" w:footer="0" w:header="0"/>
        </w:sectPr>
      </w:pPr>
    </w:p>
    <w:p>
      <w:pPr>
        <w:spacing w:after="0" w:line="57" w:lineRule="exact"/>
        <w:rPr>
          <w:sz w:val="20"/>
          <w:szCs w:val="20"/>
          <w:color w:val="auto"/>
        </w:rPr>
      </w:pPr>
    </w:p>
    <w:p>
      <w:pPr>
        <w:ind w:left="1920"/>
        <w:spacing w:after="0"/>
        <w:tabs>
          <w:tab w:leader="none" w:pos="3580" w:val="left"/>
        </w:tabs>
        <w:rPr>
          <w:sz w:val="20"/>
          <w:szCs w:val="20"/>
          <w:color w:val="auto"/>
        </w:rPr>
      </w:pPr>
      <w:r>
        <w:rPr>
          <w:rFonts w:ascii="Arial" w:cs="Arial" w:eastAsia="Arial" w:hAnsi="Arial"/>
          <w:sz w:val="16"/>
          <w:szCs w:val="16"/>
          <w:color w:val="auto"/>
        </w:rPr>
        <w:t>Restricted Stock</w:t>
      </w:r>
      <w:r>
        <w:rPr>
          <w:sz w:val="20"/>
          <w:szCs w:val="20"/>
          <w:color w:val="auto"/>
        </w:rPr>
        <w:tab/>
      </w:r>
      <w:r>
        <w:rPr>
          <w:rFonts w:ascii="Arial" w:cs="Arial" w:eastAsia="Arial" w:hAnsi="Arial"/>
          <w:sz w:val="14"/>
          <w:szCs w:val="14"/>
          <w:color w:val="auto"/>
        </w:rPr>
        <w:t>Used on a limited basis (e.g.</w:t>
      </w:r>
    </w:p>
    <w:p>
      <w:pPr>
        <w:ind w:left="1920"/>
        <w:spacing w:after="0"/>
        <w:tabs>
          <w:tab w:leader="none" w:pos="3580" w:val="left"/>
        </w:tabs>
        <w:rPr>
          <w:sz w:val="20"/>
          <w:szCs w:val="20"/>
          <w:color w:val="auto"/>
        </w:rPr>
      </w:pPr>
      <w:r>
        <w:rPr>
          <w:rFonts w:ascii="Arial" w:cs="Arial" w:eastAsia="Arial" w:hAnsi="Arial"/>
          <w:sz w:val="16"/>
          <w:szCs w:val="16"/>
          <w:color w:val="auto"/>
        </w:rPr>
        <w:t>Units (“RSUs”)</w:t>
      </w:r>
      <w:r>
        <w:rPr>
          <w:sz w:val="20"/>
          <w:szCs w:val="20"/>
          <w:color w:val="auto"/>
        </w:rPr>
        <w:tab/>
      </w:r>
      <w:r>
        <w:rPr>
          <w:rFonts w:ascii="Arial" w:cs="Arial" w:eastAsia="Arial" w:hAnsi="Arial"/>
          <w:sz w:val="15"/>
          <w:szCs w:val="15"/>
          <w:color w:val="auto"/>
        </w:rPr>
        <w:t>promotion, new hire, special</w:t>
      </w:r>
    </w:p>
    <w:p>
      <w:pPr>
        <w:spacing w:after="0" w:line="1" w:lineRule="exact"/>
        <w:rPr>
          <w:sz w:val="20"/>
          <w:szCs w:val="20"/>
          <w:color w:val="auto"/>
        </w:rPr>
      </w:pPr>
    </w:p>
    <w:p>
      <w:pPr>
        <w:ind w:left="3600"/>
        <w:spacing w:after="0"/>
        <w:rPr>
          <w:sz w:val="20"/>
          <w:szCs w:val="20"/>
          <w:color w:val="auto"/>
        </w:rPr>
      </w:pPr>
      <w:r>
        <w:rPr>
          <w:rFonts w:ascii="Arial" w:cs="Arial" w:eastAsia="Arial" w:hAnsi="Arial"/>
          <w:sz w:val="15"/>
          <w:szCs w:val="15"/>
          <w:color w:val="auto"/>
        </w:rPr>
        <w:t>recognition) to make awards</w:t>
      </w:r>
    </w:p>
    <w:p>
      <w:pPr>
        <w:spacing w:after="0" w:line="2"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that encourage and reward</w:t>
      </w:r>
    </w:p>
    <w:p>
      <w:pPr>
        <w:ind w:left="3600"/>
        <w:spacing w:after="0"/>
        <w:rPr>
          <w:sz w:val="20"/>
          <w:szCs w:val="20"/>
          <w:color w:val="auto"/>
        </w:rPr>
      </w:pPr>
      <w:r>
        <w:rPr>
          <w:rFonts w:ascii="Arial" w:cs="Arial" w:eastAsia="Arial" w:hAnsi="Arial"/>
          <w:sz w:val="15"/>
          <w:szCs w:val="15"/>
          <w:color w:val="auto"/>
        </w:rPr>
        <w:t>long-term performance and</w:t>
      </w:r>
    </w:p>
    <w:p>
      <w:pPr>
        <w:spacing w:after="0" w:line="2"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increase alignment with</w:t>
      </w:r>
    </w:p>
    <w:p>
      <w:pPr>
        <w:ind w:left="3600"/>
        <w:spacing w:after="0" w:line="234" w:lineRule="auto"/>
        <w:rPr>
          <w:sz w:val="20"/>
          <w:szCs w:val="20"/>
          <w:color w:val="auto"/>
        </w:rPr>
      </w:pPr>
      <w:r>
        <w:rPr>
          <w:rFonts w:ascii="Arial" w:cs="Arial" w:eastAsia="Arial" w:hAnsi="Arial"/>
          <w:sz w:val="16"/>
          <w:szCs w:val="16"/>
          <w:color w:val="auto"/>
        </w:rPr>
        <w:t>stockholders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109220</wp:posOffset>
                </wp:positionV>
                <wp:extent cx="638619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0121">
                          <a:solidFill>
                            <a:srgbClr val="0E3C23"/>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pt,8.6pt" to="511.75pt,8.6pt" o:allowincell="f" strokecolor="#0E3C23" strokeweight="0.7969pt"/>
            </w:pict>
          </mc:Fallback>
        </mc:AlternateConten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280"/>
        <w:spacing w:after="0" w:line="254" w:lineRule="auto"/>
        <w:rPr>
          <w:sz w:val="20"/>
          <w:szCs w:val="20"/>
          <w:color w:val="auto"/>
        </w:rPr>
      </w:pPr>
      <w:r>
        <w:rPr>
          <w:rFonts w:ascii="Arial" w:cs="Arial" w:eastAsia="Arial" w:hAnsi="Arial"/>
          <w:sz w:val="15"/>
          <w:szCs w:val="15"/>
          <w:color w:val="auto"/>
        </w:rPr>
        <w:t>RSUs are not routinely an element of executive compensation, but grants are made in certain circumstances, including in recognition of significant promotions and contributions.</w:t>
      </w:r>
    </w:p>
    <w:p>
      <w:pPr>
        <w:spacing w:after="0" w:line="110" w:lineRule="exact"/>
        <w:rPr>
          <w:sz w:val="20"/>
          <w:szCs w:val="20"/>
          <w:color w:val="auto"/>
        </w:rPr>
      </w:pPr>
    </w:p>
    <w:p>
      <w:pPr>
        <w:ind w:right="500"/>
        <w:spacing w:after="0" w:line="252" w:lineRule="auto"/>
        <w:rPr>
          <w:sz w:val="20"/>
          <w:szCs w:val="20"/>
          <w:color w:val="auto"/>
        </w:rPr>
      </w:pPr>
      <w:r>
        <w:rPr>
          <w:rFonts w:ascii="Arial" w:cs="Arial" w:eastAsia="Arial" w:hAnsi="Arial"/>
          <w:sz w:val="15"/>
          <w:szCs w:val="15"/>
          <w:color w:val="auto"/>
        </w:rPr>
        <w:t>RSUs held by named executives discussed in this proxy statement vested in full three years after the date of grant. Time-based vesting aids retention. Dividend equivalents on RSUs accrue and are paid in cash upon vesting.</w:t>
      </w:r>
    </w:p>
    <w:p>
      <w:pPr>
        <w:spacing w:after="0" w:line="200" w:lineRule="exact"/>
        <w:rPr>
          <w:sz w:val="20"/>
          <w:szCs w:val="20"/>
          <w:color w:val="auto"/>
        </w:rPr>
      </w:pPr>
    </w:p>
    <w:p>
      <w:pPr>
        <w:sectPr>
          <w:pgSz w:w="13320" w:h="16920" w:orient="portrait"/>
          <w:cols w:equalWidth="0" w:num="2">
            <w:col w:w="5520" w:space="420"/>
            <w:col w:w="4500"/>
          </w:cols>
          <w:pgMar w:left="1440" w:top="1232" w:right="1440" w:bottom="1036"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13">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14">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42" w:name="page43"/>
    <w:bookmarkEnd w:id="42"/>
    <w:p>
      <w:pPr>
        <w:ind w:left="798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279" w:lineRule="exact"/>
        <w:rPr>
          <w:sz w:val="20"/>
          <w:szCs w:val="20"/>
          <w:color w:val="auto"/>
        </w:rPr>
      </w:pPr>
    </w:p>
    <w:p>
      <w:pPr>
        <w:jc w:val="both"/>
        <w:ind w:left="180" w:right="200"/>
        <w:spacing w:after="0" w:line="246" w:lineRule="auto"/>
        <w:rPr>
          <w:sz w:val="20"/>
          <w:szCs w:val="20"/>
          <w:color w:val="auto"/>
        </w:rPr>
      </w:pPr>
      <w:r>
        <w:rPr>
          <w:rFonts w:ascii="Arial" w:cs="Arial" w:eastAsia="Arial" w:hAnsi="Arial"/>
          <w:sz w:val="20"/>
          <w:szCs w:val="20"/>
          <w:i w:val="1"/>
          <w:iCs w:val="1"/>
          <w:u w:val="single" w:color="auto"/>
          <w:color w:val="auto"/>
        </w:rPr>
        <w:t>Deferral Plan.</w:t>
      </w:r>
      <w:r>
        <w:rPr>
          <w:rFonts w:ascii="Arial" w:cs="Arial" w:eastAsia="Arial" w:hAnsi="Arial"/>
          <w:sz w:val="20"/>
          <w:szCs w:val="20"/>
          <w:i w:val="1"/>
          <w:iCs w:val="1"/>
          <w:color w:val="auto"/>
        </w:rPr>
        <w:t xml:space="preserve"> </w:t>
      </w:r>
      <w:r>
        <w:rPr>
          <w:rFonts w:ascii="Arial" w:cs="Arial" w:eastAsia="Arial" w:hAnsi="Arial"/>
          <w:sz w:val="20"/>
          <w:szCs w:val="20"/>
          <w:color w:val="auto"/>
        </w:rPr>
        <w:t>Each of our named executive officers is eligible to participate in our 409A Deferral Plan and may elect to</w:t>
      </w:r>
      <w:r>
        <w:rPr>
          <w:rFonts w:ascii="Arial" w:cs="Arial" w:eastAsia="Arial" w:hAnsi="Arial"/>
          <w:sz w:val="20"/>
          <w:szCs w:val="20"/>
          <w:i w:val="1"/>
          <w:iCs w:val="1"/>
          <w:color w:val="auto"/>
        </w:rPr>
        <w:t xml:space="preserve"> </w:t>
      </w:r>
      <w:r>
        <w:rPr>
          <w:rFonts w:ascii="Arial" w:cs="Arial" w:eastAsia="Arial" w:hAnsi="Arial"/>
          <w:sz w:val="20"/>
          <w:szCs w:val="20"/>
          <w:color w:val="auto"/>
        </w:rPr>
        <w:t>defer receipt of portions of their base salary and cash incentives in excess of the annual compensation threshold established under Section 401(a)(17) of the Internal Revenue Code of 1986, as amended (the “IRC”). We believe that providing a program that allows and encourages planning for retirement is a key factor in our ability to attract and retain talent. Additional detail can be found in the Nonqualified Deferred Compensation in 2024 table and accompanying disclosure.</w:t>
      </w:r>
    </w:p>
    <w:p>
      <w:pPr>
        <w:spacing w:after="0" w:line="130" w:lineRule="exact"/>
        <w:rPr>
          <w:sz w:val="20"/>
          <w:szCs w:val="20"/>
          <w:color w:val="auto"/>
        </w:rPr>
      </w:pPr>
    </w:p>
    <w:p>
      <w:pPr>
        <w:jc w:val="both"/>
        <w:ind w:left="180" w:right="200"/>
        <w:spacing w:after="0" w:line="261" w:lineRule="auto"/>
        <w:rPr>
          <w:sz w:val="20"/>
          <w:szCs w:val="20"/>
          <w:color w:val="auto"/>
        </w:rPr>
      </w:pPr>
      <w:r>
        <w:rPr>
          <w:rFonts w:ascii="Arial" w:cs="Arial" w:eastAsia="Arial" w:hAnsi="Arial"/>
          <w:sz w:val="19"/>
          <w:szCs w:val="19"/>
          <w:i w:val="1"/>
          <w:iCs w:val="1"/>
          <w:u w:val="single" w:color="auto"/>
          <w:color w:val="auto"/>
        </w:rPr>
        <w:t>Perquisites.</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provides very limited perquisites or personal benefits to executive officers, including cost to</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for guest participation in corporate events and use of Company aircraft for personal travel. The MD&amp;C Committee permits our President and Chief Executive Officer to use the Company’s aircraft for business and personal travel; provided, however, that personal use of the Company aircraft attributed to him that results in incremental cost to the Company shall not exceed 90 hours during any calendar year without approval from the Chair of the MD&amp;C Committee. In 2024, our President and Chief Executive Officer had approximately 25 hours of personal use of Company aircraft under this standard. Personal use of the Company’s aircraft by other employees resulting in incremental cost to the Company is permitted with Chief Executive Officer approval, although this does not occur frequently. The value of our named executives’ personal use of the Company’s aircraft is treated as taxable income to the respective executive in accordance with IRS regulations using the Standard Industry Fare Level formula. This is a different amount than we calculate pursuant to the SEC requirement to report the incremental cost to us of their use. See note (4) to the Summary Compensation Table below for additional information about this calculation.</w:t>
      </w:r>
    </w:p>
    <w:p>
      <w:pPr>
        <w:spacing w:after="0" w:line="118" w:lineRule="exact"/>
        <w:rPr>
          <w:sz w:val="20"/>
          <w:szCs w:val="20"/>
          <w:color w:val="auto"/>
        </w:rPr>
      </w:pPr>
    </w:p>
    <w:p>
      <w:pPr>
        <w:jc w:val="both"/>
        <w:ind w:left="180" w:right="200"/>
        <w:spacing w:after="0" w:line="248" w:lineRule="auto"/>
        <w:rPr>
          <w:sz w:val="20"/>
          <w:szCs w:val="20"/>
          <w:color w:val="auto"/>
        </w:rPr>
      </w:pPr>
      <w:r>
        <w:rPr>
          <w:rFonts w:ascii="Arial" w:cs="Arial" w:eastAsia="Arial" w:hAnsi="Arial"/>
          <w:sz w:val="20"/>
          <w:szCs w:val="20"/>
          <w:i w:val="1"/>
          <w:iCs w:val="1"/>
          <w:u w:val="single" w:color="auto"/>
          <w:color w:val="auto"/>
        </w:rPr>
        <w:t>Post-Employment and Change in Control Compensation.</w:t>
      </w:r>
      <w:r>
        <w:rPr>
          <w:rFonts w:ascii="Arial" w:cs="Arial" w:eastAsia="Arial" w:hAnsi="Arial"/>
          <w:sz w:val="20"/>
          <w:szCs w:val="20"/>
          <w:i w:val="1"/>
          <w:iCs w:val="1"/>
          <w:color w:val="auto"/>
        </w:rPr>
        <w:t xml:space="preserve"> </w:t>
      </w:r>
      <w:r>
        <w:rPr>
          <w:rFonts w:ascii="Arial" w:cs="Arial" w:eastAsia="Arial" w:hAnsi="Arial"/>
          <w:sz w:val="20"/>
          <w:szCs w:val="20"/>
          <w:color w:val="auto"/>
        </w:rPr>
        <w:t>The Company provides severance protections that aid in retention</w:t>
      </w:r>
      <w:r>
        <w:rPr>
          <w:rFonts w:ascii="Arial" w:cs="Arial" w:eastAsia="Arial" w:hAnsi="Arial"/>
          <w:sz w:val="20"/>
          <w:szCs w:val="20"/>
          <w:i w:val="1"/>
          <w:iCs w:val="1"/>
          <w:color w:val="auto"/>
        </w:rPr>
        <w:t xml:space="preserve"> </w:t>
      </w:r>
      <w:r>
        <w:rPr>
          <w:rFonts w:ascii="Arial" w:cs="Arial" w:eastAsia="Arial" w:hAnsi="Arial"/>
          <w:sz w:val="20"/>
          <w:szCs w:val="20"/>
          <w:color w:val="auto"/>
        </w:rPr>
        <w:t>of senior leadership by providing the individual with comfort that he or she will be treated fairly in the event of an involuntary termination not for cause. The change in control provisions included in our Executive Severance Protection Plan, our stock option award documentation and, if applicable, employment agreements require a double trigger in order to receive any payment in the event of a change in control situation. Additional details can be found under “— Post Employment and Change in Control Compensation; Clawback Policies” and “Potential Payments Upon Termination or Change in Control.”</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0E3C23"/>
        </w:rPr>
        <w:t>How Named Executive Officer Compensation Decisions are Made</w:t>
      </w:r>
    </w:p>
    <w:p>
      <w:pPr>
        <w:spacing w:after="0" w:line="147" w:lineRule="exact"/>
        <w:rPr>
          <w:sz w:val="20"/>
          <w:szCs w:val="20"/>
          <w:color w:val="auto"/>
        </w:rPr>
      </w:pPr>
    </w:p>
    <w:p>
      <w:pPr>
        <w:jc w:val="both"/>
        <w:ind w:left="180" w:right="200"/>
        <w:spacing w:after="0" w:line="263" w:lineRule="auto"/>
        <w:rPr>
          <w:sz w:val="20"/>
          <w:szCs w:val="20"/>
          <w:color w:val="auto"/>
        </w:rPr>
      </w:pPr>
      <w:r>
        <w:rPr>
          <w:rFonts w:ascii="Arial" w:cs="Arial" w:eastAsia="Arial" w:hAnsi="Arial"/>
          <w:sz w:val="19"/>
          <w:szCs w:val="19"/>
          <w:color w:val="auto"/>
        </w:rPr>
        <w:t>The MD&amp;C Committee meets several times each year to perform its responsibilities as delegated by the Board of Directors and as set forth in the MD&amp;C Committee’s charter. These responsibilities include evaluating and approving the Company’s compensation philosophy, policies, plans and programs for our named executive officers. In the performance of its duties, the MD&amp;C Committee regularly reviews the total compensation, including the base salary, target annual cash incentive award opportunities, long-term incentive award opportunities and other benefits, including potential severance payments for each of our named executive officers. At regularly scheduled meetings each year, the MD&amp;C Committee reviews our named executives’ total compensation and compares that compensation to the competitive market, as discussed below. In the first quarter of each year, the MD&amp;C Committee meets to determine salary increases, if any, for the named executive officers; verifies the results of the Company’s performance for annual cash incentive and PSU payouts; determines the performance measures and individual annual cash incentive targets for the current year as a percent of base salary for each of the named executive officers; and makes decisions on the design and grants of long-term equity awards.</w:t>
      </w:r>
    </w:p>
    <w:p>
      <w:pPr>
        <w:spacing w:after="0" w:line="120" w:lineRule="exact"/>
        <w:rPr>
          <w:sz w:val="20"/>
          <w:szCs w:val="20"/>
          <w:color w:val="auto"/>
        </w:rPr>
      </w:pPr>
    </w:p>
    <w:p>
      <w:pPr>
        <w:jc w:val="both"/>
        <w:ind w:left="180" w:right="200"/>
        <w:spacing w:after="0" w:line="281" w:lineRule="auto"/>
        <w:rPr>
          <w:sz w:val="20"/>
          <w:szCs w:val="20"/>
          <w:color w:val="auto"/>
        </w:rPr>
      </w:pPr>
      <w:r>
        <w:rPr>
          <w:rFonts w:ascii="Arial" w:cs="Arial" w:eastAsia="Arial" w:hAnsi="Arial"/>
          <w:sz w:val="18"/>
          <w:szCs w:val="18"/>
          <w:i w:val="1"/>
          <w:iCs w:val="1"/>
          <w:u w:val="single" w:color="auto"/>
          <w:color w:val="auto"/>
        </w:rPr>
        <w:t>Compensation 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several resources in its analysis of the appropriate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named executive officers. The MD&amp;C Committee selects and employs an independent consultant to provide advice relating to market and general compensation trends. The MD&amp;C Committee also uses the services of its independent consultant for data gathering and analyses. The MD&amp;C Committee has retained Frederic W. Cook &amp; Co., Inc. (“FW Cook”) as its independent consultant since 2002. The Company makes regular payments to FW Cook for its services around executive compensation, including meeting preparation and attendance, advice, and best practice information, as well as competitive data. Information about such payments is submitted to the Chair of the MD&amp;C Committee.</w:t>
      </w:r>
    </w:p>
    <w:p>
      <w:pPr>
        <w:spacing w:after="0" w:line="100" w:lineRule="exact"/>
        <w:rPr>
          <w:sz w:val="20"/>
          <w:szCs w:val="20"/>
          <w:color w:val="auto"/>
        </w:rPr>
      </w:pPr>
    </w:p>
    <w:p>
      <w:pPr>
        <w:jc w:val="both"/>
        <w:ind w:left="180" w:right="200"/>
        <w:spacing w:after="0" w:line="282" w:lineRule="auto"/>
        <w:rPr>
          <w:sz w:val="20"/>
          <w:szCs w:val="20"/>
          <w:color w:val="auto"/>
        </w:rPr>
      </w:pPr>
      <w:r>
        <w:rPr>
          <w:rFonts w:ascii="Arial" w:cs="Arial" w:eastAsia="Arial" w:hAnsi="Arial"/>
          <w:sz w:val="18"/>
          <w:szCs w:val="18"/>
          <w:color w:val="auto"/>
        </w:rPr>
        <w:t>In addition to services related to executive compensation, FW Cook also provides the MD&amp;C Committee information and advice with respect to compensation of the non-employee directors. FW Cook has no other business relationships with the Company and receives no other payments from the Company. The MD&amp;C Committee adopted a charter provision requiring that it consider the independence of any compensation consultants it uses for executive compensation matters. The MD&amp;C Committee has considered the independence of FW Cook in light of SEC rules and New York Stock Exchange</w:t>
      </w:r>
    </w:p>
    <w:p>
      <w:pPr>
        <w:spacing w:after="0" w:line="394"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-207010</wp:posOffset>
            </wp:positionV>
            <wp:extent cx="538480" cy="1619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15">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sectPr>
      </w:pPr>
    </w:p>
    <w:bookmarkStart w:id="43" w:name="page44"/>
    <w:bookmarkEnd w:id="43"/>
    <w:p>
      <w:pPr>
        <w:ind w:left="180"/>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210" w:lineRule="exact"/>
        <w:rPr>
          <w:sz w:val="20"/>
          <w:szCs w:val="20"/>
          <w:color w:val="auto"/>
        </w:rPr>
      </w:pPr>
    </w:p>
    <w:p>
      <w:pPr>
        <w:jc w:val="both"/>
        <w:ind w:left="180" w:right="200"/>
        <w:spacing w:after="0" w:line="249" w:lineRule="auto"/>
        <w:rPr>
          <w:sz w:val="20"/>
          <w:szCs w:val="20"/>
          <w:color w:val="auto"/>
        </w:rPr>
      </w:pPr>
      <w:r>
        <w:rPr>
          <w:rFonts w:ascii="Arial" w:cs="Arial" w:eastAsia="Arial" w:hAnsi="Arial"/>
          <w:sz w:val="20"/>
          <w:szCs w:val="20"/>
          <w:color w:val="auto"/>
        </w:rPr>
        <w:t>listing standards. In connection with this process, the MD&amp;C Committee has reviewed, among other items, a letter from FW Cook addressing the independence of FW Cook and the members of the consulting team serving the MD&amp;C Committee, including the following factors: (a) other services provided to us by FW Cook; (b) fees paid by us as a percentage of FW Cook’s total revenue; (c) policies or procedures of FW Cook that are designed to prevent conflicts of interest; (d) any business or personal relationships between the senior advisor of the consulting team with a member of the MD&amp;C Committee; (e) any Company stock owned by the senior advisor or any member of his immediate family and (f) any business or personal relationships between our executive officers and the senior advisor. The MD&amp;C Committee reviewed these considerations and concluded that the work performed by FW Cook and its senior advisor involved in the engagement did not raise any conflict of interest.</w:t>
      </w:r>
    </w:p>
    <w:p>
      <w:pPr>
        <w:spacing w:after="0" w:line="128" w:lineRule="exact"/>
        <w:rPr>
          <w:sz w:val="20"/>
          <w:szCs w:val="20"/>
          <w:color w:val="auto"/>
        </w:rPr>
      </w:pPr>
    </w:p>
    <w:p>
      <w:pPr>
        <w:jc w:val="both"/>
        <w:ind w:left="180" w:right="200"/>
        <w:spacing w:after="0" w:line="264" w:lineRule="auto"/>
        <w:rPr>
          <w:sz w:val="20"/>
          <w:szCs w:val="20"/>
          <w:color w:val="auto"/>
        </w:rPr>
      </w:pPr>
      <w:r>
        <w:rPr>
          <w:rFonts w:ascii="Arial" w:cs="Arial" w:eastAsia="Arial" w:hAnsi="Arial"/>
          <w:sz w:val="19"/>
          <w:szCs w:val="19"/>
          <w:i w:val="1"/>
          <w:iCs w:val="1"/>
          <w:u w:val="single" w:color="auto"/>
          <w:color w:val="auto"/>
        </w:rPr>
        <w:t>Role of our CEO and our Human Resources Organization.</w:t>
      </w:r>
      <w:r>
        <w:rPr>
          <w:rFonts w:ascii="Arial" w:cs="Arial" w:eastAsia="Arial" w:hAnsi="Arial"/>
          <w:sz w:val="19"/>
          <w:szCs w:val="19"/>
          <w:i w:val="1"/>
          <w:iCs w:val="1"/>
          <w:color w:val="auto"/>
        </w:rPr>
        <w:t xml:space="preserve"> </w:t>
      </w:r>
      <w:r>
        <w:rPr>
          <w:rFonts w:ascii="Arial" w:cs="Arial" w:eastAsia="Arial" w:hAnsi="Arial"/>
          <w:sz w:val="19"/>
          <w:szCs w:val="19"/>
          <w:color w:val="auto"/>
        </w:rPr>
        <w:t>Our President and Chief Executive Officer contributes to</w:t>
      </w:r>
      <w:r>
        <w:rPr>
          <w:rFonts w:ascii="Arial" w:cs="Arial" w:eastAsia="Arial" w:hAnsi="Arial"/>
          <w:sz w:val="19"/>
          <w:szCs w:val="19"/>
          <w:i w:val="1"/>
          <w:iCs w:val="1"/>
          <w:color w:val="auto"/>
        </w:rPr>
        <w:t xml:space="preserve"> </w:t>
      </w:r>
      <w:r>
        <w:rPr>
          <w:rFonts w:ascii="Arial" w:cs="Arial" w:eastAsia="Arial" w:hAnsi="Arial"/>
          <w:sz w:val="19"/>
          <w:szCs w:val="19"/>
          <w:color w:val="auto"/>
        </w:rPr>
        <w:t>compensation determinations by assessing the performance of the other named executive officers and providing these assessments with recommendations to the MD&amp;C Committee. Personnel within the Company’s Human Resources organization assist the MD&amp;C Committee by working with the independent consultant to provide information requested by the MD&amp;C Committee and assisting it in designing and administering the Company’s compensation programs.</w:t>
      </w:r>
    </w:p>
    <w:p>
      <w:pPr>
        <w:spacing w:after="0" w:line="115" w:lineRule="exact"/>
        <w:rPr>
          <w:sz w:val="20"/>
          <w:szCs w:val="20"/>
          <w:color w:val="auto"/>
        </w:rPr>
      </w:pPr>
    </w:p>
    <w:p>
      <w:pPr>
        <w:jc w:val="both"/>
        <w:ind w:left="180" w:right="200"/>
        <w:spacing w:after="0" w:line="264" w:lineRule="auto"/>
        <w:rPr>
          <w:sz w:val="20"/>
          <w:szCs w:val="20"/>
          <w:color w:val="auto"/>
        </w:rPr>
      </w:pPr>
      <w:r>
        <w:rPr>
          <w:rFonts w:ascii="Arial" w:cs="Arial" w:eastAsia="Arial" w:hAnsi="Arial"/>
          <w:sz w:val="19"/>
          <w:szCs w:val="19"/>
          <w:i w:val="1"/>
          <w:iCs w:val="1"/>
          <w:u w:val="single" w:color="auto"/>
          <w:color w:val="auto"/>
        </w:rPr>
        <w:t>Peer Company Comparisons.</w:t>
      </w:r>
      <w:r>
        <w:rPr>
          <w:rFonts w:ascii="Arial" w:cs="Arial" w:eastAsia="Arial" w:hAnsi="Arial"/>
          <w:sz w:val="19"/>
          <w:szCs w:val="19"/>
          <w:i w:val="1"/>
          <w:iCs w:val="1"/>
          <w:color w:val="auto"/>
        </w:rPr>
        <w:t xml:space="preserve"> </w:t>
      </w:r>
      <w:r>
        <w:rPr>
          <w:rFonts w:ascii="Arial" w:cs="Arial" w:eastAsia="Arial" w:hAnsi="Arial"/>
          <w:sz w:val="19"/>
          <w:szCs w:val="19"/>
          <w:color w:val="auto"/>
        </w:rPr>
        <w:t>The MD&amp;C Committee uses compensation information of comparison groups of companies</w:t>
      </w:r>
      <w:r>
        <w:rPr>
          <w:rFonts w:ascii="Arial" w:cs="Arial" w:eastAsia="Arial" w:hAnsi="Arial"/>
          <w:sz w:val="19"/>
          <w:szCs w:val="19"/>
          <w:i w:val="1"/>
          <w:iCs w:val="1"/>
          <w:color w:val="auto"/>
        </w:rPr>
        <w:t xml:space="preserve"> </w:t>
      </w:r>
      <w:r>
        <w:rPr>
          <w:rFonts w:ascii="Arial" w:cs="Arial" w:eastAsia="Arial" w:hAnsi="Arial"/>
          <w:sz w:val="19"/>
          <w:szCs w:val="19"/>
          <w:color w:val="auto"/>
        </w:rPr>
        <w:t>to gauge the competitive market, which is relevant for attracting and retaining key talent and for ensuring that the Company’s compensation practices are aligned with prevalent practices. For purposes of establishing the 2024 executive compensation program, the MD&amp;C Committee considered a competitive analysis of total direct compensation levels and compensation mix for our executive officers during the second half of 2023, using information from:</w:t>
      </w:r>
    </w:p>
    <w:p>
      <w:pPr>
        <w:spacing w:after="0" w:line="115" w:lineRule="exact"/>
        <w:rPr>
          <w:sz w:val="20"/>
          <w:szCs w:val="20"/>
          <w:color w:val="auto"/>
        </w:rPr>
      </w:pPr>
    </w:p>
    <w:p>
      <w:pPr>
        <w:jc w:val="both"/>
        <w:ind w:left="780" w:right="200" w:hanging="203"/>
        <w:spacing w:after="0" w:line="264" w:lineRule="auto"/>
        <w:tabs>
          <w:tab w:leader="none" w:pos="780" w:val="left"/>
        </w:tabs>
        <w:numPr>
          <w:ilvl w:val="0"/>
          <w:numId w:val="19"/>
        </w:numPr>
        <w:rPr>
          <w:rFonts w:ascii="Arial" w:cs="Arial" w:eastAsia="Arial" w:hAnsi="Arial"/>
          <w:sz w:val="19"/>
          <w:szCs w:val="19"/>
          <w:color w:val="0E3C23"/>
        </w:rPr>
      </w:pPr>
      <w:r>
        <w:rPr>
          <w:rFonts w:ascii="Arial" w:cs="Arial" w:eastAsia="Arial" w:hAnsi="Arial"/>
          <w:sz w:val="19"/>
          <w:szCs w:val="19"/>
          <w:color w:val="auto"/>
        </w:rPr>
        <w:t>Size-adjusted median compensation data from two general industry surveys in which management annually participates; the 2022 Aon Radford Global Compensation Database (as the 2023 Aon Radford Global Compensation Database was not yet available) and the Willis Towers Watson 2023 Executive Survey Report. The 2022 Aon Radford Global Compensation Database included over 3,000 organizations ranging in size from less than $10 million to $610 billion in annual revenue, and the 2023 Willis Towers Watson Executive Survey Report included 987 organizations ranging in size from approximately $20 million to $610 billion in annual revenue. Data selected from these surveys is scoped based on Company revenue; and</w:t>
      </w:r>
    </w:p>
    <w:p>
      <w:pPr>
        <w:spacing w:after="0" w:line="113" w:lineRule="exact"/>
        <w:rPr>
          <w:rFonts w:ascii="Arial" w:cs="Arial" w:eastAsia="Arial" w:hAnsi="Arial"/>
          <w:sz w:val="19"/>
          <w:szCs w:val="19"/>
          <w:color w:val="0E3C23"/>
        </w:rPr>
      </w:pPr>
    </w:p>
    <w:p>
      <w:pPr>
        <w:ind w:left="780" w:hanging="203"/>
        <w:spacing w:after="0"/>
        <w:tabs>
          <w:tab w:leader="none" w:pos="780" w:val="left"/>
        </w:tabs>
        <w:numPr>
          <w:ilvl w:val="0"/>
          <w:numId w:val="19"/>
        </w:numPr>
        <w:rPr>
          <w:rFonts w:ascii="Arial" w:cs="Arial" w:eastAsia="Arial" w:hAnsi="Arial"/>
          <w:sz w:val="19"/>
          <w:szCs w:val="19"/>
          <w:color w:val="0E3C23"/>
        </w:rPr>
      </w:pPr>
      <w:r>
        <w:rPr>
          <w:rFonts w:ascii="Arial" w:cs="Arial" w:eastAsia="Arial" w:hAnsi="Arial"/>
          <w:sz w:val="19"/>
          <w:szCs w:val="19"/>
          <w:color w:val="auto"/>
        </w:rPr>
        <w:t>Median compensation data from a comparison group of 20 publicly traded U.S. companies, described below.</w:t>
      </w:r>
    </w:p>
    <w:p>
      <w:pPr>
        <w:spacing w:after="0" w:line="141" w:lineRule="exact"/>
        <w:rPr>
          <w:sz w:val="20"/>
          <w:szCs w:val="20"/>
          <w:color w:val="auto"/>
        </w:rPr>
      </w:pPr>
    </w:p>
    <w:p>
      <w:pPr>
        <w:jc w:val="both"/>
        <w:ind w:left="180" w:right="180"/>
        <w:spacing w:after="0" w:line="263" w:lineRule="auto"/>
        <w:rPr>
          <w:sz w:val="20"/>
          <w:szCs w:val="20"/>
          <w:color w:val="auto"/>
        </w:rPr>
      </w:pPr>
      <w:r>
        <w:rPr>
          <w:rFonts w:ascii="Arial" w:cs="Arial" w:eastAsia="Arial" w:hAnsi="Arial"/>
          <w:sz w:val="19"/>
          <w:szCs w:val="19"/>
          <w:color w:val="auto"/>
        </w:rPr>
        <w:t>The comparison group of companies is initially recommended by the independent consultant prior to the data gathering process, with input from management and the MD&amp;C Committee. The composition of the group is evaluated, and a final comparison group of companies is approved by the MD&amp;C Committee each year. The selection process for the comparison group begins with all companies in the Standard &amp; Poor’s North American database that are publicly traded U.S. companies in 16 different Global Industry Classifications. These industry classifications are meant to provide a collection of companies in industries that share similar characteristics with us. The companies are then limited to those with at least $5 billion in annual revenue to ensure appropriate comparisons, and further narrowed by choosing those with asset intensive domestic operations, as well as those focusing on transportation and logistics. Companies with these characteristics are chosen because the MD&amp;C Committee believes that it is appropriate to compare our executives’ compensation with executives that have similar responsibilities and challenges at other companies.</w:t>
      </w:r>
    </w:p>
    <w:p>
      <w:pPr>
        <w:spacing w:after="0" w:line="120" w:lineRule="exact"/>
        <w:rPr>
          <w:sz w:val="20"/>
          <w:szCs w:val="20"/>
          <w:color w:val="auto"/>
        </w:rPr>
      </w:pPr>
    </w:p>
    <w:p>
      <w:pPr>
        <w:jc w:val="both"/>
        <w:ind w:left="180" w:right="200"/>
        <w:spacing w:after="0" w:line="265" w:lineRule="auto"/>
        <w:rPr>
          <w:sz w:val="20"/>
          <w:szCs w:val="20"/>
          <w:color w:val="auto"/>
        </w:rPr>
      </w:pPr>
      <w:r>
        <w:rPr>
          <w:rFonts w:ascii="Arial" w:cs="Arial" w:eastAsia="Arial" w:hAnsi="Arial"/>
          <w:sz w:val="19"/>
          <w:szCs w:val="19"/>
          <w:color w:val="auto"/>
        </w:rPr>
        <w:t>The following chart sets forth various size comparisons to companies in the comparison group; this table is provided to evidence that the Company was appropriately positioned within its peer group for purposes of developing 2024 compensation recommendations during 2023. All financial and market data are taken from Standard &amp; Poor’s Capital IQ, with financial data as of each company’s 2022 fiscal year end and market capitalization as of December 31, 2022.</w:t>
      </w:r>
    </w:p>
    <w:p>
      <w:pPr>
        <w:sectPr>
          <w:pgSz w:w="13320" w:h="16920" w:orient="portrait"/>
          <w:cols w:equalWidth="0" w:num="1">
            <w:col w:w="104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16">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17">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44" w:name="page45"/>
    <w:bookmarkEnd w:id="44"/>
    <w:p>
      <w:pPr>
        <w:ind w:left="798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298" w:lineRule="exact"/>
        <w:rPr>
          <w:sz w:val="20"/>
          <w:szCs w:val="20"/>
          <w:color w:val="auto"/>
        </w:rPr>
      </w:pPr>
    </w:p>
    <w:p>
      <w:pPr>
        <w:jc w:val="center"/>
        <w:ind w:right="260"/>
        <w:spacing w:after="0"/>
        <w:rPr>
          <w:sz w:val="20"/>
          <w:szCs w:val="20"/>
          <w:color w:val="auto"/>
        </w:rPr>
      </w:pPr>
      <w:r>
        <w:rPr>
          <w:rFonts w:ascii="Arial" w:cs="Arial" w:eastAsia="Arial" w:hAnsi="Arial"/>
          <w:sz w:val="19"/>
          <w:szCs w:val="19"/>
          <w:b w:val="1"/>
          <w:bCs w:val="1"/>
          <w:color w:val="auto"/>
        </w:rPr>
        <w:t>Peer Company Comparison Group</w:t>
      </w:r>
    </w:p>
    <w:p>
      <w:pPr>
        <w:spacing w:after="0" w:line="108" w:lineRule="exact"/>
        <w:rPr>
          <w:sz w:val="20"/>
          <w:szCs w:val="20"/>
          <w:color w:val="auto"/>
        </w:rPr>
      </w:pPr>
    </w:p>
    <w:tbl>
      <w:tblPr>
        <w:tblLayout w:type="fixed"/>
        <w:tblInd w:w="1740" w:type="dxa"/>
        <w:tblCellMar>
          <w:top w:w="0" w:type="dxa"/>
          <w:left w:w="0" w:type="dxa"/>
          <w:bottom w:w="0" w:type="dxa"/>
          <w:right w:w="0" w:type="dxa"/>
        </w:tblCellMar>
      </w:tblPr>
      <w:tr>
        <w:trPr>
          <w:trHeight w:val="51"/>
        </w:trPr>
        <w:tc>
          <w:tcPr>
            <w:tcW w:w="2220" w:type="dxa"/>
            <w:vAlign w:val="bottom"/>
            <w:tcBorders>
              <w:right w:val="single" w:sz="8" w:color="auto"/>
            </w:tcBorders>
            <w:vMerge w:val="restart"/>
          </w:tcPr>
          <w:p>
            <w:pPr>
              <w:jc w:val="right"/>
              <w:ind w:right="104"/>
              <w:spacing w:after="0"/>
              <w:rPr>
                <w:sz w:val="20"/>
                <w:szCs w:val="20"/>
                <w:color w:val="auto"/>
              </w:rPr>
            </w:pPr>
            <w:r>
              <w:rPr>
                <w:rFonts w:ascii="Arial" w:cs="Arial" w:eastAsia="Arial" w:hAnsi="Arial"/>
                <w:sz w:val="15"/>
                <w:szCs w:val="15"/>
                <w:color w:val="auto"/>
              </w:rPr>
              <w:t>Net Revenue</w:t>
            </w: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right w:val="single" w:sz="8" w:color="D4D4D4"/>
            </w:tcBorders>
          </w:tcPr>
          <w:p>
            <w:pPr>
              <w:spacing w:after="0"/>
              <w:rPr>
                <w:sz w:val="4"/>
                <w:szCs w:val="4"/>
                <w:color w:val="auto"/>
              </w:rPr>
            </w:pPr>
          </w:p>
        </w:tc>
        <w:tc>
          <w:tcPr>
            <w:tcW w:w="580" w:type="dxa"/>
            <w:vAlign w:val="bottom"/>
            <w:tcBorders>
              <w:right w:val="single" w:sz="8" w:color="D6D6D6"/>
            </w:tcBorders>
            <w:gridSpan w:val="3"/>
            <w:vMerge w:val="restart"/>
          </w:tcPr>
          <w:p>
            <w:pPr>
              <w:jc w:val="right"/>
              <w:ind w:right="162"/>
              <w:spacing w:after="0"/>
              <w:rPr>
                <w:sz w:val="20"/>
                <w:szCs w:val="20"/>
                <w:color w:val="auto"/>
              </w:rPr>
            </w:pPr>
            <w:r>
              <w:rPr>
                <w:rFonts w:ascii="Arial" w:cs="Arial" w:eastAsia="Arial" w:hAnsi="Arial"/>
                <w:sz w:val="16"/>
                <w:szCs w:val="16"/>
                <w:color w:val="auto"/>
                <w:w w:val="99"/>
              </w:rPr>
              <w:t>48%</w:t>
            </w:r>
          </w:p>
        </w:tc>
        <w:tc>
          <w:tcPr>
            <w:tcW w:w="260" w:type="dxa"/>
            <w:vAlign w:val="bottom"/>
          </w:tcPr>
          <w:p>
            <w:pPr>
              <w:spacing w:after="0"/>
              <w:rPr>
                <w:sz w:val="4"/>
                <w:szCs w:val="4"/>
                <w:color w:val="auto"/>
              </w:rPr>
            </w:pPr>
          </w:p>
        </w:tc>
        <w:tc>
          <w:tcPr>
            <w:tcW w:w="320" w:type="dxa"/>
            <w:vAlign w:val="bottom"/>
            <w:tcBorders>
              <w:right w:val="single" w:sz="8" w:color="D7D7D7"/>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Borders>
              <w:right w:val="single" w:sz="8" w:color="D9D9D9"/>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220" w:type="dxa"/>
            <w:vAlign w:val="bottom"/>
            <w:tcBorders>
              <w:right w:val="single" w:sz="8" w:color="auto"/>
            </w:tcBorders>
            <w:vMerge w:val="continue"/>
          </w:tcPr>
          <w:p>
            <w:pPr>
              <w:spacing w:after="0"/>
              <w:rPr>
                <w:sz w:val="19"/>
                <w:szCs w:val="19"/>
                <w:color w:val="auto"/>
              </w:rPr>
            </w:pPr>
          </w:p>
        </w:tc>
        <w:tc>
          <w:tcPr>
            <w:tcW w:w="260" w:type="dxa"/>
            <w:vAlign w:val="bottom"/>
            <w:tcBorders>
              <w:bottom w:val="single" w:sz="8" w:color="E6AF60"/>
            </w:tcBorders>
            <w:shd w:val="clear" w:color="auto" w:fill="E6AF60"/>
          </w:tcPr>
          <w:p>
            <w:pPr>
              <w:spacing w:after="0"/>
              <w:rPr>
                <w:sz w:val="19"/>
                <w:szCs w:val="19"/>
                <w:color w:val="auto"/>
              </w:rPr>
            </w:pPr>
          </w:p>
        </w:tc>
        <w:tc>
          <w:tcPr>
            <w:tcW w:w="320" w:type="dxa"/>
            <w:vAlign w:val="bottom"/>
            <w:tcBorders>
              <w:bottom w:val="single" w:sz="8" w:color="E6AF60"/>
              <w:right w:val="single" w:sz="8" w:color="E6AF60"/>
            </w:tcBorders>
            <w:shd w:val="clear" w:color="auto" w:fill="E6AF60"/>
          </w:tcPr>
          <w:p>
            <w:pPr>
              <w:spacing w:after="0"/>
              <w:rPr>
                <w:sz w:val="19"/>
                <w:szCs w:val="19"/>
                <w:color w:val="auto"/>
              </w:rPr>
            </w:pPr>
          </w:p>
        </w:tc>
        <w:tc>
          <w:tcPr>
            <w:tcW w:w="280" w:type="dxa"/>
            <w:vAlign w:val="bottom"/>
            <w:tcBorders>
              <w:bottom w:val="single" w:sz="8" w:color="E6AF60"/>
            </w:tcBorders>
            <w:shd w:val="clear" w:color="auto" w:fill="E6AF60"/>
          </w:tcPr>
          <w:p>
            <w:pPr>
              <w:spacing w:after="0"/>
              <w:rPr>
                <w:sz w:val="19"/>
                <w:szCs w:val="19"/>
                <w:color w:val="auto"/>
              </w:rPr>
            </w:pPr>
          </w:p>
        </w:tc>
        <w:tc>
          <w:tcPr>
            <w:tcW w:w="300" w:type="dxa"/>
            <w:vAlign w:val="bottom"/>
            <w:tcBorders>
              <w:bottom w:val="single" w:sz="8" w:color="E6AF60"/>
              <w:right w:val="single" w:sz="8" w:color="E6AF60"/>
            </w:tcBorders>
            <w:shd w:val="clear" w:color="auto" w:fill="E6AF60"/>
          </w:tcPr>
          <w:p>
            <w:pPr>
              <w:spacing w:after="0"/>
              <w:rPr>
                <w:sz w:val="19"/>
                <w:szCs w:val="19"/>
                <w:color w:val="auto"/>
              </w:rPr>
            </w:pPr>
          </w:p>
        </w:tc>
        <w:tc>
          <w:tcPr>
            <w:tcW w:w="260" w:type="dxa"/>
            <w:vAlign w:val="bottom"/>
            <w:tcBorders>
              <w:bottom w:val="single" w:sz="8" w:color="E6AF60"/>
            </w:tcBorders>
            <w:shd w:val="clear" w:color="auto" w:fill="E6AF60"/>
          </w:tcPr>
          <w:p>
            <w:pPr>
              <w:spacing w:after="0"/>
              <w:rPr>
                <w:sz w:val="19"/>
                <w:szCs w:val="19"/>
                <w:color w:val="auto"/>
              </w:rPr>
            </w:pPr>
          </w:p>
        </w:tc>
        <w:tc>
          <w:tcPr>
            <w:tcW w:w="360" w:type="dxa"/>
            <w:vAlign w:val="bottom"/>
            <w:tcBorders>
              <w:bottom w:val="single" w:sz="8" w:color="E6AF60"/>
              <w:right w:val="single" w:sz="8" w:color="E6AF60"/>
            </w:tcBorders>
            <w:shd w:val="clear" w:color="auto" w:fill="E6AF60"/>
          </w:tcPr>
          <w:p>
            <w:pPr>
              <w:spacing w:after="0"/>
              <w:rPr>
                <w:sz w:val="19"/>
                <w:szCs w:val="19"/>
                <w:color w:val="auto"/>
              </w:rPr>
            </w:pPr>
          </w:p>
        </w:tc>
        <w:tc>
          <w:tcPr>
            <w:tcW w:w="100" w:type="dxa"/>
            <w:vAlign w:val="bottom"/>
            <w:tcBorders>
              <w:bottom w:val="single" w:sz="8" w:color="E6AF60"/>
            </w:tcBorders>
            <w:shd w:val="clear" w:color="auto" w:fill="E6AF60"/>
          </w:tcPr>
          <w:p>
            <w:pPr>
              <w:spacing w:after="0"/>
              <w:rPr>
                <w:sz w:val="19"/>
                <w:szCs w:val="19"/>
                <w:color w:val="auto"/>
              </w:rPr>
            </w:pPr>
          </w:p>
        </w:tc>
        <w:tc>
          <w:tcPr>
            <w:tcW w:w="420" w:type="dxa"/>
            <w:vAlign w:val="bottom"/>
            <w:tcBorders>
              <w:bottom w:val="single" w:sz="8" w:color="E6AF60"/>
              <w:right w:val="single" w:sz="8" w:color="E6AF60"/>
            </w:tcBorders>
            <w:shd w:val="clear" w:color="auto" w:fill="E6AF60"/>
          </w:tcPr>
          <w:p>
            <w:pPr>
              <w:spacing w:after="0"/>
              <w:rPr>
                <w:sz w:val="19"/>
                <w:szCs w:val="19"/>
                <w:color w:val="auto"/>
              </w:rPr>
            </w:pPr>
          </w:p>
        </w:tc>
        <w:tc>
          <w:tcPr>
            <w:tcW w:w="220" w:type="dxa"/>
            <w:vAlign w:val="bottom"/>
            <w:tcBorders>
              <w:bottom w:val="single" w:sz="8" w:color="E6AF60"/>
            </w:tcBorders>
            <w:shd w:val="clear" w:color="auto" w:fill="E6AF60"/>
          </w:tcPr>
          <w:p>
            <w:pPr>
              <w:spacing w:after="0"/>
              <w:rPr>
                <w:sz w:val="19"/>
                <w:szCs w:val="19"/>
                <w:color w:val="auto"/>
              </w:rPr>
            </w:pPr>
          </w:p>
        </w:tc>
        <w:tc>
          <w:tcPr>
            <w:tcW w:w="220" w:type="dxa"/>
            <w:vAlign w:val="bottom"/>
            <w:tcBorders>
              <w:bottom w:val="single" w:sz="8" w:color="E6AF60"/>
            </w:tcBorders>
            <w:shd w:val="clear" w:color="auto" w:fill="E6AF60"/>
          </w:tcPr>
          <w:p>
            <w:pPr>
              <w:spacing w:after="0"/>
              <w:rPr>
                <w:sz w:val="19"/>
                <w:szCs w:val="19"/>
                <w:color w:val="auto"/>
              </w:rPr>
            </w:pPr>
          </w:p>
        </w:tc>
        <w:tc>
          <w:tcPr>
            <w:tcW w:w="120" w:type="dxa"/>
            <w:vAlign w:val="bottom"/>
            <w:tcBorders>
              <w:right w:val="single" w:sz="8" w:color="D4D4D4"/>
            </w:tcBorders>
          </w:tcPr>
          <w:p>
            <w:pPr>
              <w:spacing w:after="0"/>
              <w:rPr>
                <w:sz w:val="19"/>
                <w:szCs w:val="19"/>
                <w:color w:val="auto"/>
              </w:rPr>
            </w:pPr>
          </w:p>
        </w:tc>
        <w:tc>
          <w:tcPr>
            <w:tcW w:w="580" w:type="dxa"/>
            <w:vAlign w:val="bottom"/>
            <w:tcBorders>
              <w:right w:val="single" w:sz="8" w:color="D6D6D6"/>
            </w:tcBorders>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right w:val="single" w:sz="8" w:color="D7D7D7"/>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right w:val="single" w:sz="8" w:color="D9D9D9"/>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220" w:type="dxa"/>
            <w:vAlign w:val="bottom"/>
            <w:tcBorders>
              <w:right w:val="single" w:sz="8" w:color="auto"/>
            </w:tcBorders>
            <w:vMerge w:val="restart"/>
          </w:tcPr>
          <w:p>
            <w:pPr>
              <w:jc w:val="right"/>
              <w:ind w:right="104"/>
              <w:spacing w:after="0"/>
              <w:rPr>
                <w:sz w:val="20"/>
                <w:szCs w:val="20"/>
                <w:color w:val="auto"/>
              </w:rPr>
            </w:pPr>
            <w:r>
              <w:rPr>
                <w:rFonts w:ascii="Arial" w:cs="Arial" w:eastAsia="Arial" w:hAnsi="Arial"/>
                <w:sz w:val="15"/>
                <w:szCs w:val="15"/>
                <w:color w:val="auto"/>
              </w:rPr>
              <w:t>Operating Income</w:t>
            </w:r>
          </w:p>
        </w:tc>
        <w:tc>
          <w:tcPr>
            <w:tcW w:w="260" w:type="dxa"/>
            <w:vAlign w:val="bottom"/>
          </w:tcPr>
          <w:p>
            <w:pPr>
              <w:spacing w:after="0"/>
              <w:rPr>
                <w:sz w:val="9"/>
                <w:szCs w:val="9"/>
                <w:color w:val="auto"/>
              </w:rPr>
            </w:pPr>
          </w:p>
        </w:tc>
        <w:tc>
          <w:tcPr>
            <w:tcW w:w="320" w:type="dxa"/>
            <w:vAlign w:val="bottom"/>
            <w:tcBorders>
              <w:right w:val="single" w:sz="8" w:color="CECECE"/>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right w:val="single" w:sz="8" w:color="CFCFCF"/>
            </w:tcBorders>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Borders>
              <w:right w:val="single" w:sz="8" w:color="D1D1D1"/>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right w:val="single" w:sz="8" w:color="D3D3D3"/>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right w:val="single" w:sz="8" w:color="D4D4D4"/>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right w:val="single" w:sz="8" w:color="D6D6D6"/>
            </w:tcBorders>
            <w:gridSpan w:val="2"/>
            <w:vMerge w:val="restart"/>
          </w:tcPr>
          <w:p>
            <w:pPr>
              <w:jc w:val="right"/>
              <w:ind w:right="42"/>
              <w:spacing w:after="0"/>
              <w:rPr>
                <w:sz w:val="20"/>
                <w:szCs w:val="20"/>
                <w:color w:val="auto"/>
              </w:rPr>
            </w:pPr>
            <w:r>
              <w:rPr>
                <w:rFonts w:ascii="Arial" w:cs="Arial" w:eastAsia="Arial" w:hAnsi="Arial"/>
                <w:sz w:val="16"/>
                <w:szCs w:val="16"/>
                <w:color w:val="auto"/>
              </w:rPr>
              <w:t>50%</w:t>
            </w:r>
          </w:p>
        </w:tc>
        <w:tc>
          <w:tcPr>
            <w:tcW w:w="260" w:type="dxa"/>
            <w:vAlign w:val="bottom"/>
          </w:tcPr>
          <w:p>
            <w:pPr>
              <w:spacing w:after="0"/>
              <w:rPr>
                <w:sz w:val="9"/>
                <w:szCs w:val="9"/>
                <w:color w:val="auto"/>
              </w:rPr>
            </w:pPr>
          </w:p>
        </w:tc>
        <w:tc>
          <w:tcPr>
            <w:tcW w:w="320" w:type="dxa"/>
            <w:vAlign w:val="bottom"/>
            <w:tcBorders>
              <w:right w:val="single" w:sz="8" w:color="D7D7D7"/>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right w:val="single" w:sz="8" w:color="D9D9D9"/>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220" w:type="dxa"/>
            <w:vAlign w:val="bottom"/>
            <w:tcBorders>
              <w:right w:val="single" w:sz="8" w:color="auto"/>
            </w:tcBorders>
            <w:vMerge w:val="continue"/>
          </w:tcPr>
          <w:p>
            <w:pPr>
              <w:spacing w:after="0"/>
              <w:rPr>
                <w:sz w:val="19"/>
                <w:szCs w:val="19"/>
                <w:color w:val="auto"/>
              </w:rPr>
            </w:pPr>
          </w:p>
        </w:tc>
        <w:tc>
          <w:tcPr>
            <w:tcW w:w="260" w:type="dxa"/>
            <w:vAlign w:val="bottom"/>
            <w:tcBorders>
              <w:bottom w:val="single" w:sz="8" w:color="E6AF60"/>
            </w:tcBorders>
            <w:shd w:val="clear" w:color="auto" w:fill="E6AF60"/>
          </w:tcPr>
          <w:p>
            <w:pPr>
              <w:spacing w:after="0"/>
              <w:rPr>
                <w:sz w:val="19"/>
                <w:szCs w:val="19"/>
                <w:color w:val="auto"/>
              </w:rPr>
            </w:pPr>
          </w:p>
        </w:tc>
        <w:tc>
          <w:tcPr>
            <w:tcW w:w="320" w:type="dxa"/>
            <w:vAlign w:val="bottom"/>
            <w:tcBorders>
              <w:bottom w:val="single" w:sz="8" w:color="E6AF60"/>
              <w:right w:val="single" w:sz="8" w:color="E6AF60"/>
            </w:tcBorders>
            <w:shd w:val="clear" w:color="auto" w:fill="E6AF60"/>
          </w:tcPr>
          <w:p>
            <w:pPr>
              <w:spacing w:after="0"/>
              <w:rPr>
                <w:sz w:val="19"/>
                <w:szCs w:val="19"/>
                <w:color w:val="auto"/>
              </w:rPr>
            </w:pPr>
          </w:p>
        </w:tc>
        <w:tc>
          <w:tcPr>
            <w:tcW w:w="280" w:type="dxa"/>
            <w:vAlign w:val="bottom"/>
            <w:tcBorders>
              <w:bottom w:val="single" w:sz="8" w:color="E6AF60"/>
            </w:tcBorders>
            <w:shd w:val="clear" w:color="auto" w:fill="E6AF60"/>
          </w:tcPr>
          <w:p>
            <w:pPr>
              <w:spacing w:after="0"/>
              <w:rPr>
                <w:sz w:val="19"/>
                <w:szCs w:val="19"/>
                <w:color w:val="auto"/>
              </w:rPr>
            </w:pPr>
          </w:p>
        </w:tc>
        <w:tc>
          <w:tcPr>
            <w:tcW w:w="300" w:type="dxa"/>
            <w:vAlign w:val="bottom"/>
            <w:tcBorders>
              <w:bottom w:val="single" w:sz="8" w:color="E6AF60"/>
              <w:right w:val="single" w:sz="8" w:color="E6AF60"/>
            </w:tcBorders>
            <w:shd w:val="clear" w:color="auto" w:fill="E6AF60"/>
          </w:tcPr>
          <w:p>
            <w:pPr>
              <w:spacing w:after="0"/>
              <w:rPr>
                <w:sz w:val="19"/>
                <w:szCs w:val="19"/>
                <w:color w:val="auto"/>
              </w:rPr>
            </w:pPr>
          </w:p>
        </w:tc>
        <w:tc>
          <w:tcPr>
            <w:tcW w:w="260" w:type="dxa"/>
            <w:vAlign w:val="bottom"/>
            <w:tcBorders>
              <w:bottom w:val="single" w:sz="8" w:color="E6AF60"/>
            </w:tcBorders>
            <w:shd w:val="clear" w:color="auto" w:fill="E6AF60"/>
          </w:tcPr>
          <w:p>
            <w:pPr>
              <w:spacing w:after="0"/>
              <w:rPr>
                <w:sz w:val="19"/>
                <w:szCs w:val="19"/>
                <w:color w:val="auto"/>
              </w:rPr>
            </w:pPr>
          </w:p>
        </w:tc>
        <w:tc>
          <w:tcPr>
            <w:tcW w:w="360" w:type="dxa"/>
            <w:vAlign w:val="bottom"/>
            <w:tcBorders>
              <w:bottom w:val="single" w:sz="8" w:color="E6AF60"/>
              <w:right w:val="single" w:sz="8" w:color="E6AF60"/>
            </w:tcBorders>
            <w:shd w:val="clear" w:color="auto" w:fill="E6AF60"/>
          </w:tcPr>
          <w:p>
            <w:pPr>
              <w:spacing w:after="0"/>
              <w:rPr>
                <w:sz w:val="19"/>
                <w:szCs w:val="19"/>
                <w:color w:val="auto"/>
              </w:rPr>
            </w:pPr>
          </w:p>
        </w:tc>
        <w:tc>
          <w:tcPr>
            <w:tcW w:w="100" w:type="dxa"/>
            <w:vAlign w:val="bottom"/>
            <w:tcBorders>
              <w:bottom w:val="single" w:sz="8" w:color="E6AF60"/>
            </w:tcBorders>
            <w:shd w:val="clear" w:color="auto" w:fill="E6AF60"/>
          </w:tcPr>
          <w:p>
            <w:pPr>
              <w:spacing w:after="0"/>
              <w:rPr>
                <w:sz w:val="19"/>
                <w:szCs w:val="19"/>
                <w:color w:val="auto"/>
              </w:rPr>
            </w:pPr>
          </w:p>
        </w:tc>
        <w:tc>
          <w:tcPr>
            <w:tcW w:w="420" w:type="dxa"/>
            <w:vAlign w:val="bottom"/>
            <w:tcBorders>
              <w:bottom w:val="single" w:sz="8" w:color="E6AF60"/>
              <w:right w:val="single" w:sz="8" w:color="E6AF60"/>
            </w:tcBorders>
            <w:shd w:val="clear" w:color="auto" w:fill="E6AF60"/>
          </w:tcPr>
          <w:p>
            <w:pPr>
              <w:spacing w:after="0"/>
              <w:rPr>
                <w:sz w:val="19"/>
                <w:szCs w:val="19"/>
                <w:color w:val="auto"/>
              </w:rPr>
            </w:pPr>
          </w:p>
        </w:tc>
        <w:tc>
          <w:tcPr>
            <w:tcW w:w="220" w:type="dxa"/>
            <w:vAlign w:val="bottom"/>
            <w:tcBorders>
              <w:bottom w:val="single" w:sz="8" w:color="E6AF60"/>
            </w:tcBorders>
            <w:shd w:val="clear" w:color="auto" w:fill="E6AF60"/>
          </w:tcPr>
          <w:p>
            <w:pPr>
              <w:spacing w:after="0"/>
              <w:rPr>
                <w:sz w:val="19"/>
                <w:szCs w:val="19"/>
                <w:color w:val="auto"/>
              </w:rPr>
            </w:pPr>
          </w:p>
        </w:tc>
        <w:tc>
          <w:tcPr>
            <w:tcW w:w="360" w:type="dxa"/>
            <w:vAlign w:val="bottom"/>
            <w:tcBorders>
              <w:bottom w:val="single" w:sz="8" w:color="E6AF60"/>
            </w:tcBorders>
            <w:gridSpan w:val="3"/>
            <w:shd w:val="clear" w:color="auto" w:fill="E6AF60"/>
          </w:tcPr>
          <w:p>
            <w:pPr>
              <w:spacing w:after="0"/>
              <w:rPr>
                <w:sz w:val="19"/>
                <w:szCs w:val="19"/>
                <w:color w:val="auto"/>
              </w:rPr>
            </w:pPr>
          </w:p>
        </w:tc>
        <w:tc>
          <w:tcPr>
            <w:tcW w:w="560" w:type="dxa"/>
            <w:vAlign w:val="bottom"/>
            <w:tcBorders>
              <w:right w:val="single" w:sz="8" w:color="D6D6D6"/>
            </w:tcBorders>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right w:val="single" w:sz="8" w:color="D7D7D7"/>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right w:val="single" w:sz="8" w:color="D9D9D9"/>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220" w:type="dxa"/>
            <w:vAlign w:val="bottom"/>
            <w:tcBorders>
              <w:right w:val="single" w:sz="8" w:color="auto"/>
            </w:tcBorders>
            <w:vMerge w:val="restart"/>
          </w:tcPr>
          <w:p>
            <w:pPr>
              <w:jc w:val="right"/>
              <w:ind w:right="104"/>
              <w:spacing w:after="0"/>
              <w:rPr>
                <w:sz w:val="20"/>
                <w:szCs w:val="20"/>
                <w:color w:val="auto"/>
              </w:rPr>
            </w:pPr>
            <w:r>
              <w:rPr>
                <w:rFonts w:ascii="Arial" w:cs="Arial" w:eastAsia="Arial" w:hAnsi="Arial"/>
                <w:sz w:val="15"/>
                <w:szCs w:val="15"/>
                <w:color w:val="auto"/>
              </w:rPr>
              <w:t>Total Assets</w:t>
            </w:r>
          </w:p>
        </w:tc>
        <w:tc>
          <w:tcPr>
            <w:tcW w:w="260" w:type="dxa"/>
            <w:vAlign w:val="bottom"/>
          </w:tcPr>
          <w:p>
            <w:pPr>
              <w:spacing w:after="0"/>
              <w:rPr>
                <w:sz w:val="9"/>
                <w:szCs w:val="9"/>
                <w:color w:val="auto"/>
              </w:rPr>
            </w:pPr>
          </w:p>
        </w:tc>
        <w:tc>
          <w:tcPr>
            <w:tcW w:w="320" w:type="dxa"/>
            <w:vAlign w:val="bottom"/>
            <w:tcBorders>
              <w:right w:val="single" w:sz="8" w:color="CECECE"/>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right w:val="single" w:sz="8" w:color="CFCFCF"/>
            </w:tcBorders>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Borders>
              <w:right w:val="single" w:sz="8" w:color="D1D1D1"/>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right w:val="single" w:sz="8" w:color="D3D3D3"/>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gridSpan w:val="4"/>
            <w:vMerge w:val="restart"/>
          </w:tcPr>
          <w:p>
            <w:pPr>
              <w:jc w:val="right"/>
              <w:spacing w:after="0"/>
              <w:rPr>
                <w:sz w:val="20"/>
                <w:szCs w:val="20"/>
                <w:color w:val="auto"/>
              </w:rPr>
            </w:pPr>
            <w:r>
              <w:rPr>
                <w:rFonts w:ascii="Arial" w:cs="Arial" w:eastAsia="Arial" w:hAnsi="Arial"/>
                <w:sz w:val="16"/>
                <w:szCs w:val="16"/>
                <w:color w:val="auto"/>
              </w:rPr>
              <w:t>44%</w:t>
            </w:r>
          </w:p>
        </w:tc>
        <w:tc>
          <w:tcPr>
            <w:tcW w:w="400" w:type="dxa"/>
            <w:vAlign w:val="bottom"/>
            <w:tcBorders>
              <w:right w:val="single" w:sz="8" w:color="D6D6D6"/>
            </w:tcBorders>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right w:val="single" w:sz="8" w:color="D7D7D7"/>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right w:val="single" w:sz="8" w:color="D9D9D9"/>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220" w:type="dxa"/>
            <w:vAlign w:val="bottom"/>
            <w:tcBorders>
              <w:right w:val="single" w:sz="8" w:color="auto"/>
            </w:tcBorders>
            <w:vMerge w:val="continue"/>
          </w:tcPr>
          <w:p>
            <w:pPr>
              <w:spacing w:after="0"/>
              <w:rPr>
                <w:sz w:val="19"/>
                <w:szCs w:val="19"/>
                <w:color w:val="auto"/>
              </w:rPr>
            </w:pPr>
          </w:p>
        </w:tc>
        <w:tc>
          <w:tcPr>
            <w:tcW w:w="260" w:type="dxa"/>
            <w:vAlign w:val="bottom"/>
            <w:tcBorders>
              <w:bottom w:val="single" w:sz="8" w:color="E6AF60"/>
            </w:tcBorders>
            <w:shd w:val="clear" w:color="auto" w:fill="E6AF60"/>
          </w:tcPr>
          <w:p>
            <w:pPr>
              <w:spacing w:after="0"/>
              <w:rPr>
                <w:sz w:val="19"/>
                <w:szCs w:val="19"/>
                <w:color w:val="auto"/>
              </w:rPr>
            </w:pPr>
          </w:p>
        </w:tc>
        <w:tc>
          <w:tcPr>
            <w:tcW w:w="320" w:type="dxa"/>
            <w:vAlign w:val="bottom"/>
            <w:tcBorders>
              <w:bottom w:val="single" w:sz="8" w:color="E6AF60"/>
              <w:right w:val="single" w:sz="8" w:color="E6AF60"/>
            </w:tcBorders>
            <w:shd w:val="clear" w:color="auto" w:fill="E6AF60"/>
          </w:tcPr>
          <w:p>
            <w:pPr>
              <w:spacing w:after="0"/>
              <w:rPr>
                <w:sz w:val="19"/>
                <w:szCs w:val="19"/>
                <w:color w:val="auto"/>
              </w:rPr>
            </w:pPr>
          </w:p>
        </w:tc>
        <w:tc>
          <w:tcPr>
            <w:tcW w:w="280" w:type="dxa"/>
            <w:vAlign w:val="bottom"/>
            <w:tcBorders>
              <w:bottom w:val="single" w:sz="8" w:color="E6AF60"/>
            </w:tcBorders>
            <w:shd w:val="clear" w:color="auto" w:fill="E6AF60"/>
          </w:tcPr>
          <w:p>
            <w:pPr>
              <w:spacing w:after="0"/>
              <w:rPr>
                <w:sz w:val="19"/>
                <w:szCs w:val="19"/>
                <w:color w:val="auto"/>
              </w:rPr>
            </w:pPr>
          </w:p>
        </w:tc>
        <w:tc>
          <w:tcPr>
            <w:tcW w:w="300" w:type="dxa"/>
            <w:vAlign w:val="bottom"/>
            <w:tcBorders>
              <w:bottom w:val="single" w:sz="8" w:color="E6AF60"/>
              <w:right w:val="single" w:sz="8" w:color="E6AF60"/>
            </w:tcBorders>
            <w:shd w:val="clear" w:color="auto" w:fill="E6AF60"/>
          </w:tcPr>
          <w:p>
            <w:pPr>
              <w:spacing w:after="0"/>
              <w:rPr>
                <w:sz w:val="19"/>
                <w:szCs w:val="19"/>
                <w:color w:val="auto"/>
              </w:rPr>
            </w:pPr>
          </w:p>
        </w:tc>
        <w:tc>
          <w:tcPr>
            <w:tcW w:w="260" w:type="dxa"/>
            <w:vAlign w:val="bottom"/>
            <w:tcBorders>
              <w:bottom w:val="single" w:sz="8" w:color="E6AF60"/>
            </w:tcBorders>
            <w:shd w:val="clear" w:color="auto" w:fill="E6AF60"/>
          </w:tcPr>
          <w:p>
            <w:pPr>
              <w:spacing w:after="0"/>
              <w:rPr>
                <w:sz w:val="19"/>
                <w:szCs w:val="19"/>
                <w:color w:val="auto"/>
              </w:rPr>
            </w:pPr>
          </w:p>
        </w:tc>
        <w:tc>
          <w:tcPr>
            <w:tcW w:w="360" w:type="dxa"/>
            <w:vAlign w:val="bottom"/>
            <w:tcBorders>
              <w:bottom w:val="single" w:sz="8" w:color="E6AF60"/>
              <w:right w:val="single" w:sz="8" w:color="E6AF60"/>
            </w:tcBorders>
            <w:shd w:val="clear" w:color="auto" w:fill="E6AF60"/>
          </w:tcPr>
          <w:p>
            <w:pPr>
              <w:spacing w:after="0"/>
              <w:rPr>
                <w:sz w:val="19"/>
                <w:szCs w:val="19"/>
                <w:color w:val="auto"/>
              </w:rPr>
            </w:pPr>
          </w:p>
        </w:tc>
        <w:tc>
          <w:tcPr>
            <w:tcW w:w="100" w:type="dxa"/>
            <w:vAlign w:val="bottom"/>
            <w:tcBorders>
              <w:bottom w:val="single" w:sz="8" w:color="E6AF60"/>
            </w:tcBorders>
            <w:shd w:val="clear" w:color="auto" w:fill="E6AF60"/>
          </w:tcPr>
          <w:p>
            <w:pPr>
              <w:spacing w:after="0"/>
              <w:rPr>
                <w:sz w:val="19"/>
                <w:szCs w:val="19"/>
                <w:color w:val="auto"/>
              </w:rPr>
            </w:pPr>
          </w:p>
        </w:tc>
        <w:tc>
          <w:tcPr>
            <w:tcW w:w="420" w:type="dxa"/>
            <w:vAlign w:val="bottom"/>
            <w:tcBorders>
              <w:bottom w:val="single" w:sz="8" w:color="E6AF60"/>
              <w:right w:val="single" w:sz="8" w:color="E6AF60"/>
            </w:tcBorders>
            <w:shd w:val="clear" w:color="auto" w:fill="E6AF60"/>
          </w:tcPr>
          <w:p>
            <w:pPr>
              <w:spacing w:after="0"/>
              <w:rPr>
                <w:sz w:val="19"/>
                <w:szCs w:val="19"/>
                <w:color w:val="auto"/>
              </w:rPr>
            </w:pPr>
          </w:p>
        </w:tc>
        <w:tc>
          <w:tcPr>
            <w:tcW w:w="220" w:type="dxa"/>
            <w:vAlign w:val="bottom"/>
            <w:tcBorders>
              <w:bottom w:val="single" w:sz="8" w:color="E6AF60"/>
            </w:tcBorders>
            <w:shd w:val="clear" w:color="auto" w:fill="E6AF60"/>
          </w:tcPr>
          <w:p>
            <w:pPr>
              <w:spacing w:after="0"/>
              <w:rPr>
                <w:sz w:val="19"/>
                <w:szCs w:val="19"/>
                <w:color w:val="auto"/>
              </w:rPr>
            </w:pPr>
          </w:p>
        </w:tc>
        <w:tc>
          <w:tcPr>
            <w:tcW w:w="520" w:type="dxa"/>
            <w:vAlign w:val="bottom"/>
            <w:gridSpan w:val="4"/>
            <w:vMerge w:val="continue"/>
          </w:tcPr>
          <w:p>
            <w:pPr>
              <w:spacing w:after="0"/>
              <w:rPr>
                <w:sz w:val="19"/>
                <w:szCs w:val="19"/>
                <w:color w:val="auto"/>
              </w:rPr>
            </w:pPr>
          </w:p>
        </w:tc>
        <w:tc>
          <w:tcPr>
            <w:tcW w:w="400" w:type="dxa"/>
            <w:vAlign w:val="bottom"/>
            <w:tcBorders>
              <w:right w:val="single" w:sz="8" w:color="D6D6D6"/>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right w:val="single" w:sz="8" w:color="D7D7D7"/>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right w:val="single" w:sz="8" w:color="D9D9D9"/>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220" w:type="dxa"/>
            <w:vAlign w:val="bottom"/>
            <w:tcBorders>
              <w:right w:val="single" w:sz="8" w:color="auto"/>
            </w:tcBorders>
            <w:vMerge w:val="restart"/>
          </w:tcPr>
          <w:p>
            <w:pPr>
              <w:jc w:val="right"/>
              <w:ind w:right="104"/>
              <w:spacing w:after="0"/>
              <w:rPr>
                <w:sz w:val="20"/>
                <w:szCs w:val="20"/>
                <w:color w:val="auto"/>
              </w:rPr>
            </w:pPr>
            <w:r>
              <w:rPr>
                <w:rFonts w:ascii="Arial" w:cs="Arial" w:eastAsia="Arial" w:hAnsi="Arial"/>
                <w:sz w:val="15"/>
                <w:szCs w:val="15"/>
                <w:color w:val="auto"/>
              </w:rPr>
              <w:t>Total Equity</w:t>
            </w:r>
          </w:p>
        </w:tc>
        <w:tc>
          <w:tcPr>
            <w:tcW w:w="260" w:type="dxa"/>
            <w:vAlign w:val="bottom"/>
          </w:tcPr>
          <w:p>
            <w:pPr>
              <w:spacing w:after="0"/>
              <w:rPr>
                <w:sz w:val="9"/>
                <w:szCs w:val="9"/>
                <w:color w:val="auto"/>
              </w:rPr>
            </w:pPr>
          </w:p>
        </w:tc>
        <w:tc>
          <w:tcPr>
            <w:tcW w:w="320" w:type="dxa"/>
            <w:vAlign w:val="bottom"/>
            <w:tcBorders>
              <w:right w:val="single" w:sz="8" w:color="CECECE"/>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right w:val="single" w:sz="8" w:color="CFCFCF"/>
            </w:tcBorders>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Borders>
              <w:right w:val="single" w:sz="8" w:color="D1D1D1"/>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right w:val="single" w:sz="8" w:color="D3D3D3"/>
            </w:tcBorders>
            <w:vMerge w:val="restart"/>
          </w:tcPr>
          <w:p>
            <w:pPr>
              <w:jc w:val="right"/>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right w:val="single" w:sz="8" w:color="D6D6D6"/>
            </w:tcBorders>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right w:val="single" w:sz="8" w:color="D7D7D7"/>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right w:val="single" w:sz="8" w:color="D9D9D9"/>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220" w:type="dxa"/>
            <w:vAlign w:val="bottom"/>
            <w:tcBorders>
              <w:right w:val="single" w:sz="8" w:color="auto"/>
            </w:tcBorders>
            <w:vMerge w:val="continue"/>
          </w:tcPr>
          <w:p>
            <w:pPr>
              <w:spacing w:after="0"/>
              <w:rPr>
                <w:sz w:val="19"/>
                <w:szCs w:val="19"/>
                <w:color w:val="auto"/>
              </w:rPr>
            </w:pPr>
          </w:p>
        </w:tc>
        <w:tc>
          <w:tcPr>
            <w:tcW w:w="260" w:type="dxa"/>
            <w:vAlign w:val="bottom"/>
            <w:tcBorders>
              <w:bottom w:val="single" w:sz="8" w:color="E6AF60"/>
            </w:tcBorders>
            <w:shd w:val="clear" w:color="auto" w:fill="E6AF60"/>
          </w:tcPr>
          <w:p>
            <w:pPr>
              <w:spacing w:after="0"/>
              <w:rPr>
                <w:sz w:val="19"/>
                <w:szCs w:val="19"/>
                <w:color w:val="auto"/>
              </w:rPr>
            </w:pPr>
          </w:p>
        </w:tc>
        <w:tc>
          <w:tcPr>
            <w:tcW w:w="320" w:type="dxa"/>
            <w:vAlign w:val="bottom"/>
            <w:tcBorders>
              <w:bottom w:val="single" w:sz="8" w:color="E6AF60"/>
              <w:right w:val="single" w:sz="8" w:color="E6AF60"/>
            </w:tcBorders>
            <w:shd w:val="clear" w:color="auto" w:fill="E6AF60"/>
          </w:tcPr>
          <w:p>
            <w:pPr>
              <w:spacing w:after="0"/>
              <w:rPr>
                <w:sz w:val="19"/>
                <w:szCs w:val="19"/>
                <w:color w:val="auto"/>
              </w:rPr>
            </w:pPr>
          </w:p>
        </w:tc>
        <w:tc>
          <w:tcPr>
            <w:tcW w:w="280" w:type="dxa"/>
            <w:vAlign w:val="bottom"/>
            <w:tcBorders>
              <w:bottom w:val="single" w:sz="8" w:color="E6AF60"/>
            </w:tcBorders>
            <w:shd w:val="clear" w:color="auto" w:fill="E6AF60"/>
          </w:tcPr>
          <w:p>
            <w:pPr>
              <w:spacing w:after="0"/>
              <w:rPr>
                <w:sz w:val="19"/>
                <w:szCs w:val="19"/>
                <w:color w:val="auto"/>
              </w:rPr>
            </w:pPr>
          </w:p>
        </w:tc>
        <w:tc>
          <w:tcPr>
            <w:tcW w:w="300" w:type="dxa"/>
            <w:vAlign w:val="bottom"/>
            <w:tcBorders>
              <w:bottom w:val="single" w:sz="8" w:color="E6AF60"/>
              <w:right w:val="single" w:sz="8" w:color="E6AF60"/>
            </w:tcBorders>
            <w:shd w:val="clear" w:color="auto" w:fill="E6AF60"/>
          </w:tcPr>
          <w:p>
            <w:pPr>
              <w:spacing w:after="0"/>
              <w:rPr>
                <w:sz w:val="19"/>
                <w:szCs w:val="19"/>
                <w:color w:val="auto"/>
              </w:rPr>
            </w:pPr>
          </w:p>
        </w:tc>
        <w:tc>
          <w:tcPr>
            <w:tcW w:w="260" w:type="dxa"/>
            <w:vAlign w:val="bottom"/>
            <w:tcBorders>
              <w:bottom w:val="single" w:sz="8" w:color="E6AF60"/>
            </w:tcBorders>
            <w:shd w:val="clear" w:color="auto" w:fill="E6AF60"/>
          </w:tcPr>
          <w:p>
            <w:pPr>
              <w:spacing w:after="0"/>
              <w:rPr>
                <w:sz w:val="19"/>
                <w:szCs w:val="19"/>
                <w:color w:val="auto"/>
              </w:rPr>
            </w:pPr>
          </w:p>
        </w:tc>
        <w:tc>
          <w:tcPr>
            <w:tcW w:w="360" w:type="dxa"/>
            <w:vAlign w:val="bottom"/>
            <w:tcBorders>
              <w:bottom w:val="single" w:sz="8" w:color="E6AF60"/>
              <w:right w:val="single" w:sz="8" w:color="E6AF60"/>
            </w:tcBorders>
            <w:shd w:val="clear" w:color="auto" w:fill="E6AF60"/>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right w:val="single" w:sz="8" w:color="D3D3D3"/>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right w:val="single" w:sz="8" w:color="D6D6D6"/>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right w:val="single" w:sz="8" w:color="D7D7D7"/>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right w:val="single" w:sz="8" w:color="D9D9D9"/>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220" w:type="dxa"/>
            <w:vAlign w:val="bottom"/>
            <w:tcBorders>
              <w:right w:val="single" w:sz="8" w:color="auto"/>
            </w:tcBorders>
            <w:vMerge w:val="restart"/>
          </w:tcPr>
          <w:p>
            <w:pPr>
              <w:jc w:val="right"/>
              <w:ind w:right="104"/>
              <w:spacing w:after="0"/>
              <w:rPr>
                <w:sz w:val="20"/>
                <w:szCs w:val="20"/>
                <w:color w:val="auto"/>
              </w:rPr>
            </w:pPr>
            <w:r>
              <w:rPr>
                <w:rFonts w:ascii="Arial" w:cs="Arial" w:eastAsia="Arial" w:hAnsi="Arial"/>
                <w:sz w:val="15"/>
                <w:szCs w:val="15"/>
                <w:color w:val="auto"/>
              </w:rPr>
              <w:t>Total Employees</w:t>
            </w:r>
          </w:p>
        </w:tc>
        <w:tc>
          <w:tcPr>
            <w:tcW w:w="260" w:type="dxa"/>
            <w:vAlign w:val="bottom"/>
          </w:tcPr>
          <w:p>
            <w:pPr>
              <w:spacing w:after="0"/>
              <w:rPr>
                <w:sz w:val="9"/>
                <w:szCs w:val="9"/>
                <w:color w:val="auto"/>
              </w:rPr>
            </w:pPr>
          </w:p>
        </w:tc>
        <w:tc>
          <w:tcPr>
            <w:tcW w:w="320" w:type="dxa"/>
            <w:vAlign w:val="bottom"/>
            <w:tcBorders>
              <w:right w:val="single" w:sz="8" w:color="CECECE"/>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right w:val="single" w:sz="8" w:color="CFCFCF"/>
            </w:tcBorders>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Borders>
              <w:right w:val="single" w:sz="8" w:color="D1D1D1"/>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right w:val="single" w:sz="8" w:color="D3D3D3"/>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right w:val="single" w:sz="8" w:color="D6D6D6"/>
            </w:tcBorders>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right w:val="single" w:sz="8" w:color="D7D7D7"/>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right w:val="single" w:sz="8" w:color="D9D9D9"/>
            </w:tcBorders>
            <w:vMerge w:val="restart"/>
          </w:tcPr>
          <w:p>
            <w:pPr>
              <w:jc w:val="right"/>
              <w:spacing w:after="0"/>
              <w:rPr>
                <w:sz w:val="20"/>
                <w:szCs w:val="20"/>
                <w:color w:val="auto"/>
              </w:rPr>
            </w:pPr>
            <w:r>
              <w:rPr>
                <w:rFonts w:ascii="Arial" w:cs="Arial" w:eastAsia="Arial" w:hAnsi="Arial"/>
                <w:sz w:val="16"/>
                <w:szCs w:val="16"/>
                <w:color w:val="auto"/>
                <w:w w:val="93"/>
              </w:rPr>
              <w:t>74%</w:t>
            </w:r>
          </w:p>
        </w:tc>
        <w:tc>
          <w:tcPr>
            <w:tcW w:w="1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220" w:type="dxa"/>
            <w:vAlign w:val="bottom"/>
            <w:tcBorders>
              <w:right w:val="single" w:sz="8" w:color="auto"/>
            </w:tcBorders>
            <w:vMerge w:val="continue"/>
          </w:tcPr>
          <w:p>
            <w:pPr>
              <w:spacing w:after="0"/>
              <w:rPr>
                <w:sz w:val="19"/>
                <w:szCs w:val="19"/>
                <w:color w:val="auto"/>
              </w:rPr>
            </w:pPr>
          </w:p>
        </w:tc>
        <w:tc>
          <w:tcPr>
            <w:tcW w:w="260" w:type="dxa"/>
            <w:vAlign w:val="bottom"/>
            <w:tcBorders>
              <w:bottom w:val="single" w:sz="8" w:color="E6AF60"/>
            </w:tcBorders>
            <w:shd w:val="clear" w:color="auto" w:fill="E6AF60"/>
          </w:tcPr>
          <w:p>
            <w:pPr>
              <w:spacing w:after="0"/>
              <w:rPr>
                <w:sz w:val="19"/>
                <w:szCs w:val="19"/>
                <w:color w:val="auto"/>
              </w:rPr>
            </w:pPr>
          </w:p>
        </w:tc>
        <w:tc>
          <w:tcPr>
            <w:tcW w:w="320" w:type="dxa"/>
            <w:vAlign w:val="bottom"/>
            <w:tcBorders>
              <w:bottom w:val="single" w:sz="8" w:color="E6AF60"/>
              <w:right w:val="single" w:sz="8" w:color="E6AF60"/>
            </w:tcBorders>
            <w:shd w:val="clear" w:color="auto" w:fill="E6AF60"/>
          </w:tcPr>
          <w:p>
            <w:pPr>
              <w:spacing w:after="0"/>
              <w:rPr>
                <w:sz w:val="19"/>
                <w:szCs w:val="19"/>
                <w:color w:val="auto"/>
              </w:rPr>
            </w:pPr>
          </w:p>
        </w:tc>
        <w:tc>
          <w:tcPr>
            <w:tcW w:w="280" w:type="dxa"/>
            <w:vAlign w:val="bottom"/>
            <w:tcBorders>
              <w:bottom w:val="single" w:sz="8" w:color="E6AF60"/>
            </w:tcBorders>
            <w:shd w:val="clear" w:color="auto" w:fill="E6AF60"/>
          </w:tcPr>
          <w:p>
            <w:pPr>
              <w:spacing w:after="0"/>
              <w:rPr>
                <w:sz w:val="19"/>
                <w:szCs w:val="19"/>
                <w:color w:val="auto"/>
              </w:rPr>
            </w:pPr>
          </w:p>
        </w:tc>
        <w:tc>
          <w:tcPr>
            <w:tcW w:w="300" w:type="dxa"/>
            <w:vAlign w:val="bottom"/>
            <w:tcBorders>
              <w:bottom w:val="single" w:sz="8" w:color="E6AF60"/>
              <w:right w:val="single" w:sz="8" w:color="E6AF60"/>
            </w:tcBorders>
            <w:shd w:val="clear" w:color="auto" w:fill="E6AF60"/>
          </w:tcPr>
          <w:p>
            <w:pPr>
              <w:spacing w:after="0"/>
              <w:rPr>
                <w:sz w:val="19"/>
                <w:szCs w:val="19"/>
                <w:color w:val="auto"/>
              </w:rPr>
            </w:pPr>
          </w:p>
        </w:tc>
        <w:tc>
          <w:tcPr>
            <w:tcW w:w="260" w:type="dxa"/>
            <w:vAlign w:val="bottom"/>
            <w:tcBorders>
              <w:bottom w:val="single" w:sz="8" w:color="E6AF60"/>
            </w:tcBorders>
            <w:shd w:val="clear" w:color="auto" w:fill="E6AF60"/>
          </w:tcPr>
          <w:p>
            <w:pPr>
              <w:spacing w:after="0"/>
              <w:rPr>
                <w:sz w:val="19"/>
                <w:szCs w:val="19"/>
                <w:color w:val="auto"/>
              </w:rPr>
            </w:pPr>
          </w:p>
        </w:tc>
        <w:tc>
          <w:tcPr>
            <w:tcW w:w="360" w:type="dxa"/>
            <w:vAlign w:val="bottom"/>
            <w:tcBorders>
              <w:bottom w:val="single" w:sz="8" w:color="E6AF60"/>
              <w:right w:val="single" w:sz="8" w:color="E6AF60"/>
            </w:tcBorders>
            <w:shd w:val="clear" w:color="auto" w:fill="E6AF60"/>
          </w:tcPr>
          <w:p>
            <w:pPr>
              <w:spacing w:after="0"/>
              <w:rPr>
                <w:sz w:val="19"/>
                <w:szCs w:val="19"/>
                <w:color w:val="auto"/>
              </w:rPr>
            </w:pPr>
          </w:p>
        </w:tc>
        <w:tc>
          <w:tcPr>
            <w:tcW w:w="100" w:type="dxa"/>
            <w:vAlign w:val="bottom"/>
            <w:tcBorders>
              <w:bottom w:val="single" w:sz="8" w:color="E6AF60"/>
            </w:tcBorders>
            <w:shd w:val="clear" w:color="auto" w:fill="E6AF60"/>
          </w:tcPr>
          <w:p>
            <w:pPr>
              <w:spacing w:after="0"/>
              <w:rPr>
                <w:sz w:val="19"/>
                <w:szCs w:val="19"/>
                <w:color w:val="auto"/>
              </w:rPr>
            </w:pPr>
          </w:p>
        </w:tc>
        <w:tc>
          <w:tcPr>
            <w:tcW w:w="420" w:type="dxa"/>
            <w:vAlign w:val="bottom"/>
            <w:tcBorders>
              <w:bottom w:val="single" w:sz="8" w:color="E6AF60"/>
              <w:right w:val="single" w:sz="8" w:color="E6AF60"/>
            </w:tcBorders>
            <w:shd w:val="clear" w:color="auto" w:fill="E6AF60"/>
          </w:tcPr>
          <w:p>
            <w:pPr>
              <w:spacing w:after="0"/>
              <w:rPr>
                <w:sz w:val="19"/>
                <w:szCs w:val="19"/>
                <w:color w:val="auto"/>
              </w:rPr>
            </w:pPr>
          </w:p>
        </w:tc>
        <w:tc>
          <w:tcPr>
            <w:tcW w:w="220" w:type="dxa"/>
            <w:vAlign w:val="bottom"/>
            <w:tcBorders>
              <w:bottom w:val="single" w:sz="8" w:color="E6AF60"/>
            </w:tcBorders>
            <w:shd w:val="clear" w:color="auto" w:fill="E6AF60"/>
          </w:tcPr>
          <w:p>
            <w:pPr>
              <w:spacing w:after="0"/>
              <w:rPr>
                <w:sz w:val="19"/>
                <w:szCs w:val="19"/>
                <w:color w:val="auto"/>
              </w:rPr>
            </w:pPr>
          </w:p>
        </w:tc>
        <w:tc>
          <w:tcPr>
            <w:tcW w:w="220" w:type="dxa"/>
            <w:vAlign w:val="bottom"/>
            <w:tcBorders>
              <w:bottom w:val="single" w:sz="8" w:color="E6AF60"/>
            </w:tcBorders>
            <w:shd w:val="clear" w:color="auto" w:fill="E6AF60"/>
          </w:tcPr>
          <w:p>
            <w:pPr>
              <w:spacing w:after="0"/>
              <w:rPr>
                <w:sz w:val="19"/>
                <w:szCs w:val="19"/>
                <w:color w:val="auto"/>
              </w:rPr>
            </w:pPr>
          </w:p>
        </w:tc>
        <w:tc>
          <w:tcPr>
            <w:tcW w:w="120" w:type="dxa"/>
            <w:vAlign w:val="bottom"/>
            <w:tcBorders>
              <w:bottom w:val="single" w:sz="8" w:color="E6AF60"/>
              <w:right w:val="single" w:sz="8" w:color="E6AF60"/>
            </w:tcBorders>
            <w:shd w:val="clear" w:color="auto" w:fill="E6AF60"/>
          </w:tcPr>
          <w:p>
            <w:pPr>
              <w:spacing w:after="0"/>
              <w:rPr>
                <w:sz w:val="19"/>
                <w:szCs w:val="19"/>
                <w:color w:val="auto"/>
              </w:rPr>
            </w:pPr>
          </w:p>
        </w:tc>
        <w:tc>
          <w:tcPr>
            <w:tcW w:w="20" w:type="dxa"/>
            <w:vAlign w:val="bottom"/>
            <w:tcBorders>
              <w:bottom w:val="single" w:sz="8" w:color="E6AF60"/>
            </w:tcBorders>
            <w:shd w:val="clear" w:color="auto" w:fill="E6AF60"/>
          </w:tcPr>
          <w:p>
            <w:pPr>
              <w:spacing w:after="0"/>
              <w:rPr>
                <w:sz w:val="19"/>
                <w:szCs w:val="19"/>
                <w:color w:val="auto"/>
              </w:rPr>
            </w:pPr>
          </w:p>
        </w:tc>
        <w:tc>
          <w:tcPr>
            <w:tcW w:w="160" w:type="dxa"/>
            <w:vAlign w:val="bottom"/>
            <w:tcBorders>
              <w:bottom w:val="single" w:sz="8" w:color="E6AF60"/>
            </w:tcBorders>
            <w:shd w:val="clear" w:color="auto" w:fill="E6AF60"/>
          </w:tcPr>
          <w:p>
            <w:pPr>
              <w:spacing w:after="0"/>
              <w:rPr>
                <w:sz w:val="19"/>
                <w:szCs w:val="19"/>
                <w:color w:val="auto"/>
              </w:rPr>
            </w:pPr>
          </w:p>
        </w:tc>
        <w:tc>
          <w:tcPr>
            <w:tcW w:w="400" w:type="dxa"/>
            <w:vAlign w:val="bottom"/>
            <w:tcBorders>
              <w:bottom w:val="single" w:sz="8" w:color="E6AF60"/>
              <w:right w:val="single" w:sz="8" w:color="E6AF60"/>
            </w:tcBorders>
            <w:shd w:val="clear" w:color="auto" w:fill="E6AF60"/>
          </w:tcPr>
          <w:p>
            <w:pPr>
              <w:spacing w:after="0"/>
              <w:rPr>
                <w:sz w:val="19"/>
                <w:szCs w:val="19"/>
                <w:color w:val="auto"/>
              </w:rPr>
            </w:pPr>
          </w:p>
        </w:tc>
        <w:tc>
          <w:tcPr>
            <w:tcW w:w="260" w:type="dxa"/>
            <w:vAlign w:val="bottom"/>
            <w:tcBorders>
              <w:bottom w:val="single" w:sz="8" w:color="E6AF60"/>
            </w:tcBorders>
            <w:shd w:val="clear" w:color="auto" w:fill="E6AF60"/>
          </w:tcPr>
          <w:p>
            <w:pPr>
              <w:spacing w:after="0"/>
              <w:rPr>
                <w:sz w:val="19"/>
                <w:szCs w:val="19"/>
                <w:color w:val="auto"/>
              </w:rPr>
            </w:pPr>
          </w:p>
        </w:tc>
        <w:tc>
          <w:tcPr>
            <w:tcW w:w="320" w:type="dxa"/>
            <w:vAlign w:val="bottom"/>
            <w:tcBorders>
              <w:bottom w:val="single" w:sz="8" w:color="E6AF60"/>
              <w:right w:val="single" w:sz="8" w:color="E6AF60"/>
            </w:tcBorders>
            <w:shd w:val="clear" w:color="auto" w:fill="E6AF60"/>
          </w:tcPr>
          <w:p>
            <w:pPr>
              <w:spacing w:after="0"/>
              <w:rPr>
                <w:sz w:val="19"/>
                <w:szCs w:val="19"/>
                <w:color w:val="auto"/>
              </w:rPr>
            </w:pPr>
          </w:p>
        </w:tc>
        <w:tc>
          <w:tcPr>
            <w:tcW w:w="160" w:type="dxa"/>
            <w:vAlign w:val="bottom"/>
            <w:tcBorders>
              <w:bottom w:val="single" w:sz="8" w:color="E6AF60"/>
            </w:tcBorders>
            <w:shd w:val="clear" w:color="auto" w:fill="E6AF60"/>
          </w:tcPr>
          <w:p>
            <w:pPr>
              <w:spacing w:after="0"/>
              <w:rPr>
                <w:sz w:val="19"/>
                <w:szCs w:val="19"/>
                <w:color w:val="auto"/>
              </w:rPr>
            </w:pPr>
          </w:p>
        </w:tc>
        <w:tc>
          <w:tcPr>
            <w:tcW w:w="60" w:type="dxa"/>
            <w:vAlign w:val="bottom"/>
            <w:tcBorders>
              <w:bottom w:val="single" w:sz="8" w:color="E6AF60"/>
            </w:tcBorders>
            <w:shd w:val="clear" w:color="auto" w:fill="E6AF60"/>
          </w:tcPr>
          <w:p>
            <w:pPr>
              <w:spacing w:after="0"/>
              <w:rPr>
                <w:sz w:val="19"/>
                <w:szCs w:val="19"/>
                <w:color w:val="auto"/>
              </w:rPr>
            </w:pPr>
          </w:p>
        </w:tc>
        <w:tc>
          <w:tcPr>
            <w:tcW w:w="340" w:type="dxa"/>
            <w:vAlign w:val="bottom"/>
            <w:tcBorders>
              <w:right w:val="single" w:sz="8" w:color="D9D9D9"/>
            </w:tcBorders>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220" w:type="dxa"/>
            <w:vAlign w:val="bottom"/>
            <w:tcBorders>
              <w:right w:val="single" w:sz="8" w:color="auto"/>
            </w:tcBorders>
            <w:vMerge w:val="restart"/>
          </w:tcPr>
          <w:p>
            <w:pPr>
              <w:jc w:val="right"/>
              <w:ind w:right="104"/>
              <w:spacing w:after="0"/>
              <w:rPr>
                <w:sz w:val="20"/>
                <w:szCs w:val="20"/>
                <w:color w:val="auto"/>
              </w:rPr>
            </w:pPr>
            <w:r>
              <w:rPr>
                <w:rFonts w:ascii="Arial" w:cs="Arial" w:eastAsia="Arial" w:hAnsi="Arial"/>
                <w:sz w:val="15"/>
                <w:szCs w:val="15"/>
                <w:color w:val="auto"/>
              </w:rPr>
              <w:t>Market Capitalization</w:t>
            </w:r>
          </w:p>
        </w:tc>
        <w:tc>
          <w:tcPr>
            <w:tcW w:w="260" w:type="dxa"/>
            <w:vAlign w:val="bottom"/>
          </w:tcPr>
          <w:p>
            <w:pPr>
              <w:spacing w:after="0"/>
              <w:rPr>
                <w:sz w:val="9"/>
                <w:szCs w:val="9"/>
                <w:color w:val="auto"/>
              </w:rPr>
            </w:pPr>
          </w:p>
        </w:tc>
        <w:tc>
          <w:tcPr>
            <w:tcW w:w="320" w:type="dxa"/>
            <w:vAlign w:val="bottom"/>
            <w:tcBorders>
              <w:right w:val="single" w:sz="8" w:color="CECECE"/>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right w:val="single" w:sz="8" w:color="CFCFCF"/>
            </w:tcBorders>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Borders>
              <w:right w:val="single" w:sz="8" w:color="D1D1D1"/>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right w:val="single" w:sz="8" w:color="D3D3D3"/>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right w:val="single" w:sz="8" w:color="D4D4D4"/>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right w:val="single" w:sz="8" w:color="D6D6D6"/>
            </w:tcBorders>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right w:val="single" w:sz="8" w:color="D7D7D7"/>
            </w:tcBorders>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right w:val="single" w:sz="8" w:color="D9D9D9"/>
            </w:tcBorders>
            <w:gridSpan w:val="2"/>
            <w:vMerge w:val="restart"/>
          </w:tcPr>
          <w:p>
            <w:pPr>
              <w:jc w:val="right"/>
              <w:spacing w:after="0"/>
              <w:rPr>
                <w:sz w:val="20"/>
                <w:szCs w:val="20"/>
                <w:color w:val="auto"/>
              </w:rPr>
            </w:pPr>
            <w:r>
              <w:rPr>
                <w:rFonts w:ascii="Arial" w:cs="Arial" w:eastAsia="Arial" w:hAnsi="Arial"/>
                <w:sz w:val="16"/>
                <w:szCs w:val="16"/>
                <w:color w:val="auto"/>
              </w:rPr>
              <w:t>73%</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220" w:type="dxa"/>
            <w:vAlign w:val="bottom"/>
            <w:tcBorders>
              <w:right w:val="single" w:sz="8" w:color="auto"/>
            </w:tcBorders>
            <w:vMerge w:val="continue"/>
          </w:tcPr>
          <w:p>
            <w:pPr>
              <w:spacing w:after="0"/>
              <w:rPr>
                <w:sz w:val="21"/>
                <w:szCs w:val="21"/>
                <w:color w:val="auto"/>
              </w:rPr>
            </w:pPr>
          </w:p>
        </w:tc>
        <w:tc>
          <w:tcPr>
            <w:tcW w:w="260" w:type="dxa"/>
            <w:vAlign w:val="bottom"/>
            <w:shd w:val="clear" w:color="auto" w:fill="E6AF60"/>
          </w:tcPr>
          <w:p>
            <w:pPr>
              <w:spacing w:after="0"/>
              <w:rPr>
                <w:sz w:val="21"/>
                <w:szCs w:val="21"/>
                <w:color w:val="auto"/>
              </w:rPr>
            </w:pPr>
          </w:p>
        </w:tc>
        <w:tc>
          <w:tcPr>
            <w:tcW w:w="320" w:type="dxa"/>
            <w:vAlign w:val="bottom"/>
            <w:tcBorders>
              <w:right w:val="single" w:sz="8" w:color="E6AF60"/>
            </w:tcBorders>
            <w:shd w:val="clear" w:color="auto" w:fill="E6AF60"/>
          </w:tcPr>
          <w:p>
            <w:pPr>
              <w:spacing w:after="0"/>
              <w:rPr>
                <w:sz w:val="21"/>
                <w:szCs w:val="21"/>
                <w:color w:val="auto"/>
              </w:rPr>
            </w:pPr>
          </w:p>
        </w:tc>
        <w:tc>
          <w:tcPr>
            <w:tcW w:w="280" w:type="dxa"/>
            <w:vAlign w:val="bottom"/>
            <w:shd w:val="clear" w:color="auto" w:fill="E6AF60"/>
          </w:tcPr>
          <w:p>
            <w:pPr>
              <w:spacing w:after="0"/>
              <w:rPr>
                <w:sz w:val="21"/>
                <w:szCs w:val="21"/>
                <w:color w:val="auto"/>
              </w:rPr>
            </w:pPr>
          </w:p>
        </w:tc>
        <w:tc>
          <w:tcPr>
            <w:tcW w:w="300" w:type="dxa"/>
            <w:vAlign w:val="bottom"/>
            <w:tcBorders>
              <w:right w:val="single" w:sz="8" w:color="E6AF60"/>
            </w:tcBorders>
            <w:shd w:val="clear" w:color="auto" w:fill="E6AF60"/>
          </w:tcPr>
          <w:p>
            <w:pPr>
              <w:spacing w:after="0"/>
              <w:rPr>
                <w:sz w:val="21"/>
                <w:szCs w:val="21"/>
                <w:color w:val="auto"/>
              </w:rPr>
            </w:pPr>
          </w:p>
        </w:tc>
        <w:tc>
          <w:tcPr>
            <w:tcW w:w="260" w:type="dxa"/>
            <w:vAlign w:val="bottom"/>
            <w:shd w:val="clear" w:color="auto" w:fill="E6AF60"/>
          </w:tcPr>
          <w:p>
            <w:pPr>
              <w:spacing w:after="0"/>
              <w:rPr>
                <w:sz w:val="21"/>
                <w:szCs w:val="21"/>
                <w:color w:val="auto"/>
              </w:rPr>
            </w:pPr>
          </w:p>
        </w:tc>
        <w:tc>
          <w:tcPr>
            <w:tcW w:w="360" w:type="dxa"/>
            <w:vAlign w:val="bottom"/>
            <w:tcBorders>
              <w:right w:val="single" w:sz="8" w:color="E6AF60"/>
            </w:tcBorders>
            <w:shd w:val="clear" w:color="auto" w:fill="E6AF60"/>
          </w:tcPr>
          <w:p>
            <w:pPr>
              <w:spacing w:after="0"/>
              <w:rPr>
                <w:sz w:val="21"/>
                <w:szCs w:val="21"/>
                <w:color w:val="auto"/>
              </w:rPr>
            </w:pPr>
          </w:p>
        </w:tc>
        <w:tc>
          <w:tcPr>
            <w:tcW w:w="100" w:type="dxa"/>
            <w:vAlign w:val="bottom"/>
            <w:shd w:val="clear" w:color="auto" w:fill="E6AF60"/>
          </w:tcPr>
          <w:p>
            <w:pPr>
              <w:spacing w:after="0"/>
              <w:rPr>
                <w:sz w:val="21"/>
                <w:szCs w:val="21"/>
                <w:color w:val="auto"/>
              </w:rPr>
            </w:pPr>
          </w:p>
        </w:tc>
        <w:tc>
          <w:tcPr>
            <w:tcW w:w="420" w:type="dxa"/>
            <w:vAlign w:val="bottom"/>
            <w:tcBorders>
              <w:right w:val="single" w:sz="8" w:color="E6AF60"/>
            </w:tcBorders>
            <w:shd w:val="clear" w:color="auto" w:fill="E6AF60"/>
          </w:tcPr>
          <w:p>
            <w:pPr>
              <w:spacing w:after="0"/>
              <w:rPr>
                <w:sz w:val="21"/>
                <w:szCs w:val="21"/>
                <w:color w:val="auto"/>
              </w:rPr>
            </w:pPr>
          </w:p>
        </w:tc>
        <w:tc>
          <w:tcPr>
            <w:tcW w:w="220" w:type="dxa"/>
            <w:vAlign w:val="bottom"/>
            <w:shd w:val="clear" w:color="auto" w:fill="E6AF60"/>
          </w:tcPr>
          <w:p>
            <w:pPr>
              <w:spacing w:after="0"/>
              <w:rPr>
                <w:sz w:val="21"/>
                <w:szCs w:val="21"/>
                <w:color w:val="auto"/>
              </w:rPr>
            </w:pPr>
          </w:p>
        </w:tc>
        <w:tc>
          <w:tcPr>
            <w:tcW w:w="220" w:type="dxa"/>
            <w:vAlign w:val="bottom"/>
            <w:shd w:val="clear" w:color="auto" w:fill="E6AF60"/>
          </w:tcPr>
          <w:p>
            <w:pPr>
              <w:spacing w:after="0"/>
              <w:rPr>
                <w:sz w:val="21"/>
                <w:szCs w:val="21"/>
                <w:color w:val="auto"/>
              </w:rPr>
            </w:pPr>
          </w:p>
        </w:tc>
        <w:tc>
          <w:tcPr>
            <w:tcW w:w="120" w:type="dxa"/>
            <w:vAlign w:val="bottom"/>
            <w:tcBorders>
              <w:right w:val="single" w:sz="8" w:color="E6AF60"/>
            </w:tcBorders>
            <w:shd w:val="clear" w:color="auto" w:fill="E6AF60"/>
          </w:tcPr>
          <w:p>
            <w:pPr>
              <w:spacing w:after="0"/>
              <w:rPr>
                <w:sz w:val="21"/>
                <w:szCs w:val="21"/>
                <w:color w:val="auto"/>
              </w:rPr>
            </w:pPr>
          </w:p>
        </w:tc>
        <w:tc>
          <w:tcPr>
            <w:tcW w:w="20" w:type="dxa"/>
            <w:vAlign w:val="bottom"/>
            <w:shd w:val="clear" w:color="auto" w:fill="E6AF60"/>
          </w:tcPr>
          <w:p>
            <w:pPr>
              <w:spacing w:after="0"/>
              <w:rPr>
                <w:sz w:val="21"/>
                <w:szCs w:val="21"/>
                <w:color w:val="auto"/>
              </w:rPr>
            </w:pPr>
          </w:p>
        </w:tc>
        <w:tc>
          <w:tcPr>
            <w:tcW w:w="160" w:type="dxa"/>
            <w:vAlign w:val="bottom"/>
            <w:shd w:val="clear" w:color="auto" w:fill="E6AF60"/>
          </w:tcPr>
          <w:p>
            <w:pPr>
              <w:spacing w:after="0"/>
              <w:rPr>
                <w:sz w:val="21"/>
                <w:szCs w:val="21"/>
                <w:color w:val="auto"/>
              </w:rPr>
            </w:pPr>
          </w:p>
        </w:tc>
        <w:tc>
          <w:tcPr>
            <w:tcW w:w="400" w:type="dxa"/>
            <w:vAlign w:val="bottom"/>
            <w:tcBorders>
              <w:right w:val="single" w:sz="8" w:color="E6AF60"/>
            </w:tcBorders>
            <w:shd w:val="clear" w:color="auto" w:fill="E6AF60"/>
          </w:tcPr>
          <w:p>
            <w:pPr>
              <w:spacing w:after="0"/>
              <w:rPr>
                <w:sz w:val="21"/>
                <w:szCs w:val="21"/>
                <w:color w:val="auto"/>
              </w:rPr>
            </w:pPr>
          </w:p>
        </w:tc>
        <w:tc>
          <w:tcPr>
            <w:tcW w:w="260" w:type="dxa"/>
            <w:vAlign w:val="bottom"/>
            <w:shd w:val="clear" w:color="auto" w:fill="E6AF60"/>
          </w:tcPr>
          <w:p>
            <w:pPr>
              <w:spacing w:after="0"/>
              <w:rPr>
                <w:sz w:val="21"/>
                <w:szCs w:val="21"/>
                <w:color w:val="auto"/>
              </w:rPr>
            </w:pPr>
          </w:p>
        </w:tc>
        <w:tc>
          <w:tcPr>
            <w:tcW w:w="320" w:type="dxa"/>
            <w:vAlign w:val="bottom"/>
            <w:tcBorders>
              <w:right w:val="single" w:sz="8" w:color="E6AF60"/>
            </w:tcBorders>
            <w:shd w:val="clear" w:color="auto" w:fill="E6AF60"/>
          </w:tcPr>
          <w:p>
            <w:pPr>
              <w:spacing w:after="0"/>
              <w:rPr>
                <w:sz w:val="21"/>
                <w:szCs w:val="21"/>
                <w:color w:val="auto"/>
              </w:rPr>
            </w:pPr>
          </w:p>
        </w:tc>
        <w:tc>
          <w:tcPr>
            <w:tcW w:w="160" w:type="dxa"/>
            <w:vAlign w:val="bottom"/>
            <w:shd w:val="clear" w:color="auto" w:fill="E6AF60"/>
          </w:tcPr>
          <w:p>
            <w:pPr>
              <w:spacing w:after="0"/>
              <w:rPr>
                <w:sz w:val="21"/>
                <w:szCs w:val="21"/>
                <w:color w:val="auto"/>
              </w:rPr>
            </w:pPr>
          </w:p>
        </w:tc>
        <w:tc>
          <w:tcPr>
            <w:tcW w:w="400" w:type="dxa"/>
            <w:vAlign w:val="bottom"/>
            <w:tcBorders>
              <w:right w:val="single" w:sz="8" w:color="D9D9D9"/>
            </w:tcBorders>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color w:val="auto"/>
              </w:rPr>
              <w:t>WM Composite Percentile Rank</w:t>
            </w:r>
          </w:p>
        </w:tc>
        <w:tc>
          <w:tcPr>
            <w:tcW w:w="260" w:type="dxa"/>
            <w:vAlign w:val="bottom"/>
          </w:tcPr>
          <w:p>
            <w:pPr>
              <w:spacing w:after="0"/>
              <w:rPr>
                <w:sz w:val="9"/>
                <w:szCs w:val="9"/>
                <w:color w:val="auto"/>
              </w:rPr>
            </w:pPr>
          </w:p>
        </w:tc>
        <w:tc>
          <w:tcPr>
            <w:tcW w:w="320" w:type="dxa"/>
            <w:vAlign w:val="bottom"/>
            <w:tcBorders>
              <w:right w:val="single" w:sz="8" w:color="CECECE"/>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right w:val="single" w:sz="8" w:color="CFCFCF"/>
            </w:tcBorders>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Borders>
              <w:right w:val="single" w:sz="8" w:color="D1D1D1"/>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right w:val="single" w:sz="8" w:color="D3D3D3"/>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right w:val="single" w:sz="8" w:color="D4D4D4"/>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right w:val="single" w:sz="8" w:color="D6D6D6"/>
            </w:tcBorders>
            <w:vMerge w:val="restart"/>
          </w:tcPr>
          <w:p>
            <w:pPr>
              <w:jc w:val="right"/>
              <w:spacing w:after="0"/>
              <w:rPr>
                <w:sz w:val="20"/>
                <w:szCs w:val="20"/>
                <w:color w:val="auto"/>
              </w:rPr>
            </w:pPr>
            <w:r>
              <w:rPr>
                <w:rFonts w:ascii="Arial" w:cs="Arial" w:eastAsia="Arial" w:hAnsi="Arial"/>
                <w:sz w:val="16"/>
                <w:szCs w:val="16"/>
                <w:b w:val="1"/>
                <w:bCs w:val="1"/>
                <w:color w:val="auto"/>
              </w:rPr>
              <w:t>53%</w:t>
            </w:r>
          </w:p>
        </w:tc>
        <w:tc>
          <w:tcPr>
            <w:tcW w:w="260" w:type="dxa"/>
            <w:vAlign w:val="bottom"/>
            <w:vMerge w:val="restart"/>
          </w:tcPr>
          <w:p>
            <w:pPr>
              <w:spacing w:after="0"/>
              <w:rPr>
                <w:sz w:val="9"/>
                <w:szCs w:val="9"/>
                <w:color w:val="auto"/>
              </w:rPr>
            </w:pPr>
          </w:p>
        </w:tc>
        <w:tc>
          <w:tcPr>
            <w:tcW w:w="320" w:type="dxa"/>
            <w:vAlign w:val="bottom"/>
            <w:tcBorders>
              <w:right w:val="single" w:sz="8" w:color="D7D7D7"/>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right w:val="single" w:sz="8" w:color="D9D9D9"/>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220" w:type="dxa"/>
            <w:vAlign w:val="bottom"/>
            <w:tcBorders>
              <w:right w:val="single" w:sz="8" w:color="auto"/>
            </w:tcBorders>
            <w:vMerge w:val="continue"/>
          </w:tcPr>
          <w:p>
            <w:pPr>
              <w:spacing w:after="0"/>
              <w:rPr>
                <w:sz w:val="24"/>
                <w:szCs w:val="24"/>
                <w:color w:val="auto"/>
              </w:rPr>
            </w:pPr>
          </w:p>
        </w:tc>
        <w:tc>
          <w:tcPr>
            <w:tcW w:w="260" w:type="dxa"/>
            <w:vAlign w:val="bottom"/>
            <w:shd w:val="clear" w:color="auto" w:fill="6C7E63"/>
          </w:tcPr>
          <w:p>
            <w:pPr>
              <w:spacing w:after="0"/>
              <w:rPr>
                <w:sz w:val="24"/>
                <w:szCs w:val="24"/>
                <w:color w:val="auto"/>
              </w:rPr>
            </w:pPr>
          </w:p>
        </w:tc>
        <w:tc>
          <w:tcPr>
            <w:tcW w:w="320" w:type="dxa"/>
            <w:vAlign w:val="bottom"/>
            <w:tcBorders>
              <w:right w:val="single" w:sz="8" w:color="6C7E63"/>
            </w:tcBorders>
            <w:shd w:val="clear" w:color="auto" w:fill="6C7E63"/>
          </w:tcPr>
          <w:p>
            <w:pPr>
              <w:spacing w:after="0"/>
              <w:rPr>
                <w:sz w:val="24"/>
                <w:szCs w:val="24"/>
                <w:color w:val="auto"/>
              </w:rPr>
            </w:pPr>
          </w:p>
        </w:tc>
        <w:tc>
          <w:tcPr>
            <w:tcW w:w="280" w:type="dxa"/>
            <w:vAlign w:val="bottom"/>
            <w:shd w:val="clear" w:color="auto" w:fill="6C7E63"/>
          </w:tcPr>
          <w:p>
            <w:pPr>
              <w:spacing w:after="0"/>
              <w:rPr>
                <w:sz w:val="24"/>
                <w:szCs w:val="24"/>
                <w:color w:val="auto"/>
              </w:rPr>
            </w:pPr>
          </w:p>
        </w:tc>
        <w:tc>
          <w:tcPr>
            <w:tcW w:w="300" w:type="dxa"/>
            <w:vAlign w:val="bottom"/>
            <w:tcBorders>
              <w:right w:val="single" w:sz="8" w:color="6C7E63"/>
            </w:tcBorders>
            <w:shd w:val="clear" w:color="auto" w:fill="6C7E63"/>
          </w:tcPr>
          <w:p>
            <w:pPr>
              <w:spacing w:after="0"/>
              <w:rPr>
                <w:sz w:val="24"/>
                <w:szCs w:val="24"/>
                <w:color w:val="auto"/>
              </w:rPr>
            </w:pPr>
          </w:p>
        </w:tc>
        <w:tc>
          <w:tcPr>
            <w:tcW w:w="260" w:type="dxa"/>
            <w:vAlign w:val="bottom"/>
            <w:shd w:val="clear" w:color="auto" w:fill="6C7E63"/>
          </w:tcPr>
          <w:p>
            <w:pPr>
              <w:spacing w:after="0"/>
              <w:rPr>
                <w:sz w:val="24"/>
                <w:szCs w:val="24"/>
                <w:color w:val="auto"/>
              </w:rPr>
            </w:pPr>
          </w:p>
        </w:tc>
        <w:tc>
          <w:tcPr>
            <w:tcW w:w="360" w:type="dxa"/>
            <w:vAlign w:val="bottom"/>
            <w:tcBorders>
              <w:right w:val="single" w:sz="8" w:color="6C7E63"/>
            </w:tcBorders>
            <w:shd w:val="clear" w:color="auto" w:fill="6C7E63"/>
          </w:tcPr>
          <w:p>
            <w:pPr>
              <w:spacing w:after="0"/>
              <w:rPr>
                <w:sz w:val="24"/>
                <w:szCs w:val="24"/>
                <w:color w:val="auto"/>
              </w:rPr>
            </w:pPr>
          </w:p>
        </w:tc>
        <w:tc>
          <w:tcPr>
            <w:tcW w:w="100" w:type="dxa"/>
            <w:vAlign w:val="bottom"/>
            <w:shd w:val="clear" w:color="auto" w:fill="6C7E63"/>
          </w:tcPr>
          <w:p>
            <w:pPr>
              <w:spacing w:after="0"/>
              <w:rPr>
                <w:sz w:val="24"/>
                <w:szCs w:val="24"/>
                <w:color w:val="auto"/>
              </w:rPr>
            </w:pPr>
          </w:p>
        </w:tc>
        <w:tc>
          <w:tcPr>
            <w:tcW w:w="420" w:type="dxa"/>
            <w:vAlign w:val="bottom"/>
            <w:tcBorders>
              <w:right w:val="single" w:sz="8" w:color="6C7E63"/>
            </w:tcBorders>
            <w:shd w:val="clear" w:color="auto" w:fill="6C7E63"/>
          </w:tcPr>
          <w:p>
            <w:pPr>
              <w:spacing w:after="0"/>
              <w:rPr>
                <w:sz w:val="24"/>
                <w:szCs w:val="24"/>
                <w:color w:val="auto"/>
              </w:rPr>
            </w:pPr>
          </w:p>
        </w:tc>
        <w:tc>
          <w:tcPr>
            <w:tcW w:w="220" w:type="dxa"/>
            <w:vAlign w:val="bottom"/>
            <w:shd w:val="clear" w:color="auto" w:fill="6C7E63"/>
          </w:tcPr>
          <w:p>
            <w:pPr>
              <w:spacing w:after="0"/>
              <w:rPr>
                <w:sz w:val="24"/>
                <w:szCs w:val="24"/>
                <w:color w:val="auto"/>
              </w:rPr>
            </w:pPr>
          </w:p>
        </w:tc>
        <w:tc>
          <w:tcPr>
            <w:tcW w:w="220" w:type="dxa"/>
            <w:vAlign w:val="bottom"/>
            <w:shd w:val="clear" w:color="auto" w:fill="6C7E63"/>
          </w:tcPr>
          <w:p>
            <w:pPr>
              <w:spacing w:after="0"/>
              <w:rPr>
                <w:sz w:val="24"/>
                <w:szCs w:val="24"/>
                <w:color w:val="auto"/>
              </w:rPr>
            </w:pPr>
          </w:p>
        </w:tc>
        <w:tc>
          <w:tcPr>
            <w:tcW w:w="120" w:type="dxa"/>
            <w:vAlign w:val="bottom"/>
            <w:tcBorders>
              <w:right w:val="single" w:sz="8" w:color="6C7E63"/>
            </w:tcBorders>
            <w:shd w:val="clear" w:color="auto" w:fill="6C7E63"/>
          </w:tcPr>
          <w:p>
            <w:pPr>
              <w:spacing w:after="0"/>
              <w:rPr>
                <w:sz w:val="24"/>
                <w:szCs w:val="24"/>
                <w:color w:val="auto"/>
              </w:rPr>
            </w:pPr>
          </w:p>
        </w:tc>
        <w:tc>
          <w:tcPr>
            <w:tcW w:w="20" w:type="dxa"/>
            <w:vAlign w:val="bottom"/>
            <w:shd w:val="clear" w:color="auto" w:fill="6C7E63"/>
          </w:tcPr>
          <w:p>
            <w:pPr>
              <w:spacing w:after="0"/>
              <w:rPr>
                <w:sz w:val="24"/>
                <w:szCs w:val="24"/>
                <w:color w:val="auto"/>
              </w:rPr>
            </w:pPr>
          </w:p>
        </w:tc>
        <w:tc>
          <w:tcPr>
            <w:tcW w:w="160" w:type="dxa"/>
            <w:vAlign w:val="bottom"/>
            <w:shd w:val="clear" w:color="auto" w:fill="6C7E63"/>
          </w:tcPr>
          <w:p>
            <w:pPr>
              <w:spacing w:after="0"/>
              <w:rPr>
                <w:sz w:val="24"/>
                <w:szCs w:val="24"/>
                <w:color w:val="auto"/>
              </w:rPr>
            </w:pPr>
          </w:p>
        </w:tc>
        <w:tc>
          <w:tcPr>
            <w:tcW w:w="400" w:type="dxa"/>
            <w:vAlign w:val="bottom"/>
            <w:tcBorders>
              <w:right w:val="single" w:sz="8" w:color="D6D6D6"/>
            </w:tcBorders>
            <w:vMerge w:val="continue"/>
          </w:tcPr>
          <w:p>
            <w:pPr>
              <w:spacing w:after="0"/>
              <w:rPr>
                <w:sz w:val="24"/>
                <w:szCs w:val="24"/>
                <w:color w:val="auto"/>
              </w:rPr>
            </w:pPr>
          </w:p>
        </w:tc>
        <w:tc>
          <w:tcPr>
            <w:tcW w:w="260" w:type="dxa"/>
            <w:vAlign w:val="bottom"/>
            <w:vMerge w:val="continue"/>
          </w:tcPr>
          <w:p>
            <w:pPr>
              <w:spacing w:after="0"/>
              <w:rPr>
                <w:sz w:val="24"/>
                <w:szCs w:val="24"/>
                <w:color w:val="auto"/>
              </w:rPr>
            </w:pPr>
          </w:p>
        </w:tc>
        <w:tc>
          <w:tcPr>
            <w:tcW w:w="320" w:type="dxa"/>
            <w:vAlign w:val="bottom"/>
            <w:tcBorders>
              <w:right w:val="single" w:sz="8" w:color="D7D7D7"/>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right w:val="single" w:sz="8" w:color="D9D9D9"/>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20" w:type="dxa"/>
            <w:vAlign w:val="bottom"/>
            <w:tcBorders>
              <w:right w:val="single" w:sz="8" w:color="CCCCC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right w:val="single" w:sz="8" w:color="D6D6D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D7D7D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D9D9D9"/>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480" w:type="dxa"/>
            <w:vAlign w:val="bottom"/>
            <w:gridSpan w:val="2"/>
          </w:tcPr>
          <w:p>
            <w:pPr>
              <w:jc w:val="right"/>
              <w:ind w:right="160"/>
              <w:spacing w:after="0"/>
              <w:rPr>
                <w:sz w:val="20"/>
                <w:szCs w:val="20"/>
                <w:color w:val="auto"/>
              </w:rPr>
            </w:pPr>
            <w:r>
              <w:rPr>
                <w:rFonts w:ascii="Arial" w:cs="Arial" w:eastAsia="Arial" w:hAnsi="Arial"/>
                <w:sz w:val="15"/>
                <w:szCs w:val="15"/>
                <w:color w:val="auto"/>
              </w:rPr>
              <w:t>0%</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10%</w:t>
            </w: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20%</w:t>
            </w: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rPr>
              <w:t>30%</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40%</w:t>
            </w:r>
          </w:p>
        </w:tc>
        <w:tc>
          <w:tcPr>
            <w:tcW w:w="520" w:type="dxa"/>
            <w:vAlign w:val="bottom"/>
            <w:gridSpan w:val="4"/>
          </w:tcPr>
          <w:p>
            <w:pPr>
              <w:jc w:val="right"/>
              <w:spacing w:after="0"/>
              <w:rPr>
                <w:sz w:val="20"/>
                <w:szCs w:val="20"/>
                <w:color w:val="auto"/>
              </w:rPr>
            </w:pPr>
            <w:r>
              <w:rPr>
                <w:rFonts w:ascii="Arial" w:cs="Arial" w:eastAsia="Arial" w:hAnsi="Arial"/>
                <w:sz w:val="15"/>
                <w:szCs w:val="15"/>
                <w:color w:val="auto"/>
              </w:rPr>
              <w:t>50%</w:t>
            </w: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60%</w:t>
            </w: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70%</w:t>
            </w:r>
          </w:p>
        </w:tc>
        <w:tc>
          <w:tcPr>
            <w:tcW w:w="540" w:type="dxa"/>
            <w:vAlign w:val="bottom"/>
            <w:gridSpan w:val="3"/>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2873375</wp:posOffset>
                </wp:positionH>
                <wp:positionV relativeFrom="paragraph">
                  <wp:posOffset>-1741170</wp:posOffset>
                </wp:positionV>
                <wp:extent cx="0" cy="31115"/>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115"/>
                        </a:xfrm>
                        <a:prstGeom prst="line">
                          <a:avLst/>
                        </a:prstGeom>
                        <a:solidFill>
                          <a:srgbClr val="FFFFFF"/>
                        </a:solidFill>
                        <a:ln w="6223">
                          <a:solidFill>
                            <a:srgbClr val="CECECE"/>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6.25pt,-137.0999pt" to="226.25pt,-134.6499pt" o:allowincell="f" strokecolor="#CECECE" strokeweight="0.49pt"/>
            </w:pict>
          </mc:Fallback>
        </mc:AlternateContent>
        <mc:AlternateContent>
          <mc:Choice Requires="wps">
            <w:drawing>
              <wp:anchor simplePos="0" relativeHeight="251657728" behindDoc="1" locked="0" layoutInCell="0" allowOverlap="1">
                <wp:simplePos x="0" y="0"/>
                <wp:positionH relativeFrom="column">
                  <wp:posOffset>3236595</wp:posOffset>
                </wp:positionH>
                <wp:positionV relativeFrom="paragraph">
                  <wp:posOffset>-1741170</wp:posOffset>
                </wp:positionV>
                <wp:extent cx="0" cy="31115"/>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115"/>
                        </a:xfrm>
                        <a:prstGeom prst="line">
                          <a:avLst/>
                        </a:prstGeom>
                        <a:solidFill>
                          <a:srgbClr val="FFFFFF"/>
                        </a:solidFill>
                        <a:ln w="6108">
                          <a:solidFill>
                            <a:srgbClr val="CFCFCF"/>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4.85pt,-137.0999pt" to="254.85pt,-134.6499pt" o:allowincell="f" strokecolor="#CFCFCF" strokeweight="0.4809pt"/>
            </w:pict>
          </mc:Fallback>
        </mc:AlternateContent>
        <mc:AlternateContent>
          <mc:Choice Requires="wps">
            <w:drawing>
              <wp:anchor simplePos="0" relativeHeight="251657728" behindDoc="1" locked="0" layoutInCell="0" allowOverlap="1">
                <wp:simplePos x="0" y="0"/>
                <wp:positionH relativeFrom="column">
                  <wp:posOffset>3599180</wp:posOffset>
                </wp:positionH>
                <wp:positionV relativeFrom="paragraph">
                  <wp:posOffset>-1741170</wp:posOffset>
                </wp:positionV>
                <wp:extent cx="0" cy="31115"/>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115"/>
                        </a:xfrm>
                        <a:prstGeom prst="line">
                          <a:avLst/>
                        </a:prstGeom>
                        <a:solidFill>
                          <a:srgbClr val="FFFFFF"/>
                        </a:solidFill>
                        <a:ln w="5981">
                          <a:solidFill>
                            <a:srgbClr val="D1D1D1"/>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4pt,-137.0999pt" to="283.4pt,-134.6499pt" o:allowincell="f" strokecolor="#D1D1D1" strokeweight="0.4709pt"/>
            </w:pict>
          </mc:Fallback>
        </mc:AlternateContent>
        <mc:AlternateContent>
          <mc:Choice Requires="wps">
            <w:drawing>
              <wp:anchor simplePos="0" relativeHeight="251657728" behindDoc="1" locked="0" layoutInCell="0" allowOverlap="1">
                <wp:simplePos x="0" y="0"/>
                <wp:positionH relativeFrom="column">
                  <wp:posOffset>3962400</wp:posOffset>
                </wp:positionH>
                <wp:positionV relativeFrom="paragraph">
                  <wp:posOffset>-1741170</wp:posOffset>
                </wp:positionV>
                <wp:extent cx="0" cy="31115"/>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115"/>
                        </a:xfrm>
                        <a:prstGeom prst="line">
                          <a:avLst/>
                        </a:prstGeom>
                        <a:solidFill>
                          <a:srgbClr val="FFFFFF"/>
                        </a:solidFill>
                        <a:ln w="5854">
                          <a:solidFill>
                            <a:srgbClr val="D3D3D3"/>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pt,-137.0999pt" to="312pt,-134.6499pt" o:allowincell="f" strokecolor="#D3D3D3" strokeweight="0.4609pt"/>
            </w:pict>
          </mc:Fallback>
        </mc:AlternateContent>
        <mc:AlternateContent>
          <mc:Choice Requires="wps">
            <w:drawing>
              <wp:anchor simplePos="0" relativeHeight="251657728" behindDoc="1" locked="0" layoutInCell="0" allowOverlap="1">
                <wp:simplePos x="0" y="0"/>
                <wp:positionH relativeFrom="column">
                  <wp:posOffset>4324985</wp:posOffset>
                </wp:positionH>
                <wp:positionV relativeFrom="paragraph">
                  <wp:posOffset>-1336040</wp:posOffset>
                </wp:positionV>
                <wp:extent cx="0" cy="50546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05460"/>
                        </a:xfrm>
                        <a:prstGeom prst="line">
                          <a:avLst/>
                        </a:prstGeom>
                        <a:solidFill>
                          <a:srgbClr val="FFFFFF"/>
                        </a:solidFill>
                        <a:ln w="5727">
                          <a:solidFill>
                            <a:srgbClr val="D4D4D4"/>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55pt,-105.1999pt" to="340.55pt,-65.3999pt" o:allowincell="f" strokecolor="#D4D4D4" strokeweight="0.4509pt"/>
            </w:pict>
          </mc:Fallback>
        </mc:AlternateContent>
        <w:drawing>
          <wp:anchor simplePos="0" relativeHeight="251657728" behindDoc="1" locked="0" layoutInCell="0" allowOverlap="1">
            <wp:simplePos x="0" y="0"/>
            <wp:positionH relativeFrom="column">
              <wp:posOffset>2508250</wp:posOffset>
            </wp:positionH>
            <wp:positionV relativeFrom="paragraph">
              <wp:posOffset>-236220</wp:posOffset>
            </wp:positionV>
            <wp:extent cx="2910205" cy="35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18">
                      <a:extLst>
                        <a:ext uri="{28A0092B-C50C-407E-A947-70E740481C1C}"/>
                      </a:extLst>
                    </a:blip>
                    <a:srcRect/>
                    <a:stretch>
                      <a:fillRect/>
                    </a:stretch>
                  </pic:blipFill>
                  <pic:spPr bwMode="auto">
                    <a:xfrm>
                      <a:off x="0" y="0"/>
                      <a:ext cx="2910205" cy="35560"/>
                    </a:xfrm>
                    <a:prstGeom prst="rect">
                      <a:avLst/>
                    </a:prstGeom>
                    <a:noFill/>
                  </pic:spPr>
                </pic:pic>
              </a:graphicData>
            </a:graphic>
          </wp:anchor>
        </w:drawing>
      </w:r>
    </w:p>
    <w:p>
      <w:pPr>
        <w:spacing w:after="0" w:line="20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20 Company Comparison Group</w:t>
      </w:r>
    </w:p>
    <w:p>
      <w:pPr>
        <w:spacing w:after="0" w:line="72" w:lineRule="exact"/>
        <w:rPr>
          <w:sz w:val="20"/>
          <w:szCs w:val="20"/>
          <w:color w:val="auto"/>
        </w:rPr>
      </w:pPr>
    </w:p>
    <w:tbl>
      <w:tblPr>
        <w:tblLayout w:type="fixed"/>
        <w:tblInd w:w="2440" w:type="dxa"/>
        <w:tblCellMar>
          <w:top w:w="0" w:type="dxa"/>
          <w:left w:w="0" w:type="dxa"/>
          <w:bottom w:w="0" w:type="dxa"/>
          <w:right w:w="0" w:type="dxa"/>
        </w:tblCellMar>
      </w:tblPr>
      <w:tr>
        <w:trPr>
          <w:trHeight w:val="201"/>
        </w:trPr>
        <w:tc>
          <w:tcPr>
            <w:tcW w:w="1820" w:type="dxa"/>
            <w:vAlign w:val="bottom"/>
          </w:tcPr>
          <w:p>
            <w:pPr>
              <w:spacing w:after="0"/>
              <w:rPr>
                <w:sz w:val="20"/>
                <w:szCs w:val="20"/>
                <w:color w:val="auto"/>
              </w:rPr>
            </w:pPr>
            <w:r>
              <w:rPr>
                <w:rFonts w:ascii="Arial" w:cs="Arial" w:eastAsia="Arial" w:hAnsi="Arial"/>
                <w:sz w:val="15"/>
                <w:szCs w:val="15"/>
                <w:color w:val="0E3C23"/>
              </w:rPr>
              <w:t>American Electric Power</w:t>
            </w:r>
          </w:p>
        </w:tc>
        <w:tc>
          <w:tcPr>
            <w:tcW w:w="2260" w:type="dxa"/>
            <w:vAlign w:val="bottom"/>
          </w:tcPr>
          <w:p>
            <w:pPr>
              <w:ind w:left="160"/>
              <w:spacing w:after="0"/>
              <w:rPr>
                <w:sz w:val="20"/>
                <w:szCs w:val="20"/>
                <w:color w:val="auto"/>
              </w:rPr>
            </w:pPr>
            <w:r>
              <w:rPr>
                <w:rFonts w:ascii="Arial" w:cs="Arial" w:eastAsia="Arial" w:hAnsi="Arial"/>
                <w:sz w:val="15"/>
                <w:szCs w:val="15"/>
                <w:color w:val="0E3C23"/>
              </w:rPr>
              <w:t>Halliburton</w:t>
            </w:r>
          </w:p>
        </w:tc>
        <w:tc>
          <w:tcPr>
            <w:tcW w:w="1460" w:type="dxa"/>
            <w:vAlign w:val="bottom"/>
          </w:tcPr>
          <w:p>
            <w:pPr>
              <w:ind w:left="140"/>
              <w:spacing w:after="0"/>
              <w:rPr>
                <w:sz w:val="20"/>
                <w:szCs w:val="20"/>
                <w:color w:val="auto"/>
              </w:rPr>
            </w:pPr>
            <w:r>
              <w:rPr>
                <w:rFonts w:ascii="Arial" w:cs="Arial" w:eastAsia="Arial" w:hAnsi="Arial"/>
                <w:sz w:val="15"/>
                <w:szCs w:val="15"/>
                <w:color w:val="0E3C23"/>
              </w:rPr>
              <w:t>Southern</w:t>
            </w:r>
          </w:p>
        </w:tc>
      </w:tr>
      <w:tr>
        <w:trPr>
          <w:trHeight w:val="232"/>
        </w:trPr>
        <w:tc>
          <w:tcPr>
            <w:tcW w:w="1820" w:type="dxa"/>
            <w:vAlign w:val="bottom"/>
          </w:tcPr>
          <w:p>
            <w:pPr>
              <w:spacing w:after="0"/>
              <w:rPr>
                <w:sz w:val="20"/>
                <w:szCs w:val="20"/>
                <w:color w:val="auto"/>
              </w:rPr>
            </w:pPr>
            <w:r>
              <w:rPr>
                <w:rFonts w:ascii="Arial" w:cs="Arial" w:eastAsia="Arial" w:hAnsi="Arial"/>
                <w:sz w:val="15"/>
                <w:szCs w:val="15"/>
                <w:color w:val="0E3C23"/>
              </w:rPr>
              <w:t>Avis Budget</w:t>
            </w:r>
          </w:p>
        </w:tc>
        <w:tc>
          <w:tcPr>
            <w:tcW w:w="2260" w:type="dxa"/>
            <w:vAlign w:val="bottom"/>
          </w:tcPr>
          <w:p>
            <w:pPr>
              <w:ind w:left="160"/>
              <w:spacing w:after="0"/>
              <w:rPr>
                <w:sz w:val="20"/>
                <w:szCs w:val="20"/>
                <w:color w:val="auto"/>
              </w:rPr>
            </w:pPr>
            <w:r>
              <w:rPr>
                <w:rFonts w:ascii="Arial" w:cs="Arial" w:eastAsia="Arial" w:hAnsi="Arial"/>
                <w:sz w:val="15"/>
                <w:szCs w:val="15"/>
                <w:color w:val="0E3C23"/>
              </w:rPr>
              <w:t>J.B. Hunt Transport Services</w:t>
            </w:r>
          </w:p>
        </w:tc>
        <w:tc>
          <w:tcPr>
            <w:tcW w:w="1460" w:type="dxa"/>
            <w:vAlign w:val="bottom"/>
          </w:tcPr>
          <w:p>
            <w:pPr>
              <w:ind w:left="140"/>
              <w:spacing w:after="0"/>
              <w:rPr>
                <w:sz w:val="20"/>
                <w:szCs w:val="20"/>
                <w:color w:val="auto"/>
              </w:rPr>
            </w:pPr>
            <w:r>
              <w:rPr>
                <w:rFonts w:ascii="Arial" w:cs="Arial" w:eastAsia="Arial" w:hAnsi="Arial"/>
                <w:sz w:val="15"/>
                <w:szCs w:val="15"/>
                <w:color w:val="0E3C23"/>
              </w:rPr>
              <w:t>Southwest Airlines</w:t>
            </w:r>
          </w:p>
        </w:tc>
      </w:tr>
      <w:tr>
        <w:trPr>
          <w:trHeight w:val="232"/>
        </w:trPr>
        <w:tc>
          <w:tcPr>
            <w:tcW w:w="1820" w:type="dxa"/>
            <w:vAlign w:val="bottom"/>
          </w:tcPr>
          <w:p>
            <w:pPr>
              <w:spacing w:after="0"/>
              <w:rPr>
                <w:sz w:val="20"/>
                <w:szCs w:val="20"/>
                <w:color w:val="auto"/>
              </w:rPr>
            </w:pPr>
            <w:r>
              <w:rPr>
                <w:rFonts w:ascii="Arial" w:cs="Arial" w:eastAsia="Arial" w:hAnsi="Arial"/>
                <w:sz w:val="15"/>
                <w:szCs w:val="15"/>
                <w:color w:val="0E3C23"/>
              </w:rPr>
              <w:t>C.H. Robinson WW</w:t>
            </w:r>
          </w:p>
        </w:tc>
        <w:tc>
          <w:tcPr>
            <w:tcW w:w="2260" w:type="dxa"/>
            <w:vAlign w:val="bottom"/>
          </w:tcPr>
          <w:p>
            <w:pPr>
              <w:ind w:left="160"/>
              <w:spacing w:after="0"/>
              <w:rPr>
                <w:sz w:val="20"/>
                <w:szCs w:val="20"/>
                <w:color w:val="auto"/>
              </w:rPr>
            </w:pPr>
            <w:r>
              <w:rPr>
                <w:rFonts w:ascii="Arial" w:cs="Arial" w:eastAsia="Arial" w:hAnsi="Arial"/>
                <w:sz w:val="15"/>
                <w:szCs w:val="15"/>
                <w:color w:val="0E3C23"/>
              </w:rPr>
              <w:t>NextEra Energy</w:t>
            </w:r>
          </w:p>
        </w:tc>
        <w:tc>
          <w:tcPr>
            <w:tcW w:w="1460" w:type="dxa"/>
            <w:vAlign w:val="bottom"/>
          </w:tcPr>
          <w:p>
            <w:pPr>
              <w:ind w:left="140"/>
              <w:spacing w:after="0"/>
              <w:rPr>
                <w:sz w:val="20"/>
                <w:szCs w:val="20"/>
                <w:color w:val="auto"/>
              </w:rPr>
            </w:pPr>
            <w:r>
              <w:rPr>
                <w:rFonts w:ascii="Arial" w:cs="Arial" w:eastAsia="Arial" w:hAnsi="Arial"/>
                <w:sz w:val="15"/>
                <w:szCs w:val="15"/>
                <w:color w:val="0E3C23"/>
              </w:rPr>
              <w:t>Sysco</w:t>
            </w:r>
          </w:p>
        </w:tc>
      </w:tr>
      <w:tr>
        <w:trPr>
          <w:trHeight w:val="232"/>
        </w:trPr>
        <w:tc>
          <w:tcPr>
            <w:tcW w:w="1820" w:type="dxa"/>
            <w:vAlign w:val="bottom"/>
          </w:tcPr>
          <w:p>
            <w:pPr>
              <w:spacing w:after="0"/>
              <w:rPr>
                <w:sz w:val="20"/>
                <w:szCs w:val="20"/>
                <w:color w:val="auto"/>
              </w:rPr>
            </w:pPr>
            <w:r>
              <w:rPr>
                <w:rFonts w:ascii="Arial" w:cs="Arial" w:eastAsia="Arial" w:hAnsi="Arial"/>
                <w:sz w:val="15"/>
                <w:szCs w:val="15"/>
                <w:color w:val="0E3C23"/>
              </w:rPr>
              <w:t>CSX</w:t>
            </w:r>
          </w:p>
        </w:tc>
        <w:tc>
          <w:tcPr>
            <w:tcW w:w="2260" w:type="dxa"/>
            <w:vAlign w:val="bottom"/>
          </w:tcPr>
          <w:p>
            <w:pPr>
              <w:ind w:left="160"/>
              <w:spacing w:after="0"/>
              <w:rPr>
                <w:sz w:val="20"/>
                <w:szCs w:val="20"/>
                <w:color w:val="auto"/>
              </w:rPr>
            </w:pPr>
            <w:r>
              <w:rPr>
                <w:rFonts w:ascii="Arial" w:cs="Arial" w:eastAsia="Arial" w:hAnsi="Arial"/>
                <w:sz w:val="15"/>
                <w:szCs w:val="15"/>
                <w:color w:val="0E3C23"/>
              </w:rPr>
              <w:t>Norfolk Southern</w:t>
            </w:r>
          </w:p>
        </w:tc>
        <w:tc>
          <w:tcPr>
            <w:tcW w:w="1460" w:type="dxa"/>
            <w:vAlign w:val="bottom"/>
          </w:tcPr>
          <w:p>
            <w:pPr>
              <w:ind w:left="140"/>
              <w:spacing w:after="0"/>
              <w:rPr>
                <w:sz w:val="20"/>
                <w:szCs w:val="20"/>
                <w:color w:val="auto"/>
              </w:rPr>
            </w:pPr>
            <w:r>
              <w:rPr>
                <w:rFonts w:ascii="Arial" w:cs="Arial" w:eastAsia="Arial" w:hAnsi="Arial"/>
                <w:sz w:val="15"/>
                <w:szCs w:val="15"/>
                <w:color w:val="0E3C23"/>
              </w:rPr>
              <w:t>Union Pacific</w:t>
            </w:r>
          </w:p>
        </w:tc>
      </w:tr>
      <w:tr>
        <w:trPr>
          <w:trHeight w:val="232"/>
        </w:trPr>
        <w:tc>
          <w:tcPr>
            <w:tcW w:w="1820" w:type="dxa"/>
            <w:vAlign w:val="bottom"/>
          </w:tcPr>
          <w:p>
            <w:pPr>
              <w:spacing w:after="0"/>
              <w:rPr>
                <w:sz w:val="20"/>
                <w:szCs w:val="20"/>
                <w:color w:val="auto"/>
              </w:rPr>
            </w:pPr>
            <w:r>
              <w:rPr>
                <w:rFonts w:ascii="Arial" w:cs="Arial" w:eastAsia="Arial" w:hAnsi="Arial"/>
                <w:sz w:val="15"/>
                <w:szCs w:val="15"/>
                <w:color w:val="0E3C23"/>
              </w:rPr>
              <w:t>Entergy</w:t>
            </w:r>
          </w:p>
        </w:tc>
        <w:tc>
          <w:tcPr>
            <w:tcW w:w="2260" w:type="dxa"/>
            <w:vAlign w:val="bottom"/>
          </w:tcPr>
          <w:p>
            <w:pPr>
              <w:ind w:left="160"/>
              <w:spacing w:after="0"/>
              <w:rPr>
                <w:sz w:val="20"/>
                <w:szCs w:val="20"/>
                <w:color w:val="auto"/>
              </w:rPr>
            </w:pPr>
            <w:r>
              <w:rPr>
                <w:rFonts w:ascii="Arial" w:cs="Arial" w:eastAsia="Arial" w:hAnsi="Arial"/>
                <w:sz w:val="15"/>
                <w:szCs w:val="15"/>
                <w:color w:val="0E3C23"/>
              </w:rPr>
              <w:t>Republic Services</w:t>
            </w:r>
          </w:p>
        </w:tc>
        <w:tc>
          <w:tcPr>
            <w:tcW w:w="1460" w:type="dxa"/>
            <w:vAlign w:val="bottom"/>
          </w:tcPr>
          <w:p>
            <w:pPr>
              <w:ind w:left="140"/>
              <w:spacing w:after="0"/>
              <w:rPr>
                <w:sz w:val="20"/>
                <w:szCs w:val="20"/>
                <w:color w:val="auto"/>
              </w:rPr>
            </w:pPr>
            <w:r>
              <w:rPr>
                <w:rFonts w:ascii="Arial" w:cs="Arial" w:eastAsia="Arial" w:hAnsi="Arial"/>
                <w:sz w:val="15"/>
                <w:szCs w:val="15"/>
                <w:color w:val="0E3C23"/>
              </w:rPr>
              <w:t>UPS</w:t>
            </w:r>
          </w:p>
        </w:tc>
      </w:tr>
      <w:tr>
        <w:trPr>
          <w:trHeight w:val="232"/>
        </w:trPr>
        <w:tc>
          <w:tcPr>
            <w:tcW w:w="1820" w:type="dxa"/>
            <w:vAlign w:val="bottom"/>
          </w:tcPr>
          <w:p>
            <w:pPr>
              <w:spacing w:after="0"/>
              <w:rPr>
                <w:sz w:val="20"/>
                <w:szCs w:val="20"/>
                <w:color w:val="auto"/>
              </w:rPr>
            </w:pPr>
            <w:r>
              <w:rPr>
                <w:rFonts w:ascii="Arial" w:cs="Arial" w:eastAsia="Arial" w:hAnsi="Arial"/>
                <w:sz w:val="15"/>
                <w:szCs w:val="15"/>
                <w:color w:val="0E3C23"/>
              </w:rPr>
              <w:t>FedEx</w:t>
            </w:r>
          </w:p>
        </w:tc>
        <w:tc>
          <w:tcPr>
            <w:tcW w:w="2260" w:type="dxa"/>
            <w:vAlign w:val="bottom"/>
          </w:tcPr>
          <w:p>
            <w:pPr>
              <w:ind w:left="160"/>
              <w:spacing w:after="0"/>
              <w:rPr>
                <w:sz w:val="20"/>
                <w:szCs w:val="20"/>
                <w:color w:val="auto"/>
              </w:rPr>
            </w:pPr>
            <w:r>
              <w:rPr>
                <w:rFonts w:ascii="Arial" w:cs="Arial" w:eastAsia="Arial" w:hAnsi="Arial"/>
                <w:sz w:val="15"/>
                <w:szCs w:val="15"/>
                <w:color w:val="0E3C23"/>
              </w:rPr>
              <w:t>Ryder System</w:t>
            </w:r>
          </w:p>
        </w:tc>
        <w:tc>
          <w:tcPr>
            <w:tcW w:w="1460" w:type="dxa"/>
            <w:vAlign w:val="bottom"/>
          </w:tcPr>
          <w:p>
            <w:pPr>
              <w:ind w:left="140"/>
              <w:spacing w:after="0"/>
              <w:rPr>
                <w:sz w:val="20"/>
                <w:szCs w:val="20"/>
                <w:color w:val="auto"/>
              </w:rPr>
            </w:pPr>
            <w:r>
              <w:rPr>
                <w:rFonts w:ascii="Arial" w:cs="Arial" w:eastAsia="Arial" w:hAnsi="Arial"/>
                <w:sz w:val="15"/>
                <w:szCs w:val="15"/>
                <w:color w:val="0E3C23"/>
                <w:w w:val="99"/>
              </w:rPr>
              <w:t>Waste Connections</w:t>
            </w:r>
          </w:p>
        </w:tc>
      </w:tr>
      <w:tr>
        <w:trPr>
          <w:trHeight w:val="232"/>
        </w:trPr>
        <w:tc>
          <w:tcPr>
            <w:tcW w:w="1820" w:type="dxa"/>
            <w:vAlign w:val="bottom"/>
          </w:tcPr>
          <w:p>
            <w:pPr>
              <w:spacing w:after="0"/>
              <w:rPr>
                <w:sz w:val="20"/>
                <w:szCs w:val="20"/>
                <w:color w:val="auto"/>
              </w:rPr>
            </w:pPr>
            <w:r>
              <w:rPr>
                <w:rFonts w:ascii="Arial" w:cs="Arial" w:eastAsia="Arial" w:hAnsi="Arial"/>
                <w:sz w:val="15"/>
                <w:szCs w:val="15"/>
                <w:color w:val="0E3C23"/>
              </w:rPr>
              <w:t>Grainger (WW)</w:t>
            </w:r>
          </w:p>
        </w:tc>
        <w:tc>
          <w:tcPr>
            <w:tcW w:w="2260" w:type="dxa"/>
            <w:vAlign w:val="bottom"/>
          </w:tcPr>
          <w:p>
            <w:pPr>
              <w:ind w:left="160"/>
              <w:spacing w:after="0"/>
              <w:rPr>
                <w:sz w:val="20"/>
                <w:szCs w:val="20"/>
                <w:color w:val="auto"/>
              </w:rPr>
            </w:pPr>
            <w:r>
              <w:rPr>
                <w:rFonts w:ascii="Arial" w:cs="Arial" w:eastAsia="Arial" w:hAnsi="Arial"/>
                <w:sz w:val="15"/>
                <w:szCs w:val="15"/>
                <w:color w:val="0E3C23"/>
              </w:rPr>
              <w:t>Schlumberger</w:t>
            </w:r>
          </w:p>
        </w:tc>
        <w:tc>
          <w:tcPr>
            <w:tcW w:w="1460" w:type="dxa"/>
            <w:vAlign w:val="bottom"/>
          </w:tcPr>
          <w:p>
            <w:pPr>
              <w:spacing w:after="0"/>
              <w:rPr>
                <w:sz w:val="20"/>
                <w:szCs w:val="20"/>
                <w:color w:val="auto"/>
              </w:rPr>
            </w:pPr>
          </w:p>
        </w:tc>
      </w:tr>
      <w:tr>
        <w:trPr>
          <w:trHeight w:val="22"/>
        </w:trPr>
        <w:tc>
          <w:tcPr>
            <w:tcW w:w="1820" w:type="dxa"/>
            <w:vAlign w:val="bottom"/>
            <w:tcBorders>
              <w:bottom w:val="single" w:sz="8" w:color="0E3C23"/>
            </w:tcBorders>
          </w:tcPr>
          <w:p>
            <w:pPr>
              <w:spacing w:after="0" w:line="20" w:lineRule="exact"/>
              <w:rPr>
                <w:sz w:val="1"/>
                <w:szCs w:val="1"/>
                <w:color w:val="auto"/>
              </w:rPr>
            </w:pPr>
          </w:p>
        </w:tc>
        <w:tc>
          <w:tcPr>
            <w:tcW w:w="2260" w:type="dxa"/>
            <w:vAlign w:val="bottom"/>
            <w:tcBorders>
              <w:bottom w:val="single" w:sz="8" w:color="0E3C23"/>
            </w:tcBorders>
          </w:tcPr>
          <w:p>
            <w:pPr>
              <w:spacing w:after="0" w:line="20" w:lineRule="exact"/>
              <w:rPr>
                <w:sz w:val="1"/>
                <w:szCs w:val="1"/>
                <w:color w:val="auto"/>
              </w:rPr>
            </w:pPr>
          </w:p>
        </w:tc>
        <w:tc>
          <w:tcPr>
            <w:tcW w:w="1460" w:type="dxa"/>
            <w:vAlign w:val="bottom"/>
            <w:tcBorders>
              <w:bottom w:val="single" w:sz="8" w:color="0E3C23"/>
            </w:tcBorders>
          </w:tcPr>
          <w:p>
            <w:pPr>
              <w:spacing w:after="0" w:line="20" w:lineRule="exact"/>
              <w:rPr>
                <w:sz w:val="1"/>
                <w:szCs w:val="1"/>
                <w:color w:val="auto"/>
              </w:rPr>
            </w:pPr>
          </w:p>
        </w:tc>
      </w:tr>
    </w:tbl>
    <w:p>
      <w:pPr>
        <w:spacing w:after="0" w:line="185" w:lineRule="exact"/>
        <w:rPr>
          <w:sz w:val="20"/>
          <w:szCs w:val="20"/>
          <w:color w:val="auto"/>
        </w:rPr>
      </w:pPr>
    </w:p>
    <w:p>
      <w:pPr>
        <w:jc w:val="both"/>
        <w:ind w:left="180" w:right="200"/>
        <w:spacing w:after="0" w:line="253" w:lineRule="auto"/>
        <w:rPr>
          <w:sz w:val="20"/>
          <w:szCs w:val="20"/>
          <w:color w:val="auto"/>
        </w:rPr>
      </w:pPr>
      <w:r>
        <w:rPr>
          <w:rFonts w:ascii="Arial" w:cs="Arial" w:eastAsia="Arial" w:hAnsi="Arial"/>
          <w:sz w:val="20"/>
          <w:szCs w:val="20"/>
          <w:color w:val="auto"/>
        </w:rPr>
        <w:t>For purposes of each of the named executives, the general industry data and the comparison group data are blended when composing the competitive analysis, when possible, such that the combined general industry data and the comparison group are each weighted 50%. For competitive comparisons, the MD&amp;C Committee has determined that total direct compensation packages for our named executive officers within a range of plus or minus 20% of the median total compensation of the competitive analysis is appropriate. In making these determinations, total direct compensation consists of base salary, target annual cash incentive, and the annualized grant date fair value of long-term equity incentive awards.</w:t>
      </w:r>
    </w:p>
    <w:p>
      <w:pPr>
        <w:spacing w:after="0" w:line="127" w:lineRule="exact"/>
        <w:rPr>
          <w:sz w:val="20"/>
          <w:szCs w:val="20"/>
          <w:color w:val="auto"/>
        </w:rPr>
      </w:pPr>
    </w:p>
    <w:p>
      <w:pPr>
        <w:jc w:val="both"/>
        <w:ind w:left="180" w:right="200"/>
        <w:spacing w:after="0" w:line="251" w:lineRule="auto"/>
        <w:rPr>
          <w:sz w:val="20"/>
          <w:szCs w:val="20"/>
          <w:color w:val="auto"/>
        </w:rPr>
      </w:pPr>
      <w:r>
        <w:rPr>
          <w:rFonts w:ascii="Arial" w:cs="Arial" w:eastAsia="Arial" w:hAnsi="Arial"/>
          <w:sz w:val="20"/>
          <w:szCs w:val="20"/>
          <w:i w:val="1"/>
          <w:iCs w:val="1"/>
          <w:u w:val="single" w:color="auto"/>
          <w:color w:val="auto"/>
        </w:rPr>
        <w:t>Allocation of Compensation Elements and Tally Sheets.</w:t>
      </w:r>
      <w:r>
        <w:rPr>
          <w:rFonts w:ascii="Arial" w:cs="Arial" w:eastAsia="Arial" w:hAnsi="Arial"/>
          <w:sz w:val="20"/>
          <w:szCs w:val="20"/>
          <w:i w:val="1"/>
          <w:iCs w:val="1"/>
          <w:color w:val="auto"/>
        </w:rPr>
        <w:t xml:space="preserve"> </w:t>
      </w:r>
      <w:r>
        <w:rPr>
          <w:rFonts w:ascii="Arial" w:cs="Arial" w:eastAsia="Arial" w:hAnsi="Arial"/>
          <w:sz w:val="20"/>
          <w:szCs w:val="20"/>
          <w:color w:val="auto"/>
        </w:rPr>
        <w:t>The MD&amp;C Committee considers the forms in which total</w:t>
      </w:r>
      <w:r>
        <w:rPr>
          <w:rFonts w:ascii="Arial" w:cs="Arial" w:eastAsia="Arial" w:hAnsi="Arial"/>
          <w:sz w:val="20"/>
          <w:szCs w:val="20"/>
          <w:i w:val="1"/>
          <w:iCs w:val="1"/>
          <w:color w:val="auto"/>
        </w:rPr>
        <w:t xml:space="preserve"> </w:t>
      </w:r>
      <w:r>
        <w:rPr>
          <w:rFonts w:ascii="Arial" w:cs="Arial" w:eastAsia="Arial" w:hAnsi="Arial"/>
          <w:sz w:val="20"/>
          <w:szCs w:val="20"/>
          <w:color w:val="auto"/>
        </w:rPr>
        <w:t>compensation will be paid to executive officers and seeks to achieve an appropriate balance between base salary, annual cash incentive compensation and long-term incentive compensation. The MD&amp;C Committee determines the size of each element based primarily on comparison group data and individual and Company performance. The percentage of compensation that is contingent on achievement of performance criteria typically increases in correlation to an executive officer’s responsibilities within the Company, with performance-based incentive compensation making up a greater percentage of total compensation for our most senior executive officers. Additionally, as an executive becomes more senior, a greater percentage of the executive’s compensation shifts away from short-term to long-term incentive awards.</w:t>
      </w:r>
    </w:p>
    <w:p>
      <w:pPr>
        <w:spacing w:after="0" w:line="130" w:lineRule="exact"/>
        <w:rPr>
          <w:sz w:val="20"/>
          <w:szCs w:val="20"/>
          <w:color w:val="auto"/>
        </w:rPr>
      </w:pPr>
    </w:p>
    <w:p>
      <w:pPr>
        <w:jc w:val="both"/>
        <w:ind w:left="180" w:right="200"/>
        <w:spacing w:after="0" w:line="282" w:lineRule="auto"/>
        <w:rPr>
          <w:sz w:val="20"/>
          <w:szCs w:val="20"/>
          <w:color w:val="auto"/>
        </w:rPr>
      </w:pPr>
      <w:r>
        <w:rPr>
          <w:rFonts w:ascii="Arial" w:cs="Arial" w:eastAsia="Arial" w:hAnsi="Arial"/>
          <w:sz w:val="18"/>
          <w:szCs w:val="18"/>
          <w:color w:val="auto"/>
        </w:rPr>
        <w:t>The MD&amp;C Committee uses tally sheets to review the compensation of our named executive officers, which show the cumulative impact of all elements of compensation. These tally sheets include detailed information and dollar amounts for each component of compensation, the value of all equity held by each named executive, and the value of welfare and retirement benefits and severance payments. Tally sheets provide the MD&amp;C Committee with the relevant information necessary to determine whether the balance between short-term and long-term compensation, as well as fixed and variable compensation, is consistent with the overall compensation philosophy of the Company. This information is also useful in the MD&amp;C Committee’s analysis of whether total direct compensation provides a compensation package that is appropriate and competitive. Tally sheets are provided annually to the full Board of Directors.</w:t>
      </w:r>
    </w:p>
    <w:p>
      <w:pPr>
        <w:spacing w:after="0" w:line="106" w:lineRule="exact"/>
        <w:rPr>
          <w:sz w:val="20"/>
          <w:szCs w:val="20"/>
          <w:color w:val="auto"/>
        </w:rPr>
      </w:pPr>
    </w:p>
    <w:p>
      <w:pPr>
        <w:jc w:val="both"/>
        <w:ind w:left="180" w:right="200"/>
        <w:spacing w:after="0" w:line="285" w:lineRule="auto"/>
        <w:rPr>
          <w:sz w:val="20"/>
          <w:szCs w:val="20"/>
          <w:color w:val="auto"/>
        </w:rPr>
      </w:pPr>
      <w:r>
        <w:rPr>
          <w:rFonts w:ascii="Arial" w:cs="Arial" w:eastAsia="Arial" w:hAnsi="Arial"/>
          <w:sz w:val="18"/>
          <w:szCs w:val="18"/>
          <w:color w:val="auto"/>
        </w:rPr>
        <w:t>The following charts display the allocation of total 2024 target compensation among base salary, annual cash incentive and annual long-term equity awards for (a) our President and Chief Executive Officer and (b) our other named executives, on average. These charts depict the MD&amp;C Committee’s 2024 desired total mix of target compensation for named executives and reflect that a substantial majority of executive compensation is linked to Company performance, through annual cash incentive performance criteria and long-term equity-based incentive awards. We consider stock options</w:t>
      </w:r>
    </w:p>
    <w:p>
      <w:pPr>
        <w:spacing w:after="0" w:line="390"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4"/>
          <w:szCs w:val="34"/>
          <w:b w:val="1"/>
          <w:bCs w:val="1"/>
          <w:color w:val="0E3C23"/>
        </w:rPr>
        <w:t xml:space="preserve">|  </w:t>
      </w:r>
      <w:r>
        <w:rPr>
          <w:rFonts w:ascii="Arial" w:cs="Arial" w:eastAsia="Arial" w:hAnsi="Arial"/>
          <w:sz w:val="18"/>
          <w:szCs w:val="18"/>
          <w:color w:val="00000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-192405</wp:posOffset>
            </wp:positionV>
            <wp:extent cx="538480" cy="1619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19">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59" w:gutter="0" w:footer="0" w:header="0"/>
        </w:sectPr>
      </w:pPr>
    </w:p>
    <w:bookmarkStart w:id="45" w:name="page46"/>
    <w:bookmarkEnd w:id="45"/>
    <w:p>
      <w:pPr>
        <w:ind w:left="1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1027430</wp:posOffset>
            </wp:positionH>
            <wp:positionV relativeFrom="page">
              <wp:posOffset>774065</wp:posOffset>
            </wp:positionV>
            <wp:extent cx="6386830" cy="12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20">
                      <a:extLst>
                        <a:ext uri="{28A0092B-C50C-407E-A947-70E740481C1C}"/>
                      </a:extLst>
                    </a:blip>
                    <a:srcRect/>
                    <a:stretch>
                      <a:fillRect/>
                    </a:stretch>
                  </pic:blipFill>
                  <pic:spPr bwMode="auto">
                    <a:xfrm>
                      <a:off x="0" y="0"/>
                      <a:ext cx="6386830" cy="12700"/>
                    </a:xfrm>
                    <a:prstGeom prst="rect">
                      <a:avLst/>
                    </a:prstGeom>
                    <a:noFill/>
                  </pic:spPr>
                </pic:pic>
              </a:graphicData>
            </a:graphic>
          </wp:anchor>
        </w:drawing>
        <w:t>EXECUTIVE COMPENSATION</w:t>
      </w:r>
    </w:p>
    <w:p>
      <w:pPr>
        <w:spacing w:after="0" w:line="210" w:lineRule="exact"/>
        <w:rPr>
          <w:sz w:val="20"/>
          <w:szCs w:val="20"/>
          <w:color w:val="auto"/>
        </w:rPr>
      </w:pPr>
    </w:p>
    <w:p>
      <w:pPr>
        <w:jc w:val="both"/>
        <w:ind w:left="180" w:right="200"/>
        <w:spacing w:after="0" w:line="238" w:lineRule="auto"/>
        <w:rPr>
          <w:sz w:val="20"/>
          <w:szCs w:val="20"/>
          <w:color w:val="auto"/>
        </w:rPr>
      </w:pPr>
      <w:r>
        <w:rPr>
          <w:rFonts w:ascii="Arial" w:cs="Arial" w:eastAsia="Arial" w:hAnsi="Arial"/>
          <w:sz w:val="20"/>
          <w:szCs w:val="20"/>
          <w:color w:val="auto"/>
        </w:rPr>
        <w:t>granted under our long-term incentive plan to be performance-based because their value will increase as the market value of our Common Stock increases.</w:t>
      </w:r>
    </w:p>
    <w:p>
      <w:pPr>
        <w:spacing w:after="0" w:line="142" w:lineRule="exact"/>
        <w:rPr>
          <w:sz w:val="20"/>
          <w:szCs w:val="20"/>
          <w:color w:val="auto"/>
        </w:rPr>
      </w:pPr>
    </w:p>
    <w:p>
      <w:pPr>
        <w:ind w:left="2100"/>
        <w:spacing w:after="0"/>
        <w:tabs>
          <w:tab w:leader="none" w:pos="5860" w:val="left"/>
        </w:tabs>
        <w:rPr>
          <w:sz w:val="20"/>
          <w:szCs w:val="20"/>
          <w:color w:val="auto"/>
        </w:rPr>
      </w:pPr>
      <w:r>
        <w:rPr>
          <w:rFonts w:ascii="Arial" w:cs="Arial" w:eastAsia="Arial" w:hAnsi="Arial"/>
          <w:sz w:val="19"/>
          <w:szCs w:val="19"/>
          <w:b w:val="1"/>
          <w:bCs w:val="1"/>
          <w:color w:val="auto"/>
        </w:rPr>
        <w:t>President and CEO</w:t>
      </w:r>
      <w:r>
        <w:rPr>
          <w:sz w:val="20"/>
          <w:szCs w:val="20"/>
          <w:color w:val="auto"/>
        </w:rPr>
        <w:tab/>
      </w:r>
      <w:r>
        <w:rPr>
          <w:rFonts w:ascii="Arial" w:cs="Arial" w:eastAsia="Arial" w:hAnsi="Arial"/>
          <w:sz w:val="18"/>
          <w:szCs w:val="18"/>
          <w:b w:val="1"/>
          <w:bCs w:val="1"/>
          <w:color w:val="auto"/>
        </w:rPr>
        <w:t>Other Named Executives, 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33020</wp:posOffset>
            </wp:positionV>
            <wp:extent cx="5727700" cy="127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21">
                      <a:extLst>
                        <a:ext uri="{28A0092B-C50C-407E-A947-70E740481C1C}"/>
                      </a:extLst>
                    </a:blip>
                    <a:srcRect/>
                    <a:stretch>
                      <a:fillRect/>
                    </a:stretch>
                  </pic:blipFill>
                  <pic:spPr bwMode="auto">
                    <a:xfrm>
                      <a:off x="0" y="0"/>
                      <a:ext cx="5727700" cy="12700"/>
                    </a:xfrm>
                    <a:prstGeom prst="rect">
                      <a:avLst/>
                    </a:prstGeom>
                    <a:noFill/>
                  </pic:spPr>
                </pic:pic>
              </a:graphicData>
            </a:graphic>
          </wp:anchor>
        </w:drawing>
      </w:r>
    </w:p>
    <w:p>
      <w:pPr>
        <w:spacing w:after="0" w:line="168" w:lineRule="exact"/>
        <w:rPr>
          <w:sz w:val="20"/>
          <w:szCs w:val="20"/>
          <w:color w:val="auto"/>
        </w:rPr>
      </w:pPr>
    </w:p>
    <w:tbl>
      <w:tblPr>
        <w:tblLayout w:type="fixed"/>
        <w:tblInd w:w="940" w:type="dxa"/>
        <w:tblCellMar>
          <w:top w:w="0" w:type="dxa"/>
          <w:left w:w="0" w:type="dxa"/>
          <w:bottom w:w="0" w:type="dxa"/>
          <w:right w:w="0" w:type="dxa"/>
        </w:tblCellMar>
      </w:tblPr>
      <w:tr>
        <w:trPr>
          <w:trHeight w:val="261"/>
        </w:trPr>
        <w:tc>
          <w:tcPr>
            <w:tcW w:w="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gridSpan w:val="2"/>
          </w:tcPr>
          <w:p>
            <w:pPr>
              <w:ind w:left="20"/>
              <w:spacing w:after="0"/>
              <w:rPr>
                <w:sz w:val="20"/>
                <w:szCs w:val="20"/>
                <w:color w:val="auto"/>
              </w:rPr>
            </w:pPr>
            <w:r>
              <w:rPr>
                <w:rFonts w:ascii="Arial" w:cs="Arial" w:eastAsia="Arial" w:hAnsi="Arial"/>
                <w:sz w:val="20"/>
                <w:szCs w:val="20"/>
                <w:color w:val="auto"/>
              </w:rPr>
              <w:t>11%</w:t>
            </w:r>
          </w:p>
        </w:tc>
        <w:tc>
          <w:tcPr>
            <w:tcW w:w="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40" w:type="dxa"/>
            <w:vAlign w:val="bottom"/>
            <w:gridSpan w:val="4"/>
          </w:tcPr>
          <w:p>
            <w:pPr>
              <w:ind w:left="500"/>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20"/>
              <w:spacing w:after="0" w:line="148" w:lineRule="exact"/>
              <w:rPr>
                <w:sz w:val="20"/>
                <w:szCs w:val="20"/>
                <w:color w:val="auto"/>
              </w:rPr>
            </w:pPr>
            <w:r>
              <w:rPr>
                <w:rFonts w:ascii="Arial" w:cs="Arial" w:eastAsia="Arial" w:hAnsi="Arial"/>
                <w:sz w:val="16"/>
                <w:szCs w:val="16"/>
                <w:color w:val="auto"/>
              </w:rPr>
              <w:t>Base Salary</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6"/>
                <w:szCs w:val="16"/>
                <w:color w:val="auto"/>
              </w:rPr>
              <w:t>Base Salary</w:t>
            </w:r>
          </w:p>
        </w:tc>
        <w:tc>
          <w:tcPr>
            <w:tcW w:w="0" w:type="dxa"/>
            <w:vAlign w:val="bottom"/>
          </w:tcPr>
          <w:p>
            <w:pPr>
              <w:spacing w:after="0"/>
              <w:rPr>
                <w:sz w:val="1"/>
                <w:szCs w:val="1"/>
                <w:color w:val="auto"/>
              </w:rPr>
            </w:pPr>
          </w:p>
        </w:tc>
      </w:tr>
      <w:tr>
        <w:trPr>
          <w:trHeight w:val="54"/>
        </w:trPr>
        <w:tc>
          <w:tcPr>
            <w:tcW w:w="4360" w:type="dxa"/>
            <w:vAlign w:val="bottom"/>
            <w:gridSpan w:val="9"/>
            <w:vMerge w:val="restart"/>
          </w:tcPr>
          <w:p>
            <w:pPr>
              <w:ind w:left="3120"/>
              <w:spacing w:after="0"/>
              <w:rPr>
                <w:sz w:val="20"/>
                <w:szCs w:val="20"/>
                <w:color w:val="auto"/>
              </w:rPr>
            </w:pPr>
            <w:r>
              <w:rPr>
                <w:rFonts w:ascii="Arial" w:cs="Arial" w:eastAsia="Arial" w:hAnsi="Arial"/>
                <w:sz w:val="20"/>
                <w:szCs w:val="20"/>
                <w:color w:val="auto"/>
              </w:rPr>
              <w:t>17%</w:t>
            </w: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9"/>
        </w:trPr>
        <w:tc>
          <w:tcPr>
            <w:tcW w:w="4360" w:type="dxa"/>
            <w:vAlign w:val="bottom"/>
            <w:gridSpan w:val="9"/>
            <w:vMerge w:val="continue"/>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Annual Cash</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4"/>
          </w:tcPr>
          <w:p>
            <w:pPr>
              <w:ind w:left="760"/>
              <w:spacing w:after="0" w:line="192" w:lineRule="exact"/>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38"/>
        </w:trPr>
        <w:tc>
          <w:tcPr>
            <w:tcW w:w="6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vMerge w:val="restart"/>
          </w:tcPr>
          <w:p>
            <w:pPr>
              <w:spacing w:after="0"/>
              <w:rPr>
                <w:sz w:val="20"/>
                <w:szCs w:val="20"/>
                <w:color w:val="auto"/>
              </w:rPr>
            </w:pPr>
            <w:r>
              <w:rPr>
                <w:rFonts w:ascii="Arial" w:cs="Arial" w:eastAsia="Arial" w:hAnsi="Arial"/>
                <w:sz w:val="16"/>
                <w:szCs w:val="16"/>
                <w:color w:val="auto"/>
              </w:rPr>
              <w:t>Incentive</w:t>
            </w: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vMerge w:val="restart"/>
          </w:tcPr>
          <w:p>
            <w:pPr>
              <w:ind w:left="20"/>
              <w:spacing w:after="0"/>
              <w:rPr>
                <w:sz w:val="20"/>
                <w:szCs w:val="20"/>
                <w:color w:val="auto"/>
              </w:rPr>
            </w:pPr>
            <w:r>
              <w:rPr>
                <w:rFonts w:ascii="Arial" w:cs="Arial" w:eastAsia="Arial" w:hAnsi="Arial"/>
                <w:sz w:val="16"/>
                <w:szCs w:val="16"/>
                <w:color w:val="auto"/>
              </w:rPr>
              <w:t>Annual Cash</w:t>
            </w: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00" w:type="dxa"/>
            <w:vAlign w:val="bottom"/>
            <w:vMerge w:val="restart"/>
          </w:tcPr>
          <w:p>
            <w:pPr>
              <w:spacing w:after="0"/>
              <w:rPr>
                <w:sz w:val="20"/>
                <w:szCs w:val="20"/>
                <w:color w:val="auto"/>
              </w:rPr>
            </w:pPr>
            <w:r>
              <w:rPr>
                <w:rFonts w:ascii="Arial" w:cs="Arial" w:eastAsia="Arial" w:hAnsi="Arial"/>
                <w:sz w:val="20"/>
                <w:szCs w:val="20"/>
                <w:color w:val="auto"/>
              </w:rPr>
              <w:t>72%</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vMerge w:val="restart"/>
          </w:tcPr>
          <w:p>
            <w:pPr>
              <w:ind w:left="240"/>
              <w:spacing w:after="0"/>
              <w:rPr>
                <w:sz w:val="20"/>
                <w:szCs w:val="20"/>
                <w:color w:val="auto"/>
              </w:rPr>
            </w:pPr>
            <w:r>
              <w:rPr>
                <w:rFonts w:ascii="Arial" w:cs="Arial" w:eastAsia="Arial" w:hAnsi="Arial"/>
                <w:sz w:val="20"/>
                <w:szCs w:val="20"/>
                <w:color w:val="auto"/>
              </w:rPr>
              <w:t>61%</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Incentive</w:t>
            </w:r>
          </w:p>
        </w:tc>
        <w:tc>
          <w:tcPr>
            <w:tcW w:w="0" w:type="dxa"/>
            <w:vAlign w:val="bottom"/>
          </w:tcPr>
          <w:p>
            <w:pPr>
              <w:spacing w:after="0"/>
              <w:rPr>
                <w:sz w:val="1"/>
                <w:szCs w:val="1"/>
                <w:color w:val="auto"/>
              </w:rPr>
            </w:pPr>
          </w:p>
        </w:tc>
      </w:tr>
      <w:tr>
        <w:trPr>
          <w:trHeight w:val="75"/>
        </w:trPr>
        <w:tc>
          <w:tcPr>
            <w:tcW w:w="600" w:type="dxa"/>
            <w:vAlign w:val="bottom"/>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4360" w:type="dxa"/>
            <w:vAlign w:val="bottom"/>
            <w:gridSpan w:val="9"/>
          </w:tcPr>
          <w:p>
            <w:pPr>
              <w:spacing w:after="0"/>
              <w:rPr>
                <w:sz w:val="20"/>
                <w:szCs w:val="20"/>
                <w:color w:val="auto"/>
              </w:rPr>
            </w:pPr>
            <w:r>
              <w:rPr>
                <w:rFonts w:ascii="Arial" w:cs="Arial" w:eastAsia="Arial" w:hAnsi="Arial"/>
                <w:sz w:val="16"/>
                <w:szCs w:val="16"/>
                <w:color w:val="auto"/>
              </w:rPr>
              <w:t>Long-Term</w:t>
            </w:r>
          </w:p>
        </w:tc>
        <w:tc>
          <w:tcPr>
            <w:tcW w:w="2620" w:type="dxa"/>
            <w:vAlign w:val="bottom"/>
            <w:gridSpan w:val="5"/>
          </w:tcPr>
          <w:p>
            <w:pPr>
              <w:ind w:left="240"/>
              <w:spacing w:after="0"/>
              <w:rPr>
                <w:sz w:val="20"/>
                <w:szCs w:val="20"/>
                <w:color w:val="auto"/>
              </w:rPr>
            </w:pPr>
            <w:r>
              <w:rPr>
                <w:rFonts w:ascii="Arial" w:cs="Arial" w:eastAsia="Arial" w:hAnsi="Arial"/>
                <w:sz w:val="16"/>
                <w:szCs w:val="16"/>
                <w:color w:val="auto"/>
              </w:rPr>
              <w:t>Long-Term</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1980" w:type="dxa"/>
            <w:vAlign w:val="bottom"/>
            <w:gridSpan w:val="3"/>
            <w:vMerge w:val="restart"/>
          </w:tcPr>
          <w:p>
            <w:pPr>
              <w:spacing w:after="0"/>
              <w:rPr>
                <w:sz w:val="20"/>
                <w:szCs w:val="20"/>
                <w:color w:val="auto"/>
              </w:rPr>
            </w:pPr>
            <w:r>
              <w:rPr>
                <w:rFonts w:ascii="Arial" w:cs="Arial" w:eastAsia="Arial" w:hAnsi="Arial"/>
                <w:sz w:val="16"/>
                <w:szCs w:val="16"/>
                <w:color w:val="auto"/>
              </w:rPr>
              <w:t>Equity Awards</w:t>
            </w:r>
          </w:p>
        </w:tc>
        <w:tc>
          <w:tcPr>
            <w:tcW w:w="20" w:type="dxa"/>
            <w:vAlign w:val="bottom"/>
          </w:tcPr>
          <w:p>
            <w:pPr>
              <w:spacing w:after="0"/>
              <w:rPr>
                <w:sz w:val="5"/>
                <w:szCs w:val="5"/>
                <w:color w:val="auto"/>
              </w:rPr>
            </w:pPr>
          </w:p>
        </w:tc>
        <w:tc>
          <w:tcPr>
            <w:tcW w:w="2360" w:type="dxa"/>
            <w:vAlign w:val="bottom"/>
            <w:gridSpan w:val="5"/>
            <w:vMerge w:val="restart"/>
          </w:tcPr>
          <w:p>
            <w:pPr>
              <w:spacing w:after="0"/>
              <w:rPr>
                <w:sz w:val="5"/>
                <w:szCs w:val="5"/>
                <w:color w:val="auto"/>
              </w:rPr>
            </w:pPr>
          </w:p>
        </w:tc>
        <w:tc>
          <w:tcPr>
            <w:tcW w:w="2240" w:type="dxa"/>
            <w:vAlign w:val="bottom"/>
            <w:gridSpan w:val="3"/>
            <w:vMerge w:val="restart"/>
          </w:tcPr>
          <w:p>
            <w:pPr>
              <w:ind w:left="240"/>
              <w:spacing w:after="0"/>
              <w:rPr>
                <w:sz w:val="20"/>
                <w:szCs w:val="20"/>
                <w:color w:val="auto"/>
              </w:rPr>
            </w:pPr>
            <w:r>
              <w:rPr>
                <w:rFonts w:ascii="Arial" w:cs="Arial" w:eastAsia="Arial" w:hAnsi="Arial"/>
                <w:sz w:val="16"/>
                <w:szCs w:val="16"/>
                <w:color w:val="auto"/>
              </w:rPr>
              <w:t>Equity Awards</w:t>
            </w:r>
          </w:p>
        </w:tc>
        <w:tc>
          <w:tcPr>
            <w:tcW w:w="20" w:type="dxa"/>
            <w:vAlign w:val="bottom"/>
          </w:tcPr>
          <w:p>
            <w:pPr>
              <w:spacing w:after="0"/>
              <w:rPr>
                <w:sz w:val="5"/>
                <w:szCs w:val="5"/>
                <w:color w:val="auto"/>
              </w:rPr>
            </w:pPr>
          </w:p>
        </w:tc>
        <w:tc>
          <w:tcPr>
            <w:tcW w:w="36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980" w:type="dxa"/>
            <w:vAlign w:val="bottom"/>
            <w:gridSpan w:val="3"/>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2360" w:type="dxa"/>
            <w:vAlign w:val="bottom"/>
            <w:gridSpan w:val="5"/>
            <w:vMerge w:val="continue"/>
          </w:tcPr>
          <w:p>
            <w:pPr>
              <w:spacing w:after="0"/>
              <w:rPr>
                <w:sz w:val="13"/>
                <w:szCs w:val="13"/>
                <w:color w:val="auto"/>
              </w:rPr>
            </w:pPr>
          </w:p>
        </w:tc>
        <w:tc>
          <w:tcPr>
            <w:tcW w:w="2240" w:type="dxa"/>
            <w:vAlign w:val="bottom"/>
            <w:gridSpan w:val="3"/>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9"/>
        </w:trPr>
        <w:tc>
          <w:tcPr>
            <w:tcW w:w="600" w:type="dxa"/>
            <w:vAlign w:val="bottom"/>
          </w:tcPr>
          <w:p>
            <w:pPr>
              <w:spacing w:after="0"/>
              <w:rPr>
                <w:sz w:val="24"/>
                <w:szCs w:val="24"/>
                <w:color w:val="auto"/>
              </w:rPr>
            </w:pPr>
          </w:p>
        </w:tc>
        <w:tc>
          <w:tcPr>
            <w:tcW w:w="1380" w:type="dxa"/>
            <w:vAlign w:val="bottom"/>
            <w:gridSpan w:val="2"/>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360" w:type="dxa"/>
            <w:vAlign w:val="bottom"/>
            <w:gridSpan w:val="5"/>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gridSpan w:val="2"/>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00" w:type="dxa"/>
            <w:vAlign w:val="bottom"/>
          </w:tcPr>
          <w:p>
            <w:pPr>
              <w:spacing w:after="0"/>
              <w:rPr>
                <w:sz w:val="24"/>
                <w:szCs w:val="24"/>
                <w:color w:val="auto"/>
              </w:rPr>
            </w:pPr>
          </w:p>
        </w:tc>
        <w:tc>
          <w:tcPr>
            <w:tcW w:w="3760" w:type="dxa"/>
            <w:vAlign w:val="bottom"/>
            <w:gridSpan w:val="8"/>
          </w:tcPr>
          <w:p>
            <w:pPr>
              <w:ind w:left="220"/>
              <w:spacing w:after="0"/>
              <w:rPr>
                <w:sz w:val="20"/>
                <w:szCs w:val="20"/>
                <w:color w:val="auto"/>
              </w:rPr>
            </w:pPr>
            <w:r>
              <w:rPr>
                <w:rFonts w:ascii="Arial" w:cs="Arial" w:eastAsia="Arial" w:hAnsi="Arial"/>
                <w:sz w:val="20"/>
                <w:szCs w:val="20"/>
                <w:color w:val="auto"/>
              </w:rPr>
              <w:t>89</w:t>
            </w:r>
            <w:r>
              <w:rPr>
                <w:rFonts w:ascii="Arial" w:cs="Arial" w:eastAsia="Arial" w:hAnsi="Arial"/>
                <w:sz w:val="23"/>
                <w:szCs w:val="23"/>
                <w:color w:val="auto"/>
                <w:vertAlign w:val="superscript"/>
              </w:rPr>
              <w:t>%</w:t>
            </w:r>
            <w:r>
              <w:rPr>
                <w:rFonts w:ascii="Arial" w:cs="Arial" w:eastAsia="Arial" w:hAnsi="Arial"/>
                <w:sz w:val="20"/>
                <w:szCs w:val="20"/>
                <w:color w:val="auto"/>
              </w:rPr>
              <w:t xml:space="preserve"> </w:t>
            </w:r>
            <w:r>
              <w:rPr>
                <w:rFonts w:ascii="Arial" w:cs="Arial" w:eastAsia="Arial" w:hAnsi="Arial"/>
                <w:sz w:val="16"/>
                <w:szCs w:val="16"/>
                <w:color w:val="auto"/>
              </w:rPr>
              <w:t>Total Performance Based</w:t>
            </w:r>
          </w:p>
        </w:tc>
        <w:tc>
          <w:tcPr>
            <w:tcW w:w="860" w:type="dxa"/>
            <w:vAlign w:val="bottom"/>
          </w:tcPr>
          <w:p>
            <w:pPr>
              <w:spacing w:after="0"/>
              <w:rPr>
                <w:sz w:val="24"/>
                <w:szCs w:val="24"/>
                <w:color w:val="auto"/>
              </w:rPr>
            </w:pPr>
          </w:p>
        </w:tc>
        <w:tc>
          <w:tcPr>
            <w:tcW w:w="3500" w:type="dxa"/>
            <w:vAlign w:val="bottom"/>
            <w:gridSpan w:val="8"/>
          </w:tcPr>
          <w:p>
            <w:pPr>
              <w:ind w:left="200"/>
              <w:spacing w:after="0"/>
              <w:rPr>
                <w:sz w:val="20"/>
                <w:szCs w:val="20"/>
                <w:color w:val="auto"/>
              </w:rPr>
            </w:pPr>
            <w:r>
              <w:rPr>
                <w:rFonts w:ascii="Arial" w:cs="Arial" w:eastAsia="Arial" w:hAnsi="Arial"/>
                <w:sz w:val="20"/>
                <w:szCs w:val="20"/>
                <w:color w:val="auto"/>
              </w:rPr>
              <w:t>80</w:t>
            </w:r>
            <w:r>
              <w:rPr>
                <w:rFonts w:ascii="Arial" w:cs="Arial" w:eastAsia="Arial" w:hAnsi="Arial"/>
                <w:sz w:val="23"/>
                <w:szCs w:val="23"/>
                <w:color w:val="auto"/>
                <w:vertAlign w:val="superscript"/>
              </w:rPr>
              <w:t>%</w:t>
            </w:r>
            <w:r>
              <w:rPr>
                <w:rFonts w:ascii="Arial" w:cs="Arial" w:eastAsia="Arial" w:hAnsi="Arial"/>
                <w:sz w:val="20"/>
                <w:szCs w:val="20"/>
                <w:color w:val="auto"/>
              </w:rPr>
              <w:t xml:space="preserve"> </w:t>
            </w:r>
            <w:r>
              <w:rPr>
                <w:rFonts w:ascii="Arial" w:cs="Arial" w:eastAsia="Arial" w:hAnsi="Arial"/>
                <w:sz w:val="16"/>
                <w:szCs w:val="16"/>
                <w:color w:val="auto"/>
              </w:rPr>
              <w:t>Total Performance Based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4126865</wp:posOffset>
            </wp:positionH>
            <wp:positionV relativeFrom="paragraph">
              <wp:posOffset>-1718310</wp:posOffset>
            </wp:positionV>
            <wp:extent cx="1289050" cy="12490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22">
                      <a:extLst>
                        <a:ext uri="{28A0092B-C50C-407E-A947-70E740481C1C}"/>
                      </a:extLst>
                    </a:blip>
                    <a:srcRect/>
                    <a:stretch>
                      <a:fillRect/>
                    </a:stretch>
                  </pic:blipFill>
                  <pic:spPr bwMode="auto">
                    <a:xfrm>
                      <a:off x="0" y="0"/>
                      <a:ext cx="1289050" cy="1249045"/>
                    </a:xfrm>
                    <a:prstGeom prst="rect">
                      <a:avLst/>
                    </a:prstGeom>
                    <a:noFill/>
                  </pic:spPr>
                </pic:pic>
              </a:graphicData>
            </a:graphic>
          </wp:anchor>
        </w:drawing>
        <w:drawing>
          <wp:anchor simplePos="0" relativeHeight="251657728" behindDoc="1" locked="0" layoutInCell="0" allowOverlap="1">
            <wp:simplePos x="0" y="0"/>
            <wp:positionH relativeFrom="column">
              <wp:posOffset>1195705</wp:posOffset>
            </wp:positionH>
            <wp:positionV relativeFrom="paragraph">
              <wp:posOffset>-1723390</wp:posOffset>
            </wp:positionV>
            <wp:extent cx="1334135" cy="12611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23">
                      <a:extLst>
                        <a:ext uri="{28A0092B-C50C-407E-A947-70E740481C1C}"/>
                      </a:extLst>
                    </a:blip>
                    <a:srcRect/>
                    <a:stretch>
                      <a:fillRect/>
                    </a:stretch>
                  </pic:blipFill>
                  <pic:spPr bwMode="auto">
                    <a:xfrm>
                      <a:off x="0" y="0"/>
                      <a:ext cx="1334135" cy="1261110"/>
                    </a:xfrm>
                    <a:prstGeom prst="rect">
                      <a:avLst/>
                    </a:prstGeom>
                    <a:noFill/>
                  </pic:spPr>
                </pic:pic>
              </a:graphicData>
            </a:graphic>
          </wp:anchor>
        </w:drawing>
      </w:r>
    </w:p>
    <w:p>
      <w:pPr>
        <w:spacing w:after="0" w:line="64" w:lineRule="exact"/>
        <w:rPr>
          <w:sz w:val="20"/>
          <w:szCs w:val="20"/>
          <w:color w:val="auto"/>
        </w:rPr>
      </w:pPr>
    </w:p>
    <w:p>
      <w:pPr>
        <w:jc w:val="both"/>
        <w:ind w:left="180" w:right="200"/>
        <w:spacing w:after="0" w:line="257" w:lineRule="auto"/>
        <w:rPr>
          <w:sz w:val="20"/>
          <w:szCs w:val="20"/>
          <w:color w:val="auto"/>
        </w:rPr>
      </w:pPr>
      <w:r>
        <w:rPr>
          <w:rFonts w:ascii="Arial" w:cs="Arial" w:eastAsia="Arial" w:hAnsi="Arial"/>
          <w:sz w:val="19"/>
          <w:szCs w:val="19"/>
          <w:i w:val="1"/>
          <w:iCs w:val="1"/>
          <w:u w:val="single" w:color="auto"/>
          <w:color w:val="auto"/>
        </w:rPr>
        <w:t>Internal Pay Equity.</w:t>
      </w:r>
      <w:r>
        <w:rPr>
          <w:rFonts w:ascii="Arial" w:cs="Arial" w:eastAsia="Arial" w:hAnsi="Arial"/>
          <w:sz w:val="19"/>
          <w:szCs w:val="19"/>
          <w:i w:val="1"/>
          <w:iCs w:val="1"/>
          <w:color w:val="auto"/>
        </w:rPr>
        <w:t xml:space="preserve"> </w:t>
      </w:r>
      <w:r>
        <w:rPr>
          <w:rFonts w:ascii="Arial" w:cs="Arial" w:eastAsia="Arial" w:hAnsi="Arial"/>
          <w:sz w:val="19"/>
          <w:szCs w:val="19"/>
          <w:color w:val="auto"/>
        </w:rPr>
        <w:t>The MD&amp;C Committee considers the differentials between compensation of the named executive</w:t>
      </w:r>
      <w:r>
        <w:rPr>
          <w:rFonts w:ascii="Arial" w:cs="Arial" w:eastAsia="Arial" w:hAnsi="Arial"/>
          <w:sz w:val="19"/>
          <w:szCs w:val="19"/>
          <w:i w:val="1"/>
          <w:iCs w:val="1"/>
          <w:color w:val="auto"/>
        </w:rPr>
        <w:t xml:space="preserve"> </w:t>
      </w:r>
      <w:r>
        <w:rPr>
          <w:rFonts w:ascii="Arial" w:cs="Arial" w:eastAsia="Arial" w:hAnsi="Arial"/>
          <w:sz w:val="19"/>
          <w:szCs w:val="19"/>
          <w:color w:val="auto"/>
        </w:rPr>
        <w:t>officers. The MD&amp;C Committee also reviews compensation comparisons between our President and Chief Executive Officer and the other executive officers, while recognizing the additional responsibilities of our President and Chief Executive Officer and that such differentials will increase in periods of above-target performance and decrease in times of below-target performance. Based on these considerations, the MD&amp;C Committee concluded that the compensation paid to our President and Chief Executive Officer is reasonable compared to that of the other executive officers.</w:t>
      </w:r>
    </w:p>
    <w:p>
      <w:pPr>
        <w:spacing w:after="0" w:line="117" w:lineRule="exact"/>
        <w:rPr>
          <w:sz w:val="20"/>
          <w:szCs w:val="20"/>
          <w:color w:val="auto"/>
        </w:rPr>
      </w:pPr>
    </w:p>
    <w:p>
      <w:pPr>
        <w:jc w:val="both"/>
        <w:ind w:left="180" w:right="200"/>
        <w:spacing w:after="0" w:line="257" w:lineRule="auto"/>
        <w:rPr>
          <w:sz w:val="20"/>
          <w:szCs w:val="20"/>
          <w:color w:val="auto"/>
        </w:rPr>
      </w:pPr>
      <w:r>
        <w:rPr>
          <w:rFonts w:ascii="Arial" w:cs="Arial" w:eastAsia="Arial" w:hAnsi="Arial"/>
          <w:sz w:val="19"/>
          <w:szCs w:val="19"/>
          <w:i w:val="1"/>
          <w:iCs w:val="1"/>
          <w:u w:val="single" w:color="auto"/>
          <w:color w:val="auto"/>
        </w:rPr>
        <w:t>Tax and Accounting Matters.</w:t>
      </w:r>
      <w:r>
        <w:rPr>
          <w:rFonts w:ascii="Arial" w:cs="Arial" w:eastAsia="Arial" w:hAnsi="Arial"/>
          <w:sz w:val="19"/>
          <w:szCs w:val="19"/>
          <w:i w:val="1"/>
          <w:iCs w:val="1"/>
          <w:color w:val="auto"/>
        </w:rPr>
        <w:t xml:space="preserve"> </w:t>
      </w:r>
      <w:r>
        <w:rPr>
          <w:rFonts w:ascii="Arial" w:cs="Arial" w:eastAsia="Arial" w:hAnsi="Arial"/>
          <w:sz w:val="19"/>
          <w:szCs w:val="19"/>
          <w:color w:val="auto"/>
        </w:rPr>
        <w:t>Following the revision of Section 162(m) of the IRC in 2017, the Company generally may no</w:t>
      </w:r>
      <w:r>
        <w:rPr>
          <w:rFonts w:ascii="Arial" w:cs="Arial" w:eastAsia="Arial" w:hAnsi="Arial"/>
          <w:sz w:val="19"/>
          <w:szCs w:val="19"/>
          <w:i w:val="1"/>
          <w:iCs w:val="1"/>
          <w:color w:val="auto"/>
        </w:rPr>
        <w:t xml:space="preserve"> </w:t>
      </w:r>
      <w:r>
        <w:rPr>
          <w:rFonts w:ascii="Arial" w:cs="Arial" w:eastAsia="Arial" w:hAnsi="Arial"/>
          <w:sz w:val="19"/>
          <w:szCs w:val="19"/>
          <w:color w:val="auto"/>
        </w:rPr>
        <w:t>longer take a deduction for any compensation paid to any of its named executive officers in excess of $1 million. Section 409A of the IRC (“Code Section 409A”) generally provides that any deferred compensation arrangement that does not meet specific requirements will result in immediate taxation of any amounts deferred to the extent not subject to a substantial risk of forfeiture. In general, to avoid a Code Section 409A violation, amounts deferred may only be paid out on separation from service, disability, death, a specified time or fixed schedule, a change in control or an unforeseen emergency. Furthermore, the election to defer generally must be made in the calendar year prior to performance of services. We intend to structure all of our compensation arrangements, including our 409A Deferral Plan, in a manner that complies with or is exempt from Code Section 409A.</w:t>
      </w:r>
    </w:p>
    <w:p>
      <w:pPr>
        <w:spacing w:after="0" w:line="116" w:lineRule="exact"/>
        <w:rPr>
          <w:sz w:val="20"/>
          <w:szCs w:val="20"/>
          <w:color w:val="auto"/>
        </w:rPr>
      </w:pPr>
    </w:p>
    <w:p>
      <w:pPr>
        <w:jc w:val="both"/>
        <w:ind w:left="180" w:right="200"/>
        <w:spacing w:after="0" w:line="257" w:lineRule="auto"/>
        <w:rPr>
          <w:sz w:val="20"/>
          <w:szCs w:val="20"/>
          <w:color w:val="auto"/>
        </w:rPr>
      </w:pPr>
      <w:r>
        <w:rPr>
          <w:rFonts w:ascii="Arial" w:cs="Arial" w:eastAsia="Arial" w:hAnsi="Arial"/>
          <w:sz w:val="19"/>
          <w:szCs w:val="19"/>
          <w:color w:val="auto"/>
        </w:rPr>
        <w:t>We account for equity-based payments, including stock options, PSUs and RSUs, in accordance with Financial Accounting Standards Board Accounting Standards Codification Topic 718, Stock Compensation (“ASC Topic 718”). The MD&amp;C Committee takes into consideration the accounting treatment under ASC Topic 718 when determining the form and amount of annual long-term equity incentive awards. However, because our long-term equity incentive awards are based on a target dollar value established prior to grant (described in further detail under “Named Executives’ 2024 Compensation Program and Results — Long-Term Equity Incentives”), this target dollar value will differ from the grant date fair value of awards calculated pursuant to ASC Topic 718 and reported in the Summary Compensation Table.</w:t>
      </w:r>
    </w:p>
    <w:p>
      <w:pPr>
        <w:spacing w:after="0" w:line="116" w:lineRule="exact"/>
        <w:rPr>
          <w:sz w:val="20"/>
          <w:szCs w:val="20"/>
          <w:color w:val="auto"/>
        </w:rPr>
      </w:pPr>
    </w:p>
    <w:p>
      <w:pPr>
        <w:jc w:val="both"/>
        <w:ind w:left="180" w:right="200"/>
        <w:spacing w:after="0" w:line="257" w:lineRule="auto"/>
        <w:rPr>
          <w:sz w:val="20"/>
          <w:szCs w:val="20"/>
          <w:color w:val="auto"/>
        </w:rPr>
      </w:pPr>
      <w:r>
        <w:rPr>
          <w:rFonts w:ascii="Arial" w:cs="Arial" w:eastAsia="Arial" w:hAnsi="Arial"/>
          <w:sz w:val="19"/>
          <w:szCs w:val="19"/>
          <w:i w:val="1"/>
          <w:iCs w:val="1"/>
          <w:u w:val="single" w:color="auto"/>
          <w:color w:val="auto"/>
        </w:rPr>
        <w:t>Risk Assessment.</w:t>
      </w:r>
      <w:r>
        <w:rPr>
          <w:rFonts w:ascii="Arial" w:cs="Arial" w:eastAsia="Arial" w:hAnsi="Arial"/>
          <w:sz w:val="19"/>
          <w:szCs w:val="19"/>
          <w:i w:val="1"/>
          <w:iCs w:val="1"/>
          <w:color w:val="auto"/>
        </w:rPr>
        <w:t xml:space="preserve"> </w:t>
      </w:r>
      <w:r>
        <w:rPr>
          <w:rFonts w:ascii="Arial" w:cs="Arial" w:eastAsia="Arial" w:hAnsi="Arial"/>
          <w:sz w:val="19"/>
          <w:szCs w:val="19"/>
          <w:color w:val="auto"/>
        </w:rPr>
        <w:t>The MD&amp;C Committee uses the structural elements set forth in the Executive Summary earlier to</w:t>
      </w:r>
      <w:r>
        <w:rPr>
          <w:rFonts w:ascii="Arial" w:cs="Arial" w:eastAsia="Arial" w:hAnsi="Arial"/>
          <w:sz w:val="19"/>
          <w:szCs w:val="19"/>
          <w:i w:val="1"/>
          <w:iCs w:val="1"/>
          <w:color w:val="auto"/>
        </w:rPr>
        <w:t xml:space="preserve"> </w:t>
      </w:r>
      <w:r>
        <w:rPr>
          <w:rFonts w:ascii="Arial" w:cs="Arial" w:eastAsia="Arial" w:hAnsi="Arial"/>
          <w:sz w:val="19"/>
          <w:szCs w:val="19"/>
          <w:color w:val="auto"/>
        </w:rPr>
        <w:t>establish compensation that will provide sufficient incentives for named executive officers to drive results while avoiding unnecessary or excessive risk taking that could harm the long-term value of the Company. During 2024, the MD&amp;C Committee reviewed the Company’s compensation policies and practices and the assessment and analysis of related risk conducted by the independent compensation consultant. Based on this review and analysis, the MD&amp;C Committee and the independent compensation consultant concluded that our compensation policies and practices do not create risks that are reasonably likely to have a material adverse effect on the Company.</w:t>
      </w:r>
    </w:p>
    <w:p>
      <w:pPr>
        <w:spacing w:after="0" w:line="119" w:lineRule="exact"/>
        <w:rPr>
          <w:sz w:val="20"/>
          <w:szCs w:val="20"/>
          <w:color w:val="auto"/>
        </w:rPr>
      </w:pPr>
    </w:p>
    <w:p>
      <w:pPr>
        <w:jc w:val="both"/>
        <w:ind w:left="180" w:right="180"/>
        <w:spacing w:after="0" w:line="276" w:lineRule="auto"/>
        <w:rPr>
          <w:sz w:val="20"/>
          <w:szCs w:val="20"/>
          <w:color w:val="auto"/>
        </w:rPr>
      </w:pPr>
      <w:r>
        <w:rPr>
          <w:rFonts w:ascii="Arial" w:cs="Arial" w:eastAsia="Arial" w:hAnsi="Arial"/>
          <w:sz w:val="18"/>
          <w:szCs w:val="18"/>
          <w:i w:val="1"/>
          <w:iCs w:val="1"/>
          <w:u w:val="single" w:color="auto"/>
          <w:color w:val="auto"/>
        </w:rPr>
        <w:t>Policy on Calculation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2014, the MD&amp;C Committee adopted a policy on calculation adjustments that affect</w:t>
      </w:r>
      <w:r>
        <w:rPr>
          <w:rFonts w:ascii="Arial" w:cs="Arial" w:eastAsia="Arial" w:hAnsi="Arial"/>
          <w:sz w:val="18"/>
          <w:szCs w:val="18"/>
          <w:i w:val="1"/>
          <w:iCs w:val="1"/>
          <w:color w:val="auto"/>
        </w:rPr>
        <w:t xml:space="preserve"> </w:t>
      </w:r>
      <w:r>
        <w:rPr>
          <w:rFonts w:ascii="Arial" w:cs="Arial" w:eastAsia="Arial" w:hAnsi="Arial"/>
          <w:sz w:val="18"/>
          <w:szCs w:val="18"/>
          <w:color w:val="auto"/>
        </w:rPr>
        <w:t>payouts under annual and long-term incentive awards in order to address the potentially distorting effect of certain items. Such adjustments are intended to align award payments with the underlying performance of the business; avoid volatile, artificial inflation or deflation of awards due to unusual items in either the award year or the previous comparator year; and eliminate counterproductive incentives to pursue short-term gains and protect current incentive opportunities. To ensure the integrity of the adjustments, the policy provides that the MD&amp;C Committee’s approach to adjustments shall generally be consistent with the Company’s approach to reporting adjusted non-GAAP earnings to the investment</w:t>
      </w:r>
    </w:p>
    <w:p>
      <w:pPr>
        <w:spacing w:after="0" w:line="398"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40</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24">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25">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sectPr>
      </w:pPr>
    </w:p>
    <w:bookmarkStart w:id="46" w:name="page47"/>
    <w:bookmarkEnd w:id="46"/>
    <w:p>
      <w:pPr>
        <w:ind w:left="798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279" w:lineRule="exact"/>
        <w:rPr>
          <w:sz w:val="20"/>
          <w:szCs w:val="20"/>
          <w:color w:val="auto"/>
        </w:rPr>
      </w:pPr>
    </w:p>
    <w:p>
      <w:pPr>
        <w:jc w:val="both"/>
        <w:ind w:left="180" w:right="200"/>
        <w:spacing w:after="0" w:line="287" w:lineRule="auto"/>
        <w:rPr>
          <w:sz w:val="20"/>
          <w:szCs w:val="20"/>
          <w:color w:val="auto"/>
        </w:rPr>
      </w:pPr>
      <w:r>
        <w:rPr>
          <w:rFonts w:ascii="Arial" w:cs="Arial" w:eastAsia="Arial" w:hAnsi="Arial"/>
          <w:sz w:val="18"/>
          <w:szCs w:val="18"/>
          <w:color w:val="auto"/>
        </w:rPr>
        <w:t>community, except that the MD&amp;C Committee has determined that potential adjustments arising from a single transaction or event generally should be disregarded unless, taken together, they change the calculated award payout by at least 5%. The MD&amp;C Committee retains discretion to evaluate all adjustments, both income and expense, as circumstances warrant; however, the MD&amp;C Committee has agreed that it will not have the ability to use negative discretion with respect to the calculation of cash flow for purposes of the Cash Flow PSUs, in order to avoid variable accounting treatment for those awards. Actual results reported in this Proxy Statement on financial performance measures may differ from earnings results reported to the investment community. Please see Appendix A for more information.</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0E3C23"/>
        </w:rPr>
        <w:t>Named Executives’ 2024 Compensation Program and Results</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20"/>
          <w:szCs w:val="20"/>
          <w:b w:val="1"/>
          <w:bCs w:val="1"/>
          <w:i w:val="1"/>
          <w:iCs w:val="1"/>
          <w:color w:val="auto"/>
        </w:rPr>
        <w:t>Base Salary</w:t>
      </w:r>
    </w:p>
    <w:p>
      <w:pPr>
        <w:spacing w:after="0" w:line="131" w:lineRule="exact"/>
        <w:rPr>
          <w:sz w:val="20"/>
          <w:szCs w:val="20"/>
          <w:color w:val="auto"/>
        </w:rPr>
      </w:pPr>
    </w:p>
    <w:p>
      <w:pPr>
        <w:jc w:val="both"/>
        <w:ind w:left="180" w:right="200"/>
        <w:spacing w:after="0" w:line="254" w:lineRule="auto"/>
        <w:rPr>
          <w:sz w:val="20"/>
          <w:szCs w:val="20"/>
          <w:color w:val="auto"/>
        </w:rPr>
      </w:pPr>
      <w:r>
        <w:rPr>
          <w:rFonts w:ascii="Arial" w:cs="Arial" w:eastAsia="Arial" w:hAnsi="Arial"/>
          <w:sz w:val="20"/>
          <w:szCs w:val="20"/>
          <w:color w:val="auto"/>
        </w:rPr>
        <w:t>The MD&amp;C Committee approved increases to the 2024 base salaries of named executive officers, consistent with our compensation philosophy and driven by competitive market data, internal pay equity considerations and individual performance relative to the executive’s responsibilities and contributions. The table below shows the 2024 annual base salary established by the MD&amp;C Committee for each of our named executive officers.</w:t>
      </w:r>
    </w:p>
    <w:p>
      <w:pPr>
        <w:spacing w:after="0" w:line="116"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4480" w:type="dxa"/>
            <w:vAlign w:val="bottom"/>
          </w:tcPr>
          <w:p>
            <w:pPr>
              <w:ind w:left="60"/>
              <w:spacing w:after="0"/>
              <w:rPr>
                <w:sz w:val="20"/>
                <w:szCs w:val="20"/>
                <w:color w:val="auto"/>
              </w:rPr>
            </w:pPr>
            <w:r>
              <w:rPr>
                <w:rFonts w:ascii="Arial" w:cs="Arial" w:eastAsia="Arial" w:hAnsi="Arial"/>
                <w:sz w:val="16"/>
                <w:szCs w:val="16"/>
                <w:b w:val="1"/>
                <w:bCs w:val="1"/>
                <w:color w:val="0E3C23"/>
              </w:rPr>
              <w:t>Named Executive Officer</w:t>
            </w:r>
          </w:p>
        </w:tc>
        <w:tc>
          <w:tcPr>
            <w:tcW w:w="3980" w:type="dxa"/>
            <w:vAlign w:val="bottom"/>
            <w:gridSpan w:val="2"/>
          </w:tcPr>
          <w:p>
            <w:pPr>
              <w:jc w:val="right"/>
              <w:spacing w:after="0"/>
              <w:rPr>
                <w:sz w:val="20"/>
                <w:szCs w:val="20"/>
                <w:color w:val="auto"/>
              </w:rPr>
            </w:pPr>
            <w:r>
              <w:rPr>
                <w:rFonts w:ascii="Arial" w:cs="Arial" w:eastAsia="Arial" w:hAnsi="Arial"/>
                <w:sz w:val="16"/>
                <w:szCs w:val="16"/>
                <w:b w:val="1"/>
                <w:bCs w:val="1"/>
                <w:color w:val="0E3C23"/>
              </w:rPr>
              <w:t>2024 Base Salary</w:t>
            </w:r>
          </w:p>
        </w:tc>
      </w:tr>
      <w:tr>
        <w:trPr>
          <w:trHeight w:val="44"/>
        </w:trPr>
        <w:tc>
          <w:tcPr>
            <w:tcW w:w="4480" w:type="dxa"/>
            <w:vAlign w:val="bottom"/>
            <w:tcBorders>
              <w:bottom w:val="single" w:sz="8" w:color="0E3C23"/>
            </w:tcBorders>
          </w:tcPr>
          <w:p>
            <w:pPr>
              <w:spacing w:after="0"/>
              <w:rPr>
                <w:sz w:val="3"/>
                <w:szCs w:val="3"/>
                <w:color w:val="auto"/>
              </w:rPr>
            </w:pPr>
          </w:p>
        </w:tc>
        <w:tc>
          <w:tcPr>
            <w:tcW w:w="2940" w:type="dxa"/>
            <w:vAlign w:val="bottom"/>
            <w:tcBorders>
              <w:bottom w:val="single" w:sz="8" w:color="0E3C23"/>
            </w:tcBorders>
          </w:tcPr>
          <w:p>
            <w:pPr>
              <w:spacing w:after="0"/>
              <w:rPr>
                <w:sz w:val="3"/>
                <w:szCs w:val="3"/>
                <w:color w:val="auto"/>
              </w:rPr>
            </w:pPr>
          </w:p>
        </w:tc>
        <w:tc>
          <w:tcPr>
            <w:tcW w:w="1040" w:type="dxa"/>
            <w:vAlign w:val="bottom"/>
            <w:tcBorders>
              <w:bottom w:val="single" w:sz="8" w:color="0E3C23"/>
            </w:tcBorders>
          </w:tcPr>
          <w:p>
            <w:pPr>
              <w:spacing w:after="0"/>
              <w:rPr>
                <w:sz w:val="3"/>
                <w:szCs w:val="3"/>
                <w:color w:val="auto"/>
              </w:rPr>
            </w:pPr>
          </w:p>
        </w:tc>
      </w:tr>
      <w:tr>
        <w:trPr>
          <w:trHeight w:val="261"/>
        </w:trPr>
        <w:tc>
          <w:tcPr>
            <w:tcW w:w="4480" w:type="dxa"/>
            <w:vAlign w:val="bottom"/>
          </w:tcPr>
          <w:p>
            <w:pPr>
              <w:ind w:left="60"/>
              <w:spacing w:after="0"/>
              <w:rPr>
                <w:sz w:val="20"/>
                <w:szCs w:val="20"/>
                <w:color w:val="auto"/>
              </w:rPr>
            </w:pPr>
            <w:r>
              <w:rPr>
                <w:rFonts w:ascii="Arial" w:cs="Arial" w:eastAsia="Arial" w:hAnsi="Arial"/>
                <w:sz w:val="20"/>
                <w:szCs w:val="20"/>
                <w:b w:val="1"/>
                <w:bCs w:val="1"/>
                <w:color w:val="auto"/>
              </w:rPr>
              <w:t>Mr. Fish</w:t>
            </w:r>
          </w:p>
        </w:tc>
        <w:tc>
          <w:tcPr>
            <w:tcW w:w="29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0"/>
              <w:spacing w:after="0"/>
              <w:rPr>
                <w:sz w:val="20"/>
                <w:szCs w:val="20"/>
                <w:color w:val="auto"/>
              </w:rPr>
            </w:pPr>
            <w:r>
              <w:rPr>
                <w:rFonts w:ascii="Arial" w:cs="Arial" w:eastAsia="Arial" w:hAnsi="Arial"/>
                <w:sz w:val="20"/>
                <w:szCs w:val="20"/>
                <w:color w:val="auto"/>
                <w:w w:val="89"/>
              </w:rPr>
              <w:t>1,450,000</w:t>
            </w:r>
          </w:p>
        </w:tc>
      </w:tr>
      <w:tr>
        <w:trPr>
          <w:trHeight w:val="29"/>
        </w:trPr>
        <w:tc>
          <w:tcPr>
            <w:tcW w:w="4480" w:type="dxa"/>
            <w:vAlign w:val="bottom"/>
            <w:tcBorders>
              <w:bottom w:val="single" w:sz="8" w:color="0E3C23"/>
            </w:tcBorders>
          </w:tcPr>
          <w:p>
            <w:pPr>
              <w:spacing w:after="0"/>
              <w:rPr>
                <w:sz w:val="2"/>
                <w:szCs w:val="2"/>
                <w:color w:val="auto"/>
              </w:rPr>
            </w:pPr>
          </w:p>
        </w:tc>
        <w:tc>
          <w:tcPr>
            <w:tcW w:w="2940" w:type="dxa"/>
            <w:vAlign w:val="bottom"/>
            <w:tcBorders>
              <w:bottom w:val="single" w:sz="8" w:color="0E3C23"/>
            </w:tcBorders>
          </w:tcPr>
          <w:p>
            <w:pPr>
              <w:spacing w:after="0"/>
              <w:rPr>
                <w:sz w:val="2"/>
                <w:szCs w:val="2"/>
                <w:color w:val="auto"/>
              </w:rPr>
            </w:pPr>
          </w:p>
        </w:tc>
        <w:tc>
          <w:tcPr>
            <w:tcW w:w="1040" w:type="dxa"/>
            <w:vAlign w:val="bottom"/>
            <w:tcBorders>
              <w:bottom w:val="single" w:sz="8" w:color="0E3C23"/>
            </w:tcBorders>
          </w:tcPr>
          <w:p>
            <w:pPr>
              <w:spacing w:after="0"/>
              <w:rPr>
                <w:sz w:val="2"/>
                <w:szCs w:val="2"/>
                <w:color w:val="auto"/>
              </w:rPr>
            </w:pPr>
          </w:p>
        </w:tc>
      </w:tr>
      <w:tr>
        <w:trPr>
          <w:trHeight w:val="251"/>
        </w:trPr>
        <w:tc>
          <w:tcPr>
            <w:tcW w:w="4480" w:type="dxa"/>
            <w:vAlign w:val="bottom"/>
          </w:tcPr>
          <w:p>
            <w:pPr>
              <w:ind w:left="60"/>
              <w:spacing w:after="0"/>
              <w:rPr>
                <w:sz w:val="20"/>
                <w:szCs w:val="20"/>
                <w:color w:val="auto"/>
              </w:rPr>
            </w:pPr>
            <w:r>
              <w:rPr>
                <w:rFonts w:ascii="Arial" w:cs="Arial" w:eastAsia="Arial" w:hAnsi="Arial"/>
                <w:sz w:val="20"/>
                <w:szCs w:val="20"/>
                <w:b w:val="1"/>
                <w:bCs w:val="1"/>
                <w:color w:val="auto"/>
              </w:rPr>
              <w:t>Ms. Rankin</w:t>
            </w:r>
          </w:p>
        </w:tc>
        <w:tc>
          <w:tcPr>
            <w:tcW w:w="29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0"/>
              <w:spacing w:after="0"/>
              <w:rPr>
                <w:sz w:val="20"/>
                <w:szCs w:val="20"/>
                <w:color w:val="auto"/>
              </w:rPr>
            </w:pPr>
            <w:r>
              <w:rPr>
                <w:rFonts w:ascii="Arial" w:cs="Arial" w:eastAsia="Arial" w:hAnsi="Arial"/>
                <w:sz w:val="20"/>
                <w:szCs w:val="20"/>
                <w:color w:val="auto"/>
              </w:rPr>
              <w:t>798,300</w:t>
            </w:r>
          </w:p>
        </w:tc>
      </w:tr>
      <w:tr>
        <w:trPr>
          <w:trHeight w:val="29"/>
        </w:trPr>
        <w:tc>
          <w:tcPr>
            <w:tcW w:w="4480" w:type="dxa"/>
            <w:vAlign w:val="bottom"/>
            <w:tcBorders>
              <w:bottom w:val="single" w:sz="8" w:color="0E3C23"/>
            </w:tcBorders>
          </w:tcPr>
          <w:p>
            <w:pPr>
              <w:spacing w:after="0"/>
              <w:rPr>
                <w:sz w:val="2"/>
                <w:szCs w:val="2"/>
                <w:color w:val="auto"/>
              </w:rPr>
            </w:pPr>
          </w:p>
        </w:tc>
        <w:tc>
          <w:tcPr>
            <w:tcW w:w="2940" w:type="dxa"/>
            <w:vAlign w:val="bottom"/>
            <w:tcBorders>
              <w:bottom w:val="single" w:sz="8" w:color="0E3C23"/>
            </w:tcBorders>
          </w:tcPr>
          <w:p>
            <w:pPr>
              <w:spacing w:after="0"/>
              <w:rPr>
                <w:sz w:val="2"/>
                <w:szCs w:val="2"/>
                <w:color w:val="auto"/>
              </w:rPr>
            </w:pPr>
          </w:p>
        </w:tc>
        <w:tc>
          <w:tcPr>
            <w:tcW w:w="1040" w:type="dxa"/>
            <w:vAlign w:val="bottom"/>
            <w:tcBorders>
              <w:bottom w:val="single" w:sz="8" w:color="0E3C23"/>
            </w:tcBorders>
          </w:tcPr>
          <w:p>
            <w:pPr>
              <w:spacing w:after="0"/>
              <w:rPr>
                <w:sz w:val="2"/>
                <w:szCs w:val="2"/>
                <w:color w:val="auto"/>
              </w:rPr>
            </w:pPr>
          </w:p>
        </w:tc>
      </w:tr>
      <w:tr>
        <w:trPr>
          <w:trHeight w:val="251"/>
        </w:trPr>
        <w:tc>
          <w:tcPr>
            <w:tcW w:w="4480" w:type="dxa"/>
            <w:vAlign w:val="bottom"/>
          </w:tcPr>
          <w:p>
            <w:pPr>
              <w:ind w:left="60"/>
              <w:spacing w:after="0"/>
              <w:rPr>
                <w:sz w:val="20"/>
                <w:szCs w:val="20"/>
                <w:color w:val="auto"/>
              </w:rPr>
            </w:pPr>
            <w:r>
              <w:rPr>
                <w:rFonts w:ascii="Arial" w:cs="Arial" w:eastAsia="Arial" w:hAnsi="Arial"/>
                <w:sz w:val="20"/>
                <w:szCs w:val="20"/>
                <w:b w:val="1"/>
                <w:bCs w:val="1"/>
                <w:color w:val="auto"/>
              </w:rPr>
              <w:t>Mr. Morris</w:t>
            </w:r>
          </w:p>
        </w:tc>
        <w:tc>
          <w:tcPr>
            <w:tcW w:w="29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0"/>
              <w:spacing w:after="0"/>
              <w:rPr>
                <w:sz w:val="20"/>
                <w:szCs w:val="20"/>
                <w:color w:val="auto"/>
              </w:rPr>
            </w:pPr>
            <w:r>
              <w:rPr>
                <w:rFonts w:ascii="Arial" w:cs="Arial" w:eastAsia="Arial" w:hAnsi="Arial"/>
                <w:sz w:val="20"/>
                <w:szCs w:val="20"/>
                <w:color w:val="auto"/>
              </w:rPr>
              <w:t>815,400</w:t>
            </w:r>
          </w:p>
        </w:tc>
      </w:tr>
      <w:tr>
        <w:trPr>
          <w:trHeight w:val="29"/>
        </w:trPr>
        <w:tc>
          <w:tcPr>
            <w:tcW w:w="4480" w:type="dxa"/>
            <w:vAlign w:val="bottom"/>
            <w:tcBorders>
              <w:bottom w:val="single" w:sz="8" w:color="0E3C23"/>
            </w:tcBorders>
          </w:tcPr>
          <w:p>
            <w:pPr>
              <w:spacing w:after="0"/>
              <w:rPr>
                <w:sz w:val="2"/>
                <w:szCs w:val="2"/>
                <w:color w:val="auto"/>
              </w:rPr>
            </w:pPr>
          </w:p>
        </w:tc>
        <w:tc>
          <w:tcPr>
            <w:tcW w:w="2940" w:type="dxa"/>
            <w:vAlign w:val="bottom"/>
            <w:tcBorders>
              <w:bottom w:val="single" w:sz="8" w:color="0E3C23"/>
            </w:tcBorders>
          </w:tcPr>
          <w:p>
            <w:pPr>
              <w:spacing w:after="0"/>
              <w:rPr>
                <w:sz w:val="2"/>
                <w:szCs w:val="2"/>
                <w:color w:val="auto"/>
              </w:rPr>
            </w:pPr>
          </w:p>
        </w:tc>
        <w:tc>
          <w:tcPr>
            <w:tcW w:w="1040" w:type="dxa"/>
            <w:vAlign w:val="bottom"/>
            <w:tcBorders>
              <w:bottom w:val="single" w:sz="8" w:color="0E3C23"/>
            </w:tcBorders>
          </w:tcPr>
          <w:p>
            <w:pPr>
              <w:spacing w:after="0"/>
              <w:rPr>
                <w:sz w:val="2"/>
                <w:szCs w:val="2"/>
                <w:color w:val="auto"/>
              </w:rPr>
            </w:pPr>
          </w:p>
        </w:tc>
      </w:tr>
      <w:tr>
        <w:trPr>
          <w:trHeight w:val="251"/>
        </w:trPr>
        <w:tc>
          <w:tcPr>
            <w:tcW w:w="4480" w:type="dxa"/>
            <w:vAlign w:val="bottom"/>
          </w:tcPr>
          <w:p>
            <w:pPr>
              <w:ind w:left="60"/>
              <w:spacing w:after="0"/>
              <w:rPr>
                <w:sz w:val="20"/>
                <w:szCs w:val="20"/>
                <w:color w:val="auto"/>
              </w:rPr>
            </w:pPr>
            <w:r>
              <w:rPr>
                <w:rFonts w:ascii="Arial" w:cs="Arial" w:eastAsia="Arial" w:hAnsi="Arial"/>
                <w:sz w:val="20"/>
                <w:szCs w:val="20"/>
                <w:b w:val="1"/>
                <w:bCs w:val="1"/>
                <w:color w:val="auto"/>
              </w:rPr>
              <w:t>Ms. Hemmer</w:t>
            </w:r>
          </w:p>
        </w:tc>
        <w:tc>
          <w:tcPr>
            <w:tcW w:w="29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0"/>
              <w:spacing w:after="0"/>
              <w:rPr>
                <w:sz w:val="20"/>
                <w:szCs w:val="20"/>
                <w:color w:val="auto"/>
              </w:rPr>
            </w:pPr>
            <w:r>
              <w:rPr>
                <w:rFonts w:ascii="Arial" w:cs="Arial" w:eastAsia="Arial" w:hAnsi="Arial"/>
                <w:sz w:val="20"/>
                <w:szCs w:val="20"/>
                <w:color w:val="auto"/>
              </w:rPr>
              <w:t>700,000</w:t>
            </w:r>
          </w:p>
        </w:tc>
      </w:tr>
      <w:tr>
        <w:trPr>
          <w:trHeight w:val="29"/>
        </w:trPr>
        <w:tc>
          <w:tcPr>
            <w:tcW w:w="4480" w:type="dxa"/>
            <w:vAlign w:val="bottom"/>
            <w:tcBorders>
              <w:bottom w:val="single" w:sz="8" w:color="0E3C23"/>
            </w:tcBorders>
          </w:tcPr>
          <w:p>
            <w:pPr>
              <w:spacing w:after="0"/>
              <w:rPr>
                <w:sz w:val="2"/>
                <w:szCs w:val="2"/>
                <w:color w:val="auto"/>
              </w:rPr>
            </w:pPr>
          </w:p>
        </w:tc>
        <w:tc>
          <w:tcPr>
            <w:tcW w:w="2940" w:type="dxa"/>
            <w:vAlign w:val="bottom"/>
            <w:tcBorders>
              <w:bottom w:val="single" w:sz="8" w:color="0E3C23"/>
            </w:tcBorders>
          </w:tcPr>
          <w:p>
            <w:pPr>
              <w:spacing w:after="0"/>
              <w:rPr>
                <w:sz w:val="2"/>
                <w:szCs w:val="2"/>
                <w:color w:val="auto"/>
              </w:rPr>
            </w:pPr>
          </w:p>
        </w:tc>
        <w:tc>
          <w:tcPr>
            <w:tcW w:w="1040" w:type="dxa"/>
            <w:vAlign w:val="bottom"/>
            <w:tcBorders>
              <w:bottom w:val="single" w:sz="8" w:color="0E3C23"/>
            </w:tcBorders>
          </w:tcPr>
          <w:p>
            <w:pPr>
              <w:spacing w:after="0"/>
              <w:rPr>
                <w:sz w:val="2"/>
                <w:szCs w:val="2"/>
                <w:color w:val="auto"/>
              </w:rPr>
            </w:pPr>
          </w:p>
        </w:tc>
      </w:tr>
      <w:tr>
        <w:trPr>
          <w:trHeight w:val="251"/>
        </w:trPr>
        <w:tc>
          <w:tcPr>
            <w:tcW w:w="4480" w:type="dxa"/>
            <w:vAlign w:val="bottom"/>
          </w:tcPr>
          <w:p>
            <w:pPr>
              <w:ind w:left="60"/>
              <w:spacing w:after="0"/>
              <w:rPr>
                <w:sz w:val="20"/>
                <w:szCs w:val="20"/>
                <w:color w:val="auto"/>
              </w:rPr>
            </w:pPr>
            <w:r>
              <w:rPr>
                <w:rFonts w:ascii="Arial" w:cs="Arial" w:eastAsia="Arial" w:hAnsi="Arial"/>
                <w:sz w:val="20"/>
                <w:szCs w:val="20"/>
                <w:b w:val="1"/>
                <w:bCs w:val="1"/>
                <w:color w:val="auto"/>
              </w:rPr>
              <w:t>Mr. Carrasco</w:t>
            </w:r>
          </w:p>
        </w:tc>
        <w:tc>
          <w:tcPr>
            <w:tcW w:w="29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0"/>
              <w:spacing w:after="0"/>
              <w:rPr>
                <w:sz w:val="20"/>
                <w:szCs w:val="20"/>
                <w:color w:val="auto"/>
              </w:rPr>
            </w:pPr>
            <w:r>
              <w:rPr>
                <w:rFonts w:ascii="Arial" w:cs="Arial" w:eastAsia="Arial" w:hAnsi="Arial"/>
                <w:sz w:val="20"/>
                <w:szCs w:val="20"/>
                <w:color w:val="auto"/>
              </w:rPr>
              <w:t>676,000</w:t>
            </w:r>
          </w:p>
        </w:tc>
      </w:tr>
      <w:tr>
        <w:trPr>
          <w:trHeight w:val="34"/>
        </w:trPr>
        <w:tc>
          <w:tcPr>
            <w:tcW w:w="4480" w:type="dxa"/>
            <w:vAlign w:val="bottom"/>
            <w:tcBorders>
              <w:bottom w:val="single" w:sz="8" w:color="0E3C23"/>
            </w:tcBorders>
          </w:tcPr>
          <w:p>
            <w:pPr>
              <w:spacing w:after="0"/>
              <w:rPr>
                <w:sz w:val="2"/>
                <w:szCs w:val="2"/>
                <w:color w:val="auto"/>
              </w:rPr>
            </w:pPr>
          </w:p>
        </w:tc>
        <w:tc>
          <w:tcPr>
            <w:tcW w:w="2940" w:type="dxa"/>
            <w:vAlign w:val="bottom"/>
            <w:tcBorders>
              <w:bottom w:val="single" w:sz="8" w:color="0E3C23"/>
            </w:tcBorders>
          </w:tcPr>
          <w:p>
            <w:pPr>
              <w:spacing w:after="0"/>
              <w:rPr>
                <w:sz w:val="2"/>
                <w:szCs w:val="2"/>
                <w:color w:val="auto"/>
              </w:rPr>
            </w:pPr>
          </w:p>
        </w:tc>
        <w:tc>
          <w:tcPr>
            <w:tcW w:w="1040" w:type="dxa"/>
            <w:vAlign w:val="bottom"/>
            <w:tcBorders>
              <w:bottom w:val="single" w:sz="8" w:color="0E3C23"/>
            </w:tcBorders>
          </w:tcPr>
          <w:p>
            <w:pPr>
              <w:spacing w:after="0"/>
              <w:rPr>
                <w:sz w:val="2"/>
                <w:szCs w:val="2"/>
                <w:color w:val="auto"/>
              </w:rPr>
            </w:pPr>
          </w:p>
        </w:tc>
      </w:tr>
    </w:tbl>
    <w:p>
      <w:pPr>
        <w:spacing w:after="0" w:line="201" w:lineRule="exact"/>
        <w:rPr>
          <w:sz w:val="20"/>
          <w:szCs w:val="20"/>
          <w:color w:val="auto"/>
        </w:rPr>
      </w:pPr>
    </w:p>
    <w:p>
      <w:pPr>
        <w:ind w:left="580"/>
        <w:spacing w:after="0"/>
        <w:rPr>
          <w:sz w:val="20"/>
          <w:szCs w:val="20"/>
          <w:color w:val="auto"/>
        </w:rPr>
      </w:pPr>
      <w:r>
        <w:rPr>
          <w:rFonts w:ascii="Arial" w:cs="Arial" w:eastAsia="Arial" w:hAnsi="Arial"/>
          <w:sz w:val="20"/>
          <w:szCs w:val="20"/>
          <w:b w:val="1"/>
          <w:bCs w:val="1"/>
          <w:i w:val="1"/>
          <w:iCs w:val="1"/>
          <w:color w:val="auto"/>
        </w:rPr>
        <w:t>Annual Cash Incentive</w:t>
      </w:r>
    </w:p>
    <w:p>
      <w:pPr>
        <w:spacing w:after="0" w:line="137" w:lineRule="exact"/>
        <w:rPr>
          <w:sz w:val="20"/>
          <w:szCs w:val="20"/>
          <w:color w:val="auto"/>
        </w:rPr>
      </w:pPr>
    </w:p>
    <w:p>
      <w:pPr>
        <w:ind w:left="780" w:right="200" w:hanging="203"/>
        <w:spacing w:after="0" w:line="248" w:lineRule="auto"/>
        <w:tabs>
          <w:tab w:leader="none" w:pos="780" w:val="left"/>
        </w:tabs>
        <w:numPr>
          <w:ilvl w:val="0"/>
          <w:numId w:val="20"/>
        </w:numPr>
        <w:rPr>
          <w:rFonts w:ascii="Arial" w:cs="Arial" w:eastAsia="Arial" w:hAnsi="Arial"/>
          <w:sz w:val="20"/>
          <w:szCs w:val="20"/>
          <w:color w:val="0E3C23"/>
        </w:rPr>
      </w:pPr>
      <w:r>
        <w:rPr>
          <w:rFonts w:ascii="Arial" w:cs="Arial" w:eastAsia="Arial" w:hAnsi="Arial"/>
          <w:sz w:val="20"/>
          <w:szCs w:val="20"/>
          <w:i w:val="1"/>
          <w:iCs w:val="1"/>
          <w:color w:val="auto"/>
        </w:rPr>
        <w:t>Annual cash incentives were dependent on the following performance measures: Operating EBITDA; Income from Operations Margin and Internal Revenue Growth.</w:t>
      </w:r>
    </w:p>
    <w:p>
      <w:pPr>
        <w:spacing w:after="0" w:line="131" w:lineRule="exact"/>
        <w:rPr>
          <w:rFonts w:ascii="Arial" w:cs="Arial" w:eastAsia="Arial" w:hAnsi="Arial"/>
          <w:sz w:val="20"/>
          <w:szCs w:val="20"/>
          <w:color w:val="0E3C23"/>
        </w:rPr>
      </w:pPr>
    </w:p>
    <w:p>
      <w:pPr>
        <w:ind w:left="780" w:right="200" w:hanging="203"/>
        <w:spacing w:after="0" w:line="248" w:lineRule="auto"/>
        <w:tabs>
          <w:tab w:leader="none" w:pos="780" w:val="left"/>
        </w:tabs>
        <w:numPr>
          <w:ilvl w:val="0"/>
          <w:numId w:val="20"/>
        </w:numPr>
        <w:rPr>
          <w:rFonts w:ascii="Arial" w:cs="Arial" w:eastAsia="Arial" w:hAnsi="Arial"/>
          <w:sz w:val="20"/>
          <w:szCs w:val="20"/>
          <w:color w:val="0E3C23"/>
        </w:rPr>
      </w:pPr>
      <w:r>
        <w:rPr>
          <w:rFonts w:ascii="Arial" w:cs="Arial" w:eastAsia="Arial" w:hAnsi="Arial"/>
          <w:sz w:val="20"/>
          <w:szCs w:val="20"/>
          <w:i w:val="1"/>
          <w:iCs w:val="1"/>
          <w:color w:val="auto"/>
        </w:rPr>
        <w:t>Payouts of cash incentives based on the performance measures could be increased or decreased by up to 10%, depending on achievement calculated using the 2024 sustainability scorecard.</w:t>
      </w:r>
    </w:p>
    <w:p>
      <w:pPr>
        <w:spacing w:after="0" w:line="131" w:lineRule="exact"/>
        <w:rPr>
          <w:rFonts w:ascii="Arial" w:cs="Arial" w:eastAsia="Arial" w:hAnsi="Arial"/>
          <w:sz w:val="20"/>
          <w:szCs w:val="20"/>
          <w:color w:val="0E3C23"/>
        </w:rPr>
      </w:pPr>
    </w:p>
    <w:p>
      <w:pPr>
        <w:jc w:val="both"/>
        <w:ind w:left="780" w:right="200" w:hanging="203"/>
        <w:spacing w:after="0" w:line="334" w:lineRule="auto"/>
        <w:tabs>
          <w:tab w:leader="none" w:pos="780" w:val="left"/>
        </w:tabs>
        <w:numPr>
          <w:ilvl w:val="0"/>
          <w:numId w:val="20"/>
        </w:numPr>
        <w:rPr>
          <w:rFonts w:ascii="Arial" w:cs="Arial" w:eastAsia="Arial" w:hAnsi="Arial"/>
          <w:sz w:val="17"/>
          <w:szCs w:val="17"/>
          <w:color w:val="0E3C23"/>
        </w:rPr>
      </w:pPr>
      <w:r>
        <w:rPr>
          <w:rFonts w:ascii="Arial" w:cs="Arial" w:eastAsia="Arial" w:hAnsi="Arial"/>
          <w:sz w:val="17"/>
          <w:szCs w:val="17"/>
          <w:i w:val="1"/>
          <w:iCs w:val="1"/>
          <w:color w:val="auto"/>
        </w:rPr>
        <w:t>Blended results on the performance measures yielded an annual cash incentive payment for 2024 equal to 133.08% of target, which was then modified by 3% on account of the sustainability modifier, yielding a calculated payout of 137.07%.</w:t>
      </w:r>
    </w:p>
    <w:p>
      <w:pPr>
        <w:spacing w:after="0" w:line="56" w:lineRule="exact"/>
        <w:rPr>
          <w:rFonts w:ascii="Arial" w:cs="Arial" w:eastAsia="Arial" w:hAnsi="Arial"/>
          <w:sz w:val="17"/>
          <w:szCs w:val="17"/>
          <w:color w:val="0E3C23"/>
        </w:rPr>
      </w:pPr>
    </w:p>
    <w:p>
      <w:pPr>
        <w:ind w:left="780" w:hanging="203"/>
        <w:spacing w:after="0"/>
        <w:tabs>
          <w:tab w:leader="none" w:pos="780" w:val="left"/>
        </w:tabs>
        <w:numPr>
          <w:ilvl w:val="0"/>
          <w:numId w:val="20"/>
        </w:numPr>
        <w:rPr>
          <w:rFonts w:ascii="Arial" w:cs="Arial" w:eastAsia="Arial" w:hAnsi="Arial"/>
          <w:sz w:val="20"/>
          <w:szCs w:val="20"/>
          <w:color w:val="0E3C23"/>
        </w:rPr>
      </w:pPr>
      <w:r>
        <w:rPr>
          <w:rFonts w:ascii="Arial" w:cs="Arial" w:eastAsia="Arial" w:hAnsi="Arial"/>
          <w:sz w:val="20"/>
          <w:szCs w:val="20"/>
          <w:i w:val="1"/>
          <w:iCs w:val="1"/>
          <w:color w:val="auto"/>
        </w:rPr>
        <w:t>The MD&amp;C Committee adjusted payouts based on individual performance.</w:t>
      </w:r>
    </w:p>
    <w:p>
      <w:pPr>
        <w:spacing w:after="0" w:line="139" w:lineRule="exact"/>
        <w:rPr>
          <w:sz w:val="20"/>
          <w:szCs w:val="20"/>
          <w:color w:val="auto"/>
        </w:rPr>
      </w:pPr>
    </w:p>
    <w:p>
      <w:pPr>
        <w:jc w:val="both"/>
        <w:ind w:left="180" w:right="200"/>
        <w:spacing w:after="0" w:line="253" w:lineRule="auto"/>
        <w:rPr>
          <w:sz w:val="20"/>
          <w:szCs w:val="20"/>
          <w:color w:val="auto"/>
        </w:rPr>
      </w:pPr>
      <w:r>
        <w:rPr>
          <w:rFonts w:ascii="Arial" w:cs="Arial" w:eastAsia="Arial" w:hAnsi="Arial"/>
          <w:sz w:val="20"/>
          <w:szCs w:val="20"/>
          <w:color w:val="auto"/>
        </w:rPr>
        <w:t>The MD&amp;C Committee develops financial performance measures for annual cash incentive awards to drive improvements in business operations, as well as support and fund the long-term strategy of the Company. The MD&amp;C Committee has found that the Operating EBITDA measure encourages balanced focus on growth and profitability. Our Income from Operations Margin performance measure encourages responsible, high margin revenue growth and cost management and reduction. The Internal Revenue Growth performance measure supports the Company’s strategic growth and creation of shareholder value. The MD&amp;C Committee believes these financial performance measures supported and aligned with the strategy of the Company in 2024, are reflective of the Company’s overall performance, and are appropriate indicators of our progress toward the Company’s goals. See “2024 Compensation Program Results and Company Performance” in the Executive Summary above for further discussion and definitions of the annual cash incentive performance measures.</w:t>
      </w:r>
    </w:p>
    <w:p>
      <w:pPr>
        <w:spacing w:after="0" w:line="130" w:lineRule="exact"/>
        <w:rPr>
          <w:sz w:val="20"/>
          <w:szCs w:val="20"/>
          <w:color w:val="auto"/>
        </w:rPr>
      </w:pPr>
    </w:p>
    <w:p>
      <w:pPr>
        <w:jc w:val="both"/>
        <w:ind w:left="180" w:right="200"/>
        <w:spacing w:after="0" w:line="268" w:lineRule="auto"/>
        <w:rPr>
          <w:sz w:val="20"/>
          <w:szCs w:val="20"/>
          <w:color w:val="auto"/>
        </w:rPr>
      </w:pPr>
      <w:r>
        <w:rPr>
          <w:rFonts w:ascii="Arial" w:cs="Arial" w:eastAsia="Arial" w:hAnsi="Arial"/>
          <w:sz w:val="19"/>
          <w:szCs w:val="19"/>
          <w:color w:val="auto"/>
        </w:rPr>
        <w:t>When setting threshold, target and maximum performance measure levels each year, the MD&amp;C Committee looks to the Company’s historical results of operations and analyses and forecasts for the coming year. Specifically, the MD&amp;C Committee considers pricing and volume trends, operational factors, and macroeconomic conditions, such as the recent inflationary cost pressures. When setting the 2024 performance levels, the MD&amp;C Committee defined the 2024 annual cash incentive awards to exclude the impacts of our recycling brokerage business. While the relatively small and traditionally lower-margin recycling brokerage business is additive to our overall customer value proposition, it can have a distorting effect on results, due in part to commodity price volatility. The table below details the performance measures set by the MD&amp;C Committee for purposes of the named executive officers’ annual cash incentive for 2024.</w:t>
      </w:r>
    </w:p>
    <w:p>
      <w:pPr>
        <w:spacing w:after="0" w:line="200" w:lineRule="exact"/>
        <w:rPr>
          <w:sz w:val="20"/>
          <w:szCs w:val="20"/>
          <w:color w:val="auto"/>
        </w:rPr>
      </w:pPr>
    </w:p>
    <w:p>
      <w:pPr>
        <w:spacing w:after="0" w:line="206"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-207010</wp:posOffset>
            </wp:positionV>
            <wp:extent cx="538480" cy="1619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26">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sectPr>
      </w:pPr>
    </w:p>
    <w:bookmarkStart w:id="47" w:name="page48"/>
    <w:bookmarkEnd w:id="47"/>
    <w:p>
      <w:pPr>
        <w:ind w:left="180"/>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2860" w:type="dxa"/>
            <w:vAlign w:val="bottom"/>
          </w:tcPr>
          <w:p>
            <w:pPr>
              <w:jc w:val="right"/>
              <w:ind w:right="30"/>
              <w:spacing w:after="0"/>
              <w:rPr>
                <w:sz w:val="20"/>
                <w:szCs w:val="20"/>
                <w:color w:val="auto"/>
              </w:rPr>
            </w:pPr>
            <w:r>
              <w:rPr>
                <w:rFonts w:ascii="Arial" w:cs="Arial" w:eastAsia="Arial" w:hAnsi="Arial"/>
                <w:sz w:val="16"/>
                <w:szCs w:val="16"/>
                <w:b w:val="1"/>
                <w:bCs w:val="1"/>
                <w:color w:val="0E3C23"/>
              </w:rPr>
              <w:t>Threshold</w:t>
            </w:r>
          </w:p>
        </w:tc>
        <w:tc>
          <w:tcPr>
            <w:tcW w:w="1400" w:type="dxa"/>
            <w:vAlign w:val="bottom"/>
          </w:tcPr>
          <w:p>
            <w:pPr>
              <w:jc w:val="right"/>
              <w:ind w:right="30"/>
              <w:spacing w:after="0"/>
              <w:rPr>
                <w:sz w:val="20"/>
                <w:szCs w:val="20"/>
                <w:color w:val="auto"/>
              </w:rPr>
            </w:pPr>
            <w:r>
              <w:rPr>
                <w:rFonts w:ascii="Arial" w:cs="Arial" w:eastAsia="Arial" w:hAnsi="Arial"/>
                <w:sz w:val="16"/>
                <w:szCs w:val="16"/>
                <w:b w:val="1"/>
                <w:bCs w:val="1"/>
                <w:color w:val="0E3C23"/>
              </w:rPr>
              <w:t>Target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0E3C23"/>
              </w:rPr>
              <w:t>Maximum</w:t>
            </w:r>
          </w:p>
        </w:tc>
      </w:tr>
      <w:tr>
        <w:trPr>
          <w:trHeight w:val="160"/>
        </w:trPr>
        <w:tc>
          <w:tcPr>
            <w:tcW w:w="4460" w:type="dxa"/>
            <w:vAlign w:val="bottom"/>
          </w:tcPr>
          <w:p>
            <w:pPr>
              <w:spacing w:after="0"/>
              <w:rPr>
                <w:sz w:val="13"/>
                <w:szCs w:val="13"/>
                <w:color w:val="auto"/>
              </w:rPr>
            </w:pPr>
          </w:p>
        </w:tc>
        <w:tc>
          <w:tcPr>
            <w:tcW w:w="286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E3C23"/>
              </w:rPr>
              <w:t>Performance</w:t>
            </w:r>
          </w:p>
        </w:tc>
        <w:tc>
          <w:tcPr>
            <w:tcW w:w="140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E3C23"/>
              </w:rPr>
              <w:t>Performance</w:t>
            </w:r>
          </w:p>
        </w:tc>
        <w:tc>
          <w:tcPr>
            <w:tcW w:w="134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Performance</w:t>
            </w:r>
          </w:p>
        </w:tc>
      </w:tr>
      <w:tr>
        <w:trPr>
          <w:trHeight w:val="184"/>
        </w:trPr>
        <w:tc>
          <w:tcPr>
            <w:tcW w:w="4460" w:type="dxa"/>
            <w:vAlign w:val="bottom"/>
          </w:tcPr>
          <w:p>
            <w:pPr>
              <w:spacing w:after="0"/>
              <w:rPr>
                <w:sz w:val="15"/>
                <w:szCs w:val="15"/>
                <w:color w:val="auto"/>
              </w:rPr>
            </w:pPr>
          </w:p>
        </w:tc>
        <w:tc>
          <w:tcPr>
            <w:tcW w:w="2860" w:type="dxa"/>
            <w:vAlign w:val="bottom"/>
          </w:tcPr>
          <w:p>
            <w:pPr>
              <w:jc w:val="right"/>
              <w:ind w:right="30"/>
              <w:spacing w:after="0"/>
              <w:rPr>
                <w:sz w:val="20"/>
                <w:szCs w:val="20"/>
                <w:color w:val="auto"/>
              </w:rPr>
            </w:pPr>
            <w:r>
              <w:rPr>
                <w:rFonts w:ascii="Arial" w:cs="Arial" w:eastAsia="Arial" w:hAnsi="Arial"/>
                <w:sz w:val="16"/>
                <w:szCs w:val="16"/>
                <w:b w:val="1"/>
                <w:bCs w:val="1"/>
                <w:color w:val="0E3C23"/>
              </w:rPr>
              <w:t>(60% Payment)</w:t>
            </w:r>
          </w:p>
        </w:tc>
        <w:tc>
          <w:tcPr>
            <w:tcW w:w="1400" w:type="dxa"/>
            <w:vAlign w:val="bottom"/>
          </w:tcPr>
          <w:p>
            <w:pPr>
              <w:jc w:val="right"/>
              <w:ind w:right="30"/>
              <w:spacing w:after="0"/>
              <w:rPr>
                <w:sz w:val="20"/>
                <w:szCs w:val="20"/>
                <w:color w:val="auto"/>
              </w:rPr>
            </w:pPr>
            <w:r>
              <w:rPr>
                <w:rFonts w:ascii="Arial" w:cs="Arial" w:eastAsia="Arial" w:hAnsi="Arial"/>
                <w:sz w:val="16"/>
                <w:szCs w:val="16"/>
                <w:b w:val="1"/>
                <w:bCs w:val="1"/>
                <w:color w:val="0E3C23"/>
              </w:rPr>
              <w:t>(100% Payment)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0E3C23"/>
              </w:rPr>
              <w:t>(200% Payment)</w:t>
            </w:r>
          </w:p>
        </w:tc>
      </w:tr>
      <w:tr>
        <w:trPr>
          <w:trHeight w:val="44"/>
        </w:trPr>
        <w:tc>
          <w:tcPr>
            <w:tcW w:w="4460" w:type="dxa"/>
            <w:vAlign w:val="bottom"/>
            <w:tcBorders>
              <w:bottom w:val="single" w:sz="8" w:color="0E3C23"/>
            </w:tcBorders>
          </w:tcPr>
          <w:p>
            <w:pPr>
              <w:spacing w:after="0"/>
              <w:rPr>
                <w:sz w:val="3"/>
                <w:szCs w:val="3"/>
                <w:color w:val="auto"/>
              </w:rPr>
            </w:pPr>
          </w:p>
        </w:tc>
        <w:tc>
          <w:tcPr>
            <w:tcW w:w="2860" w:type="dxa"/>
            <w:vAlign w:val="bottom"/>
            <w:tcBorders>
              <w:bottom w:val="single" w:sz="8" w:color="0E3C23"/>
            </w:tcBorders>
          </w:tcPr>
          <w:p>
            <w:pPr>
              <w:spacing w:after="0"/>
              <w:rPr>
                <w:sz w:val="3"/>
                <w:szCs w:val="3"/>
                <w:color w:val="auto"/>
              </w:rPr>
            </w:pPr>
          </w:p>
        </w:tc>
        <w:tc>
          <w:tcPr>
            <w:tcW w:w="1400" w:type="dxa"/>
            <w:vAlign w:val="bottom"/>
            <w:tcBorders>
              <w:bottom w:val="single" w:sz="8" w:color="0E3C23"/>
            </w:tcBorders>
          </w:tcPr>
          <w:p>
            <w:pPr>
              <w:spacing w:after="0"/>
              <w:rPr>
                <w:sz w:val="3"/>
                <w:szCs w:val="3"/>
                <w:color w:val="auto"/>
              </w:rPr>
            </w:pPr>
          </w:p>
        </w:tc>
        <w:tc>
          <w:tcPr>
            <w:tcW w:w="1340" w:type="dxa"/>
            <w:vAlign w:val="bottom"/>
            <w:tcBorders>
              <w:bottom w:val="single" w:sz="8" w:color="0E3C23"/>
            </w:tcBorders>
          </w:tcPr>
          <w:p>
            <w:pPr>
              <w:spacing w:after="0"/>
              <w:rPr>
                <w:sz w:val="3"/>
                <w:szCs w:val="3"/>
                <w:color w:val="auto"/>
              </w:rPr>
            </w:pPr>
          </w:p>
        </w:tc>
      </w:tr>
      <w:tr>
        <w:trPr>
          <w:trHeight w:val="261"/>
        </w:trPr>
        <w:tc>
          <w:tcPr>
            <w:tcW w:w="4460" w:type="dxa"/>
            <w:vAlign w:val="bottom"/>
          </w:tcPr>
          <w:p>
            <w:pPr>
              <w:ind w:left="60"/>
              <w:spacing w:after="0"/>
              <w:rPr>
                <w:sz w:val="20"/>
                <w:szCs w:val="20"/>
                <w:color w:val="auto"/>
              </w:rPr>
            </w:pPr>
            <w:r>
              <w:rPr>
                <w:rFonts w:ascii="Arial" w:cs="Arial" w:eastAsia="Arial" w:hAnsi="Arial"/>
                <w:sz w:val="20"/>
                <w:szCs w:val="20"/>
                <w:b w:val="1"/>
                <w:bCs w:val="1"/>
                <w:color w:val="auto"/>
              </w:rPr>
              <w:t>Operating EBITDA</w:t>
            </w:r>
          </w:p>
        </w:tc>
        <w:tc>
          <w:tcPr>
            <w:tcW w:w="2860" w:type="dxa"/>
            <w:vAlign w:val="bottom"/>
          </w:tcPr>
          <w:p>
            <w:pPr>
              <w:jc w:val="right"/>
              <w:ind w:right="30"/>
              <w:spacing w:after="0"/>
              <w:rPr>
                <w:sz w:val="20"/>
                <w:szCs w:val="20"/>
                <w:color w:val="auto"/>
              </w:rPr>
            </w:pPr>
            <w:r>
              <w:rPr>
                <w:rFonts w:ascii="Arial" w:cs="Arial" w:eastAsia="Arial" w:hAnsi="Arial"/>
                <w:sz w:val="20"/>
                <w:szCs w:val="20"/>
                <w:color w:val="auto"/>
              </w:rPr>
              <w:t>$6.050 billion</w:t>
            </w:r>
          </w:p>
        </w:tc>
        <w:tc>
          <w:tcPr>
            <w:tcW w:w="1400" w:type="dxa"/>
            <w:vAlign w:val="bottom"/>
          </w:tcPr>
          <w:p>
            <w:pPr>
              <w:jc w:val="right"/>
              <w:ind w:right="30"/>
              <w:spacing w:after="0"/>
              <w:rPr>
                <w:sz w:val="20"/>
                <w:szCs w:val="20"/>
                <w:color w:val="auto"/>
              </w:rPr>
            </w:pPr>
            <w:r>
              <w:rPr>
                <w:rFonts w:ascii="Arial" w:cs="Arial" w:eastAsia="Arial" w:hAnsi="Arial"/>
                <w:sz w:val="20"/>
                <w:szCs w:val="20"/>
                <w:color w:val="auto"/>
              </w:rPr>
              <w:t>$6.352 billion</w:t>
            </w:r>
          </w:p>
        </w:tc>
        <w:tc>
          <w:tcPr>
            <w:tcW w:w="1340" w:type="dxa"/>
            <w:vAlign w:val="bottom"/>
          </w:tcPr>
          <w:p>
            <w:pPr>
              <w:jc w:val="right"/>
              <w:spacing w:after="0"/>
              <w:rPr>
                <w:sz w:val="20"/>
                <w:szCs w:val="20"/>
                <w:color w:val="auto"/>
              </w:rPr>
            </w:pPr>
            <w:r>
              <w:rPr>
                <w:rFonts w:ascii="Arial" w:cs="Arial" w:eastAsia="Arial" w:hAnsi="Arial"/>
                <w:sz w:val="20"/>
                <w:szCs w:val="20"/>
                <w:color w:val="auto"/>
              </w:rPr>
              <w:t>$6.650 billion</w:t>
            </w:r>
          </w:p>
        </w:tc>
      </w:tr>
      <w:tr>
        <w:trPr>
          <w:trHeight w:val="29"/>
        </w:trPr>
        <w:tc>
          <w:tcPr>
            <w:tcW w:w="4460" w:type="dxa"/>
            <w:vAlign w:val="bottom"/>
            <w:tcBorders>
              <w:bottom w:val="single" w:sz="8" w:color="0E3C23"/>
            </w:tcBorders>
          </w:tcPr>
          <w:p>
            <w:pPr>
              <w:spacing w:after="0"/>
              <w:rPr>
                <w:sz w:val="2"/>
                <w:szCs w:val="2"/>
                <w:color w:val="auto"/>
              </w:rPr>
            </w:pPr>
          </w:p>
        </w:tc>
        <w:tc>
          <w:tcPr>
            <w:tcW w:w="2860" w:type="dxa"/>
            <w:vAlign w:val="bottom"/>
            <w:tcBorders>
              <w:bottom w:val="single" w:sz="8" w:color="0E3C23"/>
            </w:tcBorders>
          </w:tcPr>
          <w:p>
            <w:pPr>
              <w:spacing w:after="0"/>
              <w:rPr>
                <w:sz w:val="2"/>
                <w:szCs w:val="2"/>
                <w:color w:val="auto"/>
              </w:rPr>
            </w:pPr>
          </w:p>
        </w:tc>
        <w:tc>
          <w:tcPr>
            <w:tcW w:w="1400" w:type="dxa"/>
            <w:vAlign w:val="bottom"/>
            <w:tcBorders>
              <w:bottom w:val="single" w:sz="8" w:color="0E3C23"/>
            </w:tcBorders>
          </w:tcPr>
          <w:p>
            <w:pPr>
              <w:spacing w:after="0"/>
              <w:rPr>
                <w:sz w:val="2"/>
                <w:szCs w:val="2"/>
                <w:color w:val="auto"/>
              </w:rPr>
            </w:pPr>
          </w:p>
        </w:tc>
        <w:tc>
          <w:tcPr>
            <w:tcW w:w="1340" w:type="dxa"/>
            <w:vAlign w:val="bottom"/>
            <w:tcBorders>
              <w:bottom w:val="single" w:sz="8" w:color="0E3C23"/>
            </w:tcBorders>
          </w:tcPr>
          <w:p>
            <w:pPr>
              <w:spacing w:after="0"/>
              <w:rPr>
                <w:sz w:val="2"/>
                <w:szCs w:val="2"/>
                <w:color w:val="auto"/>
              </w:rPr>
            </w:pPr>
          </w:p>
        </w:tc>
      </w:tr>
      <w:tr>
        <w:trPr>
          <w:trHeight w:val="251"/>
        </w:trPr>
        <w:tc>
          <w:tcPr>
            <w:tcW w:w="4460" w:type="dxa"/>
            <w:vAlign w:val="bottom"/>
          </w:tcPr>
          <w:p>
            <w:pPr>
              <w:ind w:left="60"/>
              <w:spacing w:after="0"/>
              <w:rPr>
                <w:sz w:val="20"/>
                <w:szCs w:val="20"/>
                <w:color w:val="auto"/>
              </w:rPr>
            </w:pPr>
            <w:r>
              <w:rPr>
                <w:rFonts w:ascii="Arial" w:cs="Arial" w:eastAsia="Arial" w:hAnsi="Arial"/>
                <w:sz w:val="20"/>
                <w:szCs w:val="20"/>
                <w:b w:val="1"/>
                <w:bCs w:val="1"/>
                <w:color w:val="auto"/>
              </w:rPr>
              <w:t>Income from Operations Margin</w:t>
            </w:r>
          </w:p>
        </w:tc>
        <w:tc>
          <w:tcPr>
            <w:tcW w:w="2860" w:type="dxa"/>
            <w:vAlign w:val="bottom"/>
          </w:tcPr>
          <w:p>
            <w:pPr>
              <w:jc w:val="right"/>
              <w:ind w:right="30"/>
              <w:spacing w:after="0"/>
              <w:rPr>
                <w:sz w:val="20"/>
                <w:szCs w:val="20"/>
                <w:color w:val="auto"/>
              </w:rPr>
            </w:pPr>
            <w:r>
              <w:rPr>
                <w:rFonts w:ascii="Arial" w:cs="Arial" w:eastAsia="Arial" w:hAnsi="Arial"/>
                <w:sz w:val="20"/>
                <w:szCs w:val="20"/>
                <w:color w:val="auto"/>
              </w:rPr>
              <w:t>18.7%</w:t>
            </w:r>
          </w:p>
        </w:tc>
        <w:tc>
          <w:tcPr>
            <w:tcW w:w="1400" w:type="dxa"/>
            <w:vAlign w:val="bottom"/>
          </w:tcPr>
          <w:p>
            <w:pPr>
              <w:jc w:val="right"/>
              <w:ind w:right="30"/>
              <w:spacing w:after="0"/>
              <w:rPr>
                <w:sz w:val="20"/>
                <w:szCs w:val="20"/>
                <w:color w:val="auto"/>
              </w:rPr>
            </w:pPr>
            <w:r>
              <w:rPr>
                <w:rFonts w:ascii="Arial" w:cs="Arial" w:eastAsia="Arial" w:hAnsi="Arial"/>
                <w:sz w:val="20"/>
                <w:szCs w:val="20"/>
                <w:color w:val="auto"/>
              </w:rPr>
              <w:t>19.7%</w:t>
            </w:r>
          </w:p>
        </w:tc>
        <w:tc>
          <w:tcPr>
            <w:tcW w:w="1340" w:type="dxa"/>
            <w:vAlign w:val="bottom"/>
          </w:tcPr>
          <w:p>
            <w:pPr>
              <w:jc w:val="right"/>
              <w:spacing w:after="0"/>
              <w:rPr>
                <w:sz w:val="20"/>
                <w:szCs w:val="20"/>
                <w:color w:val="auto"/>
              </w:rPr>
            </w:pPr>
            <w:r>
              <w:rPr>
                <w:rFonts w:ascii="Arial" w:cs="Arial" w:eastAsia="Arial" w:hAnsi="Arial"/>
                <w:sz w:val="20"/>
                <w:szCs w:val="20"/>
                <w:color w:val="auto"/>
              </w:rPr>
              <w:t>20.7%</w:t>
            </w:r>
          </w:p>
        </w:tc>
      </w:tr>
      <w:tr>
        <w:trPr>
          <w:trHeight w:val="29"/>
        </w:trPr>
        <w:tc>
          <w:tcPr>
            <w:tcW w:w="4460" w:type="dxa"/>
            <w:vAlign w:val="bottom"/>
            <w:tcBorders>
              <w:bottom w:val="single" w:sz="8" w:color="0E3C23"/>
            </w:tcBorders>
          </w:tcPr>
          <w:p>
            <w:pPr>
              <w:spacing w:after="0"/>
              <w:rPr>
                <w:sz w:val="2"/>
                <w:szCs w:val="2"/>
                <w:color w:val="auto"/>
              </w:rPr>
            </w:pPr>
          </w:p>
        </w:tc>
        <w:tc>
          <w:tcPr>
            <w:tcW w:w="2860" w:type="dxa"/>
            <w:vAlign w:val="bottom"/>
            <w:tcBorders>
              <w:bottom w:val="single" w:sz="8" w:color="0E3C23"/>
            </w:tcBorders>
          </w:tcPr>
          <w:p>
            <w:pPr>
              <w:spacing w:after="0"/>
              <w:rPr>
                <w:sz w:val="2"/>
                <w:szCs w:val="2"/>
                <w:color w:val="auto"/>
              </w:rPr>
            </w:pPr>
          </w:p>
        </w:tc>
        <w:tc>
          <w:tcPr>
            <w:tcW w:w="1400" w:type="dxa"/>
            <w:vAlign w:val="bottom"/>
            <w:tcBorders>
              <w:bottom w:val="single" w:sz="8" w:color="0E3C23"/>
            </w:tcBorders>
          </w:tcPr>
          <w:p>
            <w:pPr>
              <w:spacing w:after="0"/>
              <w:rPr>
                <w:sz w:val="2"/>
                <w:szCs w:val="2"/>
                <w:color w:val="auto"/>
              </w:rPr>
            </w:pPr>
          </w:p>
        </w:tc>
        <w:tc>
          <w:tcPr>
            <w:tcW w:w="1340" w:type="dxa"/>
            <w:vAlign w:val="bottom"/>
            <w:tcBorders>
              <w:bottom w:val="single" w:sz="8" w:color="0E3C23"/>
            </w:tcBorders>
          </w:tcPr>
          <w:p>
            <w:pPr>
              <w:spacing w:after="0"/>
              <w:rPr>
                <w:sz w:val="2"/>
                <w:szCs w:val="2"/>
                <w:color w:val="auto"/>
              </w:rPr>
            </w:pPr>
          </w:p>
        </w:tc>
      </w:tr>
      <w:tr>
        <w:trPr>
          <w:trHeight w:val="251"/>
        </w:trPr>
        <w:tc>
          <w:tcPr>
            <w:tcW w:w="4460" w:type="dxa"/>
            <w:vAlign w:val="bottom"/>
          </w:tcPr>
          <w:p>
            <w:pPr>
              <w:ind w:left="60"/>
              <w:spacing w:after="0"/>
              <w:rPr>
                <w:sz w:val="20"/>
                <w:szCs w:val="20"/>
                <w:color w:val="auto"/>
              </w:rPr>
            </w:pPr>
            <w:r>
              <w:rPr>
                <w:rFonts w:ascii="Arial" w:cs="Arial" w:eastAsia="Arial" w:hAnsi="Arial"/>
                <w:sz w:val="20"/>
                <w:szCs w:val="20"/>
                <w:b w:val="1"/>
                <w:bCs w:val="1"/>
                <w:color w:val="auto"/>
              </w:rPr>
              <w:t>Internal Revenue Growth</w:t>
            </w:r>
          </w:p>
        </w:tc>
        <w:tc>
          <w:tcPr>
            <w:tcW w:w="2860" w:type="dxa"/>
            <w:vAlign w:val="bottom"/>
          </w:tcPr>
          <w:p>
            <w:pPr>
              <w:jc w:val="right"/>
              <w:ind w:right="30"/>
              <w:spacing w:after="0"/>
              <w:rPr>
                <w:sz w:val="20"/>
                <w:szCs w:val="20"/>
                <w:color w:val="auto"/>
              </w:rPr>
            </w:pPr>
            <w:r>
              <w:rPr>
                <w:rFonts w:ascii="Arial" w:cs="Arial" w:eastAsia="Arial" w:hAnsi="Arial"/>
                <w:sz w:val="20"/>
                <w:szCs w:val="20"/>
                <w:color w:val="auto"/>
              </w:rPr>
              <w:t>4.2%</w:t>
            </w:r>
          </w:p>
        </w:tc>
        <w:tc>
          <w:tcPr>
            <w:tcW w:w="1400" w:type="dxa"/>
            <w:vAlign w:val="bottom"/>
          </w:tcPr>
          <w:p>
            <w:pPr>
              <w:jc w:val="right"/>
              <w:ind w:right="30"/>
              <w:spacing w:after="0"/>
              <w:rPr>
                <w:sz w:val="20"/>
                <w:szCs w:val="20"/>
                <w:color w:val="auto"/>
              </w:rPr>
            </w:pPr>
            <w:r>
              <w:rPr>
                <w:rFonts w:ascii="Arial" w:cs="Arial" w:eastAsia="Arial" w:hAnsi="Arial"/>
                <w:sz w:val="20"/>
                <w:szCs w:val="20"/>
                <w:color w:val="auto"/>
              </w:rPr>
              <w:t>5.6%</w:t>
            </w:r>
          </w:p>
        </w:tc>
        <w:tc>
          <w:tcPr>
            <w:tcW w:w="134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34"/>
        </w:trPr>
        <w:tc>
          <w:tcPr>
            <w:tcW w:w="4460" w:type="dxa"/>
            <w:vAlign w:val="bottom"/>
            <w:tcBorders>
              <w:bottom w:val="single" w:sz="8" w:color="0E3C23"/>
            </w:tcBorders>
          </w:tcPr>
          <w:p>
            <w:pPr>
              <w:spacing w:after="0"/>
              <w:rPr>
                <w:sz w:val="2"/>
                <w:szCs w:val="2"/>
                <w:color w:val="auto"/>
              </w:rPr>
            </w:pPr>
          </w:p>
        </w:tc>
        <w:tc>
          <w:tcPr>
            <w:tcW w:w="2860" w:type="dxa"/>
            <w:vAlign w:val="bottom"/>
            <w:tcBorders>
              <w:bottom w:val="single" w:sz="8" w:color="0E3C23"/>
            </w:tcBorders>
          </w:tcPr>
          <w:p>
            <w:pPr>
              <w:spacing w:after="0"/>
              <w:rPr>
                <w:sz w:val="2"/>
                <w:szCs w:val="2"/>
                <w:color w:val="auto"/>
              </w:rPr>
            </w:pPr>
          </w:p>
        </w:tc>
        <w:tc>
          <w:tcPr>
            <w:tcW w:w="1400" w:type="dxa"/>
            <w:vAlign w:val="bottom"/>
            <w:tcBorders>
              <w:bottom w:val="single" w:sz="8" w:color="0E3C23"/>
            </w:tcBorders>
          </w:tcPr>
          <w:p>
            <w:pPr>
              <w:spacing w:after="0"/>
              <w:rPr>
                <w:sz w:val="2"/>
                <w:szCs w:val="2"/>
                <w:color w:val="auto"/>
              </w:rPr>
            </w:pPr>
          </w:p>
        </w:tc>
        <w:tc>
          <w:tcPr>
            <w:tcW w:w="1340" w:type="dxa"/>
            <w:vAlign w:val="bottom"/>
            <w:tcBorders>
              <w:bottom w:val="single" w:sz="8" w:color="0E3C23"/>
            </w:tcBorders>
          </w:tcPr>
          <w:p>
            <w:pPr>
              <w:spacing w:after="0"/>
              <w:rPr>
                <w:sz w:val="2"/>
                <w:szCs w:val="2"/>
                <w:color w:val="auto"/>
              </w:rPr>
            </w:pPr>
          </w:p>
        </w:tc>
      </w:tr>
    </w:tbl>
    <w:p>
      <w:pPr>
        <w:spacing w:after="0" w:line="177" w:lineRule="exact"/>
        <w:rPr>
          <w:sz w:val="20"/>
          <w:szCs w:val="20"/>
          <w:color w:val="auto"/>
        </w:rPr>
      </w:pPr>
    </w:p>
    <w:p>
      <w:pPr>
        <w:jc w:val="both"/>
        <w:ind w:left="180" w:right="200"/>
        <w:spacing w:after="0" w:line="248" w:lineRule="auto"/>
        <w:rPr>
          <w:sz w:val="20"/>
          <w:szCs w:val="20"/>
          <w:color w:val="auto"/>
        </w:rPr>
      </w:pPr>
      <w:r>
        <w:rPr>
          <w:rFonts w:ascii="Arial" w:cs="Arial" w:eastAsia="Arial" w:hAnsi="Arial"/>
          <w:sz w:val="20"/>
          <w:szCs w:val="20"/>
          <w:color w:val="auto"/>
        </w:rPr>
        <w:t>The following table sets forth the Company’s performance achieved on each of the annual cash incentive performance measures and the payout earned on account of such performance.</w:t>
      </w:r>
    </w:p>
    <w:p>
      <w:pPr>
        <w:spacing w:after="0" w:line="98"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0" w:type="dxa"/>
            <w:vAlign w:val="bottom"/>
            <w:gridSpan w:val="3"/>
          </w:tcPr>
          <w:p>
            <w:pPr>
              <w:jc w:val="center"/>
              <w:ind w:right="580"/>
              <w:spacing w:after="0"/>
              <w:rPr>
                <w:sz w:val="20"/>
                <w:szCs w:val="20"/>
                <w:color w:val="auto"/>
              </w:rPr>
            </w:pPr>
            <w:r>
              <w:rPr>
                <w:rFonts w:ascii="Arial" w:cs="Arial" w:eastAsia="Arial" w:hAnsi="Arial"/>
                <w:sz w:val="16"/>
                <w:szCs w:val="16"/>
                <w:b w:val="1"/>
                <w:bCs w:val="1"/>
                <w:color w:val="0E3C23"/>
                <w:w w:val="93"/>
              </w:rPr>
              <w:t>Income from</w:t>
            </w:r>
          </w:p>
        </w:tc>
        <w:tc>
          <w:tcPr>
            <w:tcW w:w="18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0E3C23"/>
                <w:w w:val="93"/>
              </w:rPr>
              <w:t>Internal Revenue</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2860" w:type="dxa"/>
            <w:vAlign w:val="bottom"/>
            <w:gridSpan w:val="3"/>
          </w:tcPr>
          <w:p>
            <w:pPr>
              <w:jc w:val="center"/>
              <w:ind w:right="580"/>
              <w:spacing w:after="0" w:line="160" w:lineRule="exact"/>
              <w:rPr>
                <w:sz w:val="20"/>
                <w:szCs w:val="20"/>
                <w:color w:val="auto"/>
              </w:rPr>
            </w:pPr>
            <w:r>
              <w:rPr>
                <w:rFonts w:ascii="Arial" w:cs="Arial" w:eastAsia="Arial" w:hAnsi="Arial"/>
                <w:sz w:val="16"/>
                <w:szCs w:val="16"/>
                <w:b w:val="1"/>
                <w:bCs w:val="1"/>
                <w:color w:val="0E3C23"/>
                <w:w w:val="88"/>
              </w:rPr>
              <w:t>Operating EBITDA</w:t>
            </w:r>
          </w:p>
        </w:tc>
        <w:tc>
          <w:tcPr>
            <w:tcW w:w="2200" w:type="dxa"/>
            <w:vAlign w:val="bottom"/>
            <w:gridSpan w:val="3"/>
          </w:tcPr>
          <w:p>
            <w:pPr>
              <w:jc w:val="center"/>
              <w:ind w:right="580"/>
              <w:spacing w:after="0" w:line="160" w:lineRule="exact"/>
              <w:rPr>
                <w:sz w:val="20"/>
                <w:szCs w:val="20"/>
                <w:color w:val="auto"/>
              </w:rPr>
            </w:pPr>
            <w:r>
              <w:rPr>
                <w:rFonts w:ascii="Arial" w:cs="Arial" w:eastAsia="Arial" w:hAnsi="Arial"/>
                <w:sz w:val="16"/>
                <w:szCs w:val="16"/>
                <w:b w:val="1"/>
                <w:bCs w:val="1"/>
                <w:color w:val="0E3C23"/>
                <w:w w:val="91"/>
              </w:rPr>
              <w:t>Operations Margin</w:t>
            </w:r>
          </w:p>
        </w:tc>
        <w:tc>
          <w:tcPr>
            <w:tcW w:w="1020" w:type="dxa"/>
            <w:vAlign w:val="bottom"/>
          </w:tcPr>
          <w:p>
            <w:pPr>
              <w:jc w:val="center"/>
              <w:ind w:left="416"/>
              <w:spacing w:after="0" w:line="160" w:lineRule="exact"/>
              <w:rPr>
                <w:sz w:val="20"/>
                <w:szCs w:val="20"/>
                <w:color w:val="auto"/>
              </w:rPr>
            </w:pPr>
            <w:r>
              <w:rPr>
                <w:rFonts w:ascii="Arial" w:cs="Arial" w:eastAsia="Arial" w:hAnsi="Arial"/>
                <w:sz w:val="16"/>
                <w:szCs w:val="16"/>
                <w:b w:val="1"/>
                <w:bCs w:val="1"/>
                <w:color w:val="0E3C23"/>
                <w:w w:val="92"/>
              </w:rPr>
              <w:t>Growth</w:t>
            </w: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b w:val="1"/>
                <w:bCs w:val="1"/>
                <w:color w:val="0E3C23"/>
              </w:rPr>
              <w:t>Total</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700" w:type="dxa"/>
            <w:vAlign w:val="bottom"/>
          </w:tcPr>
          <w:p>
            <w:pPr>
              <w:jc w:val="center"/>
              <w:ind w:left="494"/>
              <w:spacing w:after="0" w:line="148" w:lineRule="exact"/>
              <w:rPr>
                <w:sz w:val="20"/>
                <w:szCs w:val="20"/>
                <w:color w:val="auto"/>
              </w:rPr>
            </w:pPr>
            <w:r>
              <w:rPr>
                <w:rFonts w:ascii="Arial" w:cs="Arial" w:eastAsia="Arial" w:hAnsi="Arial"/>
                <w:sz w:val="16"/>
                <w:szCs w:val="16"/>
                <w:b w:val="1"/>
                <w:bCs w:val="1"/>
                <w:color w:val="0E3C23"/>
                <w:w w:val="92"/>
              </w:rPr>
              <w:t>(weighted 50%)</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0" w:type="dxa"/>
            <w:vAlign w:val="bottom"/>
            <w:gridSpan w:val="3"/>
          </w:tcPr>
          <w:p>
            <w:pPr>
              <w:jc w:val="center"/>
              <w:ind w:right="580"/>
              <w:spacing w:after="0" w:line="148" w:lineRule="exact"/>
              <w:rPr>
                <w:sz w:val="20"/>
                <w:szCs w:val="20"/>
                <w:color w:val="auto"/>
              </w:rPr>
            </w:pPr>
            <w:r>
              <w:rPr>
                <w:rFonts w:ascii="Arial" w:cs="Arial" w:eastAsia="Arial" w:hAnsi="Arial"/>
                <w:sz w:val="16"/>
                <w:szCs w:val="16"/>
                <w:b w:val="1"/>
                <w:bCs w:val="1"/>
                <w:color w:val="0E3C23"/>
                <w:w w:val="94"/>
              </w:rPr>
              <w:t>(weighted 25%)</w:t>
            </w:r>
          </w:p>
        </w:tc>
        <w:tc>
          <w:tcPr>
            <w:tcW w:w="1880" w:type="dxa"/>
            <w:vAlign w:val="bottom"/>
            <w:gridSpan w:val="3"/>
          </w:tcPr>
          <w:p>
            <w:pPr>
              <w:jc w:val="center"/>
              <w:ind w:right="340"/>
              <w:spacing w:after="0" w:line="148" w:lineRule="exact"/>
              <w:rPr>
                <w:sz w:val="20"/>
                <w:szCs w:val="20"/>
                <w:color w:val="auto"/>
              </w:rPr>
            </w:pPr>
            <w:r>
              <w:rPr>
                <w:rFonts w:ascii="Arial" w:cs="Arial" w:eastAsia="Arial" w:hAnsi="Arial"/>
                <w:sz w:val="16"/>
                <w:szCs w:val="16"/>
                <w:b w:val="1"/>
                <w:bCs w:val="1"/>
                <w:color w:val="0E3C23"/>
                <w:w w:val="94"/>
              </w:rPr>
              <w:t>(weighted 25%)</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60" w:type="dxa"/>
            <w:vAlign w:val="bottom"/>
          </w:tcPr>
          <w:p>
            <w:pPr>
              <w:spacing w:after="0"/>
              <w:rPr>
                <w:sz w:val="7"/>
                <w:szCs w:val="7"/>
                <w:color w:val="auto"/>
              </w:rPr>
            </w:pPr>
          </w:p>
        </w:tc>
        <w:tc>
          <w:tcPr>
            <w:tcW w:w="1700" w:type="dxa"/>
            <w:vAlign w:val="bottom"/>
            <w:tcBorders>
              <w:bottom w:val="single" w:sz="8" w:color="0E3C23"/>
            </w:tcBorders>
          </w:tcPr>
          <w:p>
            <w:pPr>
              <w:spacing w:after="0"/>
              <w:rPr>
                <w:sz w:val="7"/>
                <w:szCs w:val="7"/>
                <w:color w:val="auto"/>
              </w:rPr>
            </w:pPr>
          </w:p>
        </w:tc>
        <w:tc>
          <w:tcPr>
            <w:tcW w:w="580" w:type="dxa"/>
            <w:vAlign w:val="bottom"/>
            <w:tcBorders>
              <w:bottom w:val="single" w:sz="8" w:color="0E3C23"/>
            </w:tcBorders>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Borders>
              <w:bottom w:val="single" w:sz="8" w:color="0E3C23"/>
            </w:tcBorders>
          </w:tcPr>
          <w:p>
            <w:pPr>
              <w:spacing w:after="0"/>
              <w:rPr>
                <w:sz w:val="7"/>
                <w:szCs w:val="7"/>
                <w:color w:val="auto"/>
              </w:rPr>
            </w:pPr>
          </w:p>
        </w:tc>
        <w:tc>
          <w:tcPr>
            <w:tcW w:w="780" w:type="dxa"/>
            <w:vAlign w:val="bottom"/>
            <w:tcBorders>
              <w:bottom w:val="single" w:sz="8" w:color="0E3C23"/>
            </w:tcBorders>
          </w:tcPr>
          <w:p>
            <w:pPr>
              <w:spacing w:after="0"/>
              <w:rPr>
                <w:sz w:val="7"/>
                <w:szCs w:val="7"/>
                <w:color w:val="auto"/>
              </w:rPr>
            </w:pPr>
          </w:p>
        </w:tc>
        <w:tc>
          <w:tcPr>
            <w:tcW w:w="580" w:type="dxa"/>
            <w:vAlign w:val="bottom"/>
          </w:tcPr>
          <w:p>
            <w:pPr>
              <w:spacing w:after="0"/>
              <w:rPr>
                <w:sz w:val="7"/>
                <w:szCs w:val="7"/>
                <w:color w:val="auto"/>
              </w:rPr>
            </w:pPr>
          </w:p>
        </w:tc>
        <w:tc>
          <w:tcPr>
            <w:tcW w:w="1020" w:type="dxa"/>
            <w:vAlign w:val="bottom"/>
            <w:tcBorders>
              <w:bottom w:val="single" w:sz="8" w:color="0E3C23"/>
            </w:tcBorders>
          </w:tcPr>
          <w:p>
            <w:pPr>
              <w:spacing w:after="0"/>
              <w:rPr>
                <w:sz w:val="7"/>
                <w:szCs w:val="7"/>
                <w:color w:val="auto"/>
              </w:rPr>
            </w:pPr>
          </w:p>
        </w:tc>
        <w:tc>
          <w:tcPr>
            <w:tcW w:w="520" w:type="dxa"/>
            <w:vAlign w:val="bottom"/>
            <w:tcBorders>
              <w:bottom w:val="single" w:sz="8" w:color="0E3C23"/>
            </w:tcBorders>
          </w:tcPr>
          <w:p>
            <w:pPr>
              <w:spacing w:after="0"/>
              <w:rPr>
                <w:sz w:val="7"/>
                <w:szCs w:val="7"/>
                <w:color w:val="auto"/>
              </w:rPr>
            </w:pPr>
          </w:p>
        </w:tc>
        <w:tc>
          <w:tcPr>
            <w:tcW w:w="340" w:type="dxa"/>
            <w:vAlign w:val="bottom"/>
          </w:tcPr>
          <w:p>
            <w:pPr>
              <w:spacing w:after="0"/>
              <w:rPr>
                <w:sz w:val="7"/>
                <w:szCs w:val="7"/>
                <w:color w:val="auto"/>
              </w:rPr>
            </w:pPr>
          </w:p>
        </w:tc>
        <w:tc>
          <w:tcPr>
            <w:tcW w:w="1460" w:type="dxa"/>
            <w:vAlign w:val="bottom"/>
            <w:vMerge w:val="restart"/>
          </w:tcPr>
          <w:p>
            <w:pPr>
              <w:jc w:val="right"/>
              <w:spacing w:after="0" w:line="128" w:lineRule="exact"/>
              <w:rPr>
                <w:sz w:val="20"/>
                <w:szCs w:val="20"/>
                <w:color w:val="auto"/>
              </w:rPr>
            </w:pPr>
            <w:r>
              <w:rPr>
                <w:rFonts w:ascii="Arial" w:cs="Arial" w:eastAsia="Arial" w:hAnsi="Arial"/>
                <w:sz w:val="14"/>
                <w:szCs w:val="14"/>
                <w:b w:val="1"/>
                <w:bCs w:val="1"/>
                <w:color w:val="0E3C23"/>
              </w:rPr>
              <w:t>Payout Earned</w:t>
            </w: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60" w:type="dxa"/>
            <w:vAlign w:val="bottom"/>
            <w:gridSpan w:val="2"/>
          </w:tcPr>
          <w:p>
            <w:pPr>
              <w:jc w:val="right"/>
              <w:ind w:right="580"/>
              <w:spacing w:after="0" w:line="160" w:lineRule="exact"/>
              <w:rPr>
                <w:sz w:val="20"/>
                <w:szCs w:val="20"/>
                <w:color w:val="auto"/>
              </w:rPr>
            </w:pPr>
            <w:r>
              <w:rPr>
                <w:rFonts w:ascii="Arial" w:cs="Arial" w:eastAsia="Arial" w:hAnsi="Arial"/>
                <w:sz w:val="16"/>
                <w:szCs w:val="16"/>
                <w:b w:val="1"/>
                <w:bCs w:val="1"/>
                <w:color w:val="0E3C23"/>
              </w:rPr>
              <w:t>Payout</w:t>
            </w:r>
          </w:p>
        </w:tc>
        <w:tc>
          <w:tcPr>
            <w:tcW w:w="840" w:type="dxa"/>
            <w:vAlign w:val="bottom"/>
          </w:tcPr>
          <w:p>
            <w:pPr>
              <w:spacing w:after="0"/>
              <w:rPr>
                <w:sz w:val="13"/>
                <w:szCs w:val="13"/>
                <w:color w:val="auto"/>
              </w:rPr>
            </w:pPr>
          </w:p>
        </w:tc>
        <w:tc>
          <w:tcPr>
            <w:tcW w:w="1360" w:type="dxa"/>
            <w:vAlign w:val="bottom"/>
            <w:gridSpan w:val="2"/>
          </w:tcPr>
          <w:p>
            <w:pPr>
              <w:jc w:val="right"/>
              <w:ind w:right="580"/>
              <w:spacing w:after="0" w:line="160" w:lineRule="exact"/>
              <w:rPr>
                <w:sz w:val="20"/>
                <w:szCs w:val="20"/>
                <w:color w:val="auto"/>
              </w:rPr>
            </w:pPr>
            <w:r>
              <w:rPr>
                <w:rFonts w:ascii="Arial" w:cs="Arial" w:eastAsia="Arial" w:hAnsi="Arial"/>
                <w:sz w:val="16"/>
                <w:szCs w:val="16"/>
                <w:b w:val="1"/>
                <w:bCs w:val="1"/>
                <w:color w:val="0E3C23"/>
              </w:rPr>
              <w:t>Payout</w:t>
            </w:r>
          </w:p>
        </w:tc>
        <w:tc>
          <w:tcPr>
            <w:tcW w:w="1020" w:type="dxa"/>
            <w:vAlign w:val="bottom"/>
          </w:tcPr>
          <w:p>
            <w:pPr>
              <w:spacing w:after="0"/>
              <w:rPr>
                <w:sz w:val="13"/>
                <w:szCs w:val="13"/>
                <w:color w:val="auto"/>
              </w:rPr>
            </w:pPr>
          </w:p>
        </w:tc>
        <w:tc>
          <w:tcPr>
            <w:tcW w:w="860" w:type="dxa"/>
            <w:vAlign w:val="bottom"/>
            <w:gridSpan w:val="2"/>
          </w:tcPr>
          <w:p>
            <w:pPr>
              <w:ind w:left="20"/>
              <w:spacing w:after="0" w:line="160" w:lineRule="exact"/>
              <w:rPr>
                <w:sz w:val="20"/>
                <w:szCs w:val="20"/>
                <w:color w:val="auto"/>
              </w:rPr>
            </w:pPr>
            <w:r>
              <w:rPr>
                <w:rFonts w:ascii="Arial" w:cs="Arial" w:eastAsia="Arial" w:hAnsi="Arial"/>
                <w:sz w:val="16"/>
                <w:szCs w:val="16"/>
                <w:b w:val="1"/>
                <w:bCs w:val="1"/>
                <w:color w:val="0E3C23"/>
              </w:rPr>
              <w:t>Payout</w:t>
            </w:r>
          </w:p>
        </w:tc>
        <w:tc>
          <w:tcPr>
            <w:tcW w:w="146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(as a percentage</w:t>
            </w:r>
          </w:p>
        </w:tc>
        <w:tc>
          <w:tcPr>
            <w:tcW w:w="0" w:type="dxa"/>
            <w:vAlign w:val="bottom"/>
          </w:tcPr>
          <w:p>
            <w:pPr>
              <w:spacing w:after="0"/>
              <w:rPr>
                <w:sz w:val="1"/>
                <w:szCs w:val="1"/>
                <w:color w:val="auto"/>
              </w:rPr>
            </w:pPr>
          </w:p>
        </w:tc>
      </w:tr>
      <w:tr>
        <w:trPr>
          <w:trHeight w:val="184"/>
        </w:trPr>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0E3C23"/>
              </w:rPr>
              <w:t>Actual</w:t>
            </w:r>
          </w:p>
        </w:tc>
        <w:tc>
          <w:tcPr>
            <w:tcW w:w="116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0E3C23"/>
              </w:rPr>
              <w:t>Earned</w:t>
            </w:r>
          </w:p>
        </w:tc>
        <w:tc>
          <w:tcPr>
            <w:tcW w:w="840" w:type="dxa"/>
            <w:vAlign w:val="bottom"/>
          </w:tcPr>
          <w:p>
            <w:pPr>
              <w:ind w:left="20"/>
              <w:spacing w:after="0"/>
              <w:rPr>
                <w:sz w:val="20"/>
                <w:szCs w:val="20"/>
                <w:color w:val="auto"/>
              </w:rPr>
            </w:pPr>
            <w:r>
              <w:rPr>
                <w:rFonts w:ascii="Arial" w:cs="Arial" w:eastAsia="Arial" w:hAnsi="Arial"/>
                <w:sz w:val="16"/>
                <w:szCs w:val="16"/>
                <w:b w:val="1"/>
                <w:bCs w:val="1"/>
                <w:color w:val="0E3C23"/>
              </w:rPr>
              <w:t>Actual</w:t>
            </w:r>
          </w:p>
        </w:tc>
        <w:tc>
          <w:tcPr>
            <w:tcW w:w="136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0E3C23"/>
              </w:rPr>
              <w:t>Earned</w:t>
            </w:r>
          </w:p>
        </w:tc>
        <w:tc>
          <w:tcPr>
            <w:tcW w:w="1020" w:type="dxa"/>
            <w:vAlign w:val="bottom"/>
          </w:tcPr>
          <w:p>
            <w:pPr>
              <w:jc w:val="right"/>
              <w:ind w:right="476"/>
              <w:spacing w:after="0"/>
              <w:rPr>
                <w:sz w:val="20"/>
                <w:szCs w:val="20"/>
                <w:color w:val="auto"/>
              </w:rPr>
            </w:pPr>
            <w:r>
              <w:rPr>
                <w:rFonts w:ascii="Arial" w:cs="Arial" w:eastAsia="Arial" w:hAnsi="Arial"/>
                <w:sz w:val="16"/>
                <w:szCs w:val="16"/>
                <w:b w:val="1"/>
                <w:bCs w:val="1"/>
                <w:color w:val="0E3C23"/>
                <w:w w:val="89"/>
              </w:rPr>
              <w:t>Actual</w:t>
            </w: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0E3C23"/>
              </w:rPr>
              <w:t>Earned</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0E3C23"/>
              </w:rPr>
              <w:t>of Target)</w:t>
            </w:r>
          </w:p>
        </w:tc>
        <w:tc>
          <w:tcPr>
            <w:tcW w:w="0" w:type="dxa"/>
            <w:vAlign w:val="bottom"/>
          </w:tcPr>
          <w:p>
            <w:pPr>
              <w:spacing w:after="0"/>
              <w:rPr>
                <w:sz w:val="1"/>
                <w:szCs w:val="1"/>
                <w:color w:val="auto"/>
              </w:rPr>
            </w:pPr>
          </w:p>
        </w:tc>
      </w:tr>
      <w:tr>
        <w:trPr>
          <w:trHeight w:val="44"/>
        </w:trPr>
        <w:tc>
          <w:tcPr>
            <w:tcW w:w="60" w:type="dxa"/>
            <w:vAlign w:val="bottom"/>
            <w:tcBorders>
              <w:bottom w:val="single" w:sz="8" w:color="0E3C23"/>
            </w:tcBorders>
          </w:tcPr>
          <w:p>
            <w:pPr>
              <w:spacing w:after="0"/>
              <w:rPr>
                <w:sz w:val="3"/>
                <w:szCs w:val="3"/>
                <w:color w:val="auto"/>
              </w:rPr>
            </w:pPr>
          </w:p>
        </w:tc>
        <w:tc>
          <w:tcPr>
            <w:tcW w:w="1700" w:type="dxa"/>
            <w:vAlign w:val="bottom"/>
            <w:tcBorders>
              <w:bottom w:val="single" w:sz="8" w:color="0E3C23"/>
            </w:tcBorders>
          </w:tcPr>
          <w:p>
            <w:pPr>
              <w:spacing w:after="0"/>
              <w:rPr>
                <w:sz w:val="3"/>
                <w:szCs w:val="3"/>
                <w:color w:val="auto"/>
              </w:rPr>
            </w:pPr>
          </w:p>
        </w:tc>
        <w:tc>
          <w:tcPr>
            <w:tcW w:w="1160" w:type="dxa"/>
            <w:vAlign w:val="bottom"/>
            <w:tcBorders>
              <w:bottom w:val="single" w:sz="8" w:color="0E3C23"/>
            </w:tcBorders>
            <w:gridSpan w:val="2"/>
          </w:tcPr>
          <w:p>
            <w:pPr>
              <w:spacing w:after="0"/>
              <w:rPr>
                <w:sz w:val="3"/>
                <w:szCs w:val="3"/>
                <w:color w:val="auto"/>
              </w:rPr>
            </w:pPr>
          </w:p>
        </w:tc>
        <w:tc>
          <w:tcPr>
            <w:tcW w:w="840" w:type="dxa"/>
            <w:vAlign w:val="bottom"/>
            <w:tcBorders>
              <w:bottom w:val="single" w:sz="8" w:color="0E3C23"/>
            </w:tcBorders>
          </w:tcPr>
          <w:p>
            <w:pPr>
              <w:spacing w:after="0"/>
              <w:rPr>
                <w:sz w:val="3"/>
                <w:szCs w:val="3"/>
                <w:color w:val="auto"/>
              </w:rPr>
            </w:pPr>
          </w:p>
        </w:tc>
        <w:tc>
          <w:tcPr>
            <w:tcW w:w="1360" w:type="dxa"/>
            <w:vAlign w:val="bottom"/>
            <w:tcBorders>
              <w:bottom w:val="single" w:sz="8" w:color="0E3C23"/>
            </w:tcBorders>
            <w:gridSpan w:val="2"/>
          </w:tcPr>
          <w:p>
            <w:pPr>
              <w:spacing w:after="0"/>
              <w:rPr>
                <w:sz w:val="3"/>
                <w:szCs w:val="3"/>
                <w:color w:val="auto"/>
              </w:rPr>
            </w:pPr>
          </w:p>
        </w:tc>
        <w:tc>
          <w:tcPr>
            <w:tcW w:w="1020" w:type="dxa"/>
            <w:vAlign w:val="bottom"/>
            <w:tcBorders>
              <w:bottom w:val="single" w:sz="8" w:color="0E3C23"/>
            </w:tcBorders>
          </w:tcPr>
          <w:p>
            <w:pPr>
              <w:spacing w:after="0"/>
              <w:rPr>
                <w:sz w:val="3"/>
                <w:szCs w:val="3"/>
                <w:color w:val="auto"/>
              </w:rPr>
            </w:pPr>
          </w:p>
        </w:tc>
        <w:tc>
          <w:tcPr>
            <w:tcW w:w="860" w:type="dxa"/>
            <w:vAlign w:val="bottom"/>
            <w:tcBorders>
              <w:bottom w:val="single" w:sz="8" w:color="0E3C23"/>
            </w:tcBorders>
            <w:gridSpan w:val="2"/>
          </w:tcPr>
          <w:p>
            <w:pPr>
              <w:spacing w:after="0"/>
              <w:rPr>
                <w:sz w:val="3"/>
                <w:szCs w:val="3"/>
                <w:color w:val="auto"/>
              </w:rPr>
            </w:pPr>
          </w:p>
        </w:tc>
        <w:tc>
          <w:tcPr>
            <w:tcW w:w="146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0"/>
                <w:szCs w:val="20"/>
                <w:color w:val="auto"/>
              </w:rPr>
              <w:t>$6.472 billion</w:t>
            </w:r>
          </w:p>
        </w:tc>
        <w:tc>
          <w:tcPr>
            <w:tcW w:w="1160" w:type="dxa"/>
            <w:vAlign w:val="bottom"/>
            <w:gridSpan w:val="2"/>
          </w:tcPr>
          <w:p>
            <w:pPr>
              <w:jc w:val="right"/>
              <w:ind w:right="420"/>
              <w:spacing w:after="0"/>
              <w:rPr>
                <w:sz w:val="20"/>
                <w:szCs w:val="20"/>
                <w:color w:val="auto"/>
              </w:rPr>
            </w:pPr>
            <w:r>
              <w:rPr>
                <w:rFonts w:ascii="Arial" w:cs="Arial" w:eastAsia="Arial" w:hAnsi="Arial"/>
                <w:sz w:val="20"/>
                <w:szCs w:val="20"/>
                <w:color w:val="auto"/>
                <w:w w:val="91"/>
              </w:rPr>
              <w:t>140.51%</w:t>
            </w:r>
          </w:p>
        </w:tc>
        <w:tc>
          <w:tcPr>
            <w:tcW w:w="840" w:type="dxa"/>
            <w:vAlign w:val="bottom"/>
          </w:tcPr>
          <w:p>
            <w:pPr>
              <w:spacing w:after="0"/>
              <w:rPr>
                <w:sz w:val="20"/>
                <w:szCs w:val="20"/>
                <w:color w:val="auto"/>
              </w:rPr>
            </w:pPr>
            <w:r>
              <w:rPr>
                <w:rFonts w:ascii="Arial" w:cs="Arial" w:eastAsia="Arial" w:hAnsi="Arial"/>
                <w:sz w:val="20"/>
                <w:szCs w:val="20"/>
                <w:color w:val="auto"/>
              </w:rPr>
              <w:t>20.50%</w:t>
            </w:r>
          </w:p>
        </w:tc>
        <w:tc>
          <w:tcPr>
            <w:tcW w:w="1360" w:type="dxa"/>
            <w:vAlign w:val="bottom"/>
            <w:gridSpan w:val="2"/>
          </w:tcPr>
          <w:p>
            <w:pPr>
              <w:jc w:val="right"/>
              <w:ind w:right="420"/>
              <w:spacing w:after="0"/>
              <w:rPr>
                <w:sz w:val="20"/>
                <w:szCs w:val="20"/>
                <w:color w:val="auto"/>
              </w:rPr>
            </w:pPr>
            <w:r>
              <w:rPr>
                <w:rFonts w:ascii="Arial" w:cs="Arial" w:eastAsia="Arial" w:hAnsi="Arial"/>
                <w:sz w:val="20"/>
                <w:szCs w:val="20"/>
                <w:color w:val="auto"/>
              </w:rPr>
              <w:t>180.71%</w:t>
            </w:r>
          </w:p>
        </w:tc>
        <w:tc>
          <w:tcPr>
            <w:tcW w:w="1020" w:type="dxa"/>
            <w:vAlign w:val="bottom"/>
          </w:tcPr>
          <w:p>
            <w:pPr>
              <w:jc w:val="right"/>
              <w:ind w:right="376"/>
              <w:spacing w:after="0"/>
              <w:rPr>
                <w:sz w:val="20"/>
                <w:szCs w:val="20"/>
                <w:color w:val="auto"/>
              </w:rPr>
            </w:pPr>
            <w:r>
              <w:rPr>
                <w:rFonts w:ascii="Arial" w:cs="Arial" w:eastAsia="Arial" w:hAnsi="Arial"/>
                <w:sz w:val="20"/>
                <w:szCs w:val="20"/>
                <w:color w:val="auto"/>
                <w:w w:val="95"/>
              </w:rPr>
              <w:t>4.57%</w:t>
            </w:r>
          </w:p>
        </w:tc>
        <w:tc>
          <w:tcPr>
            <w:tcW w:w="860" w:type="dxa"/>
            <w:vAlign w:val="bottom"/>
            <w:gridSpan w:val="2"/>
          </w:tcPr>
          <w:p>
            <w:pPr>
              <w:ind w:left="20"/>
              <w:spacing w:after="0"/>
              <w:rPr>
                <w:sz w:val="20"/>
                <w:szCs w:val="20"/>
                <w:color w:val="auto"/>
              </w:rPr>
            </w:pPr>
            <w:r>
              <w:rPr>
                <w:rFonts w:ascii="Arial" w:cs="Arial" w:eastAsia="Arial" w:hAnsi="Arial"/>
                <w:sz w:val="20"/>
                <w:szCs w:val="20"/>
                <w:color w:val="auto"/>
              </w:rPr>
              <w:t>70.58%</w:t>
            </w:r>
          </w:p>
        </w:tc>
        <w:tc>
          <w:tcPr>
            <w:tcW w:w="1460" w:type="dxa"/>
            <w:vAlign w:val="bottom"/>
          </w:tcPr>
          <w:p>
            <w:pPr>
              <w:jc w:val="right"/>
              <w:ind w:right="118"/>
              <w:spacing w:after="0"/>
              <w:rPr>
                <w:sz w:val="20"/>
                <w:szCs w:val="20"/>
                <w:color w:val="auto"/>
              </w:rPr>
            </w:pPr>
            <w:r>
              <w:rPr>
                <w:rFonts w:ascii="Arial" w:cs="Arial" w:eastAsia="Arial" w:hAnsi="Arial"/>
                <w:sz w:val="20"/>
                <w:szCs w:val="20"/>
                <w:color w:val="auto"/>
              </w:rPr>
              <w:t>133.08%</w:t>
            </w:r>
          </w:p>
        </w:tc>
        <w:tc>
          <w:tcPr>
            <w:tcW w:w="0" w:type="dxa"/>
            <w:vAlign w:val="bottom"/>
          </w:tcPr>
          <w:p>
            <w:pPr>
              <w:spacing w:after="0"/>
              <w:rPr>
                <w:sz w:val="1"/>
                <w:szCs w:val="1"/>
                <w:color w:val="auto"/>
              </w:rPr>
            </w:pPr>
          </w:p>
        </w:tc>
      </w:tr>
      <w:tr>
        <w:trPr>
          <w:trHeight w:val="38"/>
        </w:trPr>
        <w:tc>
          <w:tcPr>
            <w:tcW w:w="60" w:type="dxa"/>
            <w:vAlign w:val="bottom"/>
            <w:tcBorders>
              <w:bottom w:val="single" w:sz="8" w:color="0E3C23"/>
            </w:tcBorders>
          </w:tcPr>
          <w:p>
            <w:pPr>
              <w:spacing w:after="0"/>
              <w:rPr>
                <w:sz w:val="3"/>
                <w:szCs w:val="3"/>
                <w:color w:val="auto"/>
              </w:rPr>
            </w:pPr>
          </w:p>
        </w:tc>
        <w:tc>
          <w:tcPr>
            <w:tcW w:w="1700" w:type="dxa"/>
            <w:vAlign w:val="bottom"/>
            <w:tcBorders>
              <w:bottom w:val="single" w:sz="8" w:color="0E3C23"/>
            </w:tcBorders>
          </w:tcPr>
          <w:p>
            <w:pPr>
              <w:spacing w:after="0"/>
              <w:rPr>
                <w:sz w:val="3"/>
                <w:szCs w:val="3"/>
                <w:color w:val="auto"/>
              </w:rPr>
            </w:pPr>
          </w:p>
        </w:tc>
        <w:tc>
          <w:tcPr>
            <w:tcW w:w="580" w:type="dxa"/>
            <w:vAlign w:val="bottom"/>
            <w:tcBorders>
              <w:bottom w:val="single" w:sz="8" w:color="0E3C23"/>
            </w:tcBorders>
          </w:tcPr>
          <w:p>
            <w:pPr>
              <w:spacing w:after="0"/>
              <w:rPr>
                <w:sz w:val="3"/>
                <w:szCs w:val="3"/>
                <w:color w:val="auto"/>
              </w:rPr>
            </w:pPr>
          </w:p>
        </w:tc>
        <w:tc>
          <w:tcPr>
            <w:tcW w:w="580" w:type="dxa"/>
            <w:vAlign w:val="bottom"/>
            <w:tcBorders>
              <w:bottom w:val="single" w:sz="8" w:color="0E3C23"/>
            </w:tcBorders>
          </w:tcPr>
          <w:p>
            <w:pPr>
              <w:spacing w:after="0"/>
              <w:rPr>
                <w:sz w:val="3"/>
                <w:szCs w:val="3"/>
                <w:color w:val="auto"/>
              </w:rPr>
            </w:pPr>
          </w:p>
        </w:tc>
        <w:tc>
          <w:tcPr>
            <w:tcW w:w="840" w:type="dxa"/>
            <w:vAlign w:val="bottom"/>
            <w:tcBorders>
              <w:bottom w:val="single" w:sz="8" w:color="0E3C23"/>
            </w:tcBorders>
          </w:tcPr>
          <w:p>
            <w:pPr>
              <w:spacing w:after="0"/>
              <w:rPr>
                <w:sz w:val="3"/>
                <w:szCs w:val="3"/>
                <w:color w:val="auto"/>
              </w:rPr>
            </w:pPr>
          </w:p>
        </w:tc>
        <w:tc>
          <w:tcPr>
            <w:tcW w:w="780" w:type="dxa"/>
            <w:vAlign w:val="bottom"/>
            <w:tcBorders>
              <w:bottom w:val="single" w:sz="8" w:color="0E3C23"/>
            </w:tcBorders>
          </w:tcPr>
          <w:p>
            <w:pPr>
              <w:spacing w:after="0"/>
              <w:rPr>
                <w:sz w:val="3"/>
                <w:szCs w:val="3"/>
                <w:color w:val="auto"/>
              </w:rPr>
            </w:pPr>
          </w:p>
        </w:tc>
        <w:tc>
          <w:tcPr>
            <w:tcW w:w="580" w:type="dxa"/>
            <w:vAlign w:val="bottom"/>
            <w:tcBorders>
              <w:bottom w:val="single" w:sz="8" w:color="0E3C23"/>
            </w:tcBorders>
          </w:tcPr>
          <w:p>
            <w:pPr>
              <w:spacing w:after="0"/>
              <w:rPr>
                <w:sz w:val="3"/>
                <w:szCs w:val="3"/>
                <w:color w:val="auto"/>
              </w:rPr>
            </w:pPr>
          </w:p>
        </w:tc>
        <w:tc>
          <w:tcPr>
            <w:tcW w:w="1020" w:type="dxa"/>
            <w:vAlign w:val="bottom"/>
            <w:tcBorders>
              <w:bottom w:val="single" w:sz="8" w:color="0E3C23"/>
            </w:tcBorders>
          </w:tcPr>
          <w:p>
            <w:pPr>
              <w:spacing w:after="0"/>
              <w:rPr>
                <w:sz w:val="3"/>
                <w:szCs w:val="3"/>
                <w:color w:val="auto"/>
              </w:rPr>
            </w:pPr>
          </w:p>
        </w:tc>
        <w:tc>
          <w:tcPr>
            <w:tcW w:w="520" w:type="dxa"/>
            <w:vAlign w:val="bottom"/>
            <w:tcBorders>
              <w:bottom w:val="single" w:sz="8" w:color="0E3C23"/>
            </w:tcBorders>
          </w:tcPr>
          <w:p>
            <w:pPr>
              <w:spacing w:after="0"/>
              <w:rPr>
                <w:sz w:val="3"/>
                <w:szCs w:val="3"/>
                <w:color w:val="auto"/>
              </w:rPr>
            </w:pPr>
          </w:p>
        </w:tc>
        <w:tc>
          <w:tcPr>
            <w:tcW w:w="340" w:type="dxa"/>
            <w:vAlign w:val="bottom"/>
            <w:tcBorders>
              <w:bottom w:val="single" w:sz="8" w:color="0E3C23"/>
            </w:tcBorders>
          </w:tcPr>
          <w:p>
            <w:pPr>
              <w:spacing w:after="0"/>
              <w:rPr>
                <w:sz w:val="3"/>
                <w:szCs w:val="3"/>
                <w:color w:val="auto"/>
              </w:rPr>
            </w:pPr>
          </w:p>
        </w:tc>
        <w:tc>
          <w:tcPr>
            <w:tcW w:w="146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jc w:val="both"/>
        <w:ind w:left="180" w:right="200"/>
        <w:spacing w:after="0" w:line="269" w:lineRule="auto"/>
        <w:rPr>
          <w:sz w:val="20"/>
          <w:szCs w:val="20"/>
          <w:color w:val="auto"/>
        </w:rPr>
      </w:pPr>
      <w:r>
        <w:rPr>
          <w:rFonts w:ascii="Arial" w:cs="Arial" w:eastAsia="Arial" w:hAnsi="Arial"/>
          <w:sz w:val="19"/>
          <w:szCs w:val="19"/>
          <w:color w:val="auto"/>
        </w:rPr>
        <w:t>For purposes of the calculation of results, the Company excluded the impacts of the two months of post-closing contributions from the acquired Stericycle business, as well as transaction and integration costs, consistent with both the approach taken following the Company’s 2020 acquisition of Advanced Disposal and the MD&amp;C Committee’s philosophy with respect to addressing the impact of one-time and special events to eliminate disproportionate or counterproductive results. See Appendix A for additional information about the calculation of these results.</w:t>
      </w:r>
    </w:p>
    <w:p>
      <w:pPr>
        <w:spacing w:after="0" w:line="128" w:lineRule="exact"/>
        <w:rPr>
          <w:sz w:val="20"/>
          <w:szCs w:val="20"/>
          <w:color w:val="auto"/>
        </w:rPr>
      </w:pPr>
    </w:p>
    <w:p>
      <w:pPr>
        <w:jc w:val="both"/>
        <w:ind w:left="180" w:right="200"/>
        <w:spacing w:after="0" w:line="253" w:lineRule="auto"/>
        <w:rPr>
          <w:sz w:val="20"/>
          <w:szCs w:val="20"/>
          <w:color w:val="auto"/>
        </w:rPr>
      </w:pPr>
      <w:r>
        <w:rPr>
          <w:rFonts w:ascii="Arial" w:cs="Arial" w:eastAsia="Arial" w:hAnsi="Arial"/>
          <w:sz w:val="20"/>
          <w:szCs w:val="20"/>
          <w:i w:val="1"/>
          <w:iCs w:val="1"/>
          <w:u w:val="single" w:color="auto"/>
          <w:color w:val="auto"/>
        </w:rPr>
        <w:t>Sustainability Modifier to Annual Cash Incentive Awards.</w:t>
      </w:r>
      <w:r>
        <w:rPr>
          <w:rFonts w:ascii="Arial" w:cs="Arial" w:eastAsia="Arial" w:hAnsi="Arial"/>
          <w:sz w:val="20"/>
          <w:szCs w:val="20"/>
          <w:i w:val="1"/>
          <w:iCs w:val="1"/>
          <w:color w:val="auto"/>
        </w:rPr>
        <w:t xml:space="preserve"> </w:t>
      </w:r>
      <w:r>
        <w:rPr>
          <w:rFonts w:ascii="Arial" w:cs="Arial" w:eastAsia="Arial" w:hAnsi="Arial"/>
          <w:sz w:val="20"/>
          <w:szCs w:val="20"/>
          <w:color w:val="auto"/>
        </w:rPr>
        <w:t>In 2023, the MD&amp;C Committee incorporated a sustainability</w:t>
      </w:r>
      <w:r>
        <w:rPr>
          <w:rFonts w:ascii="Arial" w:cs="Arial" w:eastAsia="Arial" w:hAnsi="Arial"/>
          <w:sz w:val="20"/>
          <w:szCs w:val="20"/>
          <w:i w:val="1"/>
          <w:iCs w:val="1"/>
          <w:color w:val="auto"/>
        </w:rPr>
        <w:t xml:space="preserve"> </w:t>
      </w:r>
      <w:r>
        <w:rPr>
          <w:rFonts w:ascii="Arial" w:cs="Arial" w:eastAsia="Arial" w:hAnsi="Arial"/>
          <w:sz w:val="20"/>
          <w:szCs w:val="20"/>
          <w:color w:val="auto"/>
        </w:rPr>
        <w:t>modifier into the annual cash incentive program. In 2024, the MD&amp;C Committee continued use of the sustainability modifier, such that annual cash incentive payouts to executive officers for 2024 were eligible to be increased, or decreased, up to 10% depending on achievement calculated using the sustainability scorecard, an increase from the 5% weighting of the sustainability modifier in 2023. Results achieved on each of the four performance measures, and corresponding points earned on a scale of one-to-five, are reported below. The Company earned 15 total points on the 2024 sustainability scorecard, which correlates to a 3% increase to the annual cash incentive payment for 2024 otherwise earned.</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gridSpan w:val="3"/>
          </w:tcPr>
          <w:p>
            <w:pPr>
              <w:jc w:val="center"/>
              <w:ind w:left="149"/>
              <w:spacing w:after="0"/>
              <w:rPr>
                <w:sz w:val="20"/>
                <w:szCs w:val="20"/>
                <w:color w:val="auto"/>
              </w:rPr>
            </w:pPr>
            <w:r>
              <w:rPr>
                <w:rFonts w:ascii="Arial" w:cs="Arial" w:eastAsia="Arial" w:hAnsi="Arial"/>
                <w:sz w:val="16"/>
                <w:szCs w:val="16"/>
                <w:b w:val="1"/>
                <w:bCs w:val="1"/>
                <w:color w:val="0E3C23"/>
                <w:w w:val="94"/>
              </w:rPr>
              <w:t>2024 Scorecard</w:t>
            </w:r>
          </w:p>
        </w:tc>
        <w:tc>
          <w:tcPr>
            <w:tcW w:w="1600" w:type="dxa"/>
            <w:vAlign w:val="bottom"/>
            <w:gridSpan w:val="2"/>
          </w:tcPr>
          <w:p>
            <w:pPr>
              <w:jc w:val="center"/>
              <w:ind w:left="154"/>
              <w:spacing w:after="0"/>
              <w:rPr>
                <w:sz w:val="20"/>
                <w:szCs w:val="20"/>
                <w:color w:val="auto"/>
              </w:rPr>
            </w:pPr>
            <w:r>
              <w:rPr>
                <w:rFonts w:ascii="Arial" w:cs="Arial" w:eastAsia="Arial" w:hAnsi="Arial"/>
                <w:sz w:val="16"/>
                <w:szCs w:val="16"/>
                <w:b w:val="1"/>
                <w:bCs w:val="1"/>
                <w:color w:val="0E3C23"/>
                <w:w w:val="90"/>
              </w:rPr>
              <w:t>Corresponding</w:t>
            </w:r>
          </w:p>
        </w:tc>
        <w:tc>
          <w:tcPr>
            <w:tcW w:w="0" w:type="dxa"/>
            <w:vAlign w:val="bottom"/>
          </w:tcPr>
          <w:p>
            <w:pPr>
              <w:spacing w:after="0"/>
              <w:rPr>
                <w:sz w:val="1"/>
                <w:szCs w:val="1"/>
                <w:color w:val="auto"/>
              </w:rPr>
            </w:pPr>
          </w:p>
        </w:tc>
      </w:tr>
      <w:tr>
        <w:trPr>
          <w:trHeight w:val="192"/>
        </w:trPr>
        <w:tc>
          <w:tcPr>
            <w:tcW w:w="3980" w:type="dxa"/>
            <w:vAlign w:val="bottom"/>
            <w:gridSpan w:val="7"/>
            <w:vMerge w:val="restart"/>
          </w:tcPr>
          <w:p>
            <w:pPr>
              <w:ind w:left="120"/>
              <w:spacing w:after="0"/>
              <w:rPr>
                <w:sz w:val="20"/>
                <w:szCs w:val="20"/>
                <w:color w:val="auto"/>
              </w:rPr>
            </w:pPr>
            <w:r>
              <w:rPr>
                <w:rFonts w:ascii="Arial" w:cs="Arial" w:eastAsia="Arial" w:hAnsi="Arial"/>
                <w:sz w:val="16"/>
                <w:szCs w:val="16"/>
                <w:b w:val="1"/>
                <w:bCs w:val="1"/>
                <w:color w:val="0E3C23"/>
                <w:w w:val="98"/>
              </w:rPr>
              <w:t>2024 Sustainability Modifier Performance Measures</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0E3C23"/>
                <w:w w:val="96"/>
              </w:rPr>
              <w:t>2024 Target</w:t>
            </w:r>
          </w:p>
        </w:tc>
        <w:tc>
          <w:tcPr>
            <w:tcW w:w="1480" w:type="dxa"/>
            <w:vAlign w:val="bottom"/>
            <w:gridSpan w:val="3"/>
          </w:tcPr>
          <w:p>
            <w:pPr>
              <w:jc w:val="center"/>
              <w:ind w:left="149"/>
              <w:spacing w:after="0"/>
              <w:rPr>
                <w:sz w:val="20"/>
                <w:szCs w:val="20"/>
                <w:color w:val="auto"/>
              </w:rPr>
            </w:pPr>
            <w:r>
              <w:rPr>
                <w:rFonts w:ascii="Arial" w:cs="Arial" w:eastAsia="Arial" w:hAnsi="Arial"/>
                <w:sz w:val="16"/>
                <w:szCs w:val="16"/>
                <w:b w:val="1"/>
                <w:bCs w:val="1"/>
                <w:color w:val="0E3C23"/>
                <w:w w:val="94"/>
              </w:rPr>
              <w:t>Performance</w:t>
            </w:r>
          </w:p>
        </w:tc>
        <w:tc>
          <w:tcPr>
            <w:tcW w:w="1600" w:type="dxa"/>
            <w:vAlign w:val="bottom"/>
            <w:gridSpan w:val="2"/>
          </w:tcPr>
          <w:p>
            <w:pPr>
              <w:jc w:val="center"/>
              <w:ind w:left="134"/>
              <w:spacing w:after="0"/>
              <w:rPr>
                <w:sz w:val="20"/>
                <w:szCs w:val="20"/>
                <w:color w:val="auto"/>
              </w:rPr>
            </w:pPr>
            <w:r>
              <w:rPr>
                <w:rFonts w:ascii="Arial" w:cs="Arial" w:eastAsia="Arial" w:hAnsi="Arial"/>
                <w:sz w:val="16"/>
                <w:szCs w:val="16"/>
                <w:b w:val="1"/>
                <w:bCs w:val="1"/>
                <w:color w:val="0E3C23"/>
                <w:w w:val="92"/>
              </w:rPr>
              <w:t>Scorecard Rating</w:t>
            </w:r>
          </w:p>
        </w:tc>
        <w:tc>
          <w:tcPr>
            <w:tcW w:w="0" w:type="dxa"/>
            <w:vAlign w:val="bottom"/>
          </w:tcPr>
          <w:p>
            <w:pPr>
              <w:spacing w:after="0"/>
              <w:rPr>
                <w:sz w:val="1"/>
                <w:szCs w:val="1"/>
                <w:color w:val="auto"/>
              </w:rPr>
            </w:pPr>
          </w:p>
        </w:tc>
      </w:tr>
      <w:tr>
        <w:trPr>
          <w:trHeight w:val="204"/>
        </w:trPr>
        <w:tc>
          <w:tcPr>
            <w:tcW w:w="3980" w:type="dxa"/>
            <w:vAlign w:val="bottom"/>
            <w:tcBorders>
              <w:bottom w:val="single" w:sz="8" w:color="0E3C23"/>
            </w:tcBorders>
            <w:gridSpan w:val="7"/>
            <w:vMerge w:val="continue"/>
          </w:tcPr>
          <w:p>
            <w:pPr>
              <w:spacing w:after="0"/>
              <w:rPr>
                <w:sz w:val="17"/>
                <w:szCs w:val="17"/>
                <w:color w:val="auto"/>
              </w:rPr>
            </w:pPr>
          </w:p>
        </w:tc>
        <w:tc>
          <w:tcPr>
            <w:tcW w:w="500" w:type="dxa"/>
            <w:vAlign w:val="bottom"/>
            <w:tcBorders>
              <w:bottom w:val="single" w:sz="8" w:color="0E3C23"/>
            </w:tcBorders>
          </w:tcPr>
          <w:p>
            <w:pPr>
              <w:spacing w:after="0"/>
              <w:rPr>
                <w:sz w:val="17"/>
                <w:szCs w:val="17"/>
                <w:color w:val="auto"/>
              </w:rPr>
            </w:pPr>
          </w:p>
        </w:tc>
        <w:tc>
          <w:tcPr>
            <w:tcW w:w="500" w:type="dxa"/>
            <w:vAlign w:val="bottom"/>
            <w:tcBorders>
              <w:bottom w:val="single" w:sz="8" w:color="0E3C23"/>
            </w:tcBorders>
          </w:tcPr>
          <w:p>
            <w:pPr>
              <w:spacing w:after="0"/>
              <w:rPr>
                <w:sz w:val="17"/>
                <w:szCs w:val="17"/>
                <w:color w:val="auto"/>
              </w:rPr>
            </w:pPr>
          </w:p>
        </w:tc>
        <w:tc>
          <w:tcPr>
            <w:tcW w:w="600" w:type="dxa"/>
            <w:vAlign w:val="bottom"/>
            <w:tcBorders>
              <w:bottom w:val="single" w:sz="8" w:color="0E3C23"/>
            </w:tcBorders>
          </w:tcPr>
          <w:p>
            <w:pPr>
              <w:spacing w:after="0"/>
              <w:rPr>
                <w:sz w:val="17"/>
                <w:szCs w:val="17"/>
                <w:color w:val="auto"/>
              </w:rPr>
            </w:pPr>
          </w:p>
        </w:tc>
        <w:tc>
          <w:tcPr>
            <w:tcW w:w="280" w:type="dxa"/>
            <w:vAlign w:val="bottom"/>
            <w:tcBorders>
              <w:bottom w:val="single" w:sz="8" w:color="0E3C23"/>
            </w:tcBorders>
          </w:tcPr>
          <w:p>
            <w:pPr>
              <w:spacing w:after="0"/>
              <w:rPr>
                <w:sz w:val="17"/>
                <w:szCs w:val="17"/>
                <w:color w:val="auto"/>
              </w:rPr>
            </w:pPr>
          </w:p>
        </w:tc>
        <w:tc>
          <w:tcPr>
            <w:tcW w:w="1120" w:type="dxa"/>
            <w:vAlign w:val="bottom"/>
            <w:tcBorders>
              <w:bottom w:val="single" w:sz="8" w:color="0E3C23"/>
            </w:tcBorders>
            <w:gridSpan w:val="2"/>
            <w:vMerge w:val="continue"/>
          </w:tcPr>
          <w:p>
            <w:pPr>
              <w:spacing w:after="0"/>
              <w:rPr>
                <w:sz w:val="17"/>
                <w:szCs w:val="17"/>
                <w:color w:val="auto"/>
              </w:rPr>
            </w:pPr>
          </w:p>
        </w:tc>
        <w:tc>
          <w:tcPr>
            <w:tcW w:w="500" w:type="dxa"/>
            <w:vAlign w:val="bottom"/>
            <w:tcBorders>
              <w:bottom w:val="single" w:sz="8" w:color="0E3C23"/>
            </w:tcBorders>
          </w:tcPr>
          <w:p>
            <w:pPr>
              <w:spacing w:after="0"/>
              <w:rPr>
                <w:sz w:val="17"/>
                <w:szCs w:val="17"/>
                <w:color w:val="auto"/>
              </w:rPr>
            </w:pPr>
          </w:p>
        </w:tc>
        <w:tc>
          <w:tcPr>
            <w:tcW w:w="980" w:type="dxa"/>
            <w:vAlign w:val="bottom"/>
            <w:tcBorders>
              <w:bottom w:val="single" w:sz="8" w:color="0E3C23"/>
            </w:tcBorders>
            <w:gridSpan w:val="2"/>
          </w:tcPr>
          <w:p>
            <w:pPr>
              <w:jc w:val="center"/>
              <w:ind w:right="184"/>
              <w:spacing w:after="0"/>
              <w:rPr>
                <w:sz w:val="20"/>
                <w:szCs w:val="20"/>
                <w:color w:val="auto"/>
              </w:rPr>
            </w:pPr>
            <w:r>
              <w:rPr>
                <w:rFonts w:ascii="Arial" w:cs="Arial" w:eastAsia="Arial" w:hAnsi="Arial"/>
                <w:sz w:val="16"/>
                <w:szCs w:val="16"/>
                <w:b w:val="1"/>
                <w:bCs w:val="1"/>
                <w:color w:val="0E3C23"/>
                <w:w w:val="92"/>
              </w:rPr>
              <w:t>Achieved</w:t>
            </w:r>
          </w:p>
        </w:tc>
        <w:tc>
          <w:tcPr>
            <w:tcW w:w="1600" w:type="dxa"/>
            <w:vAlign w:val="bottom"/>
            <w:tcBorders>
              <w:bottom w:val="single" w:sz="8" w:color="0E3C23"/>
            </w:tcBorders>
            <w:gridSpan w:val="2"/>
          </w:tcPr>
          <w:p>
            <w:pPr>
              <w:jc w:val="center"/>
              <w:ind w:left="154"/>
              <w:spacing w:after="0"/>
              <w:rPr>
                <w:sz w:val="20"/>
                <w:szCs w:val="20"/>
                <w:color w:val="auto"/>
              </w:rPr>
            </w:pPr>
            <w:r>
              <w:rPr>
                <w:rFonts w:ascii="Arial" w:cs="Arial" w:eastAsia="Arial" w:hAnsi="Arial"/>
                <w:sz w:val="16"/>
                <w:szCs w:val="16"/>
                <w:b w:val="1"/>
                <w:bCs w:val="1"/>
                <w:color w:val="0E3C23"/>
                <w:w w:val="92"/>
              </w:rPr>
              <w:t>(1 to 5 Point Scale)</w:t>
            </w:r>
          </w:p>
        </w:tc>
        <w:tc>
          <w:tcPr>
            <w:tcW w:w="0" w:type="dxa"/>
            <w:vAlign w:val="bottom"/>
          </w:tcPr>
          <w:p>
            <w:pPr>
              <w:spacing w:after="0"/>
              <w:rPr>
                <w:sz w:val="1"/>
                <w:szCs w:val="1"/>
                <w:color w:val="auto"/>
              </w:rPr>
            </w:pPr>
          </w:p>
        </w:tc>
      </w:tr>
      <w:tr>
        <w:trPr>
          <w:trHeight w:val="245"/>
        </w:trPr>
        <w:tc>
          <w:tcPr>
            <w:tcW w:w="112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Safety</w:t>
            </w:r>
          </w:p>
        </w:tc>
        <w:tc>
          <w:tcPr>
            <w:tcW w:w="4740" w:type="dxa"/>
            <w:vAlign w:val="bottom"/>
            <w:gridSpan w:val="10"/>
          </w:tcPr>
          <w:p>
            <w:pPr>
              <w:ind w:left="20"/>
              <w:spacing w:after="0"/>
              <w:rPr>
                <w:sz w:val="20"/>
                <w:szCs w:val="20"/>
                <w:color w:val="auto"/>
              </w:rPr>
            </w:pPr>
            <w:r>
              <w:rPr>
                <w:rFonts w:ascii="Arial" w:cs="Arial" w:eastAsia="Arial" w:hAnsi="Arial"/>
                <w:sz w:val="19"/>
                <w:szCs w:val="19"/>
                <w:color w:val="auto"/>
                <w:w w:val="94"/>
              </w:rPr>
              <w:t>Invest in and Continuously Enhance WM’s Safety Culture –</w:t>
            </w:r>
          </w:p>
        </w:tc>
        <w:tc>
          <w:tcPr>
            <w:tcW w:w="1120" w:type="dxa"/>
            <w:vAlign w:val="bottom"/>
            <w:gridSpan w:val="2"/>
            <w:vMerge w:val="restart"/>
          </w:tcPr>
          <w:p>
            <w:pPr>
              <w:jc w:val="center"/>
              <w:spacing w:after="0"/>
              <w:rPr>
                <w:sz w:val="20"/>
                <w:szCs w:val="20"/>
                <w:color w:val="auto"/>
              </w:rPr>
            </w:pPr>
            <w:r>
              <w:rPr>
                <w:rFonts w:ascii="Arial" w:cs="Arial" w:eastAsia="Arial" w:hAnsi="Arial"/>
                <w:sz w:val="19"/>
                <w:szCs w:val="19"/>
                <w:color w:val="auto"/>
                <w:w w:val="85"/>
              </w:rPr>
              <w:t>TRIR</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1120" w:type="dxa"/>
            <w:vAlign w:val="bottom"/>
            <w:vMerge w:val="continue"/>
          </w:tcPr>
          <w:p>
            <w:pPr>
              <w:spacing w:after="0"/>
              <w:rPr>
                <w:sz w:val="10"/>
                <w:szCs w:val="10"/>
                <w:color w:val="auto"/>
              </w:rPr>
            </w:pPr>
          </w:p>
        </w:tc>
        <w:tc>
          <w:tcPr>
            <w:tcW w:w="4460" w:type="dxa"/>
            <w:vAlign w:val="bottom"/>
            <w:gridSpan w:val="9"/>
            <w:vMerge w:val="restart"/>
          </w:tcPr>
          <w:p>
            <w:pPr>
              <w:ind w:left="20"/>
              <w:spacing w:after="0"/>
              <w:rPr>
                <w:sz w:val="20"/>
                <w:szCs w:val="20"/>
                <w:color w:val="auto"/>
              </w:rPr>
            </w:pPr>
            <w:r>
              <w:rPr>
                <w:rFonts w:ascii="Arial" w:cs="Arial" w:eastAsia="Arial" w:hAnsi="Arial"/>
                <w:sz w:val="19"/>
                <w:szCs w:val="19"/>
                <w:color w:val="auto"/>
                <w:w w:val="95"/>
              </w:rPr>
              <w:t>Improve Total Records Incident Rate (TRIR), subject to</w:t>
            </w:r>
          </w:p>
        </w:tc>
        <w:tc>
          <w:tcPr>
            <w:tcW w:w="2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9"/>
                <w:szCs w:val="19"/>
                <w:color w:val="auto"/>
              </w:rPr>
              <w:t>&gt; 3.17</w:t>
            </w:r>
          </w:p>
        </w:tc>
        <w:tc>
          <w:tcPr>
            <w:tcW w:w="480" w:type="dxa"/>
            <w:vAlign w:val="bottom"/>
          </w:tcPr>
          <w:p>
            <w:pPr>
              <w:spacing w:after="0"/>
              <w:rPr>
                <w:sz w:val="10"/>
                <w:szCs w:val="10"/>
                <w:color w:val="auto"/>
              </w:rPr>
            </w:pPr>
          </w:p>
        </w:tc>
        <w:tc>
          <w:tcPr>
            <w:tcW w:w="1120" w:type="dxa"/>
            <w:vAlign w:val="bottom"/>
            <w:vMerge w:val="restart"/>
          </w:tcPr>
          <w:p>
            <w:pPr>
              <w:jc w:val="center"/>
              <w:ind w:right="164"/>
              <w:spacing w:after="0"/>
              <w:rPr>
                <w:sz w:val="20"/>
                <w:szCs w:val="20"/>
                <w:color w:val="auto"/>
              </w:rPr>
            </w:pPr>
            <w:r>
              <w:rPr>
                <w:rFonts w:ascii="Arial" w:cs="Arial" w:eastAsia="Arial" w:hAnsi="Arial"/>
                <w:sz w:val="19"/>
                <w:szCs w:val="19"/>
                <w:color w:val="auto"/>
                <w:w w:val="94"/>
              </w:rPr>
              <w:t>1</w:t>
            </w:r>
          </w:p>
        </w:tc>
        <w:tc>
          <w:tcPr>
            <w:tcW w:w="0" w:type="dxa"/>
            <w:vAlign w:val="bottom"/>
          </w:tcPr>
          <w:p>
            <w:pPr>
              <w:spacing w:after="0"/>
              <w:rPr>
                <w:sz w:val="1"/>
                <w:szCs w:val="1"/>
                <w:color w:val="auto"/>
              </w:rPr>
            </w:pPr>
          </w:p>
        </w:tc>
      </w:tr>
      <w:tr>
        <w:trPr>
          <w:trHeight w:val="116"/>
        </w:trPr>
        <w:tc>
          <w:tcPr>
            <w:tcW w:w="1120" w:type="dxa"/>
            <w:vAlign w:val="bottom"/>
            <w:vMerge w:val="continue"/>
          </w:tcPr>
          <w:p>
            <w:pPr>
              <w:spacing w:after="0"/>
              <w:rPr>
                <w:sz w:val="10"/>
                <w:szCs w:val="10"/>
                <w:color w:val="auto"/>
              </w:rPr>
            </w:pPr>
          </w:p>
        </w:tc>
        <w:tc>
          <w:tcPr>
            <w:tcW w:w="4460" w:type="dxa"/>
            <w:vAlign w:val="bottom"/>
            <w:gridSpan w:val="9"/>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9"/>
                <w:szCs w:val="19"/>
                <w:color w:val="auto"/>
                <w:w w:val="94"/>
              </w:rPr>
              <w:t>2.99 – 3.07</w:t>
            </w:r>
          </w:p>
        </w:tc>
        <w:tc>
          <w:tcPr>
            <w:tcW w:w="5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120" w:type="dxa"/>
            <w:vAlign w:val="bottom"/>
          </w:tcPr>
          <w:p>
            <w:pPr>
              <w:spacing w:after="0"/>
              <w:rPr>
                <w:sz w:val="9"/>
                <w:szCs w:val="9"/>
                <w:color w:val="auto"/>
              </w:rPr>
            </w:pPr>
          </w:p>
        </w:tc>
        <w:tc>
          <w:tcPr>
            <w:tcW w:w="4740" w:type="dxa"/>
            <w:vAlign w:val="bottom"/>
            <w:gridSpan w:val="10"/>
            <w:vMerge w:val="restart"/>
          </w:tcPr>
          <w:p>
            <w:pPr>
              <w:ind w:left="20"/>
              <w:spacing w:after="0"/>
              <w:rPr>
                <w:sz w:val="20"/>
                <w:szCs w:val="20"/>
                <w:color w:val="auto"/>
              </w:rPr>
            </w:pPr>
            <w:r>
              <w:rPr>
                <w:rFonts w:ascii="Arial" w:cs="Arial" w:eastAsia="Arial" w:hAnsi="Arial"/>
                <w:sz w:val="19"/>
                <w:szCs w:val="19"/>
                <w:color w:val="auto"/>
                <w:w w:val="99"/>
              </w:rPr>
              <w:t>Qualitative Assessment of Overall Results and Incidents</w:t>
            </w:r>
          </w:p>
        </w:tc>
        <w:tc>
          <w:tcPr>
            <w:tcW w:w="112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120" w:type="dxa"/>
            <w:vAlign w:val="bottom"/>
          </w:tcPr>
          <w:p>
            <w:pPr>
              <w:spacing w:after="0"/>
              <w:rPr>
                <w:sz w:val="9"/>
                <w:szCs w:val="9"/>
                <w:color w:val="auto"/>
              </w:rPr>
            </w:pPr>
          </w:p>
        </w:tc>
        <w:tc>
          <w:tcPr>
            <w:tcW w:w="4740" w:type="dxa"/>
            <w:vAlign w:val="bottom"/>
            <w:gridSpan w:val="10"/>
            <w:vMerge w:val="continue"/>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12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Employee</w:t>
            </w:r>
          </w:p>
        </w:tc>
        <w:tc>
          <w:tcPr>
            <w:tcW w:w="4460" w:type="dxa"/>
            <w:vAlign w:val="bottom"/>
            <w:tcBorders>
              <w:bottom w:val="single" w:sz="8" w:color="0E3C23"/>
            </w:tcBorders>
            <w:gridSpan w:val="9"/>
          </w:tcPr>
          <w:p>
            <w:pPr>
              <w:spacing w:after="0"/>
              <w:rPr>
                <w:sz w:val="3"/>
                <w:szCs w:val="3"/>
                <w:color w:val="auto"/>
              </w:rPr>
            </w:pPr>
          </w:p>
        </w:tc>
        <w:tc>
          <w:tcPr>
            <w:tcW w:w="280" w:type="dxa"/>
            <w:vAlign w:val="bottom"/>
            <w:tcBorders>
              <w:bottom w:val="single" w:sz="8" w:color="0E3C23"/>
            </w:tcBorders>
          </w:tcPr>
          <w:p>
            <w:pPr>
              <w:spacing w:after="0"/>
              <w:rPr>
                <w:sz w:val="3"/>
                <w:szCs w:val="3"/>
                <w:color w:val="auto"/>
              </w:rPr>
            </w:pPr>
          </w:p>
        </w:tc>
        <w:tc>
          <w:tcPr>
            <w:tcW w:w="600" w:type="dxa"/>
            <w:vAlign w:val="bottom"/>
            <w:tcBorders>
              <w:bottom w:val="single" w:sz="8" w:color="0E3C23"/>
            </w:tcBorders>
          </w:tcPr>
          <w:p>
            <w:pPr>
              <w:spacing w:after="0"/>
              <w:rPr>
                <w:sz w:val="3"/>
                <w:szCs w:val="3"/>
                <w:color w:val="auto"/>
              </w:rPr>
            </w:pPr>
          </w:p>
        </w:tc>
        <w:tc>
          <w:tcPr>
            <w:tcW w:w="520" w:type="dxa"/>
            <w:vAlign w:val="bottom"/>
            <w:tcBorders>
              <w:bottom w:val="single" w:sz="8" w:color="0E3C23"/>
            </w:tcBorders>
          </w:tcPr>
          <w:p>
            <w:pPr>
              <w:spacing w:after="0"/>
              <w:rPr>
                <w:sz w:val="3"/>
                <w:szCs w:val="3"/>
                <w:color w:val="auto"/>
              </w:rPr>
            </w:pPr>
          </w:p>
        </w:tc>
        <w:tc>
          <w:tcPr>
            <w:tcW w:w="500" w:type="dxa"/>
            <w:vAlign w:val="bottom"/>
            <w:tcBorders>
              <w:bottom w:val="single" w:sz="8" w:color="0E3C23"/>
            </w:tcBorders>
          </w:tcPr>
          <w:p>
            <w:pPr>
              <w:spacing w:after="0"/>
              <w:rPr>
                <w:sz w:val="3"/>
                <w:szCs w:val="3"/>
                <w:color w:val="auto"/>
              </w:rPr>
            </w:pPr>
          </w:p>
        </w:tc>
        <w:tc>
          <w:tcPr>
            <w:tcW w:w="460" w:type="dxa"/>
            <w:vAlign w:val="bottom"/>
            <w:tcBorders>
              <w:bottom w:val="single" w:sz="8" w:color="0E3C23"/>
            </w:tcBorders>
          </w:tcPr>
          <w:p>
            <w:pPr>
              <w:spacing w:after="0"/>
              <w:rPr>
                <w:sz w:val="3"/>
                <w:szCs w:val="3"/>
                <w:color w:val="auto"/>
              </w:rPr>
            </w:pPr>
          </w:p>
        </w:tc>
        <w:tc>
          <w:tcPr>
            <w:tcW w:w="520" w:type="dxa"/>
            <w:vAlign w:val="bottom"/>
            <w:tcBorders>
              <w:bottom w:val="single" w:sz="8" w:color="0E3C23"/>
            </w:tcBorders>
          </w:tcPr>
          <w:p>
            <w:pPr>
              <w:spacing w:after="0"/>
              <w:rPr>
                <w:sz w:val="3"/>
                <w:szCs w:val="3"/>
                <w:color w:val="auto"/>
              </w:rPr>
            </w:pPr>
          </w:p>
        </w:tc>
        <w:tc>
          <w:tcPr>
            <w:tcW w:w="48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1120" w:type="dxa"/>
            <w:vAlign w:val="bottom"/>
            <w:vMerge w:val="continue"/>
          </w:tcPr>
          <w:p>
            <w:pPr>
              <w:spacing w:after="0"/>
              <w:rPr>
                <w:sz w:val="20"/>
                <w:szCs w:val="20"/>
                <w:color w:val="auto"/>
              </w:rPr>
            </w:pPr>
          </w:p>
        </w:tc>
        <w:tc>
          <w:tcPr>
            <w:tcW w:w="4460" w:type="dxa"/>
            <w:vAlign w:val="bottom"/>
            <w:gridSpan w:val="9"/>
          </w:tcPr>
          <w:p>
            <w:pPr>
              <w:ind w:left="20"/>
              <w:spacing w:after="0"/>
              <w:rPr>
                <w:sz w:val="20"/>
                <w:szCs w:val="20"/>
                <w:color w:val="auto"/>
              </w:rPr>
            </w:pPr>
            <w:r>
              <w:rPr>
                <w:rFonts w:ascii="Arial" w:cs="Arial" w:eastAsia="Arial" w:hAnsi="Arial"/>
                <w:sz w:val="19"/>
                <w:szCs w:val="19"/>
                <w:color w:val="auto"/>
              </w:rPr>
              <w:t>Improve or Sustain “Engagement Score” in annual</w:t>
            </w:r>
          </w:p>
        </w:tc>
        <w:tc>
          <w:tcPr>
            <w:tcW w:w="280" w:type="dxa"/>
            <w:vAlign w:val="bottom"/>
          </w:tcPr>
          <w:p>
            <w:pPr>
              <w:spacing w:after="0"/>
              <w:rPr>
                <w:sz w:val="20"/>
                <w:szCs w:val="20"/>
                <w:color w:val="auto"/>
              </w:rPr>
            </w:pPr>
          </w:p>
        </w:tc>
        <w:tc>
          <w:tcPr>
            <w:tcW w:w="1120" w:type="dxa"/>
            <w:vAlign w:val="bottom"/>
            <w:gridSpan w:val="2"/>
            <w:vMerge w:val="restart"/>
          </w:tcPr>
          <w:p>
            <w:pPr>
              <w:jc w:val="right"/>
              <w:ind w:right="264"/>
              <w:spacing w:after="0"/>
              <w:rPr>
                <w:sz w:val="20"/>
                <w:szCs w:val="20"/>
                <w:color w:val="auto"/>
              </w:rPr>
            </w:pPr>
            <w:r>
              <w:rPr>
                <w:rFonts w:ascii="Arial" w:cs="Arial" w:eastAsia="Arial" w:hAnsi="Arial"/>
                <w:sz w:val="19"/>
                <w:szCs w:val="19"/>
                <w:color w:val="auto"/>
              </w:rPr>
              <w:t>74%</w:t>
            </w:r>
          </w:p>
        </w:tc>
        <w:tc>
          <w:tcPr>
            <w:tcW w:w="500" w:type="dxa"/>
            <w:vAlign w:val="bottom"/>
          </w:tcPr>
          <w:p>
            <w:pPr>
              <w:spacing w:after="0"/>
              <w:rPr>
                <w:sz w:val="20"/>
                <w:szCs w:val="20"/>
                <w:color w:val="auto"/>
              </w:rPr>
            </w:pPr>
          </w:p>
        </w:tc>
        <w:tc>
          <w:tcPr>
            <w:tcW w:w="980" w:type="dxa"/>
            <w:vAlign w:val="bottom"/>
            <w:gridSpan w:val="2"/>
            <w:vMerge w:val="restart"/>
          </w:tcPr>
          <w:p>
            <w:pPr>
              <w:jc w:val="center"/>
              <w:ind w:right="204"/>
              <w:spacing w:after="0"/>
              <w:rPr>
                <w:sz w:val="20"/>
                <w:szCs w:val="20"/>
                <w:color w:val="auto"/>
              </w:rPr>
            </w:pPr>
            <w:r>
              <w:rPr>
                <w:rFonts w:ascii="Arial" w:cs="Arial" w:eastAsia="Arial" w:hAnsi="Arial"/>
                <w:sz w:val="19"/>
                <w:szCs w:val="19"/>
                <w:color w:val="auto"/>
                <w:w w:val="92"/>
              </w:rPr>
              <w:t>&gt;=75%</w:t>
            </w:r>
          </w:p>
        </w:tc>
        <w:tc>
          <w:tcPr>
            <w:tcW w:w="480" w:type="dxa"/>
            <w:vAlign w:val="bottom"/>
          </w:tcPr>
          <w:p>
            <w:pPr>
              <w:spacing w:after="0"/>
              <w:rPr>
                <w:sz w:val="20"/>
                <w:szCs w:val="20"/>
                <w:color w:val="auto"/>
              </w:rPr>
            </w:pPr>
          </w:p>
        </w:tc>
        <w:tc>
          <w:tcPr>
            <w:tcW w:w="1120" w:type="dxa"/>
            <w:vAlign w:val="bottom"/>
            <w:vMerge w:val="restart"/>
          </w:tcPr>
          <w:p>
            <w:pPr>
              <w:jc w:val="center"/>
              <w:ind w:right="164"/>
              <w:spacing w:after="0"/>
              <w:rPr>
                <w:sz w:val="20"/>
                <w:szCs w:val="20"/>
                <w:color w:val="auto"/>
              </w:rPr>
            </w:pPr>
            <w:r>
              <w:rPr>
                <w:rFonts w:ascii="Arial" w:cs="Arial" w:eastAsia="Arial" w:hAnsi="Arial"/>
                <w:sz w:val="19"/>
                <w:szCs w:val="19"/>
                <w:color w:val="auto"/>
                <w:w w:val="94"/>
              </w:rPr>
              <w:t>5</w:t>
            </w:r>
          </w:p>
        </w:tc>
        <w:tc>
          <w:tcPr>
            <w:tcW w:w="0" w:type="dxa"/>
            <w:vAlign w:val="bottom"/>
          </w:tcPr>
          <w:p>
            <w:pPr>
              <w:spacing w:after="0"/>
              <w:rPr>
                <w:sz w:val="1"/>
                <w:szCs w:val="1"/>
                <w:color w:val="auto"/>
              </w:rPr>
            </w:pPr>
          </w:p>
        </w:tc>
      </w:tr>
      <w:tr>
        <w:trPr>
          <w:trHeight w:val="130"/>
        </w:trPr>
        <w:tc>
          <w:tcPr>
            <w:tcW w:w="3560" w:type="dxa"/>
            <w:vAlign w:val="bottom"/>
            <w:gridSpan w:val="6"/>
            <w:vMerge w:val="restart"/>
          </w:tcPr>
          <w:p>
            <w:pPr>
              <w:ind w:left="60"/>
              <w:spacing w:after="0"/>
              <w:rPr>
                <w:sz w:val="20"/>
                <w:szCs w:val="20"/>
                <w:color w:val="auto"/>
              </w:rPr>
            </w:pPr>
            <w:r>
              <w:rPr>
                <w:rFonts w:ascii="Arial" w:cs="Arial" w:eastAsia="Arial" w:hAnsi="Arial"/>
                <w:sz w:val="19"/>
                <w:szCs w:val="19"/>
                <w:b w:val="1"/>
                <w:bCs w:val="1"/>
                <w:color w:val="auto"/>
                <w:w w:val="93"/>
              </w:rPr>
              <w:t xml:space="preserve">Engagement </w:t>
            </w:r>
            <w:r>
              <w:rPr>
                <w:rFonts w:ascii="Arial" w:cs="Arial" w:eastAsia="Arial" w:hAnsi="Arial"/>
                <w:sz w:val="19"/>
                <w:szCs w:val="19"/>
                <w:color w:val="auto"/>
                <w:w w:val="93"/>
              </w:rPr>
              <w:t>Voice of the Employee survey</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560" w:type="dxa"/>
            <w:vAlign w:val="bottom"/>
            <w:gridSpan w:val="6"/>
            <w:vMerge w:val="continue"/>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120" w:type="dxa"/>
            <w:vAlign w:val="bottom"/>
          </w:tcPr>
          <w:p>
            <w:pPr>
              <w:spacing w:after="0"/>
              <w:rPr>
                <w:sz w:val="6"/>
                <w:szCs w:val="6"/>
                <w:color w:val="auto"/>
              </w:rPr>
            </w:pPr>
          </w:p>
        </w:tc>
        <w:tc>
          <w:tcPr>
            <w:tcW w:w="3860" w:type="dxa"/>
            <w:vAlign w:val="bottom"/>
            <w:tcBorders>
              <w:bottom w:val="single" w:sz="8" w:color="0E3C23"/>
            </w:tcBorders>
            <w:gridSpan w:val="8"/>
          </w:tcPr>
          <w:p>
            <w:pPr>
              <w:spacing w:after="0"/>
              <w:rPr>
                <w:sz w:val="6"/>
                <w:szCs w:val="6"/>
                <w:color w:val="auto"/>
              </w:rPr>
            </w:pPr>
          </w:p>
        </w:tc>
        <w:tc>
          <w:tcPr>
            <w:tcW w:w="600" w:type="dxa"/>
            <w:vAlign w:val="bottom"/>
            <w:tcBorders>
              <w:bottom w:val="single" w:sz="8" w:color="0E3C23"/>
            </w:tcBorders>
          </w:tcPr>
          <w:p>
            <w:pPr>
              <w:spacing w:after="0"/>
              <w:rPr>
                <w:sz w:val="6"/>
                <w:szCs w:val="6"/>
                <w:color w:val="auto"/>
              </w:rPr>
            </w:pPr>
          </w:p>
        </w:tc>
        <w:tc>
          <w:tcPr>
            <w:tcW w:w="280" w:type="dxa"/>
            <w:vAlign w:val="bottom"/>
            <w:tcBorders>
              <w:bottom w:val="single" w:sz="8" w:color="0E3C23"/>
            </w:tcBorders>
          </w:tcPr>
          <w:p>
            <w:pPr>
              <w:spacing w:after="0"/>
              <w:rPr>
                <w:sz w:val="6"/>
                <w:szCs w:val="6"/>
                <w:color w:val="auto"/>
              </w:rPr>
            </w:pPr>
          </w:p>
        </w:tc>
        <w:tc>
          <w:tcPr>
            <w:tcW w:w="600" w:type="dxa"/>
            <w:vAlign w:val="bottom"/>
            <w:tcBorders>
              <w:bottom w:val="single" w:sz="8" w:color="0E3C23"/>
            </w:tcBorders>
          </w:tcPr>
          <w:p>
            <w:pPr>
              <w:spacing w:after="0"/>
              <w:rPr>
                <w:sz w:val="6"/>
                <w:szCs w:val="6"/>
                <w:color w:val="auto"/>
              </w:rPr>
            </w:pPr>
          </w:p>
        </w:tc>
        <w:tc>
          <w:tcPr>
            <w:tcW w:w="520" w:type="dxa"/>
            <w:vAlign w:val="bottom"/>
            <w:tcBorders>
              <w:bottom w:val="single" w:sz="8" w:color="0E3C23"/>
            </w:tcBorders>
          </w:tcPr>
          <w:p>
            <w:pPr>
              <w:spacing w:after="0"/>
              <w:rPr>
                <w:sz w:val="6"/>
                <w:szCs w:val="6"/>
                <w:color w:val="auto"/>
              </w:rPr>
            </w:pPr>
          </w:p>
        </w:tc>
        <w:tc>
          <w:tcPr>
            <w:tcW w:w="500" w:type="dxa"/>
            <w:vAlign w:val="bottom"/>
            <w:tcBorders>
              <w:bottom w:val="single" w:sz="8" w:color="0E3C23"/>
            </w:tcBorders>
          </w:tcPr>
          <w:p>
            <w:pPr>
              <w:spacing w:after="0"/>
              <w:rPr>
                <w:sz w:val="6"/>
                <w:szCs w:val="6"/>
                <w:color w:val="auto"/>
              </w:rPr>
            </w:pPr>
          </w:p>
        </w:tc>
        <w:tc>
          <w:tcPr>
            <w:tcW w:w="460" w:type="dxa"/>
            <w:vAlign w:val="bottom"/>
            <w:tcBorders>
              <w:bottom w:val="single" w:sz="8" w:color="0E3C23"/>
            </w:tcBorders>
          </w:tcPr>
          <w:p>
            <w:pPr>
              <w:spacing w:after="0"/>
              <w:rPr>
                <w:sz w:val="6"/>
                <w:szCs w:val="6"/>
                <w:color w:val="auto"/>
              </w:rPr>
            </w:pPr>
          </w:p>
        </w:tc>
        <w:tc>
          <w:tcPr>
            <w:tcW w:w="520" w:type="dxa"/>
            <w:vAlign w:val="bottom"/>
            <w:tcBorders>
              <w:bottom w:val="single" w:sz="8" w:color="0E3C23"/>
            </w:tcBorders>
          </w:tcPr>
          <w:p>
            <w:pPr>
              <w:spacing w:after="0"/>
              <w:rPr>
                <w:sz w:val="6"/>
                <w:szCs w:val="6"/>
                <w:color w:val="auto"/>
              </w:rPr>
            </w:pPr>
          </w:p>
        </w:tc>
        <w:tc>
          <w:tcPr>
            <w:tcW w:w="480" w:type="dxa"/>
            <w:vAlign w:val="bottom"/>
            <w:tcBorders>
              <w:bottom w:val="single" w:sz="8" w:color="0E3C23"/>
            </w:tcBorders>
          </w:tcPr>
          <w:p>
            <w:pPr>
              <w:spacing w:after="0"/>
              <w:rPr>
                <w:sz w:val="6"/>
                <w:szCs w:val="6"/>
                <w:color w:val="auto"/>
              </w:rPr>
            </w:pPr>
          </w:p>
        </w:tc>
        <w:tc>
          <w:tcPr>
            <w:tcW w:w="1120" w:type="dxa"/>
            <w:vAlign w:val="bottom"/>
            <w:tcBorders>
              <w:bottom w:val="single" w:sz="8" w:color="0E3C23"/>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112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Circularity</w:t>
            </w:r>
          </w:p>
        </w:tc>
        <w:tc>
          <w:tcPr>
            <w:tcW w:w="3860" w:type="dxa"/>
            <w:vAlign w:val="bottom"/>
            <w:gridSpan w:val="8"/>
          </w:tcPr>
          <w:p>
            <w:pPr>
              <w:ind w:left="20"/>
              <w:spacing w:after="0"/>
              <w:rPr>
                <w:sz w:val="20"/>
                <w:szCs w:val="20"/>
                <w:color w:val="auto"/>
              </w:rPr>
            </w:pPr>
            <w:r>
              <w:rPr>
                <w:rFonts w:ascii="Arial" w:cs="Arial" w:eastAsia="Arial" w:hAnsi="Arial"/>
                <w:sz w:val="19"/>
                <w:szCs w:val="19"/>
                <w:color w:val="auto"/>
                <w:w w:val="99"/>
              </w:rPr>
              <w:t>Increase tons recovered in recycling business</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9"/>
                <w:szCs w:val="19"/>
                <w:color w:val="auto"/>
                <w:w w:val="98"/>
              </w:rPr>
              <w:t>9.5 Million</w:t>
            </w:r>
          </w:p>
        </w:tc>
        <w:tc>
          <w:tcPr>
            <w:tcW w:w="1480" w:type="dxa"/>
            <w:vAlign w:val="bottom"/>
            <w:gridSpan w:val="3"/>
            <w:vMerge w:val="restart"/>
          </w:tcPr>
          <w:p>
            <w:pPr>
              <w:jc w:val="center"/>
              <w:ind w:left="129"/>
              <w:spacing w:after="0"/>
              <w:rPr>
                <w:sz w:val="20"/>
                <w:szCs w:val="20"/>
                <w:color w:val="auto"/>
              </w:rPr>
            </w:pPr>
            <w:r>
              <w:rPr>
                <w:rFonts w:ascii="Arial" w:cs="Arial" w:eastAsia="Arial" w:hAnsi="Arial"/>
                <w:sz w:val="19"/>
                <w:szCs w:val="19"/>
                <w:color w:val="auto"/>
                <w:w w:val="97"/>
              </w:rPr>
              <w:t>&gt;9.8 Million</w:t>
            </w:r>
          </w:p>
        </w:tc>
        <w:tc>
          <w:tcPr>
            <w:tcW w:w="480" w:type="dxa"/>
            <w:vAlign w:val="bottom"/>
          </w:tcPr>
          <w:p>
            <w:pPr>
              <w:spacing w:after="0"/>
              <w:rPr>
                <w:sz w:val="21"/>
                <w:szCs w:val="21"/>
                <w:color w:val="auto"/>
              </w:rPr>
            </w:pPr>
          </w:p>
        </w:tc>
        <w:tc>
          <w:tcPr>
            <w:tcW w:w="1120" w:type="dxa"/>
            <w:vAlign w:val="bottom"/>
            <w:vMerge w:val="restart"/>
          </w:tcPr>
          <w:p>
            <w:pPr>
              <w:jc w:val="center"/>
              <w:ind w:right="164"/>
              <w:spacing w:after="0"/>
              <w:rPr>
                <w:sz w:val="20"/>
                <w:szCs w:val="20"/>
                <w:color w:val="auto"/>
              </w:rPr>
            </w:pPr>
            <w:r>
              <w:rPr>
                <w:rFonts w:ascii="Arial" w:cs="Arial" w:eastAsia="Arial" w:hAnsi="Arial"/>
                <w:sz w:val="19"/>
                <w:szCs w:val="19"/>
                <w:color w:val="auto"/>
                <w:w w:val="94"/>
              </w:rPr>
              <w:t>5</w:t>
            </w:r>
          </w:p>
        </w:tc>
        <w:tc>
          <w:tcPr>
            <w:tcW w:w="0" w:type="dxa"/>
            <w:vAlign w:val="bottom"/>
          </w:tcPr>
          <w:p>
            <w:pPr>
              <w:spacing w:after="0"/>
              <w:rPr>
                <w:sz w:val="1"/>
                <w:szCs w:val="1"/>
                <w:color w:val="auto"/>
              </w:rPr>
            </w:pPr>
          </w:p>
        </w:tc>
      </w:tr>
      <w:tr>
        <w:trPr>
          <w:trHeight w:val="231"/>
        </w:trPr>
        <w:tc>
          <w:tcPr>
            <w:tcW w:w="1120" w:type="dxa"/>
            <w:vAlign w:val="bottom"/>
            <w:vMerge w:val="continue"/>
          </w:tcPr>
          <w:p>
            <w:pPr>
              <w:spacing w:after="0"/>
              <w:rPr>
                <w:sz w:val="20"/>
                <w:szCs w:val="20"/>
                <w:color w:val="auto"/>
              </w:rPr>
            </w:pPr>
          </w:p>
        </w:tc>
        <w:tc>
          <w:tcPr>
            <w:tcW w:w="1400" w:type="dxa"/>
            <w:vAlign w:val="bottom"/>
            <w:gridSpan w:val="3"/>
          </w:tcPr>
          <w:p>
            <w:pPr>
              <w:ind w:left="20"/>
              <w:spacing w:after="0"/>
              <w:rPr>
                <w:sz w:val="20"/>
                <w:szCs w:val="20"/>
                <w:color w:val="auto"/>
              </w:rPr>
            </w:pPr>
            <w:r>
              <w:rPr>
                <w:rFonts w:ascii="Arial" w:cs="Arial" w:eastAsia="Arial" w:hAnsi="Arial"/>
                <w:sz w:val="19"/>
                <w:szCs w:val="19"/>
                <w:color w:val="auto"/>
                <w:w w:val="99"/>
              </w:rPr>
              <w:t>(year-over-year)</w:t>
            </w: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480" w:type="dxa"/>
            <w:vAlign w:val="bottom"/>
            <w:gridSpan w:val="3"/>
            <w:vMerge w:val="continue"/>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1120" w:type="dxa"/>
            <w:vAlign w:val="bottom"/>
          </w:tcPr>
          <w:p>
            <w:pPr>
              <w:spacing w:after="0"/>
              <w:rPr>
                <w:sz w:val="5"/>
                <w:szCs w:val="5"/>
                <w:color w:val="auto"/>
              </w:rPr>
            </w:pPr>
          </w:p>
        </w:tc>
        <w:tc>
          <w:tcPr>
            <w:tcW w:w="300" w:type="dxa"/>
            <w:vAlign w:val="bottom"/>
            <w:tcBorders>
              <w:bottom w:val="single" w:sz="8" w:color="0E3C23"/>
            </w:tcBorders>
          </w:tcPr>
          <w:p>
            <w:pPr>
              <w:spacing w:after="0"/>
              <w:rPr>
                <w:sz w:val="5"/>
                <w:szCs w:val="5"/>
                <w:color w:val="auto"/>
              </w:rPr>
            </w:pPr>
          </w:p>
        </w:tc>
        <w:tc>
          <w:tcPr>
            <w:tcW w:w="580" w:type="dxa"/>
            <w:vAlign w:val="bottom"/>
            <w:tcBorders>
              <w:bottom w:val="single" w:sz="8" w:color="0E3C23"/>
            </w:tcBorders>
          </w:tcPr>
          <w:p>
            <w:pPr>
              <w:spacing w:after="0"/>
              <w:rPr>
                <w:sz w:val="5"/>
                <w:szCs w:val="5"/>
                <w:color w:val="auto"/>
              </w:rPr>
            </w:pPr>
          </w:p>
        </w:tc>
        <w:tc>
          <w:tcPr>
            <w:tcW w:w="520" w:type="dxa"/>
            <w:vAlign w:val="bottom"/>
            <w:tcBorders>
              <w:bottom w:val="single" w:sz="8" w:color="0E3C23"/>
            </w:tcBorders>
          </w:tcPr>
          <w:p>
            <w:pPr>
              <w:spacing w:after="0"/>
              <w:rPr>
                <w:sz w:val="5"/>
                <w:szCs w:val="5"/>
                <w:color w:val="auto"/>
              </w:rPr>
            </w:pPr>
          </w:p>
        </w:tc>
        <w:tc>
          <w:tcPr>
            <w:tcW w:w="480" w:type="dxa"/>
            <w:vAlign w:val="bottom"/>
            <w:tcBorders>
              <w:bottom w:val="single" w:sz="8" w:color="0E3C23"/>
            </w:tcBorders>
          </w:tcPr>
          <w:p>
            <w:pPr>
              <w:spacing w:after="0"/>
              <w:rPr>
                <w:sz w:val="5"/>
                <w:szCs w:val="5"/>
                <w:color w:val="auto"/>
              </w:rPr>
            </w:pPr>
          </w:p>
        </w:tc>
        <w:tc>
          <w:tcPr>
            <w:tcW w:w="560" w:type="dxa"/>
            <w:vAlign w:val="bottom"/>
            <w:tcBorders>
              <w:bottom w:val="single" w:sz="8" w:color="0E3C23"/>
            </w:tcBorders>
          </w:tcPr>
          <w:p>
            <w:pPr>
              <w:spacing w:after="0"/>
              <w:rPr>
                <w:sz w:val="5"/>
                <w:szCs w:val="5"/>
                <w:color w:val="auto"/>
              </w:rPr>
            </w:pPr>
          </w:p>
        </w:tc>
        <w:tc>
          <w:tcPr>
            <w:tcW w:w="420" w:type="dxa"/>
            <w:vAlign w:val="bottom"/>
            <w:tcBorders>
              <w:bottom w:val="single" w:sz="8" w:color="0E3C23"/>
            </w:tcBorders>
          </w:tcPr>
          <w:p>
            <w:pPr>
              <w:spacing w:after="0"/>
              <w:rPr>
                <w:sz w:val="5"/>
                <w:szCs w:val="5"/>
                <w:color w:val="auto"/>
              </w:rPr>
            </w:pPr>
          </w:p>
        </w:tc>
        <w:tc>
          <w:tcPr>
            <w:tcW w:w="500" w:type="dxa"/>
            <w:vAlign w:val="bottom"/>
            <w:tcBorders>
              <w:bottom w:val="single" w:sz="8" w:color="0E3C23"/>
            </w:tcBorders>
          </w:tcPr>
          <w:p>
            <w:pPr>
              <w:spacing w:after="0"/>
              <w:rPr>
                <w:sz w:val="5"/>
                <w:szCs w:val="5"/>
                <w:color w:val="auto"/>
              </w:rPr>
            </w:pPr>
          </w:p>
        </w:tc>
        <w:tc>
          <w:tcPr>
            <w:tcW w:w="500" w:type="dxa"/>
            <w:vAlign w:val="bottom"/>
            <w:tcBorders>
              <w:bottom w:val="single" w:sz="8" w:color="0E3C23"/>
            </w:tcBorders>
          </w:tcPr>
          <w:p>
            <w:pPr>
              <w:spacing w:after="0"/>
              <w:rPr>
                <w:sz w:val="5"/>
                <w:szCs w:val="5"/>
                <w:color w:val="auto"/>
              </w:rPr>
            </w:pPr>
          </w:p>
        </w:tc>
        <w:tc>
          <w:tcPr>
            <w:tcW w:w="600" w:type="dxa"/>
            <w:vAlign w:val="bottom"/>
            <w:tcBorders>
              <w:bottom w:val="single" w:sz="8" w:color="0E3C23"/>
            </w:tcBorders>
          </w:tcPr>
          <w:p>
            <w:pPr>
              <w:spacing w:after="0"/>
              <w:rPr>
                <w:sz w:val="5"/>
                <w:szCs w:val="5"/>
                <w:color w:val="auto"/>
              </w:rPr>
            </w:pPr>
          </w:p>
        </w:tc>
        <w:tc>
          <w:tcPr>
            <w:tcW w:w="280" w:type="dxa"/>
            <w:vAlign w:val="bottom"/>
            <w:tcBorders>
              <w:bottom w:val="single" w:sz="8" w:color="0E3C23"/>
            </w:tcBorders>
          </w:tcPr>
          <w:p>
            <w:pPr>
              <w:spacing w:after="0"/>
              <w:rPr>
                <w:sz w:val="5"/>
                <w:szCs w:val="5"/>
                <w:color w:val="auto"/>
              </w:rPr>
            </w:pPr>
          </w:p>
        </w:tc>
        <w:tc>
          <w:tcPr>
            <w:tcW w:w="1120" w:type="dxa"/>
            <w:vAlign w:val="bottom"/>
            <w:tcBorders>
              <w:bottom w:val="single" w:sz="8" w:color="0E3C23"/>
            </w:tcBorders>
            <w:gridSpan w:val="2"/>
          </w:tcPr>
          <w:p>
            <w:pPr>
              <w:spacing w:after="0"/>
              <w:rPr>
                <w:sz w:val="5"/>
                <w:szCs w:val="5"/>
                <w:color w:val="auto"/>
              </w:rPr>
            </w:pPr>
          </w:p>
        </w:tc>
        <w:tc>
          <w:tcPr>
            <w:tcW w:w="500" w:type="dxa"/>
            <w:vAlign w:val="bottom"/>
            <w:tcBorders>
              <w:bottom w:val="single" w:sz="8" w:color="0E3C23"/>
            </w:tcBorders>
          </w:tcPr>
          <w:p>
            <w:pPr>
              <w:spacing w:after="0"/>
              <w:rPr>
                <w:sz w:val="5"/>
                <w:szCs w:val="5"/>
                <w:color w:val="auto"/>
              </w:rPr>
            </w:pPr>
          </w:p>
        </w:tc>
        <w:tc>
          <w:tcPr>
            <w:tcW w:w="460" w:type="dxa"/>
            <w:vAlign w:val="bottom"/>
            <w:tcBorders>
              <w:bottom w:val="single" w:sz="8" w:color="0E3C23"/>
            </w:tcBorders>
          </w:tcPr>
          <w:p>
            <w:pPr>
              <w:spacing w:after="0"/>
              <w:rPr>
                <w:sz w:val="5"/>
                <w:szCs w:val="5"/>
                <w:color w:val="auto"/>
              </w:rPr>
            </w:pPr>
          </w:p>
        </w:tc>
        <w:tc>
          <w:tcPr>
            <w:tcW w:w="520" w:type="dxa"/>
            <w:vAlign w:val="bottom"/>
            <w:tcBorders>
              <w:bottom w:val="single" w:sz="8" w:color="0E3C23"/>
            </w:tcBorders>
          </w:tcPr>
          <w:p>
            <w:pPr>
              <w:spacing w:after="0"/>
              <w:rPr>
                <w:sz w:val="5"/>
                <w:szCs w:val="5"/>
                <w:color w:val="auto"/>
              </w:rPr>
            </w:pPr>
          </w:p>
        </w:tc>
        <w:tc>
          <w:tcPr>
            <w:tcW w:w="480" w:type="dxa"/>
            <w:vAlign w:val="bottom"/>
            <w:tcBorders>
              <w:bottom w:val="single" w:sz="8" w:color="0E3C23"/>
            </w:tcBorders>
          </w:tcPr>
          <w:p>
            <w:pPr>
              <w:spacing w:after="0"/>
              <w:rPr>
                <w:sz w:val="5"/>
                <w:szCs w:val="5"/>
                <w:color w:val="auto"/>
              </w:rPr>
            </w:pPr>
          </w:p>
        </w:tc>
        <w:tc>
          <w:tcPr>
            <w:tcW w:w="1120" w:type="dxa"/>
            <w:vAlign w:val="bottom"/>
            <w:tcBorders>
              <w:bottom w:val="single" w:sz="8" w:color="0E3C23"/>
            </w:tcBorders>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84"/>
              <w:spacing w:after="0"/>
              <w:rPr>
                <w:sz w:val="20"/>
                <w:szCs w:val="20"/>
                <w:color w:val="auto"/>
              </w:rPr>
            </w:pPr>
            <w:r>
              <w:rPr>
                <w:rFonts w:ascii="Arial" w:cs="Arial" w:eastAsia="Arial" w:hAnsi="Arial"/>
                <w:sz w:val="19"/>
                <w:szCs w:val="19"/>
                <w:color w:val="auto"/>
              </w:rPr>
              <w:t>0% to 2%</w:t>
            </w: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120" w:type="dxa"/>
            <w:vAlign w:val="bottom"/>
          </w:tcPr>
          <w:p>
            <w:pPr>
              <w:spacing w:after="0"/>
              <w:rPr>
                <w:sz w:val="20"/>
                <w:szCs w:val="20"/>
                <w:color w:val="auto"/>
              </w:rPr>
            </w:pPr>
          </w:p>
        </w:tc>
        <w:tc>
          <w:tcPr>
            <w:tcW w:w="3360" w:type="dxa"/>
            <w:vAlign w:val="bottom"/>
            <w:gridSpan w:val="7"/>
            <w:vMerge w:val="restart"/>
          </w:tcPr>
          <w:p>
            <w:pPr>
              <w:ind w:left="20"/>
              <w:spacing w:after="0"/>
              <w:rPr>
                <w:sz w:val="20"/>
                <w:szCs w:val="20"/>
                <w:color w:val="auto"/>
              </w:rPr>
            </w:pPr>
            <w:r>
              <w:rPr>
                <w:rFonts w:ascii="Arial" w:cs="Arial" w:eastAsia="Arial" w:hAnsi="Arial"/>
                <w:sz w:val="19"/>
                <w:szCs w:val="19"/>
                <w:color w:val="auto"/>
              </w:rPr>
              <w:t>Increase beneficial use of landfill gas</w:t>
            </w: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Arial" w:cs="Arial" w:eastAsia="Arial" w:hAnsi="Arial"/>
                <w:sz w:val="19"/>
                <w:szCs w:val="19"/>
                <w:color w:val="auto"/>
                <w:w w:val="96"/>
              </w:rPr>
              <w:t>Increase in</w:t>
            </w: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112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Climate</w:t>
            </w:r>
          </w:p>
        </w:tc>
        <w:tc>
          <w:tcPr>
            <w:tcW w:w="3360" w:type="dxa"/>
            <w:vAlign w:val="bottom"/>
            <w:gridSpan w:val="7"/>
            <w:vMerge w:val="continue"/>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9"/>
                <w:szCs w:val="19"/>
                <w:color w:val="auto"/>
                <w:w w:val="97"/>
              </w:rPr>
              <w:t>Landfill Gas</w:t>
            </w:r>
          </w:p>
        </w:tc>
        <w:tc>
          <w:tcPr>
            <w:tcW w:w="1480" w:type="dxa"/>
            <w:vAlign w:val="bottom"/>
            <w:gridSpan w:val="3"/>
            <w:vMerge w:val="restart"/>
          </w:tcPr>
          <w:p>
            <w:pPr>
              <w:jc w:val="center"/>
              <w:ind w:left="109"/>
              <w:spacing w:after="0"/>
              <w:rPr>
                <w:sz w:val="20"/>
                <w:szCs w:val="20"/>
                <w:color w:val="auto"/>
              </w:rPr>
            </w:pPr>
            <w:r>
              <w:rPr>
                <w:rFonts w:ascii="Arial" w:cs="Arial" w:eastAsia="Arial" w:hAnsi="Arial"/>
                <w:sz w:val="19"/>
                <w:szCs w:val="19"/>
                <w:color w:val="auto"/>
                <w:w w:val="94"/>
              </w:rPr>
              <w:t>3% Increase</w:t>
            </w:r>
          </w:p>
        </w:tc>
        <w:tc>
          <w:tcPr>
            <w:tcW w:w="480" w:type="dxa"/>
            <w:vAlign w:val="bottom"/>
          </w:tcPr>
          <w:p>
            <w:pPr>
              <w:spacing w:after="0"/>
              <w:rPr>
                <w:sz w:val="8"/>
                <w:szCs w:val="8"/>
                <w:color w:val="auto"/>
              </w:rPr>
            </w:pPr>
          </w:p>
        </w:tc>
        <w:tc>
          <w:tcPr>
            <w:tcW w:w="1120" w:type="dxa"/>
            <w:vAlign w:val="bottom"/>
            <w:vMerge w:val="restart"/>
          </w:tcPr>
          <w:p>
            <w:pPr>
              <w:jc w:val="center"/>
              <w:ind w:right="164"/>
              <w:spacing w:after="0"/>
              <w:rPr>
                <w:sz w:val="20"/>
                <w:szCs w:val="20"/>
                <w:color w:val="auto"/>
              </w:rPr>
            </w:pPr>
            <w:r>
              <w:rPr>
                <w:rFonts w:ascii="Arial" w:cs="Arial" w:eastAsia="Arial" w:hAnsi="Arial"/>
                <w:sz w:val="19"/>
                <w:szCs w:val="19"/>
                <w:color w:val="auto"/>
                <w:w w:val="94"/>
              </w:rPr>
              <w:t>4</w:t>
            </w:r>
          </w:p>
        </w:tc>
        <w:tc>
          <w:tcPr>
            <w:tcW w:w="0" w:type="dxa"/>
            <w:vAlign w:val="bottom"/>
          </w:tcPr>
          <w:p>
            <w:pPr>
              <w:spacing w:after="0"/>
              <w:rPr>
                <w:sz w:val="1"/>
                <w:szCs w:val="1"/>
                <w:color w:val="auto"/>
              </w:rPr>
            </w:pPr>
          </w:p>
        </w:tc>
      </w:tr>
      <w:tr>
        <w:trPr>
          <w:trHeight w:val="137"/>
        </w:trPr>
        <w:tc>
          <w:tcPr>
            <w:tcW w:w="1120" w:type="dxa"/>
            <w:vAlign w:val="bottom"/>
            <w:vMerge w:val="continue"/>
          </w:tcPr>
          <w:p>
            <w:pPr>
              <w:spacing w:after="0"/>
              <w:rPr>
                <w:sz w:val="11"/>
                <w:szCs w:val="11"/>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9"/>
                <w:szCs w:val="19"/>
                <w:color w:val="auto"/>
                <w:w w:val="99"/>
              </w:rPr>
              <w:t>(year-over-year)</w:t>
            </w: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9"/>
                <w:szCs w:val="19"/>
                <w:color w:val="auto"/>
                <w:w w:val="93"/>
              </w:rPr>
              <w:t>Capture and</w:t>
            </w: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3"/>
          </w:tcPr>
          <w:p>
            <w:pPr>
              <w:jc w:val="center"/>
              <w:ind w:right="349"/>
              <w:spacing w:after="0"/>
              <w:rPr>
                <w:sz w:val="20"/>
                <w:szCs w:val="20"/>
                <w:color w:val="auto"/>
              </w:rPr>
            </w:pPr>
            <w:r>
              <w:rPr>
                <w:rFonts w:ascii="Arial" w:cs="Arial" w:eastAsia="Arial" w:hAnsi="Arial"/>
                <w:sz w:val="19"/>
                <w:szCs w:val="19"/>
                <w:color w:val="auto"/>
                <w:w w:val="97"/>
              </w:rPr>
              <w:t>Beneficial Use</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3000" w:type="dxa"/>
            <w:vAlign w:val="bottom"/>
            <w:tcBorders>
              <w:bottom w:val="single" w:sz="8" w:color="0E3C23"/>
            </w:tcBorders>
            <w:gridSpan w:val="5"/>
          </w:tcPr>
          <w:p>
            <w:pPr>
              <w:spacing w:after="0"/>
              <w:rPr>
                <w:sz w:val="3"/>
                <w:szCs w:val="3"/>
                <w:color w:val="auto"/>
              </w:rPr>
            </w:pPr>
          </w:p>
        </w:tc>
        <w:tc>
          <w:tcPr>
            <w:tcW w:w="560" w:type="dxa"/>
            <w:vAlign w:val="bottom"/>
            <w:tcBorders>
              <w:bottom w:val="single" w:sz="8" w:color="0E3C23"/>
            </w:tcBorders>
          </w:tcPr>
          <w:p>
            <w:pPr>
              <w:spacing w:after="0"/>
              <w:rPr>
                <w:sz w:val="3"/>
                <w:szCs w:val="3"/>
                <w:color w:val="auto"/>
              </w:rPr>
            </w:pPr>
          </w:p>
        </w:tc>
        <w:tc>
          <w:tcPr>
            <w:tcW w:w="420" w:type="dxa"/>
            <w:vAlign w:val="bottom"/>
            <w:tcBorders>
              <w:bottom w:val="single" w:sz="8" w:color="0E3C23"/>
            </w:tcBorders>
          </w:tcPr>
          <w:p>
            <w:pPr>
              <w:spacing w:after="0"/>
              <w:rPr>
                <w:sz w:val="3"/>
                <w:szCs w:val="3"/>
                <w:color w:val="auto"/>
              </w:rPr>
            </w:pPr>
          </w:p>
        </w:tc>
        <w:tc>
          <w:tcPr>
            <w:tcW w:w="500" w:type="dxa"/>
            <w:vAlign w:val="bottom"/>
            <w:tcBorders>
              <w:bottom w:val="single" w:sz="8" w:color="0E3C23"/>
            </w:tcBorders>
          </w:tcPr>
          <w:p>
            <w:pPr>
              <w:spacing w:after="0"/>
              <w:rPr>
                <w:sz w:val="3"/>
                <w:szCs w:val="3"/>
                <w:color w:val="auto"/>
              </w:rPr>
            </w:pPr>
          </w:p>
        </w:tc>
        <w:tc>
          <w:tcPr>
            <w:tcW w:w="500" w:type="dxa"/>
            <w:vAlign w:val="bottom"/>
            <w:tcBorders>
              <w:bottom w:val="single" w:sz="8" w:color="0E3C23"/>
            </w:tcBorders>
          </w:tcPr>
          <w:p>
            <w:pPr>
              <w:spacing w:after="0"/>
              <w:rPr>
                <w:sz w:val="3"/>
                <w:szCs w:val="3"/>
                <w:color w:val="auto"/>
              </w:rPr>
            </w:pPr>
          </w:p>
        </w:tc>
        <w:tc>
          <w:tcPr>
            <w:tcW w:w="600" w:type="dxa"/>
            <w:vAlign w:val="bottom"/>
            <w:tcBorders>
              <w:bottom w:val="single" w:sz="8" w:color="0E3C23"/>
            </w:tcBorders>
          </w:tcPr>
          <w:p>
            <w:pPr>
              <w:spacing w:after="0"/>
              <w:rPr>
                <w:sz w:val="3"/>
                <w:szCs w:val="3"/>
                <w:color w:val="auto"/>
              </w:rPr>
            </w:pPr>
          </w:p>
        </w:tc>
        <w:tc>
          <w:tcPr>
            <w:tcW w:w="280" w:type="dxa"/>
            <w:vAlign w:val="bottom"/>
            <w:tcBorders>
              <w:bottom w:val="single" w:sz="8" w:color="0E3C23"/>
            </w:tcBorders>
          </w:tcPr>
          <w:p>
            <w:pPr>
              <w:spacing w:after="0"/>
              <w:rPr>
                <w:sz w:val="3"/>
                <w:szCs w:val="3"/>
                <w:color w:val="auto"/>
              </w:rPr>
            </w:pPr>
          </w:p>
        </w:tc>
        <w:tc>
          <w:tcPr>
            <w:tcW w:w="600" w:type="dxa"/>
            <w:vAlign w:val="bottom"/>
            <w:tcBorders>
              <w:bottom w:val="single" w:sz="8" w:color="0E3C23"/>
            </w:tcBorders>
          </w:tcPr>
          <w:p>
            <w:pPr>
              <w:spacing w:after="0"/>
              <w:rPr>
                <w:sz w:val="3"/>
                <w:szCs w:val="3"/>
                <w:color w:val="auto"/>
              </w:rPr>
            </w:pPr>
          </w:p>
        </w:tc>
        <w:tc>
          <w:tcPr>
            <w:tcW w:w="520" w:type="dxa"/>
            <w:vAlign w:val="bottom"/>
            <w:tcBorders>
              <w:bottom w:val="single" w:sz="8" w:color="0E3C23"/>
            </w:tcBorders>
          </w:tcPr>
          <w:p>
            <w:pPr>
              <w:spacing w:after="0"/>
              <w:rPr>
                <w:sz w:val="3"/>
                <w:szCs w:val="3"/>
                <w:color w:val="auto"/>
              </w:rPr>
            </w:pPr>
          </w:p>
        </w:tc>
        <w:tc>
          <w:tcPr>
            <w:tcW w:w="500" w:type="dxa"/>
            <w:vAlign w:val="bottom"/>
            <w:tcBorders>
              <w:bottom w:val="single" w:sz="8" w:color="0E3C23"/>
            </w:tcBorders>
          </w:tcPr>
          <w:p>
            <w:pPr>
              <w:spacing w:after="0"/>
              <w:rPr>
                <w:sz w:val="3"/>
                <w:szCs w:val="3"/>
                <w:color w:val="auto"/>
              </w:rPr>
            </w:pPr>
          </w:p>
        </w:tc>
        <w:tc>
          <w:tcPr>
            <w:tcW w:w="460" w:type="dxa"/>
            <w:vAlign w:val="bottom"/>
            <w:tcBorders>
              <w:bottom w:val="single" w:sz="8" w:color="0E3C23"/>
            </w:tcBorders>
          </w:tcPr>
          <w:p>
            <w:pPr>
              <w:spacing w:after="0"/>
              <w:rPr>
                <w:sz w:val="3"/>
                <w:szCs w:val="3"/>
                <w:color w:val="auto"/>
              </w:rPr>
            </w:pPr>
          </w:p>
        </w:tc>
        <w:tc>
          <w:tcPr>
            <w:tcW w:w="520" w:type="dxa"/>
            <w:vAlign w:val="bottom"/>
            <w:tcBorders>
              <w:bottom w:val="single" w:sz="8" w:color="0E3C23"/>
            </w:tcBorders>
          </w:tcPr>
          <w:p>
            <w:pPr>
              <w:spacing w:after="0"/>
              <w:rPr>
                <w:sz w:val="3"/>
                <w:szCs w:val="3"/>
                <w:color w:val="auto"/>
              </w:rPr>
            </w:pPr>
          </w:p>
        </w:tc>
        <w:tc>
          <w:tcPr>
            <w:tcW w:w="48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3000" w:type="dxa"/>
            <w:vAlign w:val="bottom"/>
            <w:gridSpan w:val="5"/>
          </w:tcPr>
          <w:p>
            <w:pPr>
              <w:ind w:left="120"/>
              <w:spacing w:after="0"/>
              <w:rPr>
                <w:sz w:val="20"/>
                <w:szCs w:val="20"/>
                <w:color w:val="auto"/>
              </w:rPr>
            </w:pPr>
            <w:r>
              <w:rPr>
                <w:rFonts w:ascii="Arial" w:cs="Arial" w:eastAsia="Arial" w:hAnsi="Arial"/>
                <w:sz w:val="16"/>
                <w:szCs w:val="16"/>
                <w:b w:val="1"/>
                <w:bCs w:val="1"/>
                <w:color w:val="0E3C23"/>
                <w:w w:val="94"/>
              </w:rPr>
              <w:t>2024 Sustainability Modifier Point Scale</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420" w:type="dxa"/>
            <w:vAlign w:val="bottom"/>
            <w:tcBorders>
              <w:bottom w:val="single" w:sz="8" w:color="0E3C23"/>
            </w:tcBorders>
            <w:gridSpan w:val="2"/>
          </w:tcPr>
          <w:p>
            <w:pPr>
              <w:spacing w:after="0"/>
              <w:rPr>
                <w:sz w:val="3"/>
                <w:szCs w:val="3"/>
                <w:color w:val="auto"/>
              </w:rPr>
            </w:pPr>
          </w:p>
        </w:tc>
        <w:tc>
          <w:tcPr>
            <w:tcW w:w="1100" w:type="dxa"/>
            <w:vAlign w:val="bottom"/>
            <w:tcBorders>
              <w:bottom w:val="single" w:sz="8" w:color="0E3C23"/>
            </w:tcBorders>
            <w:gridSpan w:val="2"/>
          </w:tcPr>
          <w:p>
            <w:pPr>
              <w:spacing w:after="0"/>
              <w:rPr>
                <w:sz w:val="3"/>
                <w:szCs w:val="3"/>
                <w:color w:val="auto"/>
              </w:rPr>
            </w:pPr>
          </w:p>
        </w:tc>
        <w:tc>
          <w:tcPr>
            <w:tcW w:w="480" w:type="dxa"/>
            <w:vAlign w:val="bottom"/>
            <w:tcBorders>
              <w:bottom w:val="single" w:sz="8" w:color="0E3C23"/>
            </w:tcBorders>
          </w:tcPr>
          <w:p>
            <w:pPr>
              <w:spacing w:after="0"/>
              <w:rPr>
                <w:sz w:val="3"/>
                <w:szCs w:val="3"/>
                <w:color w:val="auto"/>
              </w:rPr>
            </w:pPr>
          </w:p>
        </w:tc>
        <w:tc>
          <w:tcPr>
            <w:tcW w:w="560" w:type="dxa"/>
            <w:vAlign w:val="bottom"/>
            <w:tcBorders>
              <w:bottom w:val="single" w:sz="8" w:color="0E3C23"/>
            </w:tcBorders>
          </w:tcPr>
          <w:p>
            <w:pPr>
              <w:spacing w:after="0"/>
              <w:rPr>
                <w:sz w:val="3"/>
                <w:szCs w:val="3"/>
                <w:color w:val="auto"/>
              </w:rPr>
            </w:pPr>
          </w:p>
        </w:tc>
        <w:tc>
          <w:tcPr>
            <w:tcW w:w="420" w:type="dxa"/>
            <w:vAlign w:val="bottom"/>
            <w:tcBorders>
              <w:bottom w:val="single" w:sz="8" w:color="0E3C23"/>
            </w:tcBorders>
          </w:tcPr>
          <w:p>
            <w:pPr>
              <w:spacing w:after="0"/>
              <w:rPr>
                <w:sz w:val="3"/>
                <w:szCs w:val="3"/>
                <w:color w:val="auto"/>
              </w:rPr>
            </w:pPr>
          </w:p>
        </w:tc>
        <w:tc>
          <w:tcPr>
            <w:tcW w:w="500" w:type="dxa"/>
            <w:vAlign w:val="bottom"/>
            <w:tcBorders>
              <w:bottom w:val="single" w:sz="8" w:color="0E3C23"/>
            </w:tcBorders>
          </w:tcPr>
          <w:p>
            <w:pPr>
              <w:spacing w:after="0"/>
              <w:rPr>
                <w:sz w:val="3"/>
                <w:szCs w:val="3"/>
                <w:color w:val="auto"/>
              </w:rPr>
            </w:pPr>
          </w:p>
        </w:tc>
        <w:tc>
          <w:tcPr>
            <w:tcW w:w="500" w:type="dxa"/>
            <w:vAlign w:val="bottom"/>
            <w:tcBorders>
              <w:bottom w:val="single" w:sz="8" w:color="0E3C23"/>
            </w:tcBorders>
          </w:tcPr>
          <w:p>
            <w:pPr>
              <w:spacing w:after="0"/>
              <w:rPr>
                <w:sz w:val="3"/>
                <w:szCs w:val="3"/>
                <w:color w:val="auto"/>
              </w:rPr>
            </w:pPr>
          </w:p>
        </w:tc>
        <w:tc>
          <w:tcPr>
            <w:tcW w:w="600" w:type="dxa"/>
            <w:vAlign w:val="bottom"/>
            <w:tcBorders>
              <w:bottom w:val="single" w:sz="8" w:color="0E3C23"/>
            </w:tcBorders>
          </w:tcPr>
          <w:p>
            <w:pPr>
              <w:spacing w:after="0"/>
              <w:rPr>
                <w:sz w:val="3"/>
                <w:szCs w:val="3"/>
                <w:color w:val="auto"/>
              </w:rPr>
            </w:pPr>
          </w:p>
        </w:tc>
        <w:tc>
          <w:tcPr>
            <w:tcW w:w="280" w:type="dxa"/>
            <w:vAlign w:val="bottom"/>
            <w:tcBorders>
              <w:bottom w:val="single" w:sz="8" w:color="0E3C23"/>
            </w:tcBorders>
          </w:tcPr>
          <w:p>
            <w:pPr>
              <w:spacing w:after="0"/>
              <w:rPr>
                <w:sz w:val="3"/>
                <w:szCs w:val="3"/>
                <w:color w:val="auto"/>
              </w:rPr>
            </w:pPr>
          </w:p>
        </w:tc>
        <w:tc>
          <w:tcPr>
            <w:tcW w:w="600" w:type="dxa"/>
            <w:vAlign w:val="bottom"/>
            <w:tcBorders>
              <w:bottom w:val="single" w:sz="8" w:color="0E3C23"/>
            </w:tcBorders>
          </w:tcPr>
          <w:p>
            <w:pPr>
              <w:spacing w:after="0"/>
              <w:rPr>
                <w:sz w:val="3"/>
                <w:szCs w:val="3"/>
                <w:color w:val="auto"/>
              </w:rPr>
            </w:pPr>
          </w:p>
        </w:tc>
        <w:tc>
          <w:tcPr>
            <w:tcW w:w="520" w:type="dxa"/>
            <w:vAlign w:val="bottom"/>
            <w:tcBorders>
              <w:bottom w:val="single" w:sz="8" w:color="0E3C23"/>
            </w:tcBorders>
          </w:tcPr>
          <w:p>
            <w:pPr>
              <w:spacing w:after="0"/>
              <w:rPr>
                <w:sz w:val="3"/>
                <w:szCs w:val="3"/>
                <w:color w:val="auto"/>
              </w:rPr>
            </w:pPr>
          </w:p>
        </w:tc>
        <w:tc>
          <w:tcPr>
            <w:tcW w:w="500" w:type="dxa"/>
            <w:vAlign w:val="bottom"/>
            <w:tcBorders>
              <w:bottom w:val="single" w:sz="8" w:color="A5A5A5"/>
            </w:tcBorders>
          </w:tcPr>
          <w:p>
            <w:pPr>
              <w:spacing w:after="0"/>
              <w:rPr>
                <w:sz w:val="3"/>
                <w:szCs w:val="3"/>
                <w:color w:val="auto"/>
              </w:rPr>
            </w:pPr>
          </w:p>
        </w:tc>
        <w:tc>
          <w:tcPr>
            <w:tcW w:w="460" w:type="dxa"/>
            <w:vAlign w:val="bottom"/>
            <w:tcBorders>
              <w:bottom w:val="single" w:sz="8" w:color="0E3C23"/>
            </w:tcBorders>
          </w:tcPr>
          <w:p>
            <w:pPr>
              <w:spacing w:after="0"/>
              <w:rPr>
                <w:sz w:val="3"/>
                <w:szCs w:val="3"/>
                <w:color w:val="auto"/>
              </w:rPr>
            </w:pPr>
          </w:p>
        </w:tc>
        <w:tc>
          <w:tcPr>
            <w:tcW w:w="520" w:type="dxa"/>
            <w:vAlign w:val="bottom"/>
            <w:tcBorders>
              <w:bottom w:val="single" w:sz="8" w:color="0E3C23"/>
            </w:tcBorders>
          </w:tcPr>
          <w:p>
            <w:pPr>
              <w:spacing w:after="0"/>
              <w:rPr>
                <w:sz w:val="3"/>
                <w:szCs w:val="3"/>
                <w:color w:val="auto"/>
              </w:rPr>
            </w:pPr>
          </w:p>
        </w:tc>
        <w:tc>
          <w:tcPr>
            <w:tcW w:w="48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1420" w:type="dxa"/>
            <w:vAlign w:val="bottom"/>
            <w:gridSpan w:val="2"/>
          </w:tcPr>
          <w:p>
            <w:pPr>
              <w:ind w:left="120"/>
              <w:spacing w:after="0"/>
              <w:rPr>
                <w:sz w:val="20"/>
                <w:szCs w:val="20"/>
                <w:color w:val="auto"/>
              </w:rPr>
            </w:pPr>
            <w:r>
              <w:rPr>
                <w:rFonts w:ascii="Arial" w:cs="Arial" w:eastAsia="Arial" w:hAnsi="Arial"/>
                <w:sz w:val="19"/>
                <w:szCs w:val="19"/>
                <w:b w:val="1"/>
                <w:bCs w:val="1"/>
                <w:color w:val="auto"/>
              </w:rPr>
              <w:t>Modification</w:t>
            </w:r>
          </w:p>
        </w:tc>
        <w:tc>
          <w:tcPr>
            <w:tcW w:w="1100" w:type="dxa"/>
            <w:vAlign w:val="bottom"/>
            <w:gridSpan w:val="2"/>
          </w:tcPr>
          <w:p>
            <w:pPr>
              <w:jc w:val="right"/>
              <w:ind w:right="24"/>
              <w:spacing w:after="0"/>
              <w:rPr>
                <w:sz w:val="20"/>
                <w:szCs w:val="20"/>
                <w:color w:val="auto"/>
              </w:rPr>
            </w:pPr>
            <w:r>
              <w:rPr>
                <w:rFonts w:ascii="Arial" w:cs="Arial" w:eastAsia="Arial" w:hAnsi="Arial"/>
                <w:sz w:val="19"/>
                <w:szCs w:val="19"/>
                <w:color w:val="auto"/>
              </w:rPr>
              <w:t>-10%  -9%</w:t>
            </w: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-8%</w:t>
            </w:r>
          </w:p>
        </w:tc>
        <w:tc>
          <w:tcPr>
            <w:tcW w:w="560" w:type="dxa"/>
            <w:vAlign w:val="bottom"/>
          </w:tcPr>
          <w:p>
            <w:pPr>
              <w:jc w:val="right"/>
              <w:ind w:right="64"/>
              <w:spacing w:after="0"/>
              <w:rPr>
                <w:sz w:val="20"/>
                <w:szCs w:val="20"/>
                <w:color w:val="auto"/>
              </w:rPr>
            </w:pPr>
            <w:r>
              <w:rPr>
                <w:rFonts w:ascii="Arial" w:cs="Arial" w:eastAsia="Arial" w:hAnsi="Arial"/>
                <w:sz w:val="19"/>
                <w:szCs w:val="19"/>
                <w:color w:val="auto"/>
              </w:rPr>
              <w:t>-6%</w:t>
            </w:r>
          </w:p>
        </w:tc>
        <w:tc>
          <w:tcPr>
            <w:tcW w:w="420" w:type="dxa"/>
            <w:vAlign w:val="bottom"/>
          </w:tcPr>
          <w:p>
            <w:pPr>
              <w:jc w:val="right"/>
              <w:spacing w:after="0"/>
              <w:rPr>
                <w:sz w:val="20"/>
                <w:szCs w:val="20"/>
                <w:color w:val="auto"/>
              </w:rPr>
            </w:pPr>
            <w:r>
              <w:rPr>
                <w:rFonts w:ascii="Arial" w:cs="Arial" w:eastAsia="Arial" w:hAnsi="Arial"/>
                <w:sz w:val="19"/>
                <w:szCs w:val="19"/>
                <w:color w:val="auto"/>
                <w:w w:val="94"/>
              </w:rPr>
              <w:t>-4%</w:t>
            </w:r>
          </w:p>
        </w:tc>
        <w:tc>
          <w:tcPr>
            <w:tcW w:w="500" w:type="dxa"/>
            <w:vAlign w:val="bottom"/>
          </w:tcPr>
          <w:p>
            <w:pPr>
              <w:jc w:val="right"/>
              <w:spacing w:after="0"/>
              <w:rPr>
                <w:sz w:val="20"/>
                <w:szCs w:val="20"/>
                <w:color w:val="auto"/>
              </w:rPr>
            </w:pPr>
            <w:r>
              <w:rPr>
                <w:rFonts w:ascii="Arial" w:cs="Arial" w:eastAsia="Arial" w:hAnsi="Arial"/>
                <w:sz w:val="19"/>
                <w:szCs w:val="19"/>
                <w:color w:val="auto"/>
              </w:rPr>
              <w:t>-3%</w:t>
            </w:r>
          </w:p>
        </w:tc>
        <w:tc>
          <w:tcPr>
            <w:tcW w:w="500" w:type="dxa"/>
            <w:vAlign w:val="bottom"/>
          </w:tcPr>
          <w:p>
            <w:pPr>
              <w:jc w:val="right"/>
              <w:ind w:right="4"/>
              <w:spacing w:after="0"/>
              <w:rPr>
                <w:sz w:val="20"/>
                <w:szCs w:val="20"/>
                <w:color w:val="auto"/>
              </w:rPr>
            </w:pPr>
            <w:r>
              <w:rPr>
                <w:rFonts w:ascii="Arial" w:cs="Arial" w:eastAsia="Arial" w:hAnsi="Arial"/>
                <w:sz w:val="19"/>
                <w:szCs w:val="19"/>
                <w:color w:val="auto"/>
              </w:rPr>
              <w:t>-2%</w:t>
            </w:r>
          </w:p>
        </w:tc>
        <w:tc>
          <w:tcPr>
            <w:tcW w:w="600" w:type="dxa"/>
            <w:vAlign w:val="bottom"/>
          </w:tcPr>
          <w:p>
            <w:pPr>
              <w:jc w:val="right"/>
              <w:ind w:right="104"/>
              <w:spacing w:after="0"/>
              <w:rPr>
                <w:sz w:val="20"/>
                <w:szCs w:val="20"/>
                <w:color w:val="auto"/>
              </w:rPr>
            </w:pPr>
            <w:r>
              <w:rPr>
                <w:rFonts w:ascii="Arial" w:cs="Arial" w:eastAsia="Arial" w:hAnsi="Arial"/>
                <w:sz w:val="19"/>
                <w:szCs w:val="19"/>
                <w:color w:val="auto"/>
              </w:rPr>
              <w:t>-1%</w:t>
            </w:r>
          </w:p>
        </w:tc>
        <w:tc>
          <w:tcPr>
            <w:tcW w:w="280" w:type="dxa"/>
            <w:vAlign w:val="bottom"/>
          </w:tcPr>
          <w:p>
            <w:pPr>
              <w:jc w:val="right"/>
              <w:spacing w:after="0"/>
              <w:rPr>
                <w:sz w:val="20"/>
                <w:szCs w:val="20"/>
                <w:color w:val="auto"/>
              </w:rPr>
            </w:pPr>
            <w:r>
              <w:rPr>
                <w:rFonts w:ascii="Arial" w:cs="Arial" w:eastAsia="Arial" w:hAnsi="Arial"/>
                <w:sz w:val="19"/>
                <w:szCs w:val="19"/>
                <w:color w:val="auto"/>
              </w:rPr>
              <w:t>0</w:t>
            </w:r>
          </w:p>
        </w:tc>
        <w:tc>
          <w:tcPr>
            <w:tcW w:w="600" w:type="dxa"/>
            <w:vAlign w:val="bottom"/>
          </w:tcPr>
          <w:p>
            <w:pPr>
              <w:jc w:val="right"/>
              <w:spacing w:after="0"/>
              <w:rPr>
                <w:sz w:val="20"/>
                <w:szCs w:val="20"/>
                <w:color w:val="auto"/>
              </w:rPr>
            </w:pPr>
            <w:r>
              <w:rPr>
                <w:rFonts w:ascii="Arial" w:cs="Arial" w:eastAsia="Arial" w:hAnsi="Arial"/>
                <w:sz w:val="19"/>
                <w:szCs w:val="19"/>
                <w:color w:val="auto"/>
              </w:rPr>
              <w:t>+1%</w:t>
            </w:r>
          </w:p>
        </w:tc>
        <w:tc>
          <w:tcPr>
            <w:tcW w:w="520" w:type="dxa"/>
            <w:vAlign w:val="bottom"/>
            <w:tcBorders>
              <w:right w:val="single" w:sz="8" w:color="A5A5A5"/>
            </w:tcBorders>
          </w:tcPr>
          <w:p>
            <w:pPr>
              <w:jc w:val="right"/>
              <w:ind w:right="4"/>
              <w:spacing w:after="0"/>
              <w:rPr>
                <w:sz w:val="20"/>
                <w:szCs w:val="20"/>
                <w:color w:val="auto"/>
              </w:rPr>
            </w:pPr>
            <w:r>
              <w:rPr>
                <w:rFonts w:ascii="Arial" w:cs="Arial" w:eastAsia="Arial" w:hAnsi="Arial"/>
                <w:sz w:val="19"/>
                <w:szCs w:val="19"/>
                <w:color w:val="auto"/>
              </w:rPr>
              <w:t>+2%</w:t>
            </w:r>
          </w:p>
        </w:tc>
        <w:tc>
          <w:tcPr>
            <w:tcW w:w="500" w:type="dxa"/>
            <w:vAlign w:val="bottom"/>
            <w:tcBorders>
              <w:right w:val="single" w:sz="8" w:color="A5A5A5"/>
            </w:tcBorders>
            <w:shd w:val="clear" w:color="auto" w:fill="0E3C23"/>
          </w:tcPr>
          <w:p>
            <w:pPr>
              <w:jc w:val="right"/>
              <w:ind w:right="9"/>
              <w:spacing w:after="0"/>
              <w:rPr>
                <w:sz w:val="20"/>
                <w:szCs w:val="20"/>
                <w:color w:val="auto"/>
              </w:rPr>
            </w:pPr>
            <w:r>
              <w:rPr>
                <w:rFonts w:ascii="Arial" w:cs="Arial" w:eastAsia="Arial" w:hAnsi="Arial"/>
                <w:sz w:val="19"/>
                <w:szCs w:val="19"/>
                <w:color w:val="FFFFFF"/>
                <w:w w:val="98"/>
              </w:rPr>
              <w:t>+3%</w:t>
            </w:r>
          </w:p>
        </w:tc>
        <w:tc>
          <w:tcPr>
            <w:tcW w:w="460" w:type="dxa"/>
            <w:vAlign w:val="bottom"/>
          </w:tcPr>
          <w:p>
            <w:pPr>
              <w:jc w:val="right"/>
              <w:spacing w:after="0"/>
              <w:rPr>
                <w:sz w:val="20"/>
                <w:szCs w:val="20"/>
                <w:color w:val="auto"/>
              </w:rPr>
            </w:pPr>
            <w:r>
              <w:rPr>
                <w:rFonts w:ascii="Arial" w:cs="Arial" w:eastAsia="Arial" w:hAnsi="Arial"/>
                <w:sz w:val="19"/>
                <w:szCs w:val="19"/>
                <w:color w:val="auto"/>
                <w:w w:val="98"/>
              </w:rPr>
              <w:t>+4%</w:t>
            </w:r>
          </w:p>
        </w:tc>
        <w:tc>
          <w:tcPr>
            <w:tcW w:w="520" w:type="dxa"/>
            <w:vAlign w:val="bottom"/>
          </w:tcPr>
          <w:p>
            <w:pPr>
              <w:jc w:val="right"/>
              <w:ind w:right="4"/>
              <w:spacing w:after="0"/>
              <w:rPr>
                <w:sz w:val="20"/>
                <w:szCs w:val="20"/>
                <w:color w:val="auto"/>
              </w:rPr>
            </w:pPr>
            <w:r>
              <w:rPr>
                <w:rFonts w:ascii="Arial" w:cs="Arial" w:eastAsia="Arial" w:hAnsi="Arial"/>
                <w:sz w:val="19"/>
                <w:szCs w:val="19"/>
                <w:color w:val="auto"/>
              </w:rPr>
              <w:t>+6%</w:t>
            </w:r>
          </w:p>
        </w:tc>
        <w:tc>
          <w:tcPr>
            <w:tcW w:w="480" w:type="dxa"/>
            <w:vAlign w:val="bottom"/>
          </w:tcPr>
          <w:p>
            <w:pPr>
              <w:jc w:val="right"/>
              <w:spacing w:after="0"/>
              <w:rPr>
                <w:sz w:val="20"/>
                <w:szCs w:val="20"/>
                <w:color w:val="auto"/>
              </w:rPr>
            </w:pPr>
            <w:r>
              <w:rPr>
                <w:rFonts w:ascii="Arial" w:cs="Arial" w:eastAsia="Arial" w:hAnsi="Arial"/>
                <w:sz w:val="19"/>
                <w:szCs w:val="19"/>
                <w:color w:val="auto"/>
                <w:w w:val="98"/>
              </w:rPr>
              <w:t>+8%</w:t>
            </w:r>
          </w:p>
        </w:tc>
        <w:tc>
          <w:tcPr>
            <w:tcW w:w="1120" w:type="dxa"/>
            <w:vAlign w:val="bottom"/>
          </w:tcPr>
          <w:p>
            <w:pPr>
              <w:jc w:val="right"/>
              <w:ind w:right="64"/>
              <w:spacing w:after="0"/>
              <w:rPr>
                <w:sz w:val="20"/>
                <w:szCs w:val="20"/>
                <w:color w:val="auto"/>
              </w:rPr>
            </w:pPr>
            <w:r>
              <w:rPr>
                <w:rFonts w:ascii="Arial" w:cs="Arial" w:eastAsia="Arial" w:hAnsi="Arial"/>
                <w:sz w:val="19"/>
                <w:szCs w:val="19"/>
                <w:color w:val="auto"/>
              </w:rPr>
              <w:t>+9% +10%</w:t>
            </w:r>
          </w:p>
        </w:tc>
        <w:tc>
          <w:tcPr>
            <w:tcW w:w="0" w:type="dxa"/>
            <w:vAlign w:val="bottom"/>
          </w:tcPr>
          <w:p>
            <w:pPr>
              <w:spacing w:after="0"/>
              <w:rPr>
                <w:sz w:val="1"/>
                <w:szCs w:val="1"/>
                <w:color w:val="auto"/>
              </w:rPr>
            </w:pPr>
          </w:p>
        </w:tc>
      </w:tr>
      <w:tr>
        <w:trPr>
          <w:trHeight w:val="67"/>
        </w:trPr>
        <w:tc>
          <w:tcPr>
            <w:tcW w:w="1420" w:type="dxa"/>
            <w:vAlign w:val="bottom"/>
            <w:tcBorders>
              <w:bottom w:val="single" w:sz="8" w:color="0E3C23"/>
            </w:tcBorders>
            <w:gridSpan w:val="2"/>
          </w:tcPr>
          <w:p>
            <w:pPr>
              <w:spacing w:after="0"/>
              <w:rPr>
                <w:sz w:val="5"/>
                <w:szCs w:val="5"/>
                <w:color w:val="auto"/>
              </w:rPr>
            </w:pPr>
          </w:p>
        </w:tc>
        <w:tc>
          <w:tcPr>
            <w:tcW w:w="580" w:type="dxa"/>
            <w:vAlign w:val="bottom"/>
            <w:tcBorders>
              <w:bottom w:val="single" w:sz="8" w:color="0E3C23"/>
            </w:tcBorders>
          </w:tcPr>
          <w:p>
            <w:pPr>
              <w:spacing w:after="0"/>
              <w:rPr>
                <w:sz w:val="5"/>
                <w:szCs w:val="5"/>
                <w:color w:val="auto"/>
              </w:rPr>
            </w:pPr>
          </w:p>
        </w:tc>
        <w:tc>
          <w:tcPr>
            <w:tcW w:w="520" w:type="dxa"/>
            <w:vAlign w:val="bottom"/>
            <w:tcBorders>
              <w:bottom w:val="single" w:sz="8" w:color="0E3C23"/>
            </w:tcBorders>
          </w:tcPr>
          <w:p>
            <w:pPr>
              <w:spacing w:after="0"/>
              <w:rPr>
                <w:sz w:val="5"/>
                <w:szCs w:val="5"/>
                <w:color w:val="auto"/>
              </w:rPr>
            </w:pPr>
          </w:p>
        </w:tc>
        <w:tc>
          <w:tcPr>
            <w:tcW w:w="480" w:type="dxa"/>
            <w:vAlign w:val="bottom"/>
            <w:tcBorders>
              <w:bottom w:val="single" w:sz="8" w:color="0E3C23"/>
            </w:tcBorders>
          </w:tcPr>
          <w:p>
            <w:pPr>
              <w:spacing w:after="0"/>
              <w:rPr>
                <w:sz w:val="5"/>
                <w:szCs w:val="5"/>
                <w:color w:val="auto"/>
              </w:rPr>
            </w:pPr>
          </w:p>
        </w:tc>
        <w:tc>
          <w:tcPr>
            <w:tcW w:w="560" w:type="dxa"/>
            <w:vAlign w:val="bottom"/>
            <w:tcBorders>
              <w:bottom w:val="single" w:sz="8" w:color="0E3C23"/>
            </w:tcBorders>
          </w:tcPr>
          <w:p>
            <w:pPr>
              <w:spacing w:after="0"/>
              <w:rPr>
                <w:sz w:val="5"/>
                <w:szCs w:val="5"/>
                <w:color w:val="auto"/>
              </w:rPr>
            </w:pPr>
          </w:p>
        </w:tc>
        <w:tc>
          <w:tcPr>
            <w:tcW w:w="420" w:type="dxa"/>
            <w:vAlign w:val="bottom"/>
            <w:tcBorders>
              <w:bottom w:val="single" w:sz="8" w:color="0E3C23"/>
            </w:tcBorders>
          </w:tcPr>
          <w:p>
            <w:pPr>
              <w:spacing w:after="0"/>
              <w:rPr>
                <w:sz w:val="5"/>
                <w:szCs w:val="5"/>
                <w:color w:val="auto"/>
              </w:rPr>
            </w:pPr>
          </w:p>
        </w:tc>
        <w:tc>
          <w:tcPr>
            <w:tcW w:w="500" w:type="dxa"/>
            <w:vAlign w:val="bottom"/>
            <w:tcBorders>
              <w:bottom w:val="single" w:sz="8" w:color="0E3C23"/>
            </w:tcBorders>
          </w:tcPr>
          <w:p>
            <w:pPr>
              <w:spacing w:after="0"/>
              <w:rPr>
                <w:sz w:val="5"/>
                <w:szCs w:val="5"/>
                <w:color w:val="auto"/>
              </w:rPr>
            </w:pPr>
          </w:p>
        </w:tc>
        <w:tc>
          <w:tcPr>
            <w:tcW w:w="500" w:type="dxa"/>
            <w:vAlign w:val="bottom"/>
            <w:tcBorders>
              <w:bottom w:val="single" w:sz="8" w:color="0E3C23"/>
            </w:tcBorders>
          </w:tcPr>
          <w:p>
            <w:pPr>
              <w:spacing w:after="0"/>
              <w:rPr>
                <w:sz w:val="5"/>
                <w:szCs w:val="5"/>
                <w:color w:val="auto"/>
              </w:rPr>
            </w:pPr>
          </w:p>
        </w:tc>
        <w:tc>
          <w:tcPr>
            <w:tcW w:w="600" w:type="dxa"/>
            <w:vAlign w:val="bottom"/>
            <w:tcBorders>
              <w:bottom w:val="single" w:sz="8" w:color="0E3C23"/>
            </w:tcBorders>
          </w:tcPr>
          <w:p>
            <w:pPr>
              <w:spacing w:after="0"/>
              <w:rPr>
                <w:sz w:val="5"/>
                <w:szCs w:val="5"/>
                <w:color w:val="auto"/>
              </w:rPr>
            </w:pPr>
          </w:p>
        </w:tc>
        <w:tc>
          <w:tcPr>
            <w:tcW w:w="280" w:type="dxa"/>
            <w:vAlign w:val="bottom"/>
            <w:tcBorders>
              <w:bottom w:val="single" w:sz="8" w:color="0E3C23"/>
            </w:tcBorders>
          </w:tcPr>
          <w:p>
            <w:pPr>
              <w:spacing w:after="0"/>
              <w:rPr>
                <w:sz w:val="5"/>
                <w:szCs w:val="5"/>
                <w:color w:val="auto"/>
              </w:rPr>
            </w:pPr>
          </w:p>
        </w:tc>
        <w:tc>
          <w:tcPr>
            <w:tcW w:w="600" w:type="dxa"/>
            <w:vAlign w:val="bottom"/>
            <w:tcBorders>
              <w:bottom w:val="single" w:sz="8" w:color="0E3C23"/>
            </w:tcBorders>
          </w:tcPr>
          <w:p>
            <w:pPr>
              <w:spacing w:after="0"/>
              <w:rPr>
                <w:sz w:val="5"/>
                <w:szCs w:val="5"/>
                <w:color w:val="auto"/>
              </w:rPr>
            </w:pPr>
          </w:p>
        </w:tc>
        <w:tc>
          <w:tcPr>
            <w:tcW w:w="520" w:type="dxa"/>
            <w:vAlign w:val="bottom"/>
            <w:tcBorders>
              <w:bottom w:val="single" w:sz="8" w:color="0E3C23"/>
              <w:right w:val="single" w:sz="8" w:color="A5A5A5"/>
            </w:tcBorders>
          </w:tcPr>
          <w:p>
            <w:pPr>
              <w:spacing w:after="0"/>
              <w:rPr>
                <w:sz w:val="5"/>
                <w:szCs w:val="5"/>
                <w:color w:val="auto"/>
              </w:rPr>
            </w:pPr>
          </w:p>
        </w:tc>
        <w:tc>
          <w:tcPr>
            <w:tcW w:w="500" w:type="dxa"/>
            <w:vAlign w:val="bottom"/>
            <w:tcBorders>
              <w:bottom w:val="single" w:sz="8" w:color="0E3C23"/>
              <w:right w:val="single" w:sz="8" w:color="A5A5A5"/>
            </w:tcBorders>
            <w:shd w:val="clear" w:color="auto" w:fill="0E3C23"/>
          </w:tcPr>
          <w:p>
            <w:pPr>
              <w:spacing w:after="0"/>
              <w:rPr>
                <w:sz w:val="5"/>
                <w:szCs w:val="5"/>
                <w:color w:val="auto"/>
              </w:rPr>
            </w:pPr>
          </w:p>
        </w:tc>
        <w:tc>
          <w:tcPr>
            <w:tcW w:w="460" w:type="dxa"/>
            <w:vAlign w:val="bottom"/>
            <w:tcBorders>
              <w:bottom w:val="single" w:sz="8" w:color="0E3C23"/>
            </w:tcBorders>
          </w:tcPr>
          <w:p>
            <w:pPr>
              <w:spacing w:after="0"/>
              <w:rPr>
                <w:sz w:val="5"/>
                <w:szCs w:val="5"/>
                <w:color w:val="auto"/>
              </w:rPr>
            </w:pPr>
          </w:p>
        </w:tc>
        <w:tc>
          <w:tcPr>
            <w:tcW w:w="520" w:type="dxa"/>
            <w:vAlign w:val="bottom"/>
            <w:tcBorders>
              <w:bottom w:val="single" w:sz="8" w:color="0E3C23"/>
            </w:tcBorders>
          </w:tcPr>
          <w:p>
            <w:pPr>
              <w:spacing w:after="0"/>
              <w:rPr>
                <w:sz w:val="5"/>
                <w:szCs w:val="5"/>
                <w:color w:val="auto"/>
              </w:rPr>
            </w:pPr>
          </w:p>
        </w:tc>
        <w:tc>
          <w:tcPr>
            <w:tcW w:w="480" w:type="dxa"/>
            <w:vAlign w:val="bottom"/>
            <w:tcBorders>
              <w:bottom w:val="single" w:sz="8" w:color="0E3C23"/>
            </w:tcBorders>
          </w:tcPr>
          <w:p>
            <w:pPr>
              <w:spacing w:after="0"/>
              <w:rPr>
                <w:sz w:val="5"/>
                <w:szCs w:val="5"/>
                <w:color w:val="auto"/>
              </w:rPr>
            </w:pPr>
          </w:p>
        </w:tc>
        <w:tc>
          <w:tcPr>
            <w:tcW w:w="1120" w:type="dxa"/>
            <w:vAlign w:val="bottom"/>
            <w:tcBorders>
              <w:bottom w:val="single" w:sz="8" w:color="0E3C23"/>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420" w:type="dxa"/>
            <w:vAlign w:val="bottom"/>
            <w:tcBorders>
              <w:bottom w:val="single" w:sz="8" w:color="0E3C23"/>
            </w:tcBorders>
            <w:gridSpan w:val="2"/>
          </w:tcPr>
          <w:p>
            <w:pPr>
              <w:ind w:left="120"/>
              <w:spacing w:after="0"/>
              <w:rPr>
                <w:sz w:val="20"/>
                <w:szCs w:val="20"/>
                <w:color w:val="auto"/>
              </w:rPr>
            </w:pPr>
            <w:r>
              <w:rPr>
                <w:rFonts w:ascii="Arial" w:cs="Arial" w:eastAsia="Arial" w:hAnsi="Arial"/>
                <w:sz w:val="19"/>
                <w:szCs w:val="19"/>
                <w:b w:val="1"/>
                <w:bCs w:val="1"/>
                <w:color w:val="auto"/>
              </w:rPr>
              <w:t>Points Earned</w:t>
            </w:r>
          </w:p>
        </w:tc>
        <w:tc>
          <w:tcPr>
            <w:tcW w:w="580" w:type="dxa"/>
            <w:vAlign w:val="bottom"/>
            <w:tcBorders>
              <w:bottom w:val="single" w:sz="8" w:color="0E3C23"/>
            </w:tcBorders>
          </w:tcPr>
          <w:p>
            <w:pPr>
              <w:jc w:val="right"/>
              <w:ind w:right="104"/>
              <w:spacing w:after="0"/>
              <w:rPr>
                <w:sz w:val="20"/>
                <w:szCs w:val="20"/>
                <w:color w:val="auto"/>
              </w:rPr>
            </w:pPr>
            <w:r>
              <w:rPr>
                <w:rFonts w:ascii="Arial" w:cs="Arial" w:eastAsia="Arial" w:hAnsi="Arial"/>
                <w:sz w:val="19"/>
                <w:szCs w:val="19"/>
                <w:color w:val="auto"/>
              </w:rPr>
              <w:t>4</w:t>
            </w:r>
          </w:p>
        </w:tc>
        <w:tc>
          <w:tcPr>
            <w:tcW w:w="520" w:type="dxa"/>
            <w:vAlign w:val="bottom"/>
            <w:tcBorders>
              <w:bottom w:val="single" w:sz="8" w:color="0E3C23"/>
            </w:tcBorders>
          </w:tcPr>
          <w:p>
            <w:pPr>
              <w:jc w:val="right"/>
              <w:ind w:right="124"/>
              <w:spacing w:after="0"/>
              <w:rPr>
                <w:sz w:val="20"/>
                <w:szCs w:val="20"/>
                <w:color w:val="auto"/>
              </w:rPr>
            </w:pPr>
            <w:r>
              <w:rPr>
                <w:rFonts w:ascii="Arial" w:cs="Arial" w:eastAsia="Arial" w:hAnsi="Arial"/>
                <w:sz w:val="19"/>
                <w:szCs w:val="19"/>
                <w:color w:val="auto"/>
              </w:rPr>
              <w:t>5</w:t>
            </w:r>
          </w:p>
        </w:tc>
        <w:tc>
          <w:tcPr>
            <w:tcW w:w="480" w:type="dxa"/>
            <w:vAlign w:val="bottom"/>
            <w:tcBorders>
              <w:bottom w:val="single" w:sz="8" w:color="0E3C23"/>
            </w:tcBorders>
          </w:tcPr>
          <w:p>
            <w:pPr>
              <w:jc w:val="right"/>
              <w:ind w:right="104"/>
              <w:spacing w:after="0"/>
              <w:rPr>
                <w:sz w:val="20"/>
                <w:szCs w:val="20"/>
                <w:color w:val="auto"/>
              </w:rPr>
            </w:pPr>
            <w:r>
              <w:rPr>
                <w:rFonts w:ascii="Arial" w:cs="Arial" w:eastAsia="Arial" w:hAnsi="Arial"/>
                <w:sz w:val="19"/>
                <w:szCs w:val="19"/>
                <w:color w:val="auto"/>
              </w:rPr>
              <w:t>6</w:t>
            </w:r>
          </w:p>
        </w:tc>
        <w:tc>
          <w:tcPr>
            <w:tcW w:w="560" w:type="dxa"/>
            <w:vAlign w:val="bottom"/>
            <w:tcBorders>
              <w:bottom w:val="single" w:sz="8" w:color="0E3C23"/>
            </w:tcBorders>
          </w:tcPr>
          <w:p>
            <w:pPr>
              <w:jc w:val="right"/>
              <w:ind w:right="184"/>
              <w:spacing w:after="0"/>
              <w:rPr>
                <w:sz w:val="20"/>
                <w:szCs w:val="20"/>
                <w:color w:val="auto"/>
              </w:rPr>
            </w:pPr>
            <w:r>
              <w:rPr>
                <w:rFonts w:ascii="Arial" w:cs="Arial" w:eastAsia="Arial" w:hAnsi="Arial"/>
                <w:sz w:val="19"/>
                <w:szCs w:val="19"/>
                <w:color w:val="auto"/>
              </w:rPr>
              <w:t>7</w:t>
            </w:r>
          </w:p>
        </w:tc>
        <w:tc>
          <w:tcPr>
            <w:tcW w:w="420" w:type="dxa"/>
            <w:vAlign w:val="bottom"/>
            <w:tcBorders>
              <w:bottom w:val="single" w:sz="8" w:color="0E3C23"/>
            </w:tcBorders>
          </w:tcPr>
          <w:p>
            <w:pPr>
              <w:jc w:val="right"/>
              <w:ind w:right="104"/>
              <w:spacing w:after="0"/>
              <w:rPr>
                <w:sz w:val="20"/>
                <w:szCs w:val="20"/>
                <w:color w:val="auto"/>
              </w:rPr>
            </w:pPr>
            <w:r>
              <w:rPr>
                <w:rFonts w:ascii="Arial" w:cs="Arial" w:eastAsia="Arial" w:hAnsi="Arial"/>
                <w:sz w:val="19"/>
                <w:szCs w:val="19"/>
                <w:color w:val="auto"/>
              </w:rPr>
              <w:t>8</w:t>
            </w:r>
          </w:p>
        </w:tc>
        <w:tc>
          <w:tcPr>
            <w:tcW w:w="500" w:type="dxa"/>
            <w:vAlign w:val="bottom"/>
            <w:tcBorders>
              <w:bottom w:val="single" w:sz="8" w:color="0E3C23"/>
            </w:tcBorders>
          </w:tcPr>
          <w:p>
            <w:pPr>
              <w:jc w:val="right"/>
              <w:ind w:right="104"/>
              <w:spacing w:after="0"/>
              <w:rPr>
                <w:sz w:val="20"/>
                <w:szCs w:val="20"/>
                <w:color w:val="auto"/>
              </w:rPr>
            </w:pPr>
            <w:r>
              <w:rPr>
                <w:rFonts w:ascii="Arial" w:cs="Arial" w:eastAsia="Arial" w:hAnsi="Arial"/>
                <w:sz w:val="19"/>
                <w:szCs w:val="19"/>
                <w:color w:val="auto"/>
              </w:rPr>
              <w:t>9</w:t>
            </w:r>
          </w:p>
        </w:tc>
        <w:tc>
          <w:tcPr>
            <w:tcW w:w="500" w:type="dxa"/>
            <w:vAlign w:val="bottom"/>
            <w:tcBorders>
              <w:bottom w:val="single" w:sz="8" w:color="0E3C23"/>
            </w:tcBorders>
          </w:tcPr>
          <w:p>
            <w:pPr>
              <w:jc w:val="right"/>
              <w:ind w:right="64"/>
              <w:spacing w:after="0"/>
              <w:rPr>
                <w:sz w:val="20"/>
                <w:szCs w:val="20"/>
                <w:color w:val="auto"/>
              </w:rPr>
            </w:pPr>
            <w:r>
              <w:rPr>
                <w:rFonts w:ascii="Arial" w:cs="Arial" w:eastAsia="Arial" w:hAnsi="Arial"/>
                <w:sz w:val="19"/>
                <w:szCs w:val="19"/>
                <w:color w:val="auto"/>
              </w:rPr>
              <w:t>10</w:t>
            </w:r>
          </w:p>
        </w:tc>
        <w:tc>
          <w:tcPr>
            <w:tcW w:w="600" w:type="dxa"/>
            <w:vAlign w:val="bottom"/>
            <w:tcBorders>
              <w:bottom w:val="single" w:sz="8" w:color="0E3C23"/>
            </w:tcBorders>
          </w:tcPr>
          <w:p>
            <w:pPr>
              <w:jc w:val="right"/>
              <w:ind w:right="164"/>
              <w:spacing w:after="0"/>
              <w:rPr>
                <w:sz w:val="20"/>
                <w:szCs w:val="20"/>
                <w:color w:val="auto"/>
              </w:rPr>
            </w:pPr>
            <w:r>
              <w:rPr>
                <w:rFonts w:ascii="Arial" w:cs="Arial" w:eastAsia="Arial" w:hAnsi="Arial"/>
                <w:sz w:val="19"/>
                <w:szCs w:val="19"/>
                <w:color w:val="auto"/>
              </w:rPr>
              <w:t>11</w:t>
            </w:r>
          </w:p>
        </w:tc>
        <w:tc>
          <w:tcPr>
            <w:tcW w:w="280" w:type="dxa"/>
            <w:vAlign w:val="bottom"/>
            <w:tcBorders>
              <w:bottom w:val="single" w:sz="8" w:color="0E3C23"/>
            </w:tcBorders>
          </w:tcPr>
          <w:p>
            <w:pPr>
              <w:jc w:val="right"/>
              <w:spacing w:after="0"/>
              <w:rPr>
                <w:sz w:val="20"/>
                <w:szCs w:val="20"/>
                <w:color w:val="auto"/>
              </w:rPr>
            </w:pPr>
            <w:r>
              <w:rPr>
                <w:rFonts w:ascii="Arial" w:cs="Arial" w:eastAsia="Arial" w:hAnsi="Arial"/>
                <w:sz w:val="19"/>
                <w:szCs w:val="19"/>
                <w:color w:val="auto"/>
              </w:rPr>
              <w:t>12</w:t>
            </w:r>
          </w:p>
        </w:tc>
        <w:tc>
          <w:tcPr>
            <w:tcW w:w="600" w:type="dxa"/>
            <w:vAlign w:val="bottom"/>
            <w:tcBorders>
              <w:bottom w:val="single" w:sz="8" w:color="0E3C23"/>
            </w:tcBorders>
          </w:tcPr>
          <w:p>
            <w:pPr>
              <w:jc w:val="right"/>
              <w:ind w:right="65"/>
              <w:spacing w:after="0"/>
              <w:rPr>
                <w:sz w:val="20"/>
                <w:szCs w:val="20"/>
                <w:color w:val="auto"/>
              </w:rPr>
            </w:pPr>
            <w:r>
              <w:rPr>
                <w:rFonts w:ascii="Arial" w:cs="Arial" w:eastAsia="Arial" w:hAnsi="Arial"/>
                <w:sz w:val="19"/>
                <w:szCs w:val="19"/>
                <w:color w:val="auto"/>
              </w:rPr>
              <w:t>13</w:t>
            </w:r>
          </w:p>
        </w:tc>
        <w:tc>
          <w:tcPr>
            <w:tcW w:w="520" w:type="dxa"/>
            <w:vAlign w:val="bottom"/>
            <w:tcBorders>
              <w:bottom w:val="single" w:sz="8" w:color="0E3C23"/>
              <w:right w:val="single" w:sz="8" w:color="A5A5A5"/>
            </w:tcBorders>
          </w:tcPr>
          <w:p>
            <w:pPr>
              <w:jc w:val="right"/>
              <w:ind w:right="84"/>
              <w:spacing w:after="0"/>
              <w:rPr>
                <w:sz w:val="20"/>
                <w:szCs w:val="20"/>
                <w:color w:val="auto"/>
              </w:rPr>
            </w:pPr>
            <w:r>
              <w:rPr>
                <w:rFonts w:ascii="Arial" w:cs="Arial" w:eastAsia="Arial" w:hAnsi="Arial"/>
                <w:sz w:val="19"/>
                <w:szCs w:val="19"/>
                <w:color w:val="auto"/>
              </w:rPr>
              <w:t>14</w:t>
            </w:r>
          </w:p>
        </w:tc>
        <w:tc>
          <w:tcPr>
            <w:tcW w:w="500" w:type="dxa"/>
            <w:vAlign w:val="bottom"/>
            <w:tcBorders>
              <w:bottom w:val="single" w:sz="8" w:color="0E3C23"/>
              <w:right w:val="single" w:sz="8" w:color="A5A5A5"/>
            </w:tcBorders>
            <w:shd w:val="clear" w:color="auto" w:fill="0E3C23"/>
          </w:tcPr>
          <w:p>
            <w:pPr>
              <w:jc w:val="right"/>
              <w:ind w:right="89"/>
              <w:spacing w:after="0"/>
              <w:rPr>
                <w:sz w:val="20"/>
                <w:szCs w:val="20"/>
                <w:color w:val="auto"/>
              </w:rPr>
            </w:pPr>
            <w:r>
              <w:rPr>
                <w:rFonts w:ascii="Arial" w:cs="Arial" w:eastAsia="Arial" w:hAnsi="Arial"/>
                <w:sz w:val="19"/>
                <w:szCs w:val="19"/>
                <w:color w:val="FFFFFF"/>
              </w:rPr>
              <w:t>15</w:t>
            </w:r>
          </w:p>
        </w:tc>
        <w:tc>
          <w:tcPr>
            <w:tcW w:w="460" w:type="dxa"/>
            <w:vAlign w:val="bottom"/>
            <w:tcBorders>
              <w:bottom w:val="single" w:sz="8" w:color="0E3C23"/>
            </w:tcBorders>
          </w:tcPr>
          <w:p>
            <w:pPr>
              <w:ind w:left="100"/>
              <w:spacing w:after="0"/>
              <w:rPr>
                <w:sz w:val="20"/>
                <w:szCs w:val="20"/>
                <w:color w:val="auto"/>
              </w:rPr>
            </w:pPr>
            <w:r>
              <w:rPr>
                <w:rFonts w:ascii="Arial" w:cs="Arial" w:eastAsia="Arial" w:hAnsi="Arial"/>
                <w:sz w:val="19"/>
                <w:szCs w:val="19"/>
                <w:color w:val="auto"/>
              </w:rPr>
              <w:t>16</w:t>
            </w:r>
          </w:p>
        </w:tc>
        <w:tc>
          <w:tcPr>
            <w:tcW w:w="520" w:type="dxa"/>
            <w:vAlign w:val="bottom"/>
            <w:tcBorders>
              <w:bottom w:val="single" w:sz="8" w:color="0E3C23"/>
            </w:tcBorders>
          </w:tcPr>
          <w:p>
            <w:pPr>
              <w:jc w:val="right"/>
              <w:ind w:right="84"/>
              <w:spacing w:after="0"/>
              <w:rPr>
                <w:sz w:val="20"/>
                <w:szCs w:val="20"/>
                <w:color w:val="auto"/>
              </w:rPr>
            </w:pPr>
            <w:r>
              <w:rPr>
                <w:rFonts w:ascii="Arial" w:cs="Arial" w:eastAsia="Arial" w:hAnsi="Arial"/>
                <w:sz w:val="19"/>
                <w:szCs w:val="19"/>
                <w:color w:val="auto"/>
              </w:rPr>
              <w:t>17</w:t>
            </w:r>
          </w:p>
        </w:tc>
        <w:tc>
          <w:tcPr>
            <w:tcW w:w="480" w:type="dxa"/>
            <w:vAlign w:val="bottom"/>
            <w:tcBorders>
              <w:bottom w:val="single" w:sz="8" w:color="0E3C23"/>
            </w:tcBorders>
          </w:tcPr>
          <w:p>
            <w:pPr>
              <w:jc w:val="right"/>
              <w:ind w:right="74"/>
              <w:spacing w:after="0"/>
              <w:rPr>
                <w:sz w:val="20"/>
                <w:szCs w:val="20"/>
                <w:color w:val="auto"/>
              </w:rPr>
            </w:pPr>
            <w:r>
              <w:rPr>
                <w:rFonts w:ascii="Arial" w:cs="Arial" w:eastAsia="Arial" w:hAnsi="Arial"/>
                <w:sz w:val="19"/>
                <w:szCs w:val="19"/>
                <w:color w:val="auto"/>
              </w:rPr>
              <w:t>18</w:t>
            </w:r>
          </w:p>
        </w:tc>
        <w:tc>
          <w:tcPr>
            <w:tcW w:w="1120" w:type="dxa"/>
            <w:vAlign w:val="bottom"/>
            <w:tcBorders>
              <w:bottom w:val="single" w:sz="8" w:color="0E3C23"/>
            </w:tcBorders>
          </w:tcPr>
          <w:p>
            <w:pPr>
              <w:jc w:val="right"/>
              <w:ind w:right="184"/>
              <w:spacing w:after="0"/>
              <w:rPr>
                <w:sz w:val="20"/>
                <w:szCs w:val="20"/>
                <w:color w:val="auto"/>
              </w:rPr>
            </w:pPr>
            <w:r>
              <w:rPr>
                <w:rFonts w:ascii="Arial" w:cs="Arial" w:eastAsia="Arial" w:hAnsi="Arial"/>
                <w:sz w:val="19"/>
                <w:szCs w:val="19"/>
                <w:color w:val="auto"/>
              </w:rPr>
              <w:t>19   20</w:t>
            </w:r>
          </w:p>
        </w:tc>
        <w:tc>
          <w:tcPr>
            <w:tcW w:w="0" w:type="dxa"/>
            <w:vAlign w:val="bottom"/>
          </w:tcPr>
          <w:p>
            <w:pPr>
              <w:spacing w:after="0"/>
              <w:rPr>
                <w:sz w:val="1"/>
                <w:szCs w:val="1"/>
                <w:color w:val="auto"/>
              </w:rPr>
            </w:pPr>
          </w:p>
        </w:tc>
      </w:tr>
      <w:tr>
        <w:trPr>
          <w:trHeight w:val="44"/>
        </w:trPr>
        <w:tc>
          <w:tcPr>
            <w:tcW w:w="1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Borders>
              <w:right w:val="single" w:sz="8" w:color="A5A5A5"/>
            </w:tcBorders>
          </w:tcPr>
          <w:p>
            <w:pPr>
              <w:spacing w:after="0"/>
              <w:rPr>
                <w:sz w:val="3"/>
                <w:szCs w:val="3"/>
                <w:color w:val="auto"/>
              </w:rPr>
            </w:pPr>
          </w:p>
        </w:tc>
        <w:tc>
          <w:tcPr>
            <w:tcW w:w="500" w:type="dxa"/>
            <w:vAlign w:val="bottom"/>
            <w:tcBorders>
              <w:right w:val="single" w:sz="8" w:color="A5A5A5"/>
            </w:tcBorders>
            <w:shd w:val="clear" w:color="auto" w:fill="A5A5A5"/>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-2156460</wp:posOffset>
            </wp:positionV>
            <wp:extent cx="570230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27">
                      <a:extLst>
                        <a:ext uri="{28A0092B-C50C-407E-A947-70E740481C1C}"/>
                      </a:extLst>
                    </a:blip>
                    <a:srcRect/>
                    <a:stretch>
                      <a:fillRect/>
                    </a:stretch>
                  </pic:blipFill>
                  <pic:spPr bwMode="auto">
                    <a:xfrm>
                      <a:off x="0" y="0"/>
                      <a:ext cx="5702300" cy="25400"/>
                    </a:xfrm>
                    <a:prstGeom prst="rect">
                      <a:avLst/>
                    </a:prstGeom>
                    <a:noFill/>
                  </pic:spPr>
                </pic:pic>
              </a:graphicData>
            </a:graphic>
          </wp:anchor>
        </w:drawing>
        <w:drawing>
          <wp:anchor simplePos="0" relativeHeight="251657728" behindDoc="1" locked="0" layoutInCell="0" allowOverlap="1">
            <wp:simplePos x="0" y="0"/>
            <wp:positionH relativeFrom="column">
              <wp:posOffset>817245</wp:posOffset>
            </wp:positionH>
            <wp:positionV relativeFrom="paragraph">
              <wp:posOffset>-1798955</wp:posOffset>
            </wp:positionV>
            <wp:extent cx="570230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28">
                      <a:extLst>
                        <a:ext uri="{28A0092B-C50C-407E-A947-70E740481C1C}"/>
                      </a:extLst>
                    </a:blip>
                    <a:srcRect/>
                    <a:stretch>
                      <a:fillRect/>
                    </a:stretch>
                  </pic:blipFill>
                  <pic:spPr bwMode="auto">
                    <a:xfrm>
                      <a:off x="0" y="0"/>
                      <a:ext cx="5702300" cy="25400"/>
                    </a:xfrm>
                    <a:prstGeom prst="rect">
                      <a:avLst/>
                    </a:prstGeom>
                    <a:noFill/>
                  </pic:spPr>
                </pic:pic>
              </a:graphicData>
            </a:graphic>
          </wp:anchor>
        </w:drawing>
      </w:r>
    </w:p>
    <w:p>
      <w:pPr>
        <w:spacing w:after="0" w:line="181" w:lineRule="exact"/>
        <w:rPr>
          <w:sz w:val="20"/>
          <w:szCs w:val="20"/>
          <w:color w:val="auto"/>
        </w:rPr>
      </w:pPr>
    </w:p>
    <w:p>
      <w:pPr>
        <w:jc w:val="both"/>
        <w:ind w:left="180" w:right="200"/>
        <w:spacing w:after="0" w:line="251" w:lineRule="auto"/>
        <w:rPr>
          <w:sz w:val="20"/>
          <w:szCs w:val="20"/>
          <w:color w:val="auto"/>
        </w:rPr>
      </w:pPr>
      <w:r>
        <w:rPr>
          <w:rFonts w:ascii="Arial" w:cs="Arial" w:eastAsia="Arial" w:hAnsi="Arial"/>
          <w:sz w:val="20"/>
          <w:szCs w:val="20"/>
          <w:color w:val="auto"/>
        </w:rPr>
        <w:t>The MD&amp;C Committee believes that the performance measures for 2024, focusing on the areas of safety, employee engagement, circularity and climate, aligned well with the Company’s commitments and values, sustainability growth strategy and 2030 goals presented in the Company’s Sustainability Report.</w:t>
      </w:r>
    </w:p>
    <w:p>
      <w:pPr>
        <w:spacing w:after="0" w:line="200" w:lineRule="exact"/>
        <w:rPr>
          <w:sz w:val="20"/>
          <w:szCs w:val="20"/>
          <w:color w:val="auto"/>
        </w:rPr>
      </w:pPr>
    </w:p>
    <w:p>
      <w:pPr>
        <w:spacing w:after="0" w:line="219"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29">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30">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sectPr>
      </w:pPr>
    </w:p>
    <w:bookmarkStart w:id="48" w:name="page49"/>
    <w:bookmarkEnd w:id="48"/>
    <w:p>
      <w:pPr>
        <w:ind w:left="798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279" w:lineRule="exact"/>
        <w:rPr>
          <w:sz w:val="20"/>
          <w:szCs w:val="20"/>
          <w:color w:val="auto"/>
        </w:rPr>
      </w:pPr>
    </w:p>
    <w:p>
      <w:pPr>
        <w:jc w:val="both"/>
        <w:ind w:left="180" w:right="200"/>
        <w:spacing w:after="0" w:line="263" w:lineRule="auto"/>
        <w:rPr>
          <w:sz w:val="20"/>
          <w:szCs w:val="20"/>
          <w:color w:val="auto"/>
        </w:rPr>
      </w:pPr>
      <w:r>
        <w:rPr>
          <w:rFonts w:ascii="Arial" w:cs="Arial" w:eastAsia="Arial" w:hAnsi="Arial"/>
          <w:sz w:val="19"/>
          <w:szCs w:val="19"/>
          <w:i w:val="1"/>
          <w:iCs w:val="1"/>
          <w:u w:val="single" w:color="auto"/>
          <w:color w:val="auto"/>
        </w:rPr>
        <w:t>Annual Cash Incentive Payout for 2024.</w:t>
      </w:r>
      <w:r>
        <w:rPr>
          <w:rFonts w:ascii="Arial" w:cs="Arial" w:eastAsia="Arial" w:hAnsi="Arial"/>
          <w:sz w:val="19"/>
          <w:szCs w:val="19"/>
          <w:i w:val="1"/>
          <w:iCs w:val="1"/>
          <w:color w:val="auto"/>
        </w:rPr>
        <w:t xml:space="preserve"> </w:t>
      </w:r>
      <w:r>
        <w:rPr>
          <w:rFonts w:ascii="Arial" w:cs="Arial" w:eastAsia="Arial" w:hAnsi="Arial"/>
          <w:sz w:val="19"/>
          <w:szCs w:val="19"/>
          <w:color w:val="auto"/>
        </w:rPr>
        <w:t>Target annual cash incentives are a specified percentage of the executives’ base</w:t>
      </w:r>
      <w:r>
        <w:rPr>
          <w:rFonts w:ascii="Arial" w:cs="Arial" w:eastAsia="Arial" w:hAnsi="Arial"/>
          <w:sz w:val="19"/>
          <w:szCs w:val="19"/>
          <w:i w:val="1"/>
          <w:iCs w:val="1"/>
          <w:color w:val="auto"/>
        </w:rPr>
        <w:t xml:space="preserve"> </w:t>
      </w:r>
      <w:r>
        <w:rPr>
          <w:rFonts w:ascii="Arial" w:cs="Arial" w:eastAsia="Arial" w:hAnsi="Arial"/>
          <w:sz w:val="19"/>
          <w:szCs w:val="19"/>
          <w:color w:val="auto"/>
        </w:rPr>
        <w:t>salary. The MD&amp;C Committee retains discretion to increase or decrease an individual named executive’s annual cash incentive payment by up to 25% based on individual performance, and the MD&amp;C Committee approved the modifications set forth in the table below for 2024 performance. These modifications were made, taking consideration of Mr. Fish’s evaluation of the named executives’ performance, in recognition of the named executive’s leadership and critical contributions to exceptionally demanding initiatives in 2024, including the negotiation and completion of the Stericycle acquisition and related integration planning and the execution of our sustainability growth strategy. The following table shows each named executive’s target percentage of base salary for 2024 and each named executive’s total annual cash incentive for 2024 paid in March 2025.</w:t>
      </w:r>
    </w:p>
    <w:p>
      <w:pPr>
        <w:spacing w:after="0" w:line="91"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6"/>
                <w:szCs w:val="16"/>
                <w:b w:val="1"/>
                <w:bCs w:val="1"/>
                <w:color w:val="0E3C23"/>
              </w:rPr>
              <w:t>Annual Cash</w:t>
            </w: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60"/>
        </w:trPr>
        <w:tc>
          <w:tcPr>
            <w:tcW w:w="33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E3C23"/>
              </w:rPr>
              <w:t>Incentive For</w:t>
            </w: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0"/>
        </w:trPr>
        <w:tc>
          <w:tcPr>
            <w:tcW w:w="3340" w:type="dxa"/>
            <w:vAlign w:val="bottom"/>
          </w:tcPr>
          <w:p>
            <w:pPr>
              <w:spacing w:after="0"/>
              <w:rPr>
                <w:sz w:val="13"/>
                <w:szCs w:val="13"/>
                <w:color w:val="auto"/>
              </w:rPr>
            </w:pPr>
          </w:p>
        </w:tc>
        <w:tc>
          <w:tcPr>
            <w:tcW w:w="272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E3C23"/>
              </w:rPr>
              <w:t>Target</w:t>
            </w:r>
          </w:p>
        </w:tc>
        <w:tc>
          <w:tcPr>
            <w:tcW w:w="1620" w:type="dxa"/>
            <w:vAlign w:val="bottom"/>
            <w:gridSpan w:val="2"/>
          </w:tcPr>
          <w:p>
            <w:pPr>
              <w:jc w:val="right"/>
              <w:ind w:right="28"/>
              <w:spacing w:after="0" w:line="160" w:lineRule="exact"/>
              <w:rPr>
                <w:sz w:val="20"/>
                <w:szCs w:val="20"/>
                <w:color w:val="auto"/>
              </w:rPr>
            </w:pPr>
            <w:r>
              <w:rPr>
                <w:rFonts w:ascii="Arial" w:cs="Arial" w:eastAsia="Arial" w:hAnsi="Arial"/>
                <w:sz w:val="16"/>
                <w:szCs w:val="16"/>
                <w:b w:val="1"/>
                <w:bCs w:val="1"/>
                <w:color w:val="0E3C23"/>
              </w:rPr>
              <w:t>2024, Based on</w:t>
            </w:r>
          </w:p>
        </w:tc>
        <w:tc>
          <w:tcPr>
            <w:tcW w:w="118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E3C23"/>
              </w:rPr>
              <w:t>Individual</w:t>
            </w:r>
          </w:p>
        </w:tc>
        <w:tc>
          <w:tcPr>
            <w:tcW w:w="1200" w:type="dxa"/>
            <w:vAlign w:val="bottom"/>
            <w:gridSpan w:val="2"/>
          </w:tcPr>
          <w:p>
            <w:pPr>
              <w:jc w:val="right"/>
              <w:spacing w:after="0" w:line="160" w:lineRule="exact"/>
              <w:rPr>
                <w:sz w:val="20"/>
                <w:szCs w:val="20"/>
                <w:color w:val="auto"/>
              </w:rPr>
            </w:pPr>
            <w:r>
              <w:rPr>
                <w:rFonts w:ascii="Arial" w:cs="Arial" w:eastAsia="Arial" w:hAnsi="Arial"/>
                <w:sz w:val="16"/>
                <w:szCs w:val="16"/>
                <w:b w:val="1"/>
                <w:bCs w:val="1"/>
                <w:color w:val="0E3C23"/>
              </w:rPr>
              <w:t>Final Annual</w:t>
            </w:r>
          </w:p>
        </w:tc>
      </w:tr>
      <w:tr>
        <w:trPr>
          <w:trHeight w:val="160"/>
        </w:trPr>
        <w:tc>
          <w:tcPr>
            <w:tcW w:w="3340" w:type="dxa"/>
            <w:vAlign w:val="bottom"/>
          </w:tcPr>
          <w:p>
            <w:pPr>
              <w:spacing w:after="0"/>
              <w:rPr>
                <w:sz w:val="13"/>
                <w:szCs w:val="13"/>
                <w:color w:val="auto"/>
              </w:rPr>
            </w:pPr>
          </w:p>
        </w:tc>
        <w:tc>
          <w:tcPr>
            <w:tcW w:w="272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E3C23"/>
              </w:rPr>
              <w:t>Percentage</w:t>
            </w:r>
          </w:p>
        </w:tc>
        <w:tc>
          <w:tcPr>
            <w:tcW w:w="1620" w:type="dxa"/>
            <w:vAlign w:val="bottom"/>
            <w:gridSpan w:val="2"/>
          </w:tcPr>
          <w:p>
            <w:pPr>
              <w:jc w:val="right"/>
              <w:ind w:right="28"/>
              <w:spacing w:after="0" w:line="160" w:lineRule="exact"/>
              <w:rPr>
                <w:sz w:val="20"/>
                <w:szCs w:val="20"/>
                <w:color w:val="auto"/>
              </w:rPr>
            </w:pPr>
            <w:r>
              <w:rPr>
                <w:rFonts w:ascii="Arial" w:cs="Arial" w:eastAsia="Arial" w:hAnsi="Arial"/>
                <w:sz w:val="16"/>
                <w:szCs w:val="16"/>
                <w:b w:val="1"/>
                <w:bCs w:val="1"/>
                <w:color w:val="0E3C23"/>
                <w:w w:val="99"/>
              </w:rPr>
              <w:t>137.07% Calculated</w:t>
            </w:r>
          </w:p>
        </w:tc>
        <w:tc>
          <w:tcPr>
            <w:tcW w:w="118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E3C23"/>
              </w:rPr>
              <w:t>Performance</w:t>
            </w:r>
          </w:p>
        </w:tc>
        <w:tc>
          <w:tcPr>
            <w:tcW w:w="1200" w:type="dxa"/>
            <w:vAlign w:val="bottom"/>
            <w:gridSpan w:val="2"/>
          </w:tcPr>
          <w:p>
            <w:pPr>
              <w:jc w:val="right"/>
              <w:spacing w:after="0" w:line="160" w:lineRule="exact"/>
              <w:rPr>
                <w:sz w:val="20"/>
                <w:szCs w:val="20"/>
                <w:color w:val="auto"/>
              </w:rPr>
            </w:pPr>
            <w:r>
              <w:rPr>
                <w:rFonts w:ascii="Arial" w:cs="Arial" w:eastAsia="Arial" w:hAnsi="Arial"/>
                <w:sz w:val="16"/>
                <w:szCs w:val="16"/>
                <w:b w:val="1"/>
                <w:bCs w:val="1"/>
                <w:color w:val="0E3C23"/>
                <w:w w:val="99"/>
              </w:rPr>
              <w:t>Cash Incentive</w:t>
            </w:r>
          </w:p>
        </w:tc>
      </w:tr>
      <w:tr>
        <w:trPr>
          <w:trHeight w:val="184"/>
        </w:trPr>
        <w:tc>
          <w:tcPr>
            <w:tcW w:w="3340" w:type="dxa"/>
            <w:vAlign w:val="bottom"/>
          </w:tcPr>
          <w:p>
            <w:pPr>
              <w:ind w:left="60"/>
              <w:spacing w:after="0"/>
              <w:rPr>
                <w:sz w:val="20"/>
                <w:szCs w:val="20"/>
                <w:color w:val="auto"/>
              </w:rPr>
            </w:pPr>
            <w:r>
              <w:rPr>
                <w:rFonts w:ascii="Arial" w:cs="Arial" w:eastAsia="Arial" w:hAnsi="Arial"/>
                <w:sz w:val="16"/>
                <w:szCs w:val="16"/>
                <w:b w:val="1"/>
                <w:bCs w:val="1"/>
                <w:color w:val="0E3C23"/>
              </w:rPr>
              <w:t>Named Executive Officer</w:t>
            </w:r>
          </w:p>
        </w:tc>
        <w:tc>
          <w:tcPr>
            <w:tcW w:w="2720" w:type="dxa"/>
            <w:vAlign w:val="bottom"/>
          </w:tcPr>
          <w:p>
            <w:pPr>
              <w:jc w:val="right"/>
              <w:ind w:right="28"/>
              <w:spacing w:after="0"/>
              <w:rPr>
                <w:sz w:val="20"/>
                <w:szCs w:val="20"/>
                <w:color w:val="auto"/>
              </w:rPr>
            </w:pPr>
            <w:r>
              <w:rPr>
                <w:rFonts w:ascii="Arial" w:cs="Arial" w:eastAsia="Arial" w:hAnsi="Arial"/>
                <w:sz w:val="16"/>
                <w:szCs w:val="16"/>
                <w:b w:val="1"/>
                <w:bCs w:val="1"/>
                <w:color w:val="0E3C23"/>
              </w:rPr>
              <w:t>of Base Salary</w:t>
            </w:r>
          </w:p>
        </w:tc>
        <w:tc>
          <w:tcPr>
            <w:tcW w:w="44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6"/>
                <w:szCs w:val="16"/>
                <w:b w:val="1"/>
                <w:bCs w:val="1"/>
                <w:color w:val="0E3C23"/>
              </w:rPr>
              <w:t>Payout</w:t>
            </w:r>
          </w:p>
        </w:tc>
        <w:tc>
          <w:tcPr>
            <w:tcW w:w="1180" w:type="dxa"/>
            <w:vAlign w:val="bottom"/>
          </w:tcPr>
          <w:p>
            <w:pPr>
              <w:jc w:val="right"/>
              <w:ind w:right="28"/>
              <w:spacing w:after="0"/>
              <w:rPr>
                <w:sz w:val="20"/>
                <w:szCs w:val="20"/>
                <w:color w:val="auto"/>
              </w:rPr>
            </w:pPr>
            <w:r>
              <w:rPr>
                <w:rFonts w:ascii="Arial" w:cs="Arial" w:eastAsia="Arial" w:hAnsi="Arial"/>
                <w:sz w:val="16"/>
                <w:szCs w:val="16"/>
                <w:b w:val="1"/>
                <w:bCs w:val="1"/>
                <w:color w:val="0E3C23"/>
              </w:rPr>
              <w:t>Modifier</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0E3C23"/>
              </w:rPr>
              <w:t>For 2024</w:t>
            </w:r>
          </w:p>
        </w:tc>
      </w:tr>
      <w:tr>
        <w:trPr>
          <w:trHeight w:val="44"/>
        </w:trPr>
        <w:tc>
          <w:tcPr>
            <w:tcW w:w="3340" w:type="dxa"/>
            <w:vAlign w:val="bottom"/>
            <w:tcBorders>
              <w:bottom w:val="single" w:sz="8" w:color="0E3C23"/>
            </w:tcBorders>
          </w:tcPr>
          <w:p>
            <w:pPr>
              <w:spacing w:after="0"/>
              <w:rPr>
                <w:sz w:val="3"/>
                <w:szCs w:val="3"/>
                <w:color w:val="auto"/>
              </w:rPr>
            </w:pPr>
          </w:p>
        </w:tc>
        <w:tc>
          <w:tcPr>
            <w:tcW w:w="2720" w:type="dxa"/>
            <w:vAlign w:val="bottom"/>
            <w:tcBorders>
              <w:bottom w:val="single" w:sz="8" w:color="0E3C23"/>
            </w:tcBorders>
          </w:tcPr>
          <w:p>
            <w:pPr>
              <w:spacing w:after="0"/>
              <w:rPr>
                <w:sz w:val="3"/>
                <w:szCs w:val="3"/>
                <w:color w:val="auto"/>
              </w:rPr>
            </w:pPr>
          </w:p>
        </w:tc>
        <w:tc>
          <w:tcPr>
            <w:tcW w:w="440" w:type="dxa"/>
            <w:vAlign w:val="bottom"/>
            <w:tcBorders>
              <w:bottom w:val="single" w:sz="8" w:color="0E3C23"/>
            </w:tcBorders>
          </w:tcPr>
          <w:p>
            <w:pPr>
              <w:spacing w:after="0"/>
              <w:rPr>
                <w:sz w:val="3"/>
                <w:szCs w:val="3"/>
                <w:color w:val="auto"/>
              </w:rPr>
            </w:pPr>
          </w:p>
        </w:tc>
        <w:tc>
          <w:tcPr>
            <w:tcW w:w="1180" w:type="dxa"/>
            <w:vAlign w:val="bottom"/>
            <w:tcBorders>
              <w:bottom w:val="single" w:sz="8" w:color="0E3C23"/>
            </w:tcBorders>
          </w:tcPr>
          <w:p>
            <w:pPr>
              <w:spacing w:after="0"/>
              <w:rPr>
                <w:sz w:val="3"/>
                <w:szCs w:val="3"/>
                <w:color w:val="auto"/>
              </w:rPr>
            </w:pPr>
          </w:p>
        </w:tc>
        <w:tc>
          <w:tcPr>
            <w:tcW w:w="1180" w:type="dxa"/>
            <w:vAlign w:val="bottom"/>
            <w:tcBorders>
              <w:bottom w:val="single" w:sz="8" w:color="0E3C23"/>
            </w:tcBorders>
          </w:tcPr>
          <w:p>
            <w:pPr>
              <w:spacing w:after="0"/>
              <w:rPr>
                <w:sz w:val="3"/>
                <w:szCs w:val="3"/>
                <w:color w:val="auto"/>
              </w:rPr>
            </w:pPr>
          </w:p>
        </w:tc>
        <w:tc>
          <w:tcPr>
            <w:tcW w:w="260" w:type="dxa"/>
            <w:vAlign w:val="bottom"/>
            <w:tcBorders>
              <w:bottom w:val="single" w:sz="8" w:color="0E3C23"/>
            </w:tcBorders>
          </w:tcPr>
          <w:p>
            <w:pPr>
              <w:spacing w:after="0"/>
              <w:rPr>
                <w:sz w:val="3"/>
                <w:szCs w:val="3"/>
                <w:color w:val="auto"/>
              </w:rPr>
            </w:pPr>
          </w:p>
        </w:tc>
        <w:tc>
          <w:tcPr>
            <w:tcW w:w="940" w:type="dxa"/>
            <w:vAlign w:val="bottom"/>
            <w:tcBorders>
              <w:bottom w:val="single" w:sz="8" w:color="0E3C23"/>
            </w:tcBorders>
          </w:tcPr>
          <w:p>
            <w:pPr>
              <w:spacing w:after="0"/>
              <w:rPr>
                <w:sz w:val="3"/>
                <w:szCs w:val="3"/>
                <w:color w:val="auto"/>
              </w:rPr>
            </w:pPr>
          </w:p>
        </w:tc>
      </w:tr>
      <w:tr>
        <w:trPr>
          <w:trHeight w:val="261"/>
        </w:trPr>
        <w:tc>
          <w:tcPr>
            <w:tcW w:w="3340" w:type="dxa"/>
            <w:vAlign w:val="bottom"/>
          </w:tcPr>
          <w:p>
            <w:pPr>
              <w:ind w:left="60"/>
              <w:spacing w:after="0"/>
              <w:rPr>
                <w:sz w:val="20"/>
                <w:szCs w:val="20"/>
                <w:color w:val="auto"/>
              </w:rPr>
            </w:pPr>
            <w:r>
              <w:rPr>
                <w:rFonts w:ascii="Arial" w:cs="Arial" w:eastAsia="Arial" w:hAnsi="Arial"/>
                <w:sz w:val="20"/>
                <w:szCs w:val="20"/>
                <w:b w:val="1"/>
                <w:bCs w:val="1"/>
                <w:color w:val="auto"/>
              </w:rPr>
              <w:t>Mr. Fish</w:t>
            </w:r>
          </w:p>
        </w:tc>
        <w:tc>
          <w:tcPr>
            <w:tcW w:w="2720" w:type="dxa"/>
            <w:vAlign w:val="bottom"/>
          </w:tcPr>
          <w:p>
            <w:pPr>
              <w:jc w:val="right"/>
              <w:ind w:right="388"/>
              <w:spacing w:after="0"/>
              <w:rPr>
                <w:sz w:val="20"/>
                <w:szCs w:val="20"/>
                <w:color w:val="auto"/>
              </w:rPr>
            </w:pPr>
            <w:r>
              <w:rPr>
                <w:rFonts w:ascii="Arial" w:cs="Arial" w:eastAsia="Arial" w:hAnsi="Arial"/>
                <w:sz w:val="20"/>
                <w:szCs w:val="20"/>
                <w:color w:val="auto"/>
              </w:rPr>
              <w:t>160</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248"/>
              <w:spacing w:after="0"/>
              <w:rPr>
                <w:sz w:val="20"/>
                <w:szCs w:val="20"/>
                <w:color w:val="auto"/>
              </w:rPr>
            </w:pPr>
            <w:r>
              <w:rPr>
                <w:rFonts w:ascii="Arial" w:cs="Arial" w:eastAsia="Arial" w:hAnsi="Arial"/>
                <w:sz w:val="20"/>
                <w:szCs w:val="20"/>
                <w:color w:val="auto"/>
                <w:w w:val="92"/>
              </w:rPr>
              <w:t>3,180,080</w:t>
            </w:r>
          </w:p>
        </w:tc>
        <w:tc>
          <w:tcPr>
            <w:tcW w:w="1180" w:type="dxa"/>
            <w:vAlign w:val="bottom"/>
          </w:tcPr>
          <w:p>
            <w:pPr>
              <w:jc w:val="right"/>
              <w:ind w:right="388"/>
              <w:spacing w:after="0"/>
              <w:rPr>
                <w:sz w:val="20"/>
                <w:szCs w:val="20"/>
                <w:color w:val="auto"/>
              </w:rPr>
            </w:pPr>
            <w:r>
              <w:rPr>
                <w:rFonts w:ascii="Arial" w:cs="Arial" w:eastAsia="Arial" w:hAnsi="Arial"/>
                <w:sz w:val="20"/>
                <w:szCs w:val="20"/>
                <w:color w:val="auto"/>
              </w:rPr>
              <w:t>—</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4"/>
              <w:spacing w:after="0"/>
              <w:rPr>
                <w:sz w:val="20"/>
                <w:szCs w:val="20"/>
                <w:color w:val="auto"/>
              </w:rPr>
            </w:pPr>
            <w:r>
              <w:rPr>
                <w:rFonts w:ascii="Arial" w:cs="Arial" w:eastAsia="Arial" w:hAnsi="Arial"/>
                <w:sz w:val="20"/>
                <w:szCs w:val="20"/>
                <w:color w:val="auto"/>
                <w:w w:val="92"/>
              </w:rPr>
              <w:t>3,180,080</w:t>
            </w:r>
          </w:p>
        </w:tc>
      </w:tr>
      <w:tr>
        <w:trPr>
          <w:trHeight w:val="29"/>
        </w:trPr>
        <w:tc>
          <w:tcPr>
            <w:tcW w:w="3340" w:type="dxa"/>
            <w:vAlign w:val="bottom"/>
            <w:tcBorders>
              <w:bottom w:val="single" w:sz="8" w:color="0E3C23"/>
            </w:tcBorders>
          </w:tcPr>
          <w:p>
            <w:pPr>
              <w:spacing w:after="0"/>
              <w:rPr>
                <w:sz w:val="2"/>
                <w:szCs w:val="2"/>
                <w:color w:val="auto"/>
              </w:rPr>
            </w:pPr>
          </w:p>
        </w:tc>
        <w:tc>
          <w:tcPr>
            <w:tcW w:w="2720" w:type="dxa"/>
            <w:vAlign w:val="bottom"/>
            <w:tcBorders>
              <w:bottom w:val="single" w:sz="8" w:color="0E3C23"/>
            </w:tcBorders>
          </w:tcPr>
          <w:p>
            <w:pPr>
              <w:spacing w:after="0"/>
              <w:rPr>
                <w:sz w:val="2"/>
                <w:szCs w:val="2"/>
                <w:color w:val="auto"/>
              </w:rPr>
            </w:pPr>
          </w:p>
        </w:tc>
        <w:tc>
          <w:tcPr>
            <w:tcW w:w="440" w:type="dxa"/>
            <w:vAlign w:val="bottom"/>
            <w:tcBorders>
              <w:bottom w:val="single" w:sz="8" w:color="0E3C23"/>
            </w:tcBorders>
          </w:tcPr>
          <w:p>
            <w:pPr>
              <w:spacing w:after="0"/>
              <w:rPr>
                <w:sz w:val="2"/>
                <w:szCs w:val="2"/>
                <w:color w:val="auto"/>
              </w:rPr>
            </w:pPr>
          </w:p>
        </w:tc>
        <w:tc>
          <w:tcPr>
            <w:tcW w:w="1180" w:type="dxa"/>
            <w:vAlign w:val="bottom"/>
            <w:tcBorders>
              <w:bottom w:val="single" w:sz="8" w:color="0E3C23"/>
            </w:tcBorders>
          </w:tcPr>
          <w:p>
            <w:pPr>
              <w:spacing w:after="0"/>
              <w:rPr>
                <w:sz w:val="2"/>
                <w:szCs w:val="2"/>
                <w:color w:val="auto"/>
              </w:rPr>
            </w:pPr>
          </w:p>
        </w:tc>
        <w:tc>
          <w:tcPr>
            <w:tcW w:w="118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940" w:type="dxa"/>
            <w:vAlign w:val="bottom"/>
            <w:tcBorders>
              <w:bottom w:val="single" w:sz="8" w:color="0E3C23"/>
            </w:tcBorders>
          </w:tcPr>
          <w:p>
            <w:pPr>
              <w:spacing w:after="0"/>
              <w:rPr>
                <w:sz w:val="2"/>
                <w:szCs w:val="2"/>
                <w:color w:val="auto"/>
              </w:rPr>
            </w:pPr>
          </w:p>
        </w:tc>
      </w:tr>
      <w:tr>
        <w:trPr>
          <w:trHeight w:val="251"/>
        </w:trPr>
        <w:tc>
          <w:tcPr>
            <w:tcW w:w="3340" w:type="dxa"/>
            <w:vAlign w:val="bottom"/>
          </w:tcPr>
          <w:p>
            <w:pPr>
              <w:ind w:left="60"/>
              <w:spacing w:after="0"/>
              <w:rPr>
                <w:sz w:val="20"/>
                <w:szCs w:val="20"/>
                <w:color w:val="auto"/>
              </w:rPr>
            </w:pPr>
            <w:r>
              <w:rPr>
                <w:rFonts w:ascii="Arial" w:cs="Arial" w:eastAsia="Arial" w:hAnsi="Arial"/>
                <w:sz w:val="20"/>
                <w:szCs w:val="20"/>
                <w:b w:val="1"/>
                <w:bCs w:val="1"/>
                <w:color w:val="auto"/>
              </w:rPr>
              <w:t>Ms. Rankin</w:t>
            </w:r>
          </w:p>
        </w:tc>
        <w:tc>
          <w:tcPr>
            <w:tcW w:w="2720" w:type="dxa"/>
            <w:vAlign w:val="bottom"/>
          </w:tcPr>
          <w:p>
            <w:pPr>
              <w:jc w:val="right"/>
              <w:ind w:right="388"/>
              <w:spacing w:after="0"/>
              <w:rPr>
                <w:sz w:val="20"/>
                <w:szCs w:val="20"/>
                <w:color w:val="auto"/>
              </w:rPr>
            </w:pPr>
            <w:r>
              <w:rPr>
                <w:rFonts w:ascii="Arial" w:cs="Arial" w:eastAsia="Arial" w:hAnsi="Arial"/>
                <w:sz w:val="20"/>
                <w:szCs w:val="20"/>
                <w:color w:val="auto"/>
              </w:rPr>
              <w:t>100</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248"/>
              <w:spacing w:after="0"/>
              <w:rPr>
                <w:sz w:val="20"/>
                <w:szCs w:val="20"/>
                <w:color w:val="auto"/>
              </w:rPr>
            </w:pPr>
            <w:r>
              <w:rPr>
                <w:rFonts w:ascii="Arial" w:cs="Arial" w:eastAsia="Arial" w:hAnsi="Arial"/>
                <w:sz w:val="20"/>
                <w:szCs w:val="20"/>
                <w:color w:val="auto"/>
                <w:w w:val="92"/>
              </w:rPr>
              <w:t>1,094,249</w:t>
            </w:r>
          </w:p>
        </w:tc>
        <w:tc>
          <w:tcPr>
            <w:tcW w:w="1180" w:type="dxa"/>
            <w:vAlign w:val="bottom"/>
          </w:tcPr>
          <w:p>
            <w:pPr>
              <w:jc w:val="right"/>
              <w:ind w:right="228"/>
              <w:spacing w:after="0"/>
              <w:rPr>
                <w:sz w:val="20"/>
                <w:szCs w:val="20"/>
                <w:color w:val="auto"/>
              </w:rPr>
            </w:pPr>
            <w:r>
              <w:rPr>
                <w:rFonts w:ascii="Arial" w:cs="Arial" w:eastAsia="Arial" w:hAnsi="Arial"/>
                <w:sz w:val="20"/>
                <w:szCs w:val="20"/>
                <w:color w:val="auto"/>
              </w:rPr>
              <w:t>10%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4"/>
              <w:spacing w:after="0"/>
              <w:rPr>
                <w:sz w:val="20"/>
                <w:szCs w:val="20"/>
                <w:color w:val="auto"/>
              </w:rPr>
            </w:pPr>
            <w:r>
              <w:rPr>
                <w:rFonts w:ascii="Arial" w:cs="Arial" w:eastAsia="Arial" w:hAnsi="Arial"/>
                <w:sz w:val="20"/>
                <w:szCs w:val="20"/>
                <w:color w:val="auto"/>
                <w:w w:val="92"/>
              </w:rPr>
              <w:t>1,203,674</w:t>
            </w:r>
          </w:p>
        </w:tc>
      </w:tr>
      <w:tr>
        <w:trPr>
          <w:trHeight w:val="29"/>
        </w:trPr>
        <w:tc>
          <w:tcPr>
            <w:tcW w:w="3340" w:type="dxa"/>
            <w:vAlign w:val="bottom"/>
            <w:tcBorders>
              <w:bottom w:val="single" w:sz="8" w:color="0E3C23"/>
            </w:tcBorders>
          </w:tcPr>
          <w:p>
            <w:pPr>
              <w:spacing w:after="0"/>
              <w:rPr>
                <w:sz w:val="2"/>
                <w:szCs w:val="2"/>
                <w:color w:val="auto"/>
              </w:rPr>
            </w:pPr>
          </w:p>
        </w:tc>
        <w:tc>
          <w:tcPr>
            <w:tcW w:w="2720" w:type="dxa"/>
            <w:vAlign w:val="bottom"/>
            <w:tcBorders>
              <w:bottom w:val="single" w:sz="8" w:color="0E3C23"/>
            </w:tcBorders>
          </w:tcPr>
          <w:p>
            <w:pPr>
              <w:spacing w:after="0"/>
              <w:rPr>
                <w:sz w:val="2"/>
                <w:szCs w:val="2"/>
                <w:color w:val="auto"/>
              </w:rPr>
            </w:pPr>
          </w:p>
        </w:tc>
        <w:tc>
          <w:tcPr>
            <w:tcW w:w="440" w:type="dxa"/>
            <w:vAlign w:val="bottom"/>
            <w:tcBorders>
              <w:bottom w:val="single" w:sz="8" w:color="0E3C23"/>
            </w:tcBorders>
          </w:tcPr>
          <w:p>
            <w:pPr>
              <w:spacing w:after="0"/>
              <w:rPr>
                <w:sz w:val="2"/>
                <w:szCs w:val="2"/>
                <w:color w:val="auto"/>
              </w:rPr>
            </w:pPr>
          </w:p>
        </w:tc>
        <w:tc>
          <w:tcPr>
            <w:tcW w:w="1180" w:type="dxa"/>
            <w:vAlign w:val="bottom"/>
            <w:tcBorders>
              <w:bottom w:val="single" w:sz="8" w:color="0E3C23"/>
            </w:tcBorders>
          </w:tcPr>
          <w:p>
            <w:pPr>
              <w:spacing w:after="0"/>
              <w:rPr>
                <w:sz w:val="2"/>
                <w:szCs w:val="2"/>
                <w:color w:val="auto"/>
              </w:rPr>
            </w:pPr>
          </w:p>
        </w:tc>
        <w:tc>
          <w:tcPr>
            <w:tcW w:w="118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940" w:type="dxa"/>
            <w:vAlign w:val="bottom"/>
            <w:tcBorders>
              <w:bottom w:val="single" w:sz="8" w:color="0E3C23"/>
            </w:tcBorders>
          </w:tcPr>
          <w:p>
            <w:pPr>
              <w:spacing w:after="0"/>
              <w:rPr>
                <w:sz w:val="2"/>
                <w:szCs w:val="2"/>
                <w:color w:val="auto"/>
              </w:rPr>
            </w:pPr>
          </w:p>
        </w:tc>
      </w:tr>
      <w:tr>
        <w:trPr>
          <w:trHeight w:val="251"/>
        </w:trPr>
        <w:tc>
          <w:tcPr>
            <w:tcW w:w="3340" w:type="dxa"/>
            <w:vAlign w:val="bottom"/>
          </w:tcPr>
          <w:p>
            <w:pPr>
              <w:ind w:left="60"/>
              <w:spacing w:after="0"/>
              <w:rPr>
                <w:sz w:val="20"/>
                <w:szCs w:val="20"/>
                <w:color w:val="auto"/>
              </w:rPr>
            </w:pPr>
            <w:r>
              <w:rPr>
                <w:rFonts w:ascii="Arial" w:cs="Arial" w:eastAsia="Arial" w:hAnsi="Arial"/>
                <w:sz w:val="20"/>
                <w:szCs w:val="20"/>
                <w:b w:val="1"/>
                <w:bCs w:val="1"/>
                <w:color w:val="auto"/>
              </w:rPr>
              <w:t>Mr. Morris</w:t>
            </w:r>
          </w:p>
        </w:tc>
        <w:tc>
          <w:tcPr>
            <w:tcW w:w="2720" w:type="dxa"/>
            <w:vAlign w:val="bottom"/>
          </w:tcPr>
          <w:p>
            <w:pPr>
              <w:jc w:val="right"/>
              <w:ind w:right="388"/>
              <w:spacing w:after="0"/>
              <w:rPr>
                <w:sz w:val="20"/>
                <w:szCs w:val="20"/>
                <w:color w:val="auto"/>
              </w:rPr>
            </w:pPr>
            <w:r>
              <w:rPr>
                <w:rFonts w:ascii="Arial" w:cs="Arial" w:eastAsia="Arial" w:hAnsi="Arial"/>
                <w:sz w:val="20"/>
                <w:szCs w:val="20"/>
                <w:color w:val="auto"/>
              </w:rPr>
              <w:t>110</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248"/>
              <w:spacing w:after="0"/>
              <w:rPr>
                <w:sz w:val="20"/>
                <w:szCs w:val="20"/>
                <w:color w:val="auto"/>
              </w:rPr>
            </w:pPr>
            <w:r>
              <w:rPr>
                <w:rFonts w:ascii="Arial" w:cs="Arial" w:eastAsia="Arial" w:hAnsi="Arial"/>
                <w:sz w:val="20"/>
                <w:szCs w:val="20"/>
                <w:color w:val="auto"/>
                <w:w w:val="92"/>
              </w:rPr>
              <w:t>1,229,457</w:t>
            </w:r>
          </w:p>
        </w:tc>
        <w:tc>
          <w:tcPr>
            <w:tcW w:w="1180" w:type="dxa"/>
            <w:vAlign w:val="bottom"/>
          </w:tcPr>
          <w:p>
            <w:pPr>
              <w:jc w:val="right"/>
              <w:ind w:right="228"/>
              <w:spacing w:after="0"/>
              <w:rPr>
                <w:sz w:val="20"/>
                <w:szCs w:val="20"/>
                <w:color w:val="auto"/>
              </w:rPr>
            </w:pPr>
            <w:r>
              <w:rPr>
                <w:rFonts w:ascii="Arial" w:cs="Arial" w:eastAsia="Arial" w:hAnsi="Arial"/>
                <w:sz w:val="20"/>
                <w:szCs w:val="20"/>
                <w:color w:val="auto"/>
              </w:rPr>
              <w:t>10%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4"/>
              <w:spacing w:after="0"/>
              <w:rPr>
                <w:sz w:val="20"/>
                <w:szCs w:val="20"/>
                <w:color w:val="auto"/>
              </w:rPr>
            </w:pPr>
            <w:r>
              <w:rPr>
                <w:rFonts w:ascii="Arial" w:cs="Arial" w:eastAsia="Arial" w:hAnsi="Arial"/>
                <w:sz w:val="20"/>
                <w:szCs w:val="20"/>
                <w:color w:val="auto"/>
                <w:w w:val="92"/>
              </w:rPr>
              <w:t>1,352,403</w:t>
            </w:r>
          </w:p>
        </w:tc>
      </w:tr>
      <w:tr>
        <w:trPr>
          <w:trHeight w:val="29"/>
        </w:trPr>
        <w:tc>
          <w:tcPr>
            <w:tcW w:w="3340" w:type="dxa"/>
            <w:vAlign w:val="bottom"/>
            <w:tcBorders>
              <w:bottom w:val="single" w:sz="8" w:color="0E3C23"/>
            </w:tcBorders>
          </w:tcPr>
          <w:p>
            <w:pPr>
              <w:spacing w:after="0"/>
              <w:rPr>
                <w:sz w:val="2"/>
                <w:szCs w:val="2"/>
                <w:color w:val="auto"/>
              </w:rPr>
            </w:pPr>
          </w:p>
        </w:tc>
        <w:tc>
          <w:tcPr>
            <w:tcW w:w="2720" w:type="dxa"/>
            <w:vAlign w:val="bottom"/>
            <w:tcBorders>
              <w:bottom w:val="single" w:sz="8" w:color="0E3C23"/>
            </w:tcBorders>
          </w:tcPr>
          <w:p>
            <w:pPr>
              <w:spacing w:after="0"/>
              <w:rPr>
                <w:sz w:val="2"/>
                <w:szCs w:val="2"/>
                <w:color w:val="auto"/>
              </w:rPr>
            </w:pPr>
          </w:p>
        </w:tc>
        <w:tc>
          <w:tcPr>
            <w:tcW w:w="440" w:type="dxa"/>
            <w:vAlign w:val="bottom"/>
            <w:tcBorders>
              <w:bottom w:val="single" w:sz="8" w:color="0E3C23"/>
            </w:tcBorders>
          </w:tcPr>
          <w:p>
            <w:pPr>
              <w:spacing w:after="0"/>
              <w:rPr>
                <w:sz w:val="2"/>
                <w:szCs w:val="2"/>
                <w:color w:val="auto"/>
              </w:rPr>
            </w:pPr>
          </w:p>
        </w:tc>
        <w:tc>
          <w:tcPr>
            <w:tcW w:w="1180" w:type="dxa"/>
            <w:vAlign w:val="bottom"/>
            <w:tcBorders>
              <w:bottom w:val="single" w:sz="8" w:color="0E3C23"/>
            </w:tcBorders>
          </w:tcPr>
          <w:p>
            <w:pPr>
              <w:spacing w:after="0"/>
              <w:rPr>
                <w:sz w:val="2"/>
                <w:szCs w:val="2"/>
                <w:color w:val="auto"/>
              </w:rPr>
            </w:pPr>
          </w:p>
        </w:tc>
        <w:tc>
          <w:tcPr>
            <w:tcW w:w="118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940" w:type="dxa"/>
            <w:vAlign w:val="bottom"/>
            <w:tcBorders>
              <w:bottom w:val="single" w:sz="8" w:color="0E3C23"/>
            </w:tcBorders>
          </w:tcPr>
          <w:p>
            <w:pPr>
              <w:spacing w:after="0"/>
              <w:rPr>
                <w:sz w:val="2"/>
                <w:szCs w:val="2"/>
                <w:color w:val="auto"/>
              </w:rPr>
            </w:pPr>
          </w:p>
        </w:tc>
      </w:tr>
      <w:tr>
        <w:trPr>
          <w:trHeight w:val="279"/>
        </w:trPr>
        <w:tc>
          <w:tcPr>
            <w:tcW w:w="3340" w:type="dxa"/>
            <w:vAlign w:val="bottom"/>
            <w:tcBorders>
              <w:bottom w:val="single" w:sz="8" w:color="0E3C23"/>
            </w:tcBorders>
          </w:tcPr>
          <w:p>
            <w:pPr>
              <w:ind w:left="60"/>
              <w:spacing w:after="0" w:line="280" w:lineRule="exact"/>
              <w:rPr>
                <w:sz w:val="20"/>
                <w:szCs w:val="20"/>
                <w:color w:val="auto"/>
              </w:rPr>
            </w:pPr>
            <w:r>
              <w:rPr>
                <w:rFonts w:ascii="Arial" w:cs="Arial" w:eastAsia="Arial" w:hAnsi="Arial"/>
                <w:sz w:val="20"/>
                <w:szCs w:val="20"/>
                <w:b w:val="1"/>
                <w:bCs w:val="1"/>
                <w:color w:val="auto"/>
              </w:rPr>
              <w:t>Ms. Hemmer</w:t>
            </w:r>
            <w:r>
              <w:rPr>
                <w:rFonts w:ascii="Arial" w:cs="Arial" w:eastAsia="Arial" w:hAnsi="Arial"/>
                <w:sz w:val="25"/>
                <w:szCs w:val="25"/>
                <w:b w:val="1"/>
                <w:bCs w:val="1"/>
                <w:color w:val="auto"/>
                <w:vertAlign w:val="superscript"/>
              </w:rPr>
              <w:t>(1)</w:t>
            </w:r>
          </w:p>
        </w:tc>
        <w:tc>
          <w:tcPr>
            <w:tcW w:w="2720" w:type="dxa"/>
            <w:vAlign w:val="bottom"/>
            <w:tcBorders>
              <w:bottom w:val="single" w:sz="8" w:color="0E3C23"/>
            </w:tcBorders>
          </w:tcPr>
          <w:p>
            <w:pPr>
              <w:jc w:val="right"/>
              <w:ind w:right="388"/>
              <w:spacing w:after="0"/>
              <w:rPr>
                <w:sz w:val="20"/>
                <w:szCs w:val="20"/>
                <w:color w:val="auto"/>
              </w:rPr>
            </w:pPr>
            <w:r>
              <w:rPr>
                <w:rFonts w:ascii="Arial" w:cs="Arial" w:eastAsia="Arial" w:hAnsi="Arial"/>
                <w:sz w:val="20"/>
                <w:szCs w:val="20"/>
                <w:color w:val="auto"/>
              </w:rPr>
              <w:t>95</w:t>
            </w:r>
          </w:p>
        </w:tc>
        <w:tc>
          <w:tcPr>
            <w:tcW w:w="44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0E3C23"/>
            </w:tcBorders>
          </w:tcPr>
          <w:p>
            <w:pPr>
              <w:jc w:val="right"/>
              <w:ind w:right="248"/>
              <w:spacing w:after="0"/>
              <w:rPr>
                <w:sz w:val="20"/>
                <w:szCs w:val="20"/>
                <w:color w:val="auto"/>
              </w:rPr>
            </w:pPr>
            <w:r>
              <w:rPr>
                <w:rFonts w:ascii="Arial" w:cs="Arial" w:eastAsia="Arial" w:hAnsi="Arial"/>
                <w:sz w:val="20"/>
                <w:szCs w:val="20"/>
                <w:color w:val="auto"/>
              </w:rPr>
              <w:t>899,538</w:t>
            </w:r>
          </w:p>
        </w:tc>
        <w:tc>
          <w:tcPr>
            <w:tcW w:w="1180" w:type="dxa"/>
            <w:vAlign w:val="bottom"/>
            <w:tcBorders>
              <w:bottom w:val="single" w:sz="8" w:color="0E3C23"/>
            </w:tcBorders>
          </w:tcPr>
          <w:p>
            <w:pPr>
              <w:jc w:val="right"/>
              <w:ind w:right="248"/>
              <w:spacing w:after="0"/>
              <w:rPr>
                <w:sz w:val="20"/>
                <w:szCs w:val="20"/>
                <w:color w:val="auto"/>
              </w:rPr>
            </w:pPr>
            <w:r>
              <w:rPr>
                <w:rFonts w:ascii="Arial" w:cs="Arial" w:eastAsia="Arial" w:hAnsi="Arial"/>
                <w:sz w:val="20"/>
                <w:szCs w:val="20"/>
                <w:color w:val="auto"/>
              </w:rPr>
              <w:t>15%</w:t>
            </w:r>
          </w:p>
        </w:tc>
        <w:tc>
          <w:tcPr>
            <w:tcW w:w="26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0E3C23"/>
            </w:tcBorders>
          </w:tcPr>
          <w:p>
            <w:pPr>
              <w:jc w:val="right"/>
              <w:ind w:right="4"/>
              <w:spacing w:after="0"/>
              <w:rPr>
                <w:sz w:val="20"/>
                <w:szCs w:val="20"/>
                <w:color w:val="auto"/>
              </w:rPr>
            </w:pPr>
            <w:r>
              <w:rPr>
                <w:rFonts w:ascii="Arial" w:cs="Arial" w:eastAsia="Arial" w:hAnsi="Arial"/>
                <w:sz w:val="20"/>
                <w:szCs w:val="20"/>
                <w:color w:val="auto"/>
                <w:w w:val="92"/>
              </w:rPr>
              <w:t>1,034,468</w:t>
            </w:r>
          </w:p>
        </w:tc>
      </w:tr>
      <w:tr>
        <w:trPr>
          <w:trHeight w:val="251"/>
        </w:trPr>
        <w:tc>
          <w:tcPr>
            <w:tcW w:w="3340" w:type="dxa"/>
            <w:vAlign w:val="bottom"/>
          </w:tcPr>
          <w:p>
            <w:pPr>
              <w:ind w:left="60"/>
              <w:spacing w:after="0"/>
              <w:rPr>
                <w:sz w:val="20"/>
                <w:szCs w:val="20"/>
                <w:color w:val="auto"/>
              </w:rPr>
            </w:pPr>
            <w:r>
              <w:rPr>
                <w:rFonts w:ascii="Arial" w:cs="Arial" w:eastAsia="Arial" w:hAnsi="Arial"/>
                <w:sz w:val="20"/>
                <w:szCs w:val="20"/>
                <w:b w:val="1"/>
                <w:bCs w:val="1"/>
                <w:color w:val="auto"/>
              </w:rPr>
              <w:t>Mr. Carrasco</w:t>
            </w:r>
          </w:p>
        </w:tc>
        <w:tc>
          <w:tcPr>
            <w:tcW w:w="2720" w:type="dxa"/>
            <w:vAlign w:val="bottom"/>
          </w:tcPr>
          <w:p>
            <w:pPr>
              <w:jc w:val="right"/>
              <w:ind w:right="388"/>
              <w:spacing w:after="0"/>
              <w:rPr>
                <w:sz w:val="20"/>
                <w:szCs w:val="20"/>
                <w:color w:val="auto"/>
              </w:rPr>
            </w:pPr>
            <w:r>
              <w:rPr>
                <w:rFonts w:ascii="Arial" w:cs="Arial" w:eastAsia="Arial" w:hAnsi="Arial"/>
                <w:sz w:val="20"/>
                <w:szCs w:val="20"/>
                <w:color w:val="auto"/>
              </w:rPr>
              <w:t>90</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248"/>
              <w:spacing w:after="0"/>
              <w:rPr>
                <w:sz w:val="20"/>
                <w:szCs w:val="20"/>
                <w:color w:val="auto"/>
              </w:rPr>
            </w:pPr>
            <w:r>
              <w:rPr>
                <w:rFonts w:ascii="Arial" w:cs="Arial" w:eastAsia="Arial" w:hAnsi="Arial"/>
                <w:sz w:val="20"/>
                <w:szCs w:val="20"/>
                <w:color w:val="auto"/>
              </w:rPr>
              <w:t>833,948</w:t>
            </w:r>
          </w:p>
        </w:tc>
        <w:tc>
          <w:tcPr>
            <w:tcW w:w="1180" w:type="dxa"/>
            <w:vAlign w:val="bottom"/>
          </w:tcPr>
          <w:p>
            <w:pPr>
              <w:jc w:val="right"/>
              <w:ind w:right="248"/>
              <w:spacing w:after="0"/>
              <w:rPr>
                <w:sz w:val="20"/>
                <w:szCs w:val="20"/>
                <w:color w:val="auto"/>
              </w:rPr>
            </w:pPr>
            <w:r>
              <w:rPr>
                <w:rFonts w:ascii="Arial" w:cs="Arial" w:eastAsia="Arial" w:hAnsi="Arial"/>
                <w:sz w:val="20"/>
                <w:szCs w:val="20"/>
                <w:color w:val="auto"/>
              </w:rPr>
              <w:t>11%</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4"/>
              <w:spacing w:after="0"/>
              <w:rPr>
                <w:sz w:val="20"/>
                <w:szCs w:val="20"/>
                <w:color w:val="auto"/>
              </w:rPr>
            </w:pPr>
            <w:r>
              <w:rPr>
                <w:rFonts w:ascii="Arial" w:cs="Arial" w:eastAsia="Arial" w:hAnsi="Arial"/>
                <w:sz w:val="20"/>
                <w:szCs w:val="20"/>
                <w:color w:val="auto"/>
              </w:rPr>
              <w:t>925,683</w:t>
            </w:r>
          </w:p>
        </w:tc>
      </w:tr>
      <w:tr>
        <w:trPr>
          <w:trHeight w:val="34"/>
        </w:trPr>
        <w:tc>
          <w:tcPr>
            <w:tcW w:w="3340" w:type="dxa"/>
            <w:vAlign w:val="bottom"/>
            <w:tcBorders>
              <w:bottom w:val="single" w:sz="8" w:color="0E3C23"/>
            </w:tcBorders>
          </w:tcPr>
          <w:p>
            <w:pPr>
              <w:spacing w:after="0"/>
              <w:rPr>
                <w:sz w:val="2"/>
                <w:szCs w:val="2"/>
                <w:color w:val="auto"/>
              </w:rPr>
            </w:pPr>
          </w:p>
        </w:tc>
        <w:tc>
          <w:tcPr>
            <w:tcW w:w="2720" w:type="dxa"/>
            <w:vAlign w:val="bottom"/>
            <w:tcBorders>
              <w:bottom w:val="single" w:sz="8" w:color="0E3C23"/>
            </w:tcBorders>
          </w:tcPr>
          <w:p>
            <w:pPr>
              <w:spacing w:after="0"/>
              <w:rPr>
                <w:sz w:val="2"/>
                <w:szCs w:val="2"/>
                <w:color w:val="auto"/>
              </w:rPr>
            </w:pPr>
          </w:p>
        </w:tc>
        <w:tc>
          <w:tcPr>
            <w:tcW w:w="440" w:type="dxa"/>
            <w:vAlign w:val="bottom"/>
            <w:tcBorders>
              <w:bottom w:val="single" w:sz="8" w:color="0E3C23"/>
            </w:tcBorders>
          </w:tcPr>
          <w:p>
            <w:pPr>
              <w:spacing w:after="0"/>
              <w:rPr>
                <w:sz w:val="2"/>
                <w:szCs w:val="2"/>
                <w:color w:val="auto"/>
              </w:rPr>
            </w:pPr>
          </w:p>
        </w:tc>
        <w:tc>
          <w:tcPr>
            <w:tcW w:w="1180" w:type="dxa"/>
            <w:vAlign w:val="bottom"/>
            <w:tcBorders>
              <w:bottom w:val="single" w:sz="8" w:color="0E3C23"/>
            </w:tcBorders>
          </w:tcPr>
          <w:p>
            <w:pPr>
              <w:spacing w:after="0"/>
              <w:rPr>
                <w:sz w:val="2"/>
                <w:szCs w:val="2"/>
                <w:color w:val="auto"/>
              </w:rPr>
            </w:pPr>
          </w:p>
        </w:tc>
        <w:tc>
          <w:tcPr>
            <w:tcW w:w="1180" w:type="dxa"/>
            <w:vAlign w:val="bottom"/>
            <w:tcBorders>
              <w:bottom w:val="single" w:sz="8" w:color="0E3C23"/>
            </w:tcBorders>
          </w:tcPr>
          <w:p>
            <w:pPr>
              <w:spacing w:after="0"/>
              <w:rPr>
                <w:sz w:val="2"/>
                <w:szCs w:val="2"/>
                <w:color w:val="auto"/>
              </w:rPr>
            </w:pPr>
          </w:p>
        </w:tc>
        <w:tc>
          <w:tcPr>
            <w:tcW w:w="260" w:type="dxa"/>
            <w:vAlign w:val="bottom"/>
            <w:tcBorders>
              <w:bottom w:val="single" w:sz="8" w:color="0E3C23"/>
            </w:tcBorders>
          </w:tcPr>
          <w:p>
            <w:pPr>
              <w:spacing w:after="0"/>
              <w:rPr>
                <w:sz w:val="2"/>
                <w:szCs w:val="2"/>
                <w:color w:val="auto"/>
              </w:rPr>
            </w:pPr>
          </w:p>
        </w:tc>
        <w:tc>
          <w:tcPr>
            <w:tcW w:w="940" w:type="dxa"/>
            <w:vAlign w:val="bottom"/>
            <w:tcBorders>
              <w:bottom w:val="single" w:sz="8" w:color="0E3C23"/>
            </w:tcBorders>
          </w:tcPr>
          <w:p>
            <w:pPr>
              <w:spacing w:after="0"/>
              <w:rPr>
                <w:sz w:val="2"/>
                <w:szCs w:val="2"/>
                <w:color w:val="auto"/>
              </w:rPr>
            </w:pPr>
          </w:p>
        </w:tc>
      </w:tr>
    </w:tbl>
    <w:p>
      <w:pPr>
        <w:spacing w:after="0" w:line="77" w:lineRule="exact"/>
        <w:rPr>
          <w:sz w:val="20"/>
          <w:szCs w:val="20"/>
          <w:color w:val="auto"/>
        </w:rPr>
      </w:pPr>
    </w:p>
    <w:p>
      <w:pPr>
        <w:ind w:left="580" w:right="200" w:hanging="402"/>
        <w:spacing w:after="0" w:line="244" w:lineRule="auto"/>
        <w:tabs>
          <w:tab w:leader="none" w:pos="5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 March 2024, the target percentage of base salary for Ms. Hemmer was increased from 90% to 95%, yielding a 94% target percentage of base salary for the full year of 2024.</w:t>
      </w:r>
    </w:p>
    <w:p>
      <w:pPr>
        <w:spacing w:after="0" w:line="249" w:lineRule="exact"/>
        <w:rPr>
          <w:sz w:val="20"/>
          <w:szCs w:val="20"/>
          <w:color w:val="auto"/>
        </w:rPr>
      </w:pPr>
    </w:p>
    <w:p>
      <w:pPr>
        <w:ind w:left="580"/>
        <w:spacing w:after="0"/>
        <w:rPr>
          <w:sz w:val="20"/>
          <w:szCs w:val="20"/>
          <w:color w:val="auto"/>
        </w:rPr>
      </w:pPr>
      <w:r>
        <w:rPr>
          <w:rFonts w:ascii="Arial" w:cs="Arial" w:eastAsia="Arial" w:hAnsi="Arial"/>
          <w:sz w:val="20"/>
          <w:szCs w:val="20"/>
          <w:b w:val="1"/>
          <w:bCs w:val="1"/>
          <w:i w:val="1"/>
          <w:iCs w:val="1"/>
          <w:color w:val="auto"/>
        </w:rPr>
        <w:t>Long-Term Equity Incentives</w:t>
      </w:r>
    </w:p>
    <w:p>
      <w:pPr>
        <w:spacing w:after="0" w:line="131" w:lineRule="exact"/>
        <w:rPr>
          <w:sz w:val="20"/>
          <w:szCs w:val="20"/>
          <w:color w:val="auto"/>
        </w:rPr>
      </w:pPr>
    </w:p>
    <w:p>
      <w:pPr>
        <w:jc w:val="both"/>
        <w:ind w:left="180" w:right="200"/>
        <w:spacing w:after="0" w:line="249" w:lineRule="auto"/>
        <w:rPr>
          <w:sz w:val="20"/>
          <w:szCs w:val="20"/>
          <w:color w:val="auto"/>
        </w:rPr>
      </w:pPr>
      <w:r>
        <w:rPr>
          <w:rFonts w:ascii="Arial" w:cs="Arial" w:eastAsia="Arial" w:hAnsi="Arial"/>
          <w:sz w:val="20"/>
          <w:szCs w:val="20"/>
          <w:color w:val="auto"/>
        </w:rPr>
        <w:t>Our equity awards are designed to hold individuals accountable for long-term decisions by rewarding the success of those decisions. The MD&amp;C Committee continuously evaluates the components of its programs. In determining which forms of equity compensation are appropriate, the MD&amp;C Committee considers whether the awards granted are achieving their purpose; the competitive market; and accounting, tax or other regulatory issues, among others. In determining the appropriate awards for the named executives’ 2024 annual long-term incentive award, the MD&amp;C Committee decided to grant both PSUs comprising 80% of each named executive’s award and stock options comprising 20% of each named executive’s award, consistent with prior years. Half of each named executives’ PSUs granted in 2024 are Cash Flow PSUs and the remaining half are TSR PSUs. Meanwhile, stock options encourage focus on increasing the market value of our stock. Before determining the actual number of PSUs and stock options that were granted to each of the named executives in 2024, the MD&amp;C Committee established a target dollar amount for each named executive’s annual total long-term equity incentive award. The values chosen were based primarily on the comparison information for the competitive market and consideration of the named executives’ responsibility for meeting the Company’s strategic objectives. Target dollar amounts for equity incentive awards will vary from grant date fair values calculated for accounting purposes.</w:t>
      </w:r>
    </w:p>
    <w:p>
      <w:pPr>
        <w:spacing w:after="0" w:line="102"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4380" w:type="dxa"/>
            <w:vAlign w:val="bottom"/>
          </w:tcPr>
          <w:p>
            <w:pPr>
              <w:jc w:val="right"/>
              <w:spacing w:after="0"/>
              <w:rPr>
                <w:sz w:val="20"/>
                <w:szCs w:val="20"/>
                <w:color w:val="auto"/>
              </w:rPr>
            </w:pPr>
            <w:r>
              <w:rPr>
                <w:rFonts w:ascii="Arial" w:cs="Arial" w:eastAsia="Arial" w:hAnsi="Arial"/>
                <w:sz w:val="16"/>
                <w:szCs w:val="16"/>
                <w:b w:val="1"/>
                <w:bCs w:val="1"/>
                <w:color w:val="0E3C23"/>
              </w:rPr>
              <w:t>Dollar Values of 2024</w:t>
            </w:r>
          </w:p>
        </w:tc>
      </w:tr>
      <w:tr>
        <w:trPr>
          <w:trHeight w:val="160"/>
        </w:trPr>
        <w:tc>
          <w:tcPr>
            <w:tcW w:w="4080" w:type="dxa"/>
            <w:vAlign w:val="bottom"/>
          </w:tcPr>
          <w:p>
            <w:pPr>
              <w:spacing w:after="0"/>
              <w:rPr>
                <w:sz w:val="13"/>
                <w:szCs w:val="13"/>
                <w:color w:val="auto"/>
              </w:rPr>
            </w:pPr>
          </w:p>
        </w:tc>
        <w:tc>
          <w:tcPr>
            <w:tcW w:w="438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Long-Term Equity Incentives</w:t>
            </w:r>
          </w:p>
        </w:tc>
      </w:tr>
      <w:tr>
        <w:trPr>
          <w:trHeight w:val="160"/>
        </w:trPr>
        <w:tc>
          <w:tcPr>
            <w:tcW w:w="4080" w:type="dxa"/>
            <w:vAlign w:val="bottom"/>
          </w:tcPr>
          <w:p>
            <w:pPr>
              <w:spacing w:after="0"/>
              <w:rPr>
                <w:sz w:val="13"/>
                <w:szCs w:val="13"/>
                <w:color w:val="auto"/>
              </w:rPr>
            </w:pPr>
          </w:p>
        </w:tc>
        <w:tc>
          <w:tcPr>
            <w:tcW w:w="438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Set by the Committee</w:t>
            </w:r>
          </w:p>
        </w:tc>
      </w:tr>
      <w:tr>
        <w:trPr>
          <w:trHeight w:val="184"/>
        </w:trPr>
        <w:tc>
          <w:tcPr>
            <w:tcW w:w="4080" w:type="dxa"/>
            <w:vAlign w:val="bottom"/>
          </w:tcPr>
          <w:p>
            <w:pPr>
              <w:ind w:left="60"/>
              <w:spacing w:after="0"/>
              <w:rPr>
                <w:sz w:val="20"/>
                <w:szCs w:val="20"/>
                <w:color w:val="auto"/>
              </w:rPr>
            </w:pPr>
            <w:r>
              <w:rPr>
                <w:rFonts w:ascii="Arial" w:cs="Arial" w:eastAsia="Arial" w:hAnsi="Arial"/>
                <w:sz w:val="16"/>
                <w:szCs w:val="16"/>
                <w:b w:val="1"/>
                <w:bCs w:val="1"/>
                <w:color w:val="0E3C23"/>
              </w:rPr>
              <w:t>Named Executive Officer</w:t>
            </w:r>
          </w:p>
        </w:tc>
        <w:tc>
          <w:tcPr>
            <w:tcW w:w="4380" w:type="dxa"/>
            <w:vAlign w:val="bottom"/>
          </w:tcPr>
          <w:p>
            <w:pPr>
              <w:jc w:val="right"/>
              <w:spacing w:after="0"/>
              <w:rPr>
                <w:sz w:val="20"/>
                <w:szCs w:val="20"/>
                <w:color w:val="auto"/>
              </w:rPr>
            </w:pPr>
            <w:r>
              <w:rPr>
                <w:rFonts w:ascii="Arial" w:cs="Arial" w:eastAsia="Arial" w:hAnsi="Arial"/>
                <w:sz w:val="16"/>
                <w:szCs w:val="16"/>
                <w:b w:val="1"/>
                <w:bCs w:val="1"/>
                <w:color w:val="0E3C23"/>
              </w:rPr>
              <w:t>(at Target)</w:t>
            </w:r>
          </w:p>
        </w:tc>
      </w:tr>
      <w:tr>
        <w:trPr>
          <w:trHeight w:val="44"/>
        </w:trPr>
        <w:tc>
          <w:tcPr>
            <w:tcW w:w="4080" w:type="dxa"/>
            <w:vAlign w:val="bottom"/>
            <w:tcBorders>
              <w:bottom w:val="single" w:sz="8" w:color="0E3C23"/>
            </w:tcBorders>
          </w:tcPr>
          <w:p>
            <w:pPr>
              <w:spacing w:after="0"/>
              <w:rPr>
                <w:sz w:val="3"/>
                <w:szCs w:val="3"/>
                <w:color w:val="auto"/>
              </w:rPr>
            </w:pPr>
          </w:p>
        </w:tc>
        <w:tc>
          <w:tcPr>
            <w:tcW w:w="4380" w:type="dxa"/>
            <w:vAlign w:val="bottom"/>
            <w:tcBorders>
              <w:bottom w:val="single" w:sz="8" w:color="0E3C23"/>
            </w:tcBorders>
          </w:tcPr>
          <w:p>
            <w:pPr>
              <w:spacing w:after="0"/>
              <w:rPr>
                <w:sz w:val="3"/>
                <w:szCs w:val="3"/>
                <w:color w:val="auto"/>
              </w:rPr>
            </w:pPr>
          </w:p>
        </w:tc>
      </w:tr>
      <w:tr>
        <w:trPr>
          <w:trHeight w:val="261"/>
        </w:trPr>
        <w:tc>
          <w:tcPr>
            <w:tcW w:w="4080" w:type="dxa"/>
            <w:vAlign w:val="bottom"/>
          </w:tcPr>
          <w:p>
            <w:pPr>
              <w:ind w:left="60"/>
              <w:spacing w:after="0"/>
              <w:rPr>
                <w:sz w:val="20"/>
                <w:szCs w:val="20"/>
                <w:color w:val="auto"/>
              </w:rPr>
            </w:pPr>
            <w:r>
              <w:rPr>
                <w:rFonts w:ascii="Arial" w:cs="Arial" w:eastAsia="Arial" w:hAnsi="Arial"/>
                <w:sz w:val="20"/>
                <w:szCs w:val="20"/>
                <w:b w:val="1"/>
                <w:bCs w:val="1"/>
                <w:color w:val="auto"/>
              </w:rPr>
              <w:t>Mr. Fish</w:t>
            </w:r>
          </w:p>
        </w:tc>
        <w:tc>
          <w:tcPr>
            <w:tcW w:w="4380" w:type="dxa"/>
            <w:vAlign w:val="bottom"/>
          </w:tcPr>
          <w:p>
            <w:pPr>
              <w:jc w:val="right"/>
              <w:spacing w:after="0"/>
              <w:rPr>
                <w:sz w:val="20"/>
                <w:szCs w:val="20"/>
                <w:color w:val="auto"/>
              </w:rPr>
            </w:pPr>
            <w:r>
              <w:rPr>
                <w:rFonts w:ascii="Arial" w:cs="Arial" w:eastAsia="Arial" w:hAnsi="Arial"/>
                <w:sz w:val="20"/>
                <w:szCs w:val="20"/>
                <w:color w:val="auto"/>
              </w:rPr>
              <w:t>$9,750,000</w:t>
            </w:r>
          </w:p>
        </w:tc>
      </w:tr>
      <w:tr>
        <w:trPr>
          <w:trHeight w:val="29"/>
        </w:trPr>
        <w:tc>
          <w:tcPr>
            <w:tcW w:w="4080" w:type="dxa"/>
            <w:vAlign w:val="bottom"/>
            <w:tcBorders>
              <w:bottom w:val="single" w:sz="8" w:color="0E3C23"/>
            </w:tcBorders>
          </w:tcPr>
          <w:p>
            <w:pPr>
              <w:spacing w:after="0"/>
              <w:rPr>
                <w:sz w:val="2"/>
                <w:szCs w:val="2"/>
                <w:color w:val="auto"/>
              </w:rPr>
            </w:pPr>
          </w:p>
        </w:tc>
        <w:tc>
          <w:tcPr>
            <w:tcW w:w="4380" w:type="dxa"/>
            <w:vAlign w:val="bottom"/>
            <w:tcBorders>
              <w:bottom w:val="single" w:sz="8" w:color="0E3C23"/>
            </w:tcBorders>
          </w:tcPr>
          <w:p>
            <w:pPr>
              <w:spacing w:after="0"/>
              <w:rPr>
                <w:sz w:val="2"/>
                <w:szCs w:val="2"/>
                <w:color w:val="auto"/>
              </w:rPr>
            </w:pPr>
          </w:p>
        </w:tc>
      </w:tr>
      <w:tr>
        <w:trPr>
          <w:trHeight w:val="251"/>
        </w:trPr>
        <w:tc>
          <w:tcPr>
            <w:tcW w:w="4080" w:type="dxa"/>
            <w:vAlign w:val="bottom"/>
          </w:tcPr>
          <w:p>
            <w:pPr>
              <w:ind w:left="60"/>
              <w:spacing w:after="0"/>
              <w:rPr>
                <w:sz w:val="20"/>
                <w:szCs w:val="20"/>
                <w:color w:val="auto"/>
              </w:rPr>
            </w:pPr>
            <w:r>
              <w:rPr>
                <w:rFonts w:ascii="Arial" w:cs="Arial" w:eastAsia="Arial" w:hAnsi="Arial"/>
                <w:sz w:val="20"/>
                <w:szCs w:val="20"/>
                <w:b w:val="1"/>
                <w:bCs w:val="1"/>
                <w:color w:val="auto"/>
              </w:rPr>
              <w:t>Ms. Rankin</w:t>
            </w:r>
          </w:p>
        </w:tc>
        <w:tc>
          <w:tcPr>
            <w:tcW w:w="4380" w:type="dxa"/>
            <w:vAlign w:val="bottom"/>
          </w:tcPr>
          <w:p>
            <w:pPr>
              <w:jc w:val="right"/>
              <w:spacing w:after="0"/>
              <w:rPr>
                <w:sz w:val="20"/>
                <w:szCs w:val="20"/>
                <w:color w:val="auto"/>
              </w:rPr>
            </w:pPr>
            <w:r>
              <w:rPr>
                <w:rFonts w:ascii="Arial" w:cs="Arial" w:eastAsia="Arial" w:hAnsi="Arial"/>
                <w:sz w:val="20"/>
                <w:szCs w:val="20"/>
                <w:color w:val="auto"/>
              </w:rPr>
              <w:t>$2,300,000</w:t>
            </w:r>
          </w:p>
        </w:tc>
      </w:tr>
      <w:tr>
        <w:trPr>
          <w:trHeight w:val="29"/>
        </w:trPr>
        <w:tc>
          <w:tcPr>
            <w:tcW w:w="4080" w:type="dxa"/>
            <w:vAlign w:val="bottom"/>
            <w:tcBorders>
              <w:bottom w:val="single" w:sz="8" w:color="0E3C23"/>
            </w:tcBorders>
          </w:tcPr>
          <w:p>
            <w:pPr>
              <w:spacing w:after="0"/>
              <w:rPr>
                <w:sz w:val="2"/>
                <w:szCs w:val="2"/>
                <w:color w:val="auto"/>
              </w:rPr>
            </w:pPr>
          </w:p>
        </w:tc>
        <w:tc>
          <w:tcPr>
            <w:tcW w:w="4380" w:type="dxa"/>
            <w:vAlign w:val="bottom"/>
            <w:tcBorders>
              <w:bottom w:val="single" w:sz="8" w:color="0E3C23"/>
            </w:tcBorders>
          </w:tcPr>
          <w:p>
            <w:pPr>
              <w:spacing w:after="0"/>
              <w:rPr>
                <w:sz w:val="2"/>
                <w:szCs w:val="2"/>
                <w:color w:val="auto"/>
              </w:rPr>
            </w:pPr>
          </w:p>
        </w:tc>
      </w:tr>
      <w:tr>
        <w:trPr>
          <w:trHeight w:val="251"/>
        </w:trPr>
        <w:tc>
          <w:tcPr>
            <w:tcW w:w="4080" w:type="dxa"/>
            <w:vAlign w:val="bottom"/>
          </w:tcPr>
          <w:p>
            <w:pPr>
              <w:ind w:left="60"/>
              <w:spacing w:after="0"/>
              <w:rPr>
                <w:sz w:val="20"/>
                <w:szCs w:val="20"/>
                <w:color w:val="auto"/>
              </w:rPr>
            </w:pPr>
            <w:r>
              <w:rPr>
                <w:rFonts w:ascii="Arial" w:cs="Arial" w:eastAsia="Arial" w:hAnsi="Arial"/>
                <w:sz w:val="20"/>
                <w:szCs w:val="20"/>
                <w:b w:val="1"/>
                <w:bCs w:val="1"/>
                <w:color w:val="auto"/>
              </w:rPr>
              <w:t>Mr. Morris</w:t>
            </w:r>
          </w:p>
        </w:tc>
        <w:tc>
          <w:tcPr>
            <w:tcW w:w="4380" w:type="dxa"/>
            <w:vAlign w:val="bottom"/>
          </w:tcPr>
          <w:p>
            <w:pPr>
              <w:jc w:val="right"/>
              <w:spacing w:after="0"/>
              <w:rPr>
                <w:sz w:val="20"/>
                <w:szCs w:val="20"/>
                <w:color w:val="auto"/>
              </w:rPr>
            </w:pPr>
            <w:r>
              <w:rPr>
                <w:rFonts w:ascii="Arial" w:cs="Arial" w:eastAsia="Arial" w:hAnsi="Arial"/>
                <w:sz w:val="20"/>
                <w:szCs w:val="20"/>
                <w:color w:val="auto"/>
              </w:rPr>
              <w:t>$2,950,000</w:t>
            </w:r>
          </w:p>
        </w:tc>
      </w:tr>
      <w:tr>
        <w:trPr>
          <w:trHeight w:val="29"/>
        </w:trPr>
        <w:tc>
          <w:tcPr>
            <w:tcW w:w="4080" w:type="dxa"/>
            <w:vAlign w:val="bottom"/>
            <w:tcBorders>
              <w:bottom w:val="single" w:sz="8" w:color="0E3C23"/>
            </w:tcBorders>
          </w:tcPr>
          <w:p>
            <w:pPr>
              <w:spacing w:after="0"/>
              <w:rPr>
                <w:sz w:val="2"/>
                <w:szCs w:val="2"/>
                <w:color w:val="auto"/>
              </w:rPr>
            </w:pPr>
          </w:p>
        </w:tc>
        <w:tc>
          <w:tcPr>
            <w:tcW w:w="4380" w:type="dxa"/>
            <w:vAlign w:val="bottom"/>
            <w:tcBorders>
              <w:bottom w:val="single" w:sz="8" w:color="0E3C23"/>
            </w:tcBorders>
          </w:tcPr>
          <w:p>
            <w:pPr>
              <w:spacing w:after="0"/>
              <w:rPr>
                <w:sz w:val="2"/>
                <w:szCs w:val="2"/>
                <w:color w:val="auto"/>
              </w:rPr>
            </w:pPr>
          </w:p>
        </w:tc>
      </w:tr>
      <w:tr>
        <w:trPr>
          <w:trHeight w:val="251"/>
        </w:trPr>
        <w:tc>
          <w:tcPr>
            <w:tcW w:w="4080" w:type="dxa"/>
            <w:vAlign w:val="bottom"/>
          </w:tcPr>
          <w:p>
            <w:pPr>
              <w:ind w:left="60"/>
              <w:spacing w:after="0"/>
              <w:rPr>
                <w:sz w:val="20"/>
                <w:szCs w:val="20"/>
                <w:color w:val="auto"/>
              </w:rPr>
            </w:pPr>
            <w:r>
              <w:rPr>
                <w:rFonts w:ascii="Arial" w:cs="Arial" w:eastAsia="Arial" w:hAnsi="Arial"/>
                <w:sz w:val="20"/>
                <w:szCs w:val="20"/>
                <w:b w:val="1"/>
                <w:bCs w:val="1"/>
                <w:color w:val="auto"/>
              </w:rPr>
              <w:t>Ms. Hemmer</w:t>
            </w:r>
          </w:p>
        </w:tc>
        <w:tc>
          <w:tcPr>
            <w:tcW w:w="4380" w:type="dxa"/>
            <w:vAlign w:val="bottom"/>
          </w:tcPr>
          <w:p>
            <w:pPr>
              <w:jc w:val="right"/>
              <w:spacing w:after="0"/>
              <w:rPr>
                <w:sz w:val="20"/>
                <w:szCs w:val="20"/>
                <w:color w:val="auto"/>
              </w:rPr>
            </w:pPr>
            <w:r>
              <w:rPr>
                <w:rFonts w:ascii="Arial" w:cs="Arial" w:eastAsia="Arial" w:hAnsi="Arial"/>
                <w:sz w:val="20"/>
                <w:szCs w:val="20"/>
                <w:color w:val="auto"/>
              </w:rPr>
              <w:t>$2,000,000</w:t>
            </w:r>
          </w:p>
        </w:tc>
      </w:tr>
      <w:tr>
        <w:trPr>
          <w:trHeight w:val="29"/>
        </w:trPr>
        <w:tc>
          <w:tcPr>
            <w:tcW w:w="4080" w:type="dxa"/>
            <w:vAlign w:val="bottom"/>
            <w:tcBorders>
              <w:bottom w:val="single" w:sz="8" w:color="0E3C23"/>
            </w:tcBorders>
          </w:tcPr>
          <w:p>
            <w:pPr>
              <w:spacing w:after="0"/>
              <w:rPr>
                <w:sz w:val="2"/>
                <w:szCs w:val="2"/>
                <w:color w:val="auto"/>
              </w:rPr>
            </w:pPr>
          </w:p>
        </w:tc>
        <w:tc>
          <w:tcPr>
            <w:tcW w:w="4380" w:type="dxa"/>
            <w:vAlign w:val="bottom"/>
            <w:tcBorders>
              <w:bottom w:val="single" w:sz="8" w:color="0E3C23"/>
            </w:tcBorders>
          </w:tcPr>
          <w:p>
            <w:pPr>
              <w:spacing w:after="0"/>
              <w:rPr>
                <w:sz w:val="2"/>
                <w:szCs w:val="2"/>
                <w:color w:val="auto"/>
              </w:rPr>
            </w:pPr>
          </w:p>
        </w:tc>
      </w:tr>
      <w:tr>
        <w:trPr>
          <w:trHeight w:val="251"/>
        </w:trPr>
        <w:tc>
          <w:tcPr>
            <w:tcW w:w="4080" w:type="dxa"/>
            <w:vAlign w:val="bottom"/>
          </w:tcPr>
          <w:p>
            <w:pPr>
              <w:ind w:left="60"/>
              <w:spacing w:after="0"/>
              <w:rPr>
                <w:sz w:val="20"/>
                <w:szCs w:val="20"/>
                <w:color w:val="auto"/>
              </w:rPr>
            </w:pPr>
            <w:r>
              <w:rPr>
                <w:rFonts w:ascii="Arial" w:cs="Arial" w:eastAsia="Arial" w:hAnsi="Arial"/>
                <w:sz w:val="20"/>
                <w:szCs w:val="20"/>
                <w:b w:val="1"/>
                <w:bCs w:val="1"/>
                <w:color w:val="auto"/>
              </w:rPr>
              <w:t>Mr. Carrasco</w:t>
            </w:r>
          </w:p>
        </w:tc>
        <w:tc>
          <w:tcPr>
            <w:tcW w:w="4380" w:type="dxa"/>
            <w:vAlign w:val="bottom"/>
          </w:tcPr>
          <w:p>
            <w:pPr>
              <w:jc w:val="right"/>
              <w:spacing w:after="0"/>
              <w:rPr>
                <w:sz w:val="20"/>
                <w:szCs w:val="20"/>
                <w:color w:val="auto"/>
              </w:rPr>
            </w:pPr>
            <w:r>
              <w:rPr>
                <w:rFonts w:ascii="Arial" w:cs="Arial" w:eastAsia="Arial" w:hAnsi="Arial"/>
                <w:sz w:val="20"/>
                <w:szCs w:val="20"/>
                <w:color w:val="auto"/>
              </w:rPr>
              <w:t>$2,000,000</w:t>
            </w:r>
          </w:p>
        </w:tc>
      </w:tr>
      <w:tr>
        <w:trPr>
          <w:trHeight w:val="34"/>
        </w:trPr>
        <w:tc>
          <w:tcPr>
            <w:tcW w:w="4080" w:type="dxa"/>
            <w:vAlign w:val="bottom"/>
            <w:tcBorders>
              <w:bottom w:val="single" w:sz="8" w:color="0E3C23"/>
            </w:tcBorders>
          </w:tcPr>
          <w:p>
            <w:pPr>
              <w:spacing w:after="0"/>
              <w:rPr>
                <w:sz w:val="2"/>
                <w:szCs w:val="2"/>
                <w:color w:val="auto"/>
              </w:rPr>
            </w:pPr>
          </w:p>
        </w:tc>
        <w:tc>
          <w:tcPr>
            <w:tcW w:w="4380" w:type="dxa"/>
            <w:vAlign w:val="bottom"/>
            <w:tcBorders>
              <w:bottom w:val="single" w:sz="8" w:color="0E3C23"/>
            </w:tcBorders>
          </w:tcPr>
          <w:p>
            <w:pPr>
              <w:spacing w:after="0"/>
              <w:rPr>
                <w:sz w:val="2"/>
                <w:szCs w:val="2"/>
                <w:color w:val="auto"/>
              </w:rPr>
            </w:pPr>
          </w:p>
        </w:tc>
      </w:tr>
    </w:tbl>
    <w:p>
      <w:pPr>
        <w:spacing w:after="0" w:line="200" w:lineRule="exact"/>
        <w:rPr>
          <w:sz w:val="20"/>
          <w:szCs w:val="20"/>
          <w:color w:val="auto"/>
        </w:rPr>
      </w:pPr>
    </w:p>
    <w:p>
      <w:pPr>
        <w:sectPr>
          <w:pgSz w:w="13320" w:h="16920" w:orient="portrait"/>
          <w:cols w:equalWidth="0" w:num="1">
            <w:col w:w="104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-207010</wp:posOffset>
            </wp:positionV>
            <wp:extent cx="538480" cy="1619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31">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49" w:name="page50"/>
    <w:bookmarkEnd w:id="49"/>
    <w:p>
      <w:pPr>
        <w:ind w:left="180"/>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20"/>
          <w:szCs w:val="20"/>
          <w:i w:val="1"/>
          <w:iCs w:val="1"/>
          <w:u w:val="single" w:color="auto"/>
          <w:color w:val="auto"/>
        </w:rPr>
        <w:t>Overview of Performance Share Units.</w:t>
      </w:r>
    </w:p>
    <w:p>
      <w:pPr>
        <w:spacing w:after="0" w:line="125" w:lineRule="exact"/>
        <w:rPr>
          <w:sz w:val="20"/>
          <w:szCs w:val="20"/>
          <w:color w:val="auto"/>
        </w:rPr>
      </w:pPr>
    </w:p>
    <w:p>
      <w:pPr>
        <w:ind w:left="780" w:right="200" w:hanging="203"/>
        <w:spacing w:after="0" w:line="286" w:lineRule="auto"/>
        <w:tabs>
          <w:tab w:leader="none" w:pos="780" w:val="left"/>
        </w:tabs>
        <w:numPr>
          <w:ilvl w:val="0"/>
          <w:numId w:val="22"/>
        </w:numPr>
        <w:rPr>
          <w:rFonts w:ascii="Arial" w:cs="Arial" w:eastAsia="Arial" w:hAnsi="Arial"/>
          <w:sz w:val="18"/>
          <w:szCs w:val="18"/>
          <w:color w:val="0E3C23"/>
        </w:rPr>
      </w:pPr>
      <w:r>
        <w:rPr>
          <w:rFonts w:ascii="Arial" w:cs="Arial" w:eastAsia="Arial" w:hAnsi="Arial"/>
          <w:sz w:val="18"/>
          <w:szCs w:val="18"/>
          <w:i w:val="1"/>
          <w:iCs w:val="1"/>
          <w:color w:val="auto"/>
        </w:rPr>
        <w:t>Named executives were granted new PSUs with a three-year performance period ending December 31, 2026. Half of each named executive’s PSUs granted in 2024 are Cash Flow PSUs and the remaining half are TSR PSUs.</w:t>
      </w:r>
    </w:p>
    <w:p>
      <w:pPr>
        <w:spacing w:after="0" w:line="51" w:lineRule="exact"/>
        <w:rPr>
          <w:rFonts w:ascii="Arial" w:cs="Arial" w:eastAsia="Arial" w:hAnsi="Arial"/>
          <w:sz w:val="18"/>
          <w:szCs w:val="18"/>
          <w:color w:val="0E3C23"/>
        </w:rPr>
      </w:pPr>
    </w:p>
    <w:p>
      <w:pPr>
        <w:jc w:val="both"/>
        <w:ind w:left="780" w:right="200" w:hanging="203"/>
        <w:spacing w:after="0" w:line="237" w:lineRule="auto"/>
        <w:tabs>
          <w:tab w:leader="none" w:pos="780" w:val="left"/>
        </w:tabs>
        <w:numPr>
          <w:ilvl w:val="0"/>
          <w:numId w:val="22"/>
        </w:numPr>
        <w:rPr>
          <w:rFonts w:ascii="Arial" w:cs="Arial" w:eastAsia="Arial" w:hAnsi="Arial"/>
          <w:sz w:val="20"/>
          <w:szCs w:val="20"/>
          <w:color w:val="0E3C23"/>
        </w:rPr>
      </w:pPr>
      <w:r>
        <w:rPr>
          <w:rFonts w:ascii="Arial" w:cs="Arial" w:eastAsia="Arial" w:hAnsi="Arial"/>
          <w:sz w:val="20"/>
          <w:szCs w:val="20"/>
          <w:i w:val="1"/>
          <w:iCs w:val="1"/>
          <w:color w:val="auto"/>
        </w:rPr>
        <w:t>Named executives received a payout of 151.39% of the PSUs granted in 2022 with a three-year performance period ended December 31, 2024. The Company exceeded the target level of performance for the Cash Flow PSUs and the TSR PSUs.</w:t>
      </w:r>
    </w:p>
    <w:p>
      <w:pPr>
        <w:spacing w:after="0" w:line="93" w:lineRule="exact"/>
        <w:rPr>
          <w:sz w:val="20"/>
          <w:szCs w:val="20"/>
          <w:color w:val="auto"/>
        </w:rPr>
      </w:pPr>
    </w:p>
    <w:p>
      <w:pPr>
        <w:jc w:val="both"/>
        <w:ind w:left="180" w:right="200"/>
        <w:spacing w:after="0" w:line="238" w:lineRule="auto"/>
        <w:rPr>
          <w:sz w:val="20"/>
          <w:szCs w:val="20"/>
          <w:color w:val="auto"/>
        </w:rPr>
      </w:pPr>
      <w:r>
        <w:rPr>
          <w:rFonts w:ascii="Arial" w:cs="Arial" w:eastAsia="Arial" w:hAnsi="Arial"/>
          <w:sz w:val="20"/>
          <w:szCs w:val="20"/>
          <w:i w:val="1"/>
          <w:iCs w:val="1"/>
          <w:u w:val="single" w:color="auto"/>
          <w:color w:val="auto"/>
        </w:rPr>
        <w:t>PSUs Granted in 2024.</w:t>
      </w:r>
      <w:r>
        <w:rPr>
          <w:rFonts w:ascii="Arial" w:cs="Arial" w:eastAsia="Arial" w:hAnsi="Arial"/>
          <w:sz w:val="20"/>
          <w:szCs w:val="20"/>
          <w:i w:val="1"/>
          <w:iCs w:val="1"/>
          <w:color w:val="auto"/>
        </w:rPr>
        <w:t xml:space="preserve"> </w:t>
      </w:r>
      <w:r>
        <w:rPr>
          <w:rFonts w:ascii="Arial" w:cs="Arial" w:eastAsia="Arial" w:hAnsi="Arial"/>
          <w:sz w:val="20"/>
          <w:szCs w:val="20"/>
          <w:color w:val="auto"/>
        </w:rPr>
        <w:t>Performance share units are granted to our named executive officers annually to align</w:t>
      </w:r>
      <w:r>
        <w:rPr>
          <w:rFonts w:ascii="Arial" w:cs="Arial" w:eastAsia="Arial" w:hAnsi="Arial"/>
          <w:sz w:val="20"/>
          <w:szCs w:val="20"/>
          <w:i w:val="1"/>
          <w:iCs w:val="1"/>
          <w:color w:val="auto"/>
        </w:rPr>
        <w:t xml:space="preserve"> </w:t>
      </w:r>
      <w:r>
        <w:rPr>
          <w:rFonts w:ascii="Arial" w:cs="Arial" w:eastAsia="Arial" w:hAnsi="Arial"/>
          <w:sz w:val="20"/>
          <w:szCs w:val="20"/>
          <w:color w:val="auto"/>
        </w:rPr>
        <w:t>compensation with the achievement of our long-term financial goals and to increase stockholder alignment through stock ownership. PSUs provide an immediate retention benefit to the Company because there is unvested potential value at the date of grant. The number of PSUs granted to our named executive officers corresponds to an equal number of shares of Common Stock. At the end of the three-year performance period for each grant, the Company will deliver a number of shares ranging from 0% to 200% of the initial number of PSUs granted, depending on the Company’s three-year performance against pre-established targets.</w:t>
      </w:r>
    </w:p>
    <w:p>
      <w:pPr>
        <w:spacing w:after="0" w:line="130" w:lineRule="exact"/>
        <w:rPr>
          <w:sz w:val="20"/>
          <w:szCs w:val="20"/>
          <w:color w:val="auto"/>
        </w:rPr>
      </w:pPr>
    </w:p>
    <w:p>
      <w:pPr>
        <w:jc w:val="both"/>
        <w:ind w:left="180" w:right="200"/>
        <w:spacing w:after="0" w:line="238" w:lineRule="auto"/>
        <w:rPr>
          <w:sz w:val="20"/>
          <w:szCs w:val="20"/>
          <w:color w:val="auto"/>
        </w:rPr>
      </w:pPr>
      <w:r>
        <w:rPr>
          <w:rFonts w:ascii="Arial" w:cs="Arial" w:eastAsia="Arial" w:hAnsi="Arial"/>
          <w:sz w:val="20"/>
          <w:szCs w:val="20"/>
          <w:color w:val="auto"/>
        </w:rPr>
        <w:t>The MD&amp;C Committee determined the number of PSUs that were granted to each of the named executives in 2024 by taking the targeted dollar amounts established for total long-term equity incentives (set forth in the table above) and multiplying by 80%. Those values were then divided by the average of the high and low market price of our Common Stock over the 30 trading days preceding the grant date to determine the number of PSUs granted. The number of PSUs granted in 2024 are shown in the table below.</w:t>
      </w:r>
    </w:p>
    <w:p>
      <w:pPr>
        <w:spacing w:after="0" w:line="108"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3660" w:type="dxa"/>
            <w:vAlign w:val="bottom"/>
          </w:tcPr>
          <w:p>
            <w:pPr>
              <w:jc w:val="right"/>
              <w:spacing w:after="0"/>
              <w:rPr>
                <w:sz w:val="20"/>
                <w:szCs w:val="20"/>
                <w:color w:val="auto"/>
              </w:rPr>
            </w:pPr>
            <w:r>
              <w:rPr>
                <w:rFonts w:ascii="Arial" w:cs="Arial" w:eastAsia="Arial" w:hAnsi="Arial"/>
                <w:sz w:val="16"/>
                <w:szCs w:val="16"/>
                <w:b w:val="1"/>
                <w:bCs w:val="1"/>
                <w:color w:val="0E3C23"/>
              </w:rPr>
              <w:t>Number</w:t>
            </w:r>
          </w:p>
        </w:tc>
      </w:tr>
      <w:tr>
        <w:trPr>
          <w:trHeight w:val="184"/>
        </w:trPr>
        <w:tc>
          <w:tcPr>
            <w:tcW w:w="4800" w:type="dxa"/>
            <w:vAlign w:val="bottom"/>
          </w:tcPr>
          <w:p>
            <w:pPr>
              <w:ind w:left="60"/>
              <w:spacing w:after="0"/>
              <w:rPr>
                <w:sz w:val="20"/>
                <w:szCs w:val="20"/>
                <w:color w:val="auto"/>
              </w:rPr>
            </w:pPr>
            <w:r>
              <w:rPr>
                <w:rFonts w:ascii="Arial" w:cs="Arial" w:eastAsia="Arial" w:hAnsi="Arial"/>
                <w:sz w:val="16"/>
                <w:szCs w:val="16"/>
                <w:b w:val="1"/>
                <w:bCs w:val="1"/>
                <w:color w:val="0E3C23"/>
              </w:rPr>
              <w:t>Named Executive Officer</w:t>
            </w:r>
          </w:p>
        </w:tc>
        <w:tc>
          <w:tcPr>
            <w:tcW w:w="3660" w:type="dxa"/>
            <w:vAlign w:val="bottom"/>
          </w:tcPr>
          <w:p>
            <w:pPr>
              <w:jc w:val="right"/>
              <w:spacing w:after="0"/>
              <w:rPr>
                <w:sz w:val="20"/>
                <w:szCs w:val="20"/>
                <w:color w:val="auto"/>
              </w:rPr>
            </w:pPr>
            <w:r>
              <w:rPr>
                <w:rFonts w:ascii="Arial" w:cs="Arial" w:eastAsia="Arial" w:hAnsi="Arial"/>
                <w:sz w:val="16"/>
                <w:szCs w:val="16"/>
                <w:b w:val="1"/>
                <w:bCs w:val="1"/>
                <w:color w:val="0E3C23"/>
              </w:rPr>
              <w:t>of PSUs</w:t>
            </w:r>
          </w:p>
        </w:tc>
      </w:tr>
      <w:tr>
        <w:trPr>
          <w:trHeight w:val="44"/>
        </w:trPr>
        <w:tc>
          <w:tcPr>
            <w:tcW w:w="4800" w:type="dxa"/>
            <w:vAlign w:val="bottom"/>
            <w:tcBorders>
              <w:bottom w:val="single" w:sz="8" w:color="0E3C23"/>
            </w:tcBorders>
          </w:tcPr>
          <w:p>
            <w:pPr>
              <w:spacing w:after="0"/>
              <w:rPr>
                <w:sz w:val="3"/>
                <w:szCs w:val="3"/>
                <w:color w:val="auto"/>
              </w:rPr>
            </w:pPr>
          </w:p>
        </w:tc>
        <w:tc>
          <w:tcPr>
            <w:tcW w:w="3660" w:type="dxa"/>
            <w:vAlign w:val="bottom"/>
            <w:tcBorders>
              <w:bottom w:val="single" w:sz="8" w:color="0E3C23"/>
            </w:tcBorders>
          </w:tcPr>
          <w:p>
            <w:pPr>
              <w:spacing w:after="0"/>
              <w:rPr>
                <w:sz w:val="3"/>
                <w:szCs w:val="3"/>
                <w:color w:val="auto"/>
              </w:rPr>
            </w:pPr>
          </w:p>
        </w:tc>
      </w:tr>
      <w:tr>
        <w:trPr>
          <w:trHeight w:val="261"/>
        </w:trPr>
        <w:tc>
          <w:tcPr>
            <w:tcW w:w="4800" w:type="dxa"/>
            <w:vAlign w:val="bottom"/>
          </w:tcPr>
          <w:p>
            <w:pPr>
              <w:ind w:left="60"/>
              <w:spacing w:after="0"/>
              <w:rPr>
                <w:sz w:val="20"/>
                <w:szCs w:val="20"/>
                <w:color w:val="auto"/>
              </w:rPr>
            </w:pPr>
            <w:r>
              <w:rPr>
                <w:rFonts w:ascii="Arial" w:cs="Arial" w:eastAsia="Arial" w:hAnsi="Arial"/>
                <w:sz w:val="20"/>
                <w:szCs w:val="20"/>
                <w:b w:val="1"/>
                <w:bCs w:val="1"/>
                <w:color w:val="auto"/>
              </w:rPr>
              <w:t>Mr. Fish</w:t>
            </w:r>
          </w:p>
        </w:tc>
        <w:tc>
          <w:tcPr>
            <w:tcW w:w="3660" w:type="dxa"/>
            <w:vAlign w:val="bottom"/>
          </w:tcPr>
          <w:p>
            <w:pPr>
              <w:jc w:val="right"/>
              <w:spacing w:after="0"/>
              <w:rPr>
                <w:sz w:val="20"/>
                <w:szCs w:val="20"/>
                <w:color w:val="auto"/>
              </w:rPr>
            </w:pPr>
            <w:r>
              <w:rPr>
                <w:rFonts w:ascii="Arial" w:cs="Arial" w:eastAsia="Arial" w:hAnsi="Arial"/>
                <w:sz w:val="20"/>
                <w:szCs w:val="20"/>
                <w:color w:val="auto"/>
              </w:rPr>
              <w:t>40,206</w:t>
            </w:r>
          </w:p>
        </w:tc>
      </w:tr>
      <w:tr>
        <w:trPr>
          <w:trHeight w:val="29"/>
        </w:trPr>
        <w:tc>
          <w:tcPr>
            <w:tcW w:w="4800" w:type="dxa"/>
            <w:vAlign w:val="bottom"/>
            <w:tcBorders>
              <w:bottom w:val="single" w:sz="8" w:color="0E3C23"/>
            </w:tcBorders>
          </w:tcPr>
          <w:p>
            <w:pPr>
              <w:spacing w:after="0"/>
              <w:rPr>
                <w:sz w:val="2"/>
                <w:szCs w:val="2"/>
                <w:color w:val="auto"/>
              </w:rPr>
            </w:pPr>
          </w:p>
        </w:tc>
        <w:tc>
          <w:tcPr>
            <w:tcW w:w="3660" w:type="dxa"/>
            <w:vAlign w:val="bottom"/>
            <w:tcBorders>
              <w:bottom w:val="single" w:sz="8" w:color="0E3C23"/>
            </w:tcBorders>
          </w:tcPr>
          <w:p>
            <w:pPr>
              <w:spacing w:after="0"/>
              <w:rPr>
                <w:sz w:val="2"/>
                <w:szCs w:val="2"/>
                <w:color w:val="auto"/>
              </w:rPr>
            </w:pPr>
          </w:p>
        </w:tc>
      </w:tr>
      <w:tr>
        <w:trPr>
          <w:trHeight w:val="251"/>
        </w:trPr>
        <w:tc>
          <w:tcPr>
            <w:tcW w:w="4800" w:type="dxa"/>
            <w:vAlign w:val="bottom"/>
          </w:tcPr>
          <w:p>
            <w:pPr>
              <w:ind w:left="60"/>
              <w:spacing w:after="0"/>
              <w:rPr>
                <w:sz w:val="20"/>
                <w:szCs w:val="20"/>
                <w:color w:val="auto"/>
              </w:rPr>
            </w:pPr>
            <w:r>
              <w:rPr>
                <w:rFonts w:ascii="Arial" w:cs="Arial" w:eastAsia="Arial" w:hAnsi="Arial"/>
                <w:sz w:val="20"/>
                <w:szCs w:val="20"/>
                <w:b w:val="1"/>
                <w:bCs w:val="1"/>
                <w:color w:val="auto"/>
              </w:rPr>
              <w:t>Ms. Rankin</w:t>
            </w:r>
          </w:p>
        </w:tc>
        <w:tc>
          <w:tcPr>
            <w:tcW w:w="3660" w:type="dxa"/>
            <w:vAlign w:val="bottom"/>
          </w:tcPr>
          <w:p>
            <w:pPr>
              <w:jc w:val="right"/>
              <w:spacing w:after="0"/>
              <w:rPr>
                <w:sz w:val="20"/>
                <w:szCs w:val="20"/>
                <w:color w:val="auto"/>
              </w:rPr>
            </w:pPr>
            <w:r>
              <w:rPr>
                <w:rFonts w:ascii="Arial" w:cs="Arial" w:eastAsia="Arial" w:hAnsi="Arial"/>
                <w:sz w:val="20"/>
                <w:szCs w:val="20"/>
                <w:color w:val="auto"/>
              </w:rPr>
              <w:t>9,484</w:t>
            </w:r>
          </w:p>
        </w:tc>
      </w:tr>
      <w:tr>
        <w:trPr>
          <w:trHeight w:val="29"/>
        </w:trPr>
        <w:tc>
          <w:tcPr>
            <w:tcW w:w="4800" w:type="dxa"/>
            <w:vAlign w:val="bottom"/>
            <w:tcBorders>
              <w:bottom w:val="single" w:sz="8" w:color="0E3C23"/>
            </w:tcBorders>
          </w:tcPr>
          <w:p>
            <w:pPr>
              <w:spacing w:after="0"/>
              <w:rPr>
                <w:sz w:val="2"/>
                <w:szCs w:val="2"/>
                <w:color w:val="auto"/>
              </w:rPr>
            </w:pPr>
          </w:p>
        </w:tc>
        <w:tc>
          <w:tcPr>
            <w:tcW w:w="3660" w:type="dxa"/>
            <w:vAlign w:val="bottom"/>
            <w:tcBorders>
              <w:bottom w:val="single" w:sz="8" w:color="0E3C23"/>
            </w:tcBorders>
          </w:tcPr>
          <w:p>
            <w:pPr>
              <w:spacing w:after="0"/>
              <w:rPr>
                <w:sz w:val="2"/>
                <w:szCs w:val="2"/>
                <w:color w:val="auto"/>
              </w:rPr>
            </w:pPr>
          </w:p>
        </w:tc>
      </w:tr>
      <w:tr>
        <w:trPr>
          <w:trHeight w:val="251"/>
        </w:trPr>
        <w:tc>
          <w:tcPr>
            <w:tcW w:w="4800" w:type="dxa"/>
            <w:vAlign w:val="bottom"/>
          </w:tcPr>
          <w:p>
            <w:pPr>
              <w:ind w:left="60"/>
              <w:spacing w:after="0"/>
              <w:rPr>
                <w:sz w:val="20"/>
                <w:szCs w:val="20"/>
                <w:color w:val="auto"/>
              </w:rPr>
            </w:pPr>
            <w:r>
              <w:rPr>
                <w:rFonts w:ascii="Arial" w:cs="Arial" w:eastAsia="Arial" w:hAnsi="Arial"/>
                <w:sz w:val="20"/>
                <w:szCs w:val="20"/>
                <w:b w:val="1"/>
                <w:bCs w:val="1"/>
                <w:color w:val="auto"/>
              </w:rPr>
              <w:t>Mr. Morris</w:t>
            </w:r>
          </w:p>
        </w:tc>
        <w:tc>
          <w:tcPr>
            <w:tcW w:w="3660" w:type="dxa"/>
            <w:vAlign w:val="bottom"/>
          </w:tcPr>
          <w:p>
            <w:pPr>
              <w:jc w:val="right"/>
              <w:spacing w:after="0"/>
              <w:rPr>
                <w:sz w:val="20"/>
                <w:szCs w:val="20"/>
                <w:color w:val="auto"/>
              </w:rPr>
            </w:pPr>
            <w:r>
              <w:rPr>
                <w:rFonts w:ascii="Arial" w:cs="Arial" w:eastAsia="Arial" w:hAnsi="Arial"/>
                <w:sz w:val="20"/>
                <w:szCs w:val="20"/>
                <w:color w:val="auto"/>
              </w:rPr>
              <w:t>12,164</w:t>
            </w:r>
          </w:p>
        </w:tc>
      </w:tr>
      <w:tr>
        <w:trPr>
          <w:trHeight w:val="29"/>
        </w:trPr>
        <w:tc>
          <w:tcPr>
            <w:tcW w:w="4800" w:type="dxa"/>
            <w:vAlign w:val="bottom"/>
            <w:tcBorders>
              <w:bottom w:val="single" w:sz="8" w:color="0E3C23"/>
            </w:tcBorders>
          </w:tcPr>
          <w:p>
            <w:pPr>
              <w:spacing w:after="0"/>
              <w:rPr>
                <w:sz w:val="2"/>
                <w:szCs w:val="2"/>
                <w:color w:val="auto"/>
              </w:rPr>
            </w:pPr>
          </w:p>
        </w:tc>
        <w:tc>
          <w:tcPr>
            <w:tcW w:w="3660" w:type="dxa"/>
            <w:vAlign w:val="bottom"/>
            <w:tcBorders>
              <w:bottom w:val="single" w:sz="8" w:color="0E3C23"/>
            </w:tcBorders>
          </w:tcPr>
          <w:p>
            <w:pPr>
              <w:spacing w:after="0"/>
              <w:rPr>
                <w:sz w:val="2"/>
                <w:szCs w:val="2"/>
                <w:color w:val="auto"/>
              </w:rPr>
            </w:pPr>
          </w:p>
        </w:tc>
      </w:tr>
      <w:tr>
        <w:trPr>
          <w:trHeight w:val="251"/>
        </w:trPr>
        <w:tc>
          <w:tcPr>
            <w:tcW w:w="4800" w:type="dxa"/>
            <w:vAlign w:val="bottom"/>
          </w:tcPr>
          <w:p>
            <w:pPr>
              <w:ind w:left="60"/>
              <w:spacing w:after="0"/>
              <w:rPr>
                <w:sz w:val="20"/>
                <w:szCs w:val="20"/>
                <w:color w:val="auto"/>
              </w:rPr>
            </w:pPr>
            <w:r>
              <w:rPr>
                <w:rFonts w:ascii="Arial" w:cs="Arial" w:eastAsia="Arial" w:hAnsi="Arial"/>
                <w:sz w:val="20"/>
                <w:szCs w:val="20"/>
                <w:b w:val="1"/>
                <w:bCs w:val="1"/>
                <w:color w:val="auto"/>
              </w:rPr>
              <w:t>Ms. Hemmer</w:t>
            </w:r>
          </w:p>
        </w:tc>
        <w:tc>
          <w:tcPr>
            <w:tcW w:w="3660" w:type="dxa"/>
            <w:vAlign w:val="bottom"/>
          </w:tcPr>
          <w:p>
            <w:pPr>
              <w:jc w:val="right"/>
              <w:spacing w:after="0"/>
              <w:rPr>
                <w:sz w:val="20"/>
                <w:szCs w:val="20"/>
                <w:color w:val="auto"/>
              </w:rPr>
            </w:pPr>
            <w:r>
              <w:rPr>
                <w:rFonts w:ascii="Arial" w:cs="Arial" w:eastAsia="Arial" w:hAnsi="Arial"/>
                <w:sz w:val="20"/>
                <w:szCs w:val="20"/>
                <w:color w:val="auto"/>
              </w:rPr>
              <w:t>8,248</w:t>
            </w:r>
          </w:p>
        </w:tc>
      </w:tr>
      <w:tr>
        <w:trPr>
          <w:trHeight w:val="29"/>
        </w:trPr>
        <w:tc>
          <w:tcPr>
            <w:tcW w:w="4800" w:type="dxa"/>
            <w:vAlign w:val="bottom"/>
            <w:tcBorders>
              <w:bottom w:val="single" w:sz="8" w:color="0E3C23"/>
            </w:tcBorders>
          </w:tcPr>
          <w:p>
            <w:pPr>
              <w:spacing w:after="0"/>
              <w:rPr>
                <w:sz w:val="2"/>
                <w:szCs w:val="2"/>
                <w:color w:val="auto"/>
              </w:rPr>
            </w:pPr>
          </w:p>
        </w:tc>
        <w:tc>
          <w:tcPr>
            <w:tcW w:w="3660" w:type="dxa"/>
            <w:vAlign w:val="bottom"/>
            <w:tcBorders>
              <w:bottom w:val="single" w:sz="8" w:color="0E3C23"/>
            </w:tcBorders>
          </w:tcPr>
          <w:p>
            <w:pPr>
              <w:spacing w:after="0"/>
              <w:rPr>
                <w:sz w:val="2"/>
                <w:szCs w:val="2"/>
                <w:color w:val="auto"/>
              </w:rPr>
            </w:pPr>
          </w:p>
        </w:tc>
      </w:tr>
      <w:tr>
        <w:trPr>
          <w:trHeight w:val="251"/>
        </w:trPr>
        <w:tc>
          <w:tcPr>
            <w:tcW w:w="4800" w:type="dxa"/>
            <w:vAlign w:val="bottom"/>
          </w:tcPr>
          <w:p>
            <w:pPr>
              <w:ind w:left="60"/>
              <w:spacing w:after="0"/>
              <w:rPr>
                <w:sz w:val="20"/>
                <w:szCs w:val="20"/>
                <w:color w:val="auto"/>
              </w:rPr>
            </w:pPr>
            <w:r>
              <w:rPr>
                <w:rFonts w:ascii="Arial" w:cs="Arial" w:eastAsia="Arial" w:hAnsi="Arial"/>
                <w:sz w:val="20"/>
                <w:szCs w:val="20"/>
                <w:b w:val="1"/>
                <w:bCs w:val="1"/>
                <w:color w:val="auto"/>
              </w:rPr>
              <w:t>Mr. Carrasco</w:t>
            </w:r>
          </w:p>
        </w:tc>
        <w:tc>
          <w:tcPr>
            <w:tcW w:w="3660" w:type="dxa"/>
            <w:vAlign w:val="bottom"/>
          </w:tcPr>
          <w:p>
            <w:pPr>
              <w:jc w:val="right"/>
              <w:spacing w:after="0"/>
              <w:rPr>
                <w:sz w:val="20"/>
                <w:szCs w:val="20"/>
                <w:color w:val="auto"/>
              </w:rPr>
            </w:pPr>
            <w:r>
              <w:rPr>
                <w:rFonts w:ascii="Arial" w:cs="Arial" w:eastAsia="Arial" w:hAnsi="Arial"/>
                <w:sz w:val="20"/>
                <w:szCs w:val="20"/>
                <w:color w:val="auto"/>
              </w:rPr>
              <w:t>8,248</w:t>
            </w:r>
          </w:p>
        </w:tc>
      </w:tr>
      <w:tr>
        <w:trPr>
          <w:trHeight w:val="34"/>
        </w:trPr>
        <w:tc>
          <w:tcPr>
            <w:tcW w:w="4800" w:type="dxa"/>
            <w:vAlign w:val="bottom"/>
            <w:tcBorders>
              <w:bottom w:val="single" w:sz="8" w:color="0E3C23"/>
            </w:tcBorders>
          </w:tcPr>
          <w:p>
            <w:pPr>
              <w:spacing w:after="0"/>
              <w:rPr>
                <w:sz w:val="2"/>
                <w:szCs w:val="2"/>
                <w:color w:val="auto"/>
              </w:rPr>
            </w:pPr>
          </w:p>
        </w:tc>
        <w:tc>
          <w:tcPr>
            <w:tcW w:w="3660" w:type="dxa"/>
            <w:vAlign w:val="bottom"/>
            <w:tcBorders>
              <w:bottom w:val="single" w:sz="8" w:color="0E3C23"/>
            </w:tcBorders>
          </w:tcPr>
          <w:p>
            <w:pPr>
              <w:spacing w:after="0"/>
              <w:rPr>
                <w:sz w:val="2"/>
                <w:szCs w:val="2"/>
                <w:color w:val="auto"/>
              </w:rPr>
            </w:pPr>
          </w:p>
        </w:tc>
      </w:tr>
    </w:tbl>
    <w:p>
      <w:pPr>
        <w:spacing w:after="0" w:line="147" w:lineRule="exact"/>
        <w:rPr>
          <w:sz w:val="20"/>
          <w:szCs w:val="20"/>
          <w:color w:val="auto"/>
        </w:rPr>
      </w:pPr>
    </w:p>
    <w:p>
      <w:pPr>
        <w:jc w:val="both"/>
        <w:ind w:left="180" w:right="200"/>
        <w:spacing w:after="0" w:line="253" w:lineRule="auto"/>
        <w:rPr>
          <w:sz w:val="20"/>
          <w:szCs w:val="20"/>
          <w:color w:val="auto"/>
        </w:rPr>
      </w:pPr>
      <w:r>
        <w:rPr>
          <w:rFonts w:ascii="Arial" w:cs="Arial" w:eastAsia="Arial" w:hAnsi="Arial"/>
          <w:sz w:val="19"/>
          <w:szCs w:val="19"/>
          <w:color w:val="auto"/>
        </w:rPr>
        <w:t>Half of each named executive’s PSUs included in the table above are Cash Flow PSUs; the cash flow generation performance measure requires focus on capital discipline and strengthens alignment with stockholders’ free cash flow expectations. The MD&amp;C Company has continued to evolve the definition of cash flow generation for purposes of the Cash Flow PSUs to proactively address considerations related to the Company’s growth through strategic investments and acquisitions. As a result, the award agreement for the Cash Flow PSUs granted in 2024 includes the following updated definition of the cash flow generation performance measure (the “2024 Cash Flow PSU Definition”):</w:t>
      </w:r>
    </w:p>
    <w:p>
      <w:pPr>
        <w:spacing w:after="0" w:line="115" w:lineRule="exact"/>
        <w:rPr>
          <w:sz w:val="20"/>
          <w:szCs w:val="20"/>
          <w:color w:val="auto"/>
        </w:rPr>
      </w:pPr>
    </w:p>
    <w:p>
      <w:pPr>
        <w:jc w:val="both"/>
        <w:ind w:left="580" w:right="200"/>
        <w:spacing w:after="0" w:line="252" w:lineRule="auto"/>
        <w:rPr>
          <w:sz w:val="20"/>
          <w:szCs w:val="20"/>
          <w:color w:val="auto"/>
        </w:rPr>
      </w:pPr>
      <w:r>
        <w:rPr>
          <w:rFonts w:ascii="Arial" w:cs="Arial" w:eastAsia="Arial" w:hAnsi="Arial"/>
          <w:sz w:val="19"/>
          <w:szCs w:val="19"/>
          <w:color w:val="auto"/>
        </w:rPr>
        <w:t>Net cash provided by operating activities, less capital expenditures, with the following adjustments: (a) costs associated with labor disruptions and multiemployer plan withdrawal liabilities are excluded due to being required as a result of past labor commitments combined with changing economic conditions and business climate;</w:t>
      </w:r>
    </w:p>
    <w:p>
      <w:pPr>
        <w:jc w:val="both"/>
        <w:ind w:left="580" w:right="200" w:hanging="3"/>
        <w:spacing w:after="0" w:line="266" w:lineRule="auto"/>
        <w:tabs>
          <w:tab w:leader="none" w:pos="8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acquisition, restructuring, and transformation and reorganization costs are excluded in recognition of goals to increase customer and business base while minimizing operating costs; and (c) material impacts results from accounting rule or tax law changes that were not anticipated when the performance targets were established are disregarded. Additionally, the following adjustments will be made when the aggregate impact of the following items has a greater than 5% impact on goal attainment: (a) impacts from strategic acquisitions or divestitures of assets and business are excluded (impacts from normal course of business acquisition and divestitures are included); (b) impacts from discrete growth capital investment projects made to support the long-term organic growth of the business that were not planned for when the performance targets were established are excluded; and</w:t>
      </w:r>
    </w:p>
    <w:p>
      <w:pPr>
        <w:ind w:left="580" w:right="200" w:hanging="3"/>
        <w:spacing w:after="0" w:line="236" w:lineRule="auto"/>
        <w:tabs>
          <w:tab w:leader="none" w:pos="819" w:val="left"/>
        </w:tabs>
        <w:numPr>
          <w:ilvl w:val="0"/>
          <w:numId w:val="23"/>
        </w:numPr>
        <w:rPr>
          <w:rFonts w:ascii="Arial" w:cs="Arial" w:eastAsia="Arial" w:hAnsi="Arial"/>
          <w:sz w:val="20"/>
          <w:szCs w:val="20"/>
          <w:color w:val="auto"/>
        </w:rPr>
      </w:pPr>
      <w:r>
        <w:rPr>
          <w:rFonts w:ascii="Arial" w:cs="Arial" w:eastAsia="Arial" w:hAnsi="Arial"/>
          <w:sz w:val="20"/>
          <w:szCs w:val="20"/>
          <w:color w:val="auto"/>
        </w:rPr>
        <w:t>material changes in the realization of earnings and cash flow contributions for growth capital investments caused by items outside of the Company’s control will be excluded.</w:t>
      </w:r>
    </w:p>
    <w:p>
      <w:pPr>
        <w:spacing w:after="0" w:line="126" w:lineRule="exact"/>
        <w:rPr>
          <w:sz w:val="20"/>
          <w:szCs w:val="20"/>
          <w:color w:val="auto"/>
        </w:rPr>
      </w:pPr>
    </w:p>
    <w:p>
      <w:pPr>
        <w:ind w:left="180" w:right="200"/>
        <w:spacing w:after="0" w:line="236" w:lineRule="auto"/>
        <w:rPr>
          <w:sz w:val="20"/>
          <w:szCs w:val="20"/>
          <w:color w:val="auto"/>
        </w:rPr>
      </w:pPr>
      <w:r>
        <w:rPr>
          <w:rFonts w:ascii="Arial" w:cs="Arial" w:eastAsia="Arial" w:hAnsi="Arial"/>
          <w:sz w:val="20"/>
          <w:szCs w:val="20"/>
          <w:color w:val="auto"/>
        </w:rPr>
        <w:t>The table below shows the required achievement of the cash flow generation performance measure and the corresponding potential payouts under our Cash Flow PSUs granted in 2024.</w:t>
      </w:r>
    </w:p>
    <w:p>
      <w:pPr>
        <w:spacing w:after="0" w:line="132"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13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0E3C23"/>
              </w:rPr>
              <w:t>Threshold</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0E3C23"/>
              </w:rPr>
              <w:t>Target</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0E3C23"/>
              </w:rPr>
              <w:t>Maximum</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48"/>
        </w:trPr>
        <w:tc>
          <w:tcPr>
            <w:tcW w:w="130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240" w:type="dxa"/>
            <w:vAlign w:val="bottom"/>
            <w:tcBorders>
              <w:bottom w:val="single" w:sz="8" w:color="0E3C23"/>
            </w:tcBorders>
          </w:tcPr>
          <w:p>
            <w:pPr>
              <w:spacing w:after="0"/>
              <w:rPr>
                <w:sz w:val="4"/>
                <w:szCs w:val="4"/>
                <w:color w:val="auto"/>
              </w:rPr>
            </w:pPr>
          </w:p>
        </w:tc>
        <w:tc>
          <w:tcPr>
            <w:tcW w:w="520" w:type="dxa"/>
            <w:vAlign w:val="bottom"/>
            <w:tcBorders>
              <w:bottom w:val="single" w:sz="8" w:color="0E3C23"/>
            </w:tcBorders>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Borders>
              <w:bottom w:val="single" w:sz="8" w:color="0E3C23"/>
            </w:tcBorders>
          </w:tcPr>
          <w:p>
            <w:pPr>
              <w:spacing w:after="0"/>
              <w:rPr>
                <w:sz w:val="4"/>
                <w:szCs w:val="4"/>
                <w:color w:val="auto"/>
              </w:rPr>
            </w:pPr>
          </w:p>
        </w:tc>
        <w:tc>
          <w:tcPr>
            <w:tcW w:w="560" w:type="dxa"/>
            <w:vAlign w:val="bottom"/>
            <w:tcBorders>
              <w:bottom w:val="single" w:sz="8" w:color="0E3C23"/>
            </w:tcBorders>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Borders>
              <w:bottom w:val="single" w:sz="8" w:color="0E3C23"/>
            </w:tcBorders>
          </w:tcPr>
          <w:p>
            <w:pPr>
              <w:spacing w:after="0"/>
              <w:rPr>
                <w:sz w:val="4"/>
                <w:szCs w:val="4"/>
                <w:color w:val="auto"/>
              </w:rPr>
            </w:pPr>
          </w:p>
        </w:tc>
        <w:tc>
          <w:tcPr>
            <w:tcW w:w="520" w:type="dxa"/>
            <w:vAlign w:val="bottom"/>
            <w:tcBorders>
              <w:bottom w:val="single" w:sz="8" w:color="0E3C23"/>
            </w:tcBorders>
          </w:tcPr>
          <w:p>
            <w:pPr>
              <w:spacing w:after="0"/>
              <w:rPr>
                <w:sz w:val="4"/>
                <w:szCs w:val="4"/>
                <w:color w:val="auto"/>
              </w:rPr>
            </w:pPr>
          </w:p>
        </w:tc>
        <w:tc>
          <w:tcPr>
            <w:tcW w:w="60" w:type="dxa"/>
            <w:vAlign w:val="bottom"/>
          </w:tcPr>
          <w:p>
            <w:pPr>
              <w:spacing w:after="0"/>
              <w:rPr>
                <w:sz w:val="4"/>
                <w:szCs w:val="4"/>
                <w:color w:val="auto"/>
              </w:rPr>
            </w:pPr>
          </w:p>
        </w:tc>
      </w:tr>
      <w:tr>
        <w:trPr>
          <w:trHeight w:val="208"/>
        </w:trPr>
        <w:tc>
          <w:tcPr>
            <w:tcW w:w="13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40" w:type="dxa"/>
            <w:vAlign w:val="bottom"/>
          </w:tcPr>
          <w:p>
            <w:pPr>
              <w:jc w:val="right"/>
              <w:ind w:right="134"/>
              <w:spacing w:after="0"/>
              <w:rPr>
                <w:sz w:val="20"/>
                <w:szCs w:val="20"/>
                <w:color w:val="auto"/>
              </w:rPr>
            </w:pPr>
            <w:r>
              <w:rPr>
                <w:rFonts w:ascii="Arial" w:cs="Arial" w:eastAsia="Arial" w:hAnsi="Arial"/>
                <w:sz w:val="16"/>
                <w:szCs w:val="16"/>
                <w:b w:val="1"/>
                <w:bCs w:val="1"/>
                <w:color w:val="0E3C23"/>
              </w:rPr>
              <w:t>Performance</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0E3C23"/>
                <w:w w:val="93"/>
              </w:rPr>
              <w:t>Payout</w:t>
            </w:r>
          </w:p>
        </w:tc>
        <w:tc>
          <w:tcPr>
            <w:tcW w:w="1180" w:type="dxa"/>
            <w:vAlign w:val="bottom"/>
          </w:tcPr>
          <w:p>
            <w:pPr>
              <w:jc w:val="right"/>
              <w:ind w:right="74"/>
              <w:spacing w:after="0"/>
              <w:rPr>
                <w:sz w:val="20"/>
                <w:szCs w:val="20"/>
                <w:color w:val="auto"/>
              </w:rPr>
            </w:pPr>
            <w:r>
              <w:rPr>
                <w:rFonts w:ascii="Arial" w:cs="Arial" w:eastAsia="Arial" w:hAnsi="Arial"/>
                <w:sz w:val="16"/>
                <w:szCs w:val="16"/>
                <w:b w:val="1"/>
                <w:bCs w:val="1"/>
                <w:color w:val="0E3C23"/>
              </w:rPr>
              <w:t>Performance</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0E3C23"/>
              </w:rPr>
              <w:t>Payout</w:t>
            </w:r>
          </w:p>
        </w:tc>
        <w:tc>
          <w:tcPr>
            <w:tcW w:w="1240" w:type="dxa"/>
            <w:vAlign w:val="bottom"/>
          </w:tcPr>
          <w:p>
            <w:pPr>
              <w:jc w:val="right"/>
              <w:ind w:right="134"/>
              <w:spacing w:after="0"/>
              <w:rPr>
                <w:sz w:val="20"/>
                <w:szCs w:val="20"/>
                <w:color w:val="auto"/>
              </w:rPr>
            </w:pPr>
            <w:r>
              <w:rPr>
                <w:rFonts w:ascii="Arial" w:cs="Arial" w:eastAsia="Arial" w:hAnsi="Arial"/>
                <w:sz w:val="16"/>
                <w:szCs w:val="16"/>
                <w:b w:val="1"/>
                <w:bCs w:val="1"/>
                <w:color w:val="0E3C23"/>
              </w:rPr>
              <w:t>Performance</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E3C23"/>
                <w:w w:val="93"/>
              </w:rPr>
              <w:t>Payout</w:t>
            </w:r>
          </w:p>
        </w:tc>
      </w:tr>
      <w:tr>
        <w:trPr>
          <w:trHeight w:val="44"/>
        </w:trPr>
        <w:tc>
          <w:tcPr>
            <w:tcW w:w="1300" w:type="dxa"/>
            <w:vAlign w:val="bottom"/>
            <w:tcBorders>
              <w:bottom w:val="single" w:sz="8" w:color="0E3C23"/>
            </w:tcBorders>
          </w:tcPr>
          <w:p>
            <w:pPr>
              <w:spacing w:after="0"/>
              <w:rPr>
                <w:sz w:val="3"/>
                <w:szCs w:val="3"/>
                <w:color w:val="auto"/>
              </w:rPr>
            </w:pPr>
          </w:p>
        </w:tc>
        <w:tc>
          <w:tcPr>
            <w:tcW w:w="2960" w:type="dxa"/>
            <w:vAlign w:val="bottom"/>
            <w:tcBorders>
              <w:bottom w:val="single" w:sz="8" w:color="0E3C23"/>
            </w:tcBorders>
          </w:tcPr>
          <w:p>
            <w:pPr>
              <w:spacing w:after="0"/>
              <w:rPr>
                <w:sz w:val="3"/>
                <w:szCs w:val="3"/>
                <w:color w:val="auto"/>
              </w:rPr>
            </w:pPr>
          </w:p>
        </w:tc>
        <w:tc>
          <w:tcPr>
            <w:tcW w:w="1240" w:type="dxa"/>
            <w:vAlign w:val="bottom"/>
            <w:tcBorders>
              <w:bottom w:val="single" w:sz="8" w:color="0E3C23"/>
            </w:tcBorders>
          </w:tcPr>
          <w:p>
            <w:pPr>
              <w:spacing w:after="0"/>
              <w:rPr>
                <w:sz w:val="3"/>
                <w:szCs w:val="3"/>
                <w:color w:val="auto"/>
              </w:rPr>
            </w:pPr>
          </w:p>
        </w:tc>
        <w:tc>
          <w:tcPr>
            <w:tcW w:w="760" w:type="dxa"/>
            <w:vAlign w:val="bottom"/>
            <w:tcBorders>
              <w:bottom w:val="single" w:sz="8" w:color="0E3C23"/>
            </w:tcBorders>
            <w:gridSpan w:val="2"/>
          </w:tcPr>
          <w:p>
            <w:pPr>
              <w:spacing w:after="0"/>
              <w:rPr>
                <w:sz w:val="3"/>
                <w:szCs w:val="3"/>
                <w:color w:val="auto"/>
              </w:rPr>
            </w:pPr>
          </w:p>
        </w:tc>
        <w:tc>
          <w:tcPr>
            <w:tcW w:w="1180" w:type="dxa"/>
            <w:vAlign w:val="bottom"/>
            <w:tcBorders>
              <w:bottom w:val="single" w:sz="8" w:color="0E3C23"/>
            </w:tcBorders>
          </w:tcPr>
          <w:p>
            <w:pPr>
              <w:spacing w:after="0"/>
              <w:rPr>
                <w:sz w:val="3"/>
                <w:szCs w:val="3"/>
                <w:color w:val="auto"/>
              </w:rPr>
            </w:pPr>
          </w:p>
        </w:tc>
        <w:tc>
          <w:tcPr>
            <w:tcW w:w="800" w:type="dxa"/>
            <w:vAlign w:val="bottom"/>
            <w:tcBorders>
              <w:bottom w:val="single" w:sz="8" w:color="0E3C23"/>
            </w:tcBorders>
            <w:gridSpan w:val="2"/>
          </w:tcPr>
          <w:p>
            <w:pPr>
              <w:spacing w:after="0"/>
              <w:rPr>
                <w:sz w:val="3"/>
                <w:szCs w:val="3"/>
                <w:color w:val="auto"/>
              </w:rPr>
            </w:pPr>
          </w:p>
        </w:tc>
        <w:tc>
          <w:tcPr>
            <w:tcW w:w="1240" w:type="dxa"/>
            <w:vAlign w:val="bottom"/>
            <w:tcBorders>
              <w:bottom w:val="single" w:sz="8" w:color="0E3C23"/>
            </w:tcBorders>
          </w:tcPr>
          <w:p>
            <w:pPr>
              <w:spacing w:after="0"/>
              <w:rPr>
                <w:sz w:val="3"/>
                <w:szCs w:val="3"/>
                <w:color w:val="auto"/>
              </w:rPr>
            </w:pPr>
          </w:p>
        </w:tc>
        <w:tc>
          <w:tcPr>
            <w:tcW w:w="580" w:type="dxa"/>
            <w:vAlign w:val="bottom"/>
            <w:tcBorders>
              <w:bottom w:val="single" w:sz="8" w:color="0E3C23"/>
            </w:tcBorders>
            <w:gridSpan w:val="2"/>
          </w:tcPr>
          <w:p>
            <w:pPr>
              <w:spacing w:after="0"/>
              <w:rPr>
                <w:sz w:val="3"/>
                <w:szCs w:val="3"/>
                <w:color w:val="auto"/>
              </w:rPr>
            </w:pPr>
          </w:p>
        </w:tc>
      </w:tr>
      <w:tr>
        <w:trPr>
          <w:trHeight w:val="261"/>
        </w:trPr>
        <w:tc>
          <w:tcPr>
            <w:tcW w:w="1300" w:type="dxa"/>
            <w:vAlign w:val="bottom"/>
          </w:tcPr>
          <w:p>
            <w:pPr>
              <w:jc w:val="right"/>
              <w:ind w:right="240"/>
              <w:spacing w:after="0"/>
              <w:rPr>
                <w:sz w:val="20"/>
                <w:szCs w:val="20"/>
                <w:color w:val="auto"/>
              </w:rPr>
            </w:pPr>
            <w:r>
              <w:rPr>
                <w:rFonts w:ascii="Arial" w:cs="Arial" w:eastAsia="Arial" w:hAnsi="Arial"/>
                <w:sz w:val="20"/>
                <w:szCs w:val="20"/>
                <w:b w:val="1"/>
                <w:bCs w:val="1"/>
                <w:color w:val="auto"/>
                <w:w w:val="93"/>
              </w:rPr>
              <w:t>Cash Flow</w:t>
            </w:r>
          </w:p>
        </w:tc>
        <w:tc>
          <w:tcPr>
            <w:tcW w:w="2960" w:type="dxa"/>
            <w:vAlign w:val="bottom"/>
          </w:tcPr>
          <w:p>
            <w:pPr>
              <w:spacing w:after="0"/>
              <w:rPr>
                <w:sz w:val="22"/>
                <w:szCs w:val="22"/>
                <w:color w:val="auto"/>
              </w:rPr>
            </w:pPr>
          </w:p>
        </w:tc>
        <w:tc>
          <w:tcPr>
            <w:tcW w:w="1240" w:type="dxa"/>
            <w:vAlign w:val="bottom"/>
          </w:tcPr>
          <w:p>
            <w:pPr>
              <w:jc w:val="right"/>
              <w:ind w:right="134"/>
              <w:spacing w:after="0"/>
              <w:rPr>
                <w:sz w:val="20"/>
                <w:szCs w:val="20"/>
                <w:color w:val="auto"/>
              </w:rPr>
            </w:pPr>
            <w:r>
              <w:rPr>
                <w:rFonts w:ascii="Arial" w:cs="Arial" w:eastAsia="Arial" w:hAnsi="Arial"/>
                <w:sz w:val="20"/>
                <w:szCs w:val="20"/>
                <w:color w:val="auto"/>
                <w:w w:val="93"/>
              </w:rPr>
              <w:t>$7.05 billion</w:t>
            </w:r>
          </w:p>
        </w:tc>
        <w:tc>
          <w:tcPr>
            <w:tcW w:w="760" w:type="dxa"/>
            <w:vAlign w:val="bottom"/>
            <w:gridSpan w:val="2"/>
          </w:tcPr>
          <w:p>
            <w:pPr>
              <w:jc w:val="right"/>
              <w:ind w:right="240"/>
              <w:spacing w:after="0"/>
              <w:rPr>
                <w:sz w:val="20"/>
                <w:szCs w:val="20"/>
                <w:color w:val="auto"/>
              </w:rPr>
            </w:pPr>
            <w:r>
              <w:rPr>
                <w:rFonts w:ascii="Arial" w:cs="Arial" w:eastAsia="Arial" w:hAnsi="Arial"/>
                <w:sz w:val="20"/>
                <w:szCs w:val="20"/>
                <w:color w:val="auto"/>
              </w:rPr>
              <w:t>50%</w:t>
            </w:r>
          </w:p>
        </w:tc>
        <w:tc>
          <w:tcPr>
            <w:tcW w:w="1180" w:type="dxa"/>
            <w:vAlign w:val="bottom"/>
          </w:tcPr>
          <w:p>
            <w:pPr>
              <w:jc w:val="right"/>
              <w:ind w:right="74"/>
              <w:spacing w:after="0"/>
              <w:rPr>
                <w:sz w:val="20"/>
                <w:szCs w:val="20"/>
                <w:color w:val="auto"/>
              </w:rPr>
            </w:pPr>
            <w:r>
              <w:rPr>
                <w:rFonts w:ascii="Arial" w:cs="Arial" w:eastAsia="Arial" w:hAnsi="Arial"/>
                <w:sz w:val="20"/>
                <w:szCs w:val="20"/>
                <w:color w:val="auto"/>
                <w:w w:val="93"/>
              </w:rPr>
              <w:t>$7.65 billion</w:t>
            </w:r>
          </w:p>
        </w:tc>
        <w:tc>
          <w:tcPr>
            <w:tcW w:w="800" w:type="dxa"/>
            <w:vAlign w:val="bottom"/>
            <w:gridSpan w:val="2"/>
          </w:tcPr>
          <w:p>
            <w:pPr>
              <w:jc w:val="right"/>
              <w:ind w:right="160"/>
              <w:spacing w:after="0"/>
              <w:rPr>
                <w:sz w:val="20"/>
                <w:szCs w:val="20"/>
                <w:color w:val="auto"/>
              </w:rPr>
            </w:pPr>
            <w:r>
              <w:rPr>
                <w:rFonts w:ascii="Arial" w:cs="Arial" w:eastAsia="Arial" w:hAnsi="Arial"/>
                <w:sz w:val="20"/>
                <w:szCs w:val="20"/>
                <w:color w:val="auto"/>
              </w:rPr>
              <w:t>100%</w:t>
            </w:r>
          </w:p>
        </w:tc>
        <w:tc>
          <w:tcPr>
            <w:tcW w:w="1240" w:type="dxa"/>
            <w:vAlign w:val="bottom"/>
          </w:tcPr>
          <w:p>
            <w:pPr>
              <w:jc w:val="right"/>
              <w:ind w:right="114"/>
              <w:spacing w:after="0"/>
              <w:rPr>
                <w:sz w:val="20"/>
                <w:szCs w:val="20"/>
                <w:color w:val="auto"/>
              </w:rPr>
            </w:pPr>
            <w:r>
              <w:rPr>
                <w:rFonts w:ascii="Arial" w:cs="Arial" w:eastAsia="Arial" w:hAnsi="Arial"/>
                <w:sz w:val="20"/>
                <w:szCs w:val="20"/>
                <w:color w:val="auto"/>
                <w:w w:val="95"/>
              </w:rPr>
              <w:t>$8.25 billion</w:t>
            </w:r>
          </w:p>
        </w:tc>
        <w:tc>
          <w:tcPr>
            <w:tcW w:w="580" w:type="dxa"/>
            <w:vAlign w:val="bottom"/>
            <w:gridSpan w:val="2"/>
          </w:tcPr>
          <w:p>
            <w:pPr>
              <w:jc w:val="right"/>
              <w:spacing w:after="0"/>
              <w:rPr>
                <w:sz w:val="20"/>
                <w:szCs w:val="20"/>
                <w:color w:val="auto"/>
              </w:rPr>
            </w:pPr>
            <w:r>
              <w:rPr>
                <w:rFonts w:ascii="Arial" w:cs="Arial" w:eastAsia="Arial" w:hAnsi="Arial"/>
                <w:sz w:val="20"/>
                <w:szCs w:val="20"/>
                <w:color w:val="auto"/>
              </w:rPr>
              <w:t>200%</w:t>
            </w:r>
          </w:p>
        </w:tc>
      </w:tr>
      <w:tr>
        <w:trPr>
          <w:trHeight w:val="34"/>
        </w:trPr>
        <w:tc>
          <w:tcPr>
            <w:tcW w:w="1300" w:type="dxa"/>
            <w:vAlign w:val="bottom"/>
            <w:tcBorders>
              <w:bottom w:val="single" w:sz="8" w:color="0E3C23"/>
            </w:tcBorders>
          </w:tcPr>
          <w:p>
            <w:pPr>
              <w:spacing w:after="0"/>
              <w:rPr>
                <w:sz w:val="2"/>
                <w:szCs w:val="2"/>
                <w:color w:val="auto"/>
              </w:rPr>
            </w:pPr>
          </w:p>
        </w:tc>
        <w:tc>
          <w:tcPr>
            <w:tcW w:w="4200" w:type="dxa"/>
            <w:vAlign w:val="bottom"/>
            <w:tcBorders>
              <w:bottom w:val="single" w:sz="8" w:color="0E3C23"/>
            </w:tcBorders>
            <w:gridSpan w:val="2"/>
          </w:tcPr>
          <w:p>
            <w:pPr>
              <w:spacing w:after="0"/>
              <w:rPr>
                <w:sz w:val="2"/>
                <w:szCs w:val="2"/>
                <w:color w:val="auto"/>
              </w:rPr>
            </w:pPr>
          </w:p>
        </w:tc>
        <w:tc>
          <w:tcPr>
            <w:tcW w:w="520" w:type="dxa"/>
            <w:vAlign w:val="bottom"/>
            <w:tcBorders>
              <w:bottom w:val="single" w:sz="8" w:color="0E3C23"/>
            </w:tcBorders>
          </w:tcPr>
          <w:p>
            <w:pPr>
              <w:spacing w:after="0"/>
              <w:rPr>
                <w:sz w:val="2"/>
                <w:szCs w:val="2"/>
                <w:color w:val="auto"/>
              </w:rPr>
            </w:pPr>
          </w:p>
        </w:tc>
        <w:tc>
          <w:tcPr>
            <w:tcW w:w="240" w:type="dxa"/>
            <w:vAlign w:val="bottom"/>
            <w:tcBorders>
              <w:bottom w:val="single" w:sz="8" w:color="0E3C23"/>
            </w:tcBorders>
          </w:tcPr>
          <w:p>
            <w:pPr>
              <w:spacing w:after="0"/>
              <w:rPr>
                <w:sz w:val="2"/>
                <w:szCs w:val="2"/>
                <w:color w:val="auto"/>
              </w:rPr>
            </w:pPr>
          </w:p>
        </w:tc>
        <w:tc>
          <w:tcPr>
            <w:tcW w:w="1180" w:type="dxa"/>
            <w:vAlign w:val="bottom"/>
            <w:tcBorders>
              <w:bottom w:val="single" w:sz="8" w:color="0E3C23"/>
            </w:tcBorders>
          </w:tcPr>
          <w:p>
            <w:pPr>
              <w:spacing w:after="0"/>
              <w:rPr>
                <w:sz w:val="2"/>
                <w:szCs w:val="2"/>
                <w:color w:val="auto"/>
              </w:rPr>
            </w:pPr>
          </w:p>
        </w:tc>
        <w:tc>
          <w:tcPr>
            <w:tcW w:w="560" w:type="dxa"/>
            <w:vAlign w:val="bottom"/>
            <w:tcBorders>
              <w:bottom w:val="single" w:sz="8" w:color="0E3C23"/>
            </w:tcBorders>
          </w:tcPr>
          <w:p>
            <w:pPr>
              <w:spacing w:after="0"/>
              <w:rPr>
                <w:sz w:val="2"/>
                <w:szCs w:val="2"/>
                <w:color w:val="auto"/>
              </w:rPr>
            </w:pPr>
          </w:p>
        </w:tc>
        <w:tc>
          <w:tcPr>
            <w:tcW w:w="240" w:type="dxa"/>
            <w:vAlign w:val="bottom"/>
            <w:tcBorders>
              <w:bottom w:val="single" w:sz="8" w:color="0E3C23"/>
            </w:tcBorders>
          </w:tcPr>
          <w:p>
            <w:pPr>
              <w:spacing w:after="0"/>
              <w:rPr>
                <w:sz w:val="2"/>
                <w:szCs w:val="2"/>
                <w:color w:val="auto"/>
              </w:rPr>
            </w:pPr>
          </w:p>
        </w:tc>
        <w:tc>
          <w:tcPr>
            <w:tcW w:w="1240" w:type="dxa"/>
            <w:vAlign w:val="bottom"/>
            <w:tcBorders>
              <w:bottom w:val="single" w:sz="8" w:color="0E3C23"/>
            </w:tcBorders>
          </w:tcPr>
          <w:p>
            <w:pPr>
              <w:spacing w:after="0"/>
              <w:rPr>
                <w:sz w:val="2"/>
                <w:szCs w:val="2"/>
                <w:color w:val="auto"/>
              </w:rPr>
            </w:pPr>
          </w:p>
        </w:tc>
        <w:tc>
          <w:tcPr>
            <w:tcW w:w="520" w:type="dxa"/>
            <w:vAlign w:val="bottom"/>
            <w:tcBorders>
              <w:bottom w:val="single" w:sz="8" w:color="0E3C23"/>
            </w:tcBorders>
          </w:tcPr>
          <w:p>
            <w:pPr>
              <w:spacing w:after="0"/>
              <w:rPr>
                <w:sz w:val="2"/>
                <w:szCs w:val="2"/>
                <w:color w:val="auto"/>
              </w:rPr>
            </w:pPr>
          </w:p>
        </w:tc>
        <w:tc>
          <w:tcPr>
            <w:tcW w:w="60" w:type="dxa"/>
            <w:vAlign w:val="bottom"/>
            <w:tcBorders>
              <w:bottom w:val="single" w:sz="8" w:color="0E3C23"/>
            </w:tcBorders>
          </w:tcPr>
          <w:p>
            <w:pPr>
              <w:spacing w:after="0"/>
              <w:rPr>
                <w:sz w:val="2"/>
                <w:szCs w:val="2"/>
                <w:color w:val="auto"/>
              </w:rPr>
            </w:pPr>
          </w:p>
        </w:tc>
      </w:tr>
      <w:tr>
        <w:trPr>
          <w:trHeight w:val="874"/>
        </w:trPr>
        <w:tc>
          <w:tcPr>
            <w:tcW w:w="1300" w:type="dxa"/>
            <w:vAlign w:val="bottom"/>
          </w:tcPr>
          <w:p>
            <w:pPr>
              <w:jc w:val="right"/>
              <w:ind w:right="700"/>
              <w:spacing w:after="0"/>
              <w:rPr>
                <w:sz w:val="20"/>
                <w:szCs w:val="20"/>
                <w:color w:val="auto"/>
              </w:rPr>
            </w:pPr>
            <w:r>
              <w:rPr>
                <w:rFonts w:ascii="Arial" w:cs="Arial" w:eastAsia="Arial" w:hAnsi="Arial"/>
                <w:sz w:val="20"/>
                <w:szCs w:val="20"/>
                <w:color w:val="auto"/>
              </w:rPr>
              <w:t xml:space="preserve">44  </w:t>
            </w:r>
            <w:r>
              <w:rPr>
                <w:rFonts w:ascii="Arial" w:cs="Arial" w:eastAsia="Arial" w:hAnsi="Arial"/>
                <w:sz w:val="35"/>
                <w:szCs w:val="35"/>
                <w:b w:val="1"/>
                <w:bCs w:val="1"/>
                <w:color w:val="0E3C23"/>
              </w:rPr>
              <w:t>|</w:t>
            </w:r>
          </w:p>
        </w:tc>
        <w:tc>
          <w:tcPr>
            <w:tcW w:w="4200" w:type="dxa"/>
            <w:vAlign w:val="bottom"/>
            <w:gridSpan w:val="2"/>
          </w:tcPr>
          <w:p>
            <w:pPr>
              <w:jc w:val="right"/>
              <w:ind w:right="1874"/>
              <w:spacing w:after="0"/>
              <w:rPr>
                <w:sz w:val="20"/>
                <w:szCs w:val="20"/>
                <w:color w:val="auto"/>
              </w:rPr>
            </w:pPr>
            <w:r>
              <w:rPr>
                <w:rFonts w:ascii="Arial" w:cs="Arial" w:eastAsia="Arial" w:hAnsi="Arial"/>
                <w:sz w:val="20"/>
                <w:szCs w:val="20"/>
                <w:color w:val="auto"/>
              </w:rPr>
              <w:t>2025 Proxy Statement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-208280</wp:posOffset>
            </wp:positionV>
            <wp:extent cx="538480" cy="1619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32">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4" w:gutter="0" w:footer="0" w:header="0"/>
        </w:sectPr>
      </w:pPr>
    </w:p>
    <w:bookmarkStart w:id="50" w:name="page51"/>
    <w:bookmarkEnd w:id="50"/>
    <w:p>
      <w:pPr>
        <w:ind w:left="798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279" w:lineRule="exact"/>
        <w:rPr>
          <w:sz w:val="20"/>
          <w:szCs w:val="20"/>
          <w:color w:val="auto"/>
        </w:rPr>
      </w:pPr>
    </w:p>
    <w:p>
      <w:pPr>
        <w:jc w:val="both"/>
        <w:ind w:left="180" w:right="200"/>
        <w:spacing w:after="0" w:line="250" w:lineRule="auto"/>
        <w:rPr>
          <w:sz w:val="20"/>
          <w:szCs w:val="20"/>
          <w:color w:val="auto"/>
        </w:rPr>
      </w:pPr>
      <w:r>
        <w:rPr>
          <w:rFonts w:ascii="Arial" w:cs="Arial" w:eastAsia="Arial" w:hAnsi="Arial"/>
          <w:sz w:val="20"/>
          <w:szCs w:val="20"/>
          <w:color w:val="auto"/>
        </w:rPr>
        <w:t>The remaining half of each named executive’s PSUs are TSR PSUs. This measure directly correlates executive compensation with creation of stockholder value. Total shareholder return is calculated as follows: (Common Stock price at end of performance period — Common Stock price at beginning of performance period + dividends during performance period) / Common Stock price at beginning of performance period. The table below shows the required achievement of the total shareholder return performance measure and the corresponding potential payouts under our TSR PSUs granted in 2024.</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E3C23"/>
        </w:rPr>
        <w:t>Total Shareholder Return Relative to the S&amp;P 500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657860</wp:posOffset>
                </wp:positionH>
                <wp:positionV relativeFrom="paragraph">
                  <wp:posOffset>29845</wp:posOffset>
                </wp:positionV>
                <wp:extent cx="5296535"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6535" cy="4763"/>
                        </a:xfrm>
                        <a:prstGeom prst="line">
                          <a:avLst/>
                        </a:prstGeom>
                        <a:solidFill>
                          <a:srgbClr val="FFFFFF"/>
                        </a:solidFill>
                        <a:ln w="5041">
                          <a:solidFill>
                            <a:srgbClr val="0E3C23"/>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8pt,2.35pt" to="468.85pt,2.35pt" o:allowincell="f" strokecolor="#0E3C23" strokeweight="0.3969pt"/>
            </w:pict>
          </mc:Fallback>
        </mc:AlternateContent>
      </w:r>
    </w:p>
    <w:p>
      <w:pPr>
        <w:spacing w:after="0" w:line="63"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6460" w:type="dxa"/>
            <w:vAlign w:val="bottom"/>
          </w:tcPr>
          <w:p>
            <w:pPr>
              <w:jc w:val="center"/>
              <w:ind w:left="1165"/>
              <w:spacing w:after="0"/>
              <w:rPr>
                <w:sz w:val="20"/>
                <w:szCs w:val="20"/>
                <w:color w:val="auto"/>
              </w:rPr>
            </w:pPr>
            <w:r>
              <w:rPr>
                <w:rFonts w:ascii="Arial" w:cs="Arial" w:eastAsia="Arial" w:hAnsi="Arial"/>
                <w:sz w:val="16"/>
                <w:szCs w:val="16"/>
                <w:b w:val="1"/>
                <w:bCs w:val="1"/>
                <w:color w:val="0E3C23"/>
                <w:w w:val="94"/>
              </w:rPr>
              <w:t>Performance</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0E3C23"/>
              </w:rPr>
              <w:t>Payout</w:t>
            </w:r>
          </w:p>
        </w:tc>
      </w:tr>
      <w:tr>
        <w:trPr>
          <w:trHeight w:val="44"/>
        </w:trPr>
        <w:tc>
          <w:tcPr>
            <w:tcW w:w="6460" w:type="dxa"/>
            <w:vAlign w:val="bottom"/>
            <w:tcBorders>
              <w:bottom w:val="single" w:sz="8" w:color="0E3C23"/>
            </w:tcBorders>
          </w:tcPr>
          <w:p>
            <w:pPr>
              <w:spacing w:after="0"/>
              <w:rPr>
                <w:sz w:val="3"/>
                <w:szCs w:val="3"/>
                <w:color w:val="auto"/>
              </w:rPr>
            </w:pPr>
          </w:p>
        </w:tc>
        <w:tc>
          <w:tcPr>
            <w:tcW w:w="2000" w:type="dxa"/>
            <w:vAlign w:val="bottom"/>
            <w:tcBorders>
              <w:bottom w:val="single" w:sz="8" w:color="0E3C23"/>
            </w:tcBorders>
          </w:tcPr>
          <w:p>
            <w:pPr>
              <w:spacing w:after="0"/>
              <w:rPr>
                <w:sz w:val="3"/>
                <w:szCs w:val="3"/>
                <w:color w:val="auto"/>
              </w:rPr>
            </w:pPr>
          </w:p>
        </w:tc>
      </w:tr>
      <w:tr>
        <w:trPr>
          <w:trHeight w:val="290"/>
        </w:trPr>
        <w:tc>
          <w:tcPr>
            <w:tcW w:w="6460" w:type="dxa"/>
            <w:vAlign w:val="bottom"/>
            <w:tcBorders>
              <w:bottom w:val="single" w:sz="8" w:color="0E3C23"/>
            </w:tcBorders>
          </w:tcPr>
          <w:p>
            <w:pPr>
              <w:jc w:val="center"/>
              <w:ind w:left="1165"/>
              <w:spacing w:after="0"/>
              <w:rPr>
                <w:sz w:val="20"/>
                <w:szCs w:val="20"/>
                <w:color w:val="auto"/>
              </w:rPr>
            </w:pPr>
            <w:r>
              <w:rPr>
                <w:rFonts w:ascii="Arial" w:cs="Arial" w:eastAsia="Arial" w:hAnsi="Arial"/>
                <w:sz w:val="20"/>
                <w:szCs w:val="20"/>
                <w:color w:val="auto"/>
                <w:w w:val="95"/>
              </w:rPr>
              <w:t>75</w:t>
            </w:r>
            <w:r>
              <w:rPr>
                <w:rFonts w:ascii="Arial" w:cs="Arial" w:eastAsia="Arial" w:hAnsi="Arial"/>
                <w:sz w:val="25"/>
                <w:szCs w:val="25"/>
                <w:color w:val="auto"/>
                <w:w w:val="95"/>
                <w:vertAlign w:val="superscript"/>
              </w:rPr>
              <w:t>th</w:t>
            </w:r>
            <w:r>
              <w:rPr>
                <w:rFonts w:ascii="Arial" w:cs="Arial" w:eastAsia="Arial" w:hAnsi="Arial"/>
                <w:sz w:val="20"/>
                <w:szCs w:val="20"/>
                <w:color w:val="auto"/>
                <w:w w:val="95"/>
              </w:rPr>
              <w:t xml:space="preserve"> percentile (Maximum)</w:t>
            </w:r>
          </w:p>
        </w:tc>
        <w:tc>
          <w:tcPr>
            <w:tcW w:w="200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200%</w:t>
            </w:r>
          </w:p>
        </w:tc>
      </w:tr>
      <w:tr>
        <w:trPr>
          <w:trHeight w:val="279"/>
        </w:trPr>
        <w:tc>
          <w:tcPr>
            <w:tcW w:w="6460" w:type="dxa"/>
            <w:vAlign w:val="bottom"/>
            <w:tcBorders>
              <w:bottom w:val="single" w:sz="8" w:color="0E3C23"/>
            </w:tcBorders>
          </w:tcPr>
          <w:p>
            <w:pPr>
              <w:jc w:val="center"/>
              <w:ind w:left="1165"/>
              <w:spacing w:after="0" w:line="280" w:lineRule="exact"/>
              <w:rPr>
                <w:sz w:val="20"/>
                <w:szCs w:val="20"/>
                <w:color w:val="auto"/>
              </w:rPr>
            </w:pPr>
            <w:r>
              <w:rPr>
                <w:rFonts w:ascii="Arial" w:cs="Arial" w:eastAsia="Arial" w:hAnsi="Arial"/>
                <w:sz w:val="20"/>
                <w:szCs w:val="20"/>
                <w:color w:val="auto"/>
                <w:w w:val="95"/>
              </w:rPr>
              <w:t>50</w:t>
            </w:r>
            <w:r>
              <w:rPr>
                <w:rFonts w:ascii="Arial" w:cs="Arial" w:eastAsia="Arial" w:hAnsi="Arial"/>
                <w:sz w:val="25"/>
                <w:szCs w:val="25"/>
                <w:color w:val="auto"/>
                <w:w w:val="95"/>
                <w:vertAlign w:val="superscript"/>
              </w:rPr>
              <w:t>th</w:t>
            </w:r>
            <w:r>
              <w:rPr>
                <w:rFonts w:ascii="Arial" w:cs="Arial" w:eastAsia="Arial" w:hAnsi="Arial"/>
                <w:sz w:val="20"/>
                <w:szCs w:val="20"/>
                <w:color w:val="auto"/>
                <w:w w:val="95"/>
              </w:rPr>
              <w:t xml:space="preserve"> percentile (Target)</w:t>
            </w:r>
          </w:p>
        </w:tc>
        <w:tc>
          <w:tcPr>
            <w:tcW w:w="200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100%</w:t>
            </w:r>
          </w:p>
        </w:tc>
      </w:tr>
      <w:tr>
        <w:trPr>
          <w:trHeight w:val="284"/>
        </w:trPr>
        <w:tc>
          <w:tcPr>
            <w:tcW w:w="6460" w:type="dxa"/>
            <w:vAlign w:val="bottom"/>
            <w:tcBorders>
              <w:bottom w:val="single" w:sz="8" w:color="0E3C23"/>
            </w:tcBorders>
          </w:tcPr>
          <w:p>
            <w:pPr>
              <w:jc w:val="center"/>
              <w:ind w:left="1185"/>
              <w:spacing w:after="0" w:line="284" w:lineRule="exact"/>
              <w:rPr>
                <w:sz w:val="20"/>
                <w:szCs w:val="20"/>
                <w:color w:val="auto"/>
              </w:rPr>
            </w:pPr>
            <w:r>
              <w:rPr>
                <w:rFonts w:ascii="Arial" w:cs="Arial" w:eastAsia="Arial" w:hAnsi="Arial"/>
                <w:sz w:val="20"/>
                <w:szCs w:val="20"/>
                <w:color w:val="auto"/>
                <w:w w:val="95"/>
              </w:rPr>
              <w:t>25</w:t>
            </w:r>
            <w:r>
              <w:rPr>
                <w:rFonts w:ascii="Arial" w:cs="Arial" w:eastAsia="Arial" w:hAnsi="Arial"/>
                <w:sz w:val="25"/>
                <w:szCs w:val="25"/>
                <w:color w:val="auto"/>
                <w:w w:val="95"/>
                <w:vertAlign w:val="superscript"/>
              </w:rPr>
              <w:t>th</w:t>
            </w:r>
            <w:r>
              <w:rPr>
                <w:rFonts w:ascii="Arial" w:cs="Arial" w:eastAsia="Arial" w:hAnsi="Arial"/>
                <w:sz w:val="20"/>
                <w:szCs w:val="20"/>
                <w:color w:val="auto"/>
                <w:w w:val="95"/>
              </w:rPr>
              <w:t xml:space="preserve"> percentile (Threshold)</w:t>
            </w:r>
          </w:p>
        </w:tc>
        <w:tc>
          <w:tcPr>
            <w:tcW w:w="200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50%</w:t>
            </w:r>
          </w:p>
        </w:tc>
      </w:tr>
    </w:tbl>
    <w:p>
      <w:pPr>
        <w:spacing w:after="0" w:line="79" w:lineRule="exact"/>
        <w:rPr>
          <w:sz w:val="20"/>
          <w:szCs w:val="20"/>
          <w:color w:val="auto"/>
        </w:rPr>
      </w:pPr>
    </w:p>
    <w:p>
      <w:pPr>
        <w:jc w:val="both"/>
        <w:ind w:left="180" w:right="200"/>
        <w:spacing w:after="0" w:line="266" w:lineRule="auto"/>
        <w:rPr>
          <w:sz w:val="20"/>
          <w:szCs w:val="20"/>
          <w:color w:val="auto"/>
        </w:rPr>
      </w:pPr>
      <w:r>
        <w:rPr>
          <w:rFonts w:ascii="Arial" w:cs="Arial" w:eastAsia="Arial" w:hAnsi="Arial"/>
          <w:sz w:val="19"/>
          <w:szCs w:val="19"/>
          <w:color w:val="auto"/>
        </w:rPr>
        <w:t>The different performance measure levels are determined based on an analysis of historical performance and current projections and trends. The MD&amp;C Committee uses this analysis and consideration of different scenarios related to items that affect the Company’s performance such as yield, volumes and capital to set the performance measures. As with the consideration of targets for the annual cash incentives, when the MD&amp;C Committee established the cash flow targets, the MD&amp;C Committee carefully considered several material factors anticipated to affect the Company in 2024 and beyond, including macroeconomic and market conditions and economic indicators for future periods, to align the cash flow targets with the Company’s long-range strategic plan. The 2024 cash flow targets are also reflective of on-going capital spending commitments to further expand and accelerate our sustainability growth strategy that includes significant investments in our renewable energy and recycling processing and sales businesses.</w:t>
      </w:r>
    </w:p>
    <w:p>
      <w:pPr>
        <w:spacing w:after="0" w:line="114" w:lineRule="exact"/>
        <w:rPr>
          <w:sz w:val="20"/>
          <w:szCs w:val="20"/>
          <w:color w:val="auto"/>
        </w:rPr>
      </w:pPr>
    </w:p>
    <w:p>
      <w:pPr>
        <w:jc w:val="both"/>
        <w:ind w:left="180" w:right="200"/>
        <w:spacing w:after="0" w:line="284" w:lineRule="auto"/>
        <w:rPr>
          <w:sz w:val="20"/>
          <w:szCs w:val="20"/>
          <w:color w:val="auto"/>
        </w:rPr>
      </w:pPr>
      <w:r>
        <w:rPr>
          <w:rFonts w:ascii="Arial" w:cs="Arial" w:eastAsia="Arial" w:hAnsi="Arial"/>
          <w:sz w:val="18"/>
          <w:szCs w:val="18"/>
          <w:i w:val="1"/>
          <w:iCs w:val="1"/>
          <w:u w:val="single" w:color="auto"/>
          <w:color w:val="auto"/>
        </w:rPr>
        <w:t>Payout on PSUs for the Performance Period Ended December 31, 2024</w:t>
      </w:r>
      <w:r>
        <w:rPr>
          <w:rFonts w:ascii="Arial" w:cs="Arial" w:eastAsia="Arial" w:hAnsi="Arial"/>
          <w:sz w:val="18"/>
          <w:szCs w:val="18"/>
          <w:i w:val="1"/>
          <w:iCs w:val="1"/>
          <w:color w:val="auto"/>
        </w:rPr>
        <w:t xml:space="preserve">. </w:t>
      </w:r>
      <w:r>
        <w:rPr>
          <w:rFonts w:ascii="Arial" w:cs="Arial" w:eastAsia="Arial" w:hAnsi="Arial"/>
          <w:sz w:val="18"/>
          <w:szCs w:val="18"/>
          <w:color w:val="auto"/>
        </w:rPr>
        <w:t>Half of the PSUs granted in 2022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period ended December 31, 2024 were TSR PSUs, and the remaining half of the PSUs granted in 2022 were Cash Flow PSUs. With respect to the TSR PSUs with a three-year performance period ended December 31, 2024, the performance of the Company’s Common Stock on this measure translated into a percentile rank relative to the S&amp;P 500 of 66.80%, resulting in a 167.22% payout in shares of Common Stock that were issued in the first quarter of 2025.</w:t>
      </w:r>
    </w:p>
    <w:p>
      <w:pPr>
        <w:spacing w:after="0" w:line="102" w:lineRule="exact"/>
        <w:rPr>
          <w:sz w:val="20"/>
          <w:szCs w:val="20"/>
          <w:color w:val="auto"/>
        </w:rPr>
      </w:pPr>
    </w:p>
    <w:p>
      <w:pPr>
        <w:jc w:val="both"/>
        <w:ind w:left="180" w:right="200"/>
        <w:spacing w:after="0" w:line="279" w:lineRule="auto"/>
        <w:rPr>
          <w:sz w:val="20"/>
          <w:szCs w:val="20"/>
          <w:color w:val="auto"/>
        </w:rPr>
      </w:pPr>
      <w:r>
        <w:rPr>
          <w:rFonts w:ascii="Arial" w:cs="Arial" w:eastAsia="Arial" w:hAnsi="Arial"/>
          <w:sz w:val="18"/>
          <w:szCs w:val="18"/>
          <w:color w:val="auto"/>
        </w:rPr>
        <w:t>For purposes of the Cash Flow PSUs with a three-year performance period ended December 31, 2024, the Company generated net cash flow from operating activities, less capital expenditures, of $6.847 billion, exceeding the target criteria of $6.634 billion; this performance level yielded a 135.56% payout in shares of Common Stock that were issued in the first quarter of 2025. This performance was calculated in accordance with the following definition of cash flow generation set forth in the award agreement for the Cash Flow PSUs granted in 2022 (the “2022 Cash Flow PSU Definition”): net cash provided by operating activities, less capital expenditures, with the following adjustments: (a) costs associated with labor disruptions and multiemployer plan withdrawal liabilities are excluded due to being required as a result of past labor commitments combined with changing economic conditions and business climate; (b) strategic acquisition, restructuring, and transformation and reorganization costs are excluded; (c) cash proceeds from strategic divestitures of assets and businesses are excluded; and (d) cash proceeds from divestitures of any other businesses and assets are included.</w:t>
      </w:r>
    </w:p>
    <w:p>
      <w:pPr>
        <w:spacing w:after="0" w:line="108" w:lineRule="exact"/>
        <w:rPr>
          <w:sz w:val="20"/>
          <w:szCs w:val="20"/>
          <w:color w:val="auto"/>
        </w:rPr>
      </w:pPr>
    </w:p>
    <w:p>
      <w:pPr>
        <w:jc w:val="both"/>
        <w:ind w:left="180" w:right="200"/>
        <w:spacing w:after="0" w:line="279" w:lineRule="auto"/>
        <w:rPr>
          <w:sz w:val="20"/>
          <w:szCs w:val="20"/>
          <w:color w:val="auto"/>
        </w:rPr>
      </w:pPr>
      <w:r>
        <w:rPr>
          <w:rFonts w:ascii="Arial" w:cs="Arial" w:eastAsia="Arial" w:hAnsi="Arial"/>
          <w:sz w:val="18"/>
          <w:szCs w:val="18"/>
          <w:color w:val="auto"/>
        </w:rPr>
        <w:t>Additionally, in line with the MD&amp;C Committee’s policy on calculation adjustments discussed above, the MD&amp;C Committee approved certain adjustments to the measurement of performance on the cash flow measure that are aligned with the MD&amp;C Committee’s philosophy and goal for providing consistency in approach to appropriately address the impact of one-time and special events to eliminate disproportionate or counterproductive results. The nature of such adjustments has now been incorporated in the 2024 Cash Flow PSU Definition discussed above, such that, beginning with the Cash Flow PSUs granted in 2024, discretionary consideration of similar adjustments will not be necessary. These adjustments exclude the impact of $700 million of capital expenditures allocated to strategic investments in our renewable energy and recycling processing and sales businesses that were not contemplated at the time the performance measures were established. The incremental benefits from these strategic investments that were not contemplated at the time the performance measure was established did not materially impact the calculated results for executive compensation performance measures in 2024. Additionally, the calculation of performance on the cash flow measure excludes the benefits of investment tax credits that were not contemplated at the time this performance measure was established and the two months of post-closing contributions from the acquired Stericycle business. As discussed above, the 2022 Cash Flow PSU Definition already provided for the exclusion of transaction and integration costs related to the Stericycle acquisition. See Appendix A for additional information about the calculation of these results.</w:t>
      </w:r>
    </w:p>
    <w:p>
      <w:pPr>
        <w:spacing w:after="0" w:line="396"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-207010</wp:posOffset>
            </wp:positionV>
            <wp:extent cx="538480" cy="1619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33">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sectPr>
      </w:pPr>
    </w:p>
    <w:bookmarkStart w:id="51" w:name="page52"/>
    <w:bookmarkEnd w:id="51"/>
    <w:p>
      <w:pPr>
        <w:ind w:left="180"/>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210" w:lineRule="exact"/>
        <w:rPr>
          <w:sz w:val="20"/>
          <w:szCs w:val="20"/>
          <w:color w:val="auto"/>
        </w:rPr>
      </w:pPr>
    </w:p>
    <w:p>
      <w:pPr>
        <w:jc w:val="both"/>
        <w:ind w:left="180" w:right="200"/>
        <w:spacing w:after="0" w:line="277" w:lineRule="auto"/>
        <w:rPr>
          <w:sz w:val="20"/>
          <w:szCs w:val="20"/>
          <w:color w:val="auto"/>
        </w:rPr>
      </w:pPr>
      <w:r>
        <w:rPr>
          <w:rFonts w:ascii="Arial" w:cs="Arial" w:eastAsia="Arial" w:hAnsi="Arial"/>
          <w:sz w:val="18"/>
          <w:szCs w:val="18"/>
          <w:i w:val="1"/>
          <w:iCs w:val="1"/>
          <w:u w:val="single" w:color="auto"/>
          <w:color w:val="auto"/>
        </w:rPr>
        <w:t>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believes use of stock options is appropriate to support the growth element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strategy. The grant of options made to the named executive officers in the first quarter of 2024 in connection with the annual grant of long-term equity awards was based on the targeted dollar amounts established for total long-term equity incentives (set forth in the table above) and multiplied by 20%. The actual number of stock options granted was determined by assigning a value to the options using an option pricing model and dividing the dollar value of target compensation by the value of an option. The resulting number of stock options are shown in the table below.</w:t>
      </w:r>
    </w:p>
    <w:p>
      <w:pPr>
        <w:spacing w:after="0" w:line="74"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3720" w:type="dxa"/>
            <w:vAlign w:val="bottom"/>
          </w:tcPr>
          <w:p>
            <w:pPr>
              <w:jc w:val="right"/>
              <w:spacing w:after="0"/>
              <w:rPr>
                <w:sz w:val="20"/>
                <w:szCs w:val="20"/>
                <w:color w:val="auto"/>
              </w:rPr>
            </w:pPr>
            <w:r>
              <w:rPr>
                <w:rFonts w:ascii="Arial" w:cs="Arial" w:eastAsia="Arial" w:hAnsi="Arial"/>
                <w:sz w:val="16"/>
                <w:szCs w:val="16"/>
                <w:b w:val="1"/>
                <w:bCs w:val="1"/>
                <w:color w:val="0E3C23"/>
              </w:rPr>
              <w:t>Number</w:t>
            </w:r>
          </w:p>
        </w:tc>
      </w:tr>
      <w:tr>
        <w:trPr>
          <w:trHeight w:val="184"/>
        </w:trPr>
        <w:tc>
          <w:tcPr>
            <w:tcW w:w="4740" w:type="dxa"/>
            <w:vAlign w:val="bottom"/>
          </w:tcPr>
          <w:p>
            <w:pPr>
              <w:ind w:left="60"/>
              <w:spacing w:after="0"/>
              <w:rPr>
                <w:sz w:val="20"/>
                <w:szCs w:val="20"/>
                <w:color w:val="auto"/>
              </w:rPr>
            </w:pPr>
            <w:r>
              <w:rPr>
                <w:rFonts w:ascii="Arial" w:cs="Arial" w:eastAsia="Arial" w:hAnsi="Arial"/>
                <w:sz w:val="16"/>
                <w:szCs w:val="16"/>
                <w:b w:val="1"/>
                <w:bCs w:val="1"/>
                <w:color w:val="0E3C23"/>
              </w:rPr>
              <w:t>Named Executive Officer</w:t>
            </w:r>
          </w:p>
        </w:tc>
        <w:tc>
          <w:tcPr>
            <w:tcW w:w="3720" w:type="dxa"/>
            <w:vAlign w:val="bottom"/>
          </w:tcPr>
          <w:p>
            <w:pPr>
              <w:jc w:val="right"/>
              <w:spacing w:after="0"/>
              <w:rPr>
                <w:sz w:val="20"/>
                <w:szCs w:val="20"/>
                <w:color w:val="auto"/>
              </w:rPr>
            </w:pPr>
            <w:r>
              <w:rPr>
                <w:rFonts w:ascii="Arial" w:cs="Arial" w:eastAsia="Arial" w:hAnsi="Arial"/>
                <w:sz w:val="16"/>
                <w:szCs w:val="16"/>
                <w:b w:val="1"/>
                <w:bCs w:val="1"/>
                <w:color w:val="0E3C23"/>
              </w:rPr>
              <w:t>of Options</w:t>
            </w:r>
          </w:p>
        </w:tc>
      </w:tr>
      <w:tr>
        <w:trPr>
          <w:trHeight w:val="44"/>
        </w:trPr>
        <w:tc>
          <w:tcPr>
            <w:tcW w:w="4740" w:type="dxa"/>
            <w:vAlign w:val="bottom"/>
            <w:tcBorders>
              <w:bottom w:val="single" w:sz="8" w:color="0E3C23"/>
            </w:tcBorders>
          </w:tcPr>
          <w:p>
            <w:pPr>
              <w:spacing w:after="0"/>
              <w:rPr>
                <w:sz w:val="3"/>
                <w:szCs w:val="3"/>
                <w:color w:val="auto"/>
              </w:rPr>
            </w:pPr>
          </w:p>
        </w:tc>
        <w:tc>
          <w:tcPr>
            <w:tcW w:w="3720" w:type="dxa"/>
            <w:vAlign w:val="bottom"/>
            <w:tcBorders>
              <w:bottom w:val="single" w:sz="8" w:color="0E3C23"/>
            </w:tcBorders>
          </w:tcPr>
          <w:p>
            <w:pPr>
              <w:spacing w:after="0"/>
              <w:rPr>
                <w:sz w:val="3"/>
                <w:szCs w:val="3"/>
                <w:color w:val="auto"/>
              </w:rPr>
            </w:pPr>
          </w:p>
        </w:tc>
      </w:tr>
      <w:tr>
        <w:trPr>
          <w:trHeight w:val="261"/>
        </w:trPr>
        <w:tc>
          <w:tcPr>
            <w:tcW w:w="4740" w:type="dxa"/>
            <w:vAlign w:val="bottom"/>
          </w:tcPr>
          <w:p>
            <w:pPr>
              <w:ind w:left="60"/>
              <w:spacing w:after="0"/>
              <w:rPr>
                <w:sz w:val="20"/>
                <w:szCs w:val="20"/>
                <w:color w:val="auto"/>
              </w:rPr>
            </w:pPr>
            <w:r>
              <w:rPr>
                <w:rFonts w:ascii="Arial" w:cs="Arial" w:eastAsia="Arial" w:hAnsi="Arial"/>
                <w:sz w:val="20"/>
                <w:szCs w:val="20"/>
                <w:b w:val="1"/>
                <w:bCs w:val="1"/>
                <w:color w:val="auto"/>
              </w:rPr>
              <w:t>Mr. Fish</w:t>
            </w:r>
          </w:p>
        </w:tc>
        <w:tc>
          <w:tcPr>
            <w:tcW w:w="3720" w:type="dxa"/>
            <w:vAlign w:val="bottom"/>
          </w:tcPr>
          <w:p>
            <w:pPr>
              <w:jc w:val="right"/>
              <w:ind w:right="46"/>
              <w:spacing w:after="0"/>
              <w:rPr>
                <w:sz w:val="20"/>
                <w:szCs w:val="20"/>
                <w:color w:val="auto"/>
              </w:rPr>
            </w:pPr>
            <w:r>
              <w:rPr>
                <w:rFonts w:ascii="Arial" w:cs="Arial" w:eastAsia="Arial" w:hAnsi="Arial"/>
                <w:sz w:val="20"/>
                <w:szCs w:val="20"/>
                <w:color w:val="auto"/>
              </w:rPr>
              <w:t>45,349</w:t>
            </w:r>
          </w:p>
        </w:tc>
      </w:tr>
      <w:tr>
        <w:trPr>
          <w:trHeight w:val="29"/>
        </w:trPr>
        <w:tc>
          <w:tcPr>
            <w:tcW w:w="4740" w:type="dxa"/>
            <w:vAlign w:val="bottom"/>
            <w:tcBorders>
              <w:bottom w:val="single" w:sz="8" w:color="0E3C23"/>
            </w:tcBorders>
          </w:tcPr>
          <w:p>
            <w:pPr>
              <w:spacing w:after="0"/>
              <w:rPr>
                <w:sz w:val="2"/>
                <w:szCs w:val="2"/>
                <w:color w:val="auto"/>
              </w:rPr>
            </w:pPr>
          </w:p>
        </w:tc>
        <w:tc>
          <w:tcPr>
            <w:tcW w:w="3720" w:type="dxa"/>
            <w:vAlign w:val="bottom"/>
            <w:tcBorders>
              <w:bottom w:val="single" w:sz="8" w:color="0E3C23"/>
            </w:tcBorders>
          </w:tcPr>
          <w:p>
            <w:pPr>
              <w:spacing w:after="0"/>
              <w:rPr>
                <w:sz w:val="2"/>
                <w:szCs w:val="2"/>
                <w:color w:val="auto"/>
              </w:rPr>
            </w:pPr>
          </w:p>
        </w:tc>
      </w:tr>
      <w:tr>
        <w:trPr>
          <w:trHeight w:val="251"/>
        </w:trPr>
        <w:tc>
          <w:tcPr>
            <w:tcW w:w="4740" w:type="dxa"/>
            <w:vAlign w:val="bottom"/>
          </w:tcPr>
          <w:p>
            <w:pPr>
              <w:ind w:left="60"/>
              <w:spacing w:after="0"/>
              <w:rPr>
                <w:sz w:val="20"/>
                <w:szCs w:val="20"/>
                <w:color w:val="auto"/>
              </w:rPr>
            </w:pPr>
            <w:r>
              <w:rPr>
                <w:rFonts w:ascii="Arial" w:cs="Arial" w:eastAsia="Arial" w:hAnsi="Arial"/>
                <w:sz w:val="20"/>
                <w:szCs w:val="20"/>
                <w:b w:val="1"/>
                <w:bCs w:val="1"/>
                <w:color w:val="auto"/>
              </w:rPr>
              <w:t>Ms. Rankin</w:t>
            </w:r>
          </w:p>
        </w:tc>
        <w:tc>
          <w:tcPr>
            <w:tcW w:w="3720" w:type="dxa"/>
            <w:vAlign w:val="bottom"/>
          </w:tcPr>
          <w:p>
            <w:pPr>
              <w:jc w:val="right"/>
              <w:ind w:right="46"/>
              <w:spacing w:after="0"/>
              <w:rPr>
                <w:sz w:val="20"/>
                <w:szCs w:val="20"/>
                <w:color w:val="auto"/>
              </w:rPr>
            </w:pPr>
            <w:r>
              <w:rPr>
                <w:rFonts w:ascii="Arial" w:cs="Arial" w:eastAsia="Arial" w:hAnsi="Arial"/>
                <w:sz w:val="20"/>
                <w:szCs w:val="20"/>
                <w:color w:val="auto"/>
              </w:rPr>
              <w:t>10,698</w:t>
            </w:r>
          </w:p>
        </w:tc>
      </w:tr>
      <w:tr>
        <w:trPr>
          <w:trHeight w:val="29"/>
        </w:trPr>
        <w:tc>
          <w:tcPr>
            <w:tcW w:w="4740" w:type="dxa"/>
            <w:vAlign w:val="bottom"/>
            <w:tcBorders>
              <w:bottom w:val="single" w:sz="8" w:color="0E3C23"/>
            </w:tcBorders>
          </w:tcPr>
          <w:p>
            <w:pPr>
              <w:spacing w:after="0"/>
              <w:rPr>
                <w:sz w:val="2"/>
                <w:szCs w:val="2"/>
                <w:color w:val="auto"/>
              </w:rPr>
            </w:pPr>
          </w:p>
        </w:tc>
        <w:tc>
          <w:tcPr>
            <w:tcW w:w="3720" w:type="dxa"/>
            <w:vAlign w:val="bottom"/>
            <w:tcBorders>
              <w:bottom w:val="single" w:sz="8" w:color="0E3C23"/>
            </w:tcBorders>
          </w:tcPr>
          <w:p>
            <w:pPr>
              <w:spacing w:after="0"/>
              <w:rPr>
                <w:sz w:val="2"/>
                <w:szCs w:val="2"/>
                <w:color w:val="auto"/>
              </w:rPr>
            </w:pPr>
          </w:p>
        </w:tc>
      </w:tr>
      <w:tr>
        <w:trPr>
          <w:trHeight w:val="251"/>
        </w:trPr>
        <w:tc>
          <w:tcPr>
            <w:tcW w:w="4740" w:type="dxa"/>
            <w:vAlign w:val="bottom"/>
          </w:tcPr>
          <w:p>
            <w:pPr>
              <w:ind w:left="60"/>
              <w:spacing w:after="0"/>
              <w:rPr>
                <w:sz w:val="20"/>
                <w:szCs w:val="20"/>
                <w:color w:val="auto"/>
              </w:rPr>
            </w:pPr>
            <w:r>
              <w:rPr>
                <w:rFonts w:ascii="Arial" w:cs="Arial" w:eastAsia="Arial" w:hAnsi="Arial"/>
                <w:sz w:val="20"/>
                <w:szCs w:val="20"/>
                <w:b w:val="1"/>
                <w:bCs w:val="1"/>
                <w:color w:val="auto"/>
              </w:rPr>
              <w:t>Mr. Morris</w:t>
            </w:r>
          </w:p>
        </w:tc>
        <w:tc>
          <w:tcPr>
            <w:tcW w:w="3720" w:type="dxa"/>
            <w:vAlign w:val="bottom"/>
          </w:tcPr>
          <w:p>
            <w:pPr>
              <w:jc w:val="right"/>
              <w:ind w:right="46"/>
              <w:spacing w:after="0"/>
              <w:rPr>
                <w:sz w:val="20"/>
                <w:szCs w:val="20"/>
                <w:color w:val="auto"/>
              </w:rPr>
            </w:pPr>
            <w:r>
              <w:rPr>
                <w:rFonts w:ascii="Arial" w:cs="Arial" w:eastAsia="Arial" w:hAnsi="Arial"/>
                <w:sz w:val="20"/>
                <w:szCs w:val="20"/>
                <w:color w:val="auto"/>
              </w:rPr>
              <w:t>13,721</w:t>
            </w:r>
          </w:p>
        </w:tc>
      </w:tr>
      <w:tr>
        <w:trPr>
          <w:trHeight w:val="29"/>
        </w:trPr>
        <w:tc>
          <w:tcPr>
            <w:tcW w:w="4740" w:type="dxa"/>
            <w:vAlign w:val="bottom"/>
            <w:tcBorders>
              <w:bottom w:val="single" w:sz="8" w:color="0E3C23"/>
            </w:tcBorders>
          </w:tcPr>
          <w:p>
            <w:pPr>
              <w:spacing w:after="0"/>
              <w:rPr>
                <w:sz w:val="2"/>
                <w:szCs w:val="2"/>
                <w:color w:val="auto"/>
              </w:rPr>
            </w:pPr>
          </w:p>
        </w:tc>
        <w:tc>
          <w:tcPr>
            <w:tcW w:w="3720" w:type="dxa"/>
            <w:vAlign w:val="bottom"/>
            <w:tcBorders>
              <w:bottom w:val="single" w:sz="8" w:color="0E3C23"/>
            </w:tcBorders>
          </w:tcPr>
          <w:p>
            <w:pPr>
              <w:spacing w:after="0"/>
              <w:rPr>
                <w:sz w:val="2"/>
                <w:szCs w:val="2"/>
                <w:color w:val="auto"/>
              </w:rPr>
            </w:pPr>
          </w:p>
        </w:tc>
      </w:tr>
      <w:tr>
        <w:trPr>
          <w:trHeight w:val="251"/>
        </w:trPr>
        <w:tc>
          <w:tcPr>
            <w:tcW w:w="4740" w:type="dxa"/>
            <w:vAlign w:val="bottom"/>
          </w:tcPr>
          <w:p>
            <w:pPr>
              <w:ind w:left="60"/>
              <w:spacing w:after="0"/>
              <w:rPr>
                <w:sz w:val="20"/>
                <w:szCs w:val="20"/>
                <w:color w:val="auto"/>
              </w:rPr>
            </w:pPr>
            <w:r>
              <w:rPr>
                <w:rFonts w:ascii="Arial" w:cs="Arial" w:eastAsia="Arial" w:hAnsi="Arial"/>
                <w:sz w:val="20"/>
                <w:szCs w:val="20"/>
                <w:b w:val="1"/>
                <w:bCs w:val="1"/>
                <w:color w:val="auto"/>
              </w:rPr>
              <w:t>Ms. Hemmer</w:t>
            </w:r>
          </w:p>
        </w:tc>
        <w:tc>
          <w:tcPr>
            <w:tcW w:w="3720" w:type="dxa"/>
            <w:vAlign w:val="bottom"/>
          </w:tcPr>
          <w:p>
            <w:pPr>
              <w:jc w:val="right"/>
              <w:ind w:right="46"/>
              <w:spacing w:after="0"/>
              <w:rPr>
                <w:sz w:val="20"/>
                <w:szCs w:val="20"/>
                <w:color w:val="auto"/>
              </w:rPr>
            </w:pPr>
            <w:r>
              <w:rPr>
                <w:rFonts w:ascii="Arial" w:cs="Arial" w:eastAsia="Arial" w:hAnsi="Arial"/>
                <w:sz w:val="20"/>
                <w:szCs w:val="20"/>
                <w:color w:val="auto"/>
              </w:rPr>
              <w:t>9,302</w:t>
            </w:r>
          </w:p>
        </w:tc>
      </w:tr>
      <w:tr>
        <w:trPr>
          <w:trHeight w:val="29"/>
        </w:trPr>
        <w:tc>
          <w:tcPr>
            <w:tcW w:w="4740" w:type="dxa"/>
            <w:vAlign w:val="bottom"/>
            <w:tcBorders>
              <w:bottom w:val="single" w:sz="8" w:color="0E3C23"/>
            </w:tcBorders>
          </w:tcPr>
          <w:p>
            <w:pPr>
              <w:spacing w:after="0"/>
              <w:rPr>
                <w:sz w:val="2"/>
                <w:szCs w:val="2"/>
                <w:color w:val="auto"/>
              </w:rPr>
            </w:pPr>
          </w:p>
        </w:tc>
        <w:tc>
          <w:tcPr>
            <w:tcW w:w="3720" w:type="dxa"/>
            <w:vAlign w:val="bottom"/>
            <w:tcBorders>
              <w:bottom w:val="single" w:sz="8" w:color="0E3C23"/>
            </w:tcBorders>
          </w:tcPr>
          <w:p>
            <w:pPr>
              <w:spacing w:after="0"/>
              <w:rPr>
                <w:sz w:val="2"/>
                <w:szCs w:val="2"/>
                <w:color w:val="auto"/>
              </w:rPr>
            </w:pPr>
          </w:p>
        </w:tc>
      </w:tr>
      <w:tr>
        <w:trPr>
          <w:trHeight w:val="251"/>
        </w:trPr>
        <w:tc>
          <w:tcPr>
            <w:tcW w:w="4740" w:type="dxa"/>
            <w:vAlign w:val="bottom"/>
          </w:tcPr>
          <w:p>
            <w:pPr>
              <w:ind w:left="60"/>
              <w:spacing w:after="0"/>
              <w:rPr>
                <w:sz w:val="20"/>
                <w:szCs w:val="20"/>
                <w:color w:val="auto"/>
              </w:rPr>
            </w:pPr>
            <w:r>
              <w:rPr>
                <w:rFonts w:ascii="Arial" w:cs="Arial" w:eastAsia="Arial" w:hAnsi="Arial"/>
                <w:sz w:val="20"/>
                <w:szCs w:val="20"/>
                <w:b w:val="1"/>
                <w:bCs w:val="1"/>
                <w:color w:val="auto"/>
              </w:rPr>
              <w:t>Mr. Carrasco</w:t>
            </w:r>
          </w:p>
        </w:tc>
        <w:tc>
          <w:tcPr>
            <w:tcW w:w="3720" w:type="dxa"/>
            <w:vAlign w:val="bottom"/>
          </w:tcPr>
          <w:p>
            <w:pPr>
              <w:jc w:val="right"/>
              <w:ind w:right="46"/>
              <w:spacing w:after="0"/>
              <w:rPr>
                <w:sz w:val="20"/>
                <w:szCs w:val="20"/>
                <w:color w:val="auto"/>
              </w:rPr>
            </w:pPr>
            <w:r>
              <w:rPr>
                <w:rFonts w:ascii="Arial" w:cs="Arial" w:eastAsia="Arial" w:hAnsi="Arial"/>
                <w:sz w:val="20"/>
                <w:szCs w:val="20"/>
                <w:color w:val="auto"/>
              </w:rPr>
              <w:t>9,302</w:t>
            </w:r>
          </w:p>
        </w:tc>
      </w:tr>
      <w:tr>
        <w:trPr>
          <w:trHeight w:val="34"/>
        </w:trPr>
        <w:tc>
          <w:tcPr>
            <w:tcW w:w="4740" w:type="dxa"/>
            <w:vAlign w:val="bottom"/>
            <w:tcBorders>
              <w:bottom w:val="single" w:sz="8" w:color="0E3C23"/>
            </w:tcBorders>
          </w:tcPr>
          <w:p>
            <w:pPr>
              <w:spacing w:after="0"/>
              <w:rPr>
                <w:sz w:val="2"/>
                <w:szCs w:val="2"/>
                <w:color w:val="auto"/>
              </w:rPr>
            </w:pPr>
          </w:p>
        </w:tc>
        <w:tc>
          <w:tcPr>
            <w:tcW w:w="3720" w:type="dxa"/>
            <w:vAlign w:val="bottom"/>
            <w:tcBorders>
              <w:bottom w:val="single" w:sz="8" w:color="0E3C23"/>
            </w:tcBorders>
          </w:tcPr>
          <w:p>
            <w:pPr>
              <w:spacing w:after="0"/>
              <w:rPr>
                <w:sz w:val="2"/>
                <w:szCs w:val="2"/>
                <w:color w:val="auto"/>
              </w:rPr>
            </w:pPr>
          </w:p>
        </w:tc>
      </w:tr>
    </w:tbl>
    <w:p>
      <w:pPr>
        <w:spacing w:after="0" w:line="73" w:lineRule="exact"/>
        <w:rPr>
          <w:sz w:val="20"/>
          <w:szCs w:val="20"/>
          <w:color w:val="auto"/>
        </w:rPr>
      </w:pPr>
    </w:p>
    <w:p>
      <w:pPr>
        <w:jc w:val="both"/>
        <w:ind w:left="180" w:right="200"/>
        <w:spacing w:after="0" w:line="244" w:lineRule="auto"/>
        <w:rPr>
          <w:sz w:val="20"/>
          <w:szCs w:val="20"/>
          <w:color w:val="auto"/>
        </w:rPr>
      </w:pPr>
      <w:r>
        <w:rPr>
          <w:rFonts w:ascii="Arial" w:cs="Arial" w:eastAsia="Arial" w:hAnsi="Arial"/>
          <w:sz w:val="20"/>
          <w:szCs w:val="20"/>
          <w:color w:val="auto"/>
        </w:rPr>
        <w:t>The stock options granted in 2024 vest ratably in three annual increments, beginning on the first anniversary of the date of grant. The exercise price of the options granted in 2024 is $204.7585, which is the average of the high and low market price of our Common Stock on the date of grant, and the options have a term of 10 years. We account for our employee stock options under ASC Topic 718 using a Black-Scholes valuation model to measure stock option expense at the date of grant. The fair value of the stock options at the date of grant is amortized to expense over the vesting period less expected forfeitures, except for stock options granted to retirement-eligible employees, for which expense is accelerated over the period that the recipient becomes retirement-eligible.</w:t>
      </w:r>
    </w:p>
    <w:p>
      <w:pPr>
        <w:spacing w:after="0" w:line="131" w:lineRule="exact"/>
        <w:rPr>
          <w:sz w:val="20"/>
          <w:szCs w:val="20"/>
          <w:color w:val="auto"/>
        </w:rPr>
      </w:pPr>
    </w:p>
    <w:p>
      <w:pPr>
        <w:jc w:val="both"/>
        <w:ind w:left="180" w:right="200"/>
        <w:spacing w:after="0" w:line="245" w:lineRule="auto"/>
        <w:rPr>
          <w:sz w:val="20"/>
          <w:szCs w:val="20"/>
          <w:color w:val="auto"/>
        </w:rPr>
      </w:pPr>
      <w:r>
        <w:rPr>
          <w:rFonts w:ascii="Arial" w:cs="Arial" w:eastAsia="Arial" w:hAnsi="Arial"/>
          <w:sz w:val="20"/>
          <w:szCs w:val="20"/>
          <w:i w:val="1"/>
          <w:iCs w:val="1"/>
          <w:u w:val="single" w:color="auto"/>
          <w:color w:val="auto"/>
        </w:rPr>
        <w:t>Restricted Stock Units.</w:t>
      </w:r>
      <w:r>
        <w:rPr>
          <w:rFonts w:ascii="Arial" w:cs="Arial" w:eastAsia="Arial" w:hAnsi="Arial"/>
          <w:sz w:val="20"/>
          <w:szCs w:val="20"/>
          <w:i w:val="1"/>
          <w:iCs w:val="1"/>
          <w:color w:val="auto"/>
        </w:rPr>
        <w:t xml:space="preserve"> </w:t>
      </w:r>
      <w:r>
        <w:rPr>
          <w:rFonts w:ascii="Arial" w:cs="Arial" w:eastAsia="Arial" w:hAnsi="Arial"/>
          <w:sz w:val="20"/>
          <w:szCs w:val="20"/>
          <w:color w:val="auto"/>
        </w:rPr>
        <w:t>The Company did not grant any RSUs to the named executives in 2024. Each of the named</w:t>
      </w:r>
      <w:r>
        <w:rPr>
          <w:rFonts w:ascii="Arial" w:cs="Arial" w:eastAsia="Arial" w:hAnsi="Arial"/>
          <w:sz w:val="20"/>
          <w:szCs w:val="20"/>
          <w:i w:val="1"/>
          <w:iCs w:val="1"/>
          <w:color w:val="auto"/>
        </w:rPr>
        <w:t xml:space="preserve"> </w:t>
      </w:r>
      <w:r>
        <w:rPr>
          <w:rFonts w:ascii="Arial" w:cs="Arial" w:eastAsia="Arial" w:hAnsi="Arial"/>
          <w:sz w:val="20"/>
          <w:szCs w:val="20"/>
          <w:color w:val="auto"/>
        </w:rPr>
        <w:t>executives, other than Mr. Fish, held RSUs that were granted in 2022 in connection with achievement of targeted synergies from the Company’s 2020 acquisition of Advanced Disposal. Such RSUs vested in the first quarter of 2025. Mr. Carrasco also had RSUs vest in 2024 that were granted prior to his promotion to the senior leadership team. The RSUs discussed in this paragraph vested in full on the third anniversary of the date of grant. Dividends on the RSUs accrued and were paid in cash upon vesting. Following such vestings, none of the named executives currently hold unvested RSUs.</w:t>
      </w:r>
    </w:p>
    <w:p>
      <w:pPr>
        <w:spacing w:after="0" w:line="133" w:lineRule="exact"/>
        <w:rPr>
          <w:sz w:val="20"/>
          <w:szCs w:val="20"/>
          <w:color w:val="auto"/>
        </w:rPr>
      </w:pPr>
    </w:p>
    <w:p>
      <w:pPr>
        <w:jc w:val="both"/>
        <w:ind w:left="180" w:right="200"/>
        <w:spacing w:after="0" w:line="246" w:lineRule="auto"/>
        <w:rPr>
          <w:sz w:val="20"/>
          <w:szCs w:val="20"/>
          <w:color w:val="auto"/>
        </w:rPr>
      </w:pPr>
      <w:r>
        <w:rPr>
          <w:rFonts w:ascii="Arial" w:cs="Arial" w:eastAsia="Arial" w:hAnsi="Arial"/>
          <w:sz w:val="20"/>
          <w:szCs w:val="20"/>
          <w:color w:val="auto"/>
        </w:rPr>
        <w:t>The MD&amp;C Committee anticipates that grants of RSUs to named executives will continue to be made on a limited basis in cases such as a significant promotion, increased responsibilities, special recognition and to attract new hires, and that RSUs will not be a routine component of named executive compensation. Unvested RSUs are subject to forfeiture in the event of voluntary or for-cause termination. RSUs will be prorated upon involuntary termination other than for cause, and RSUs immediately vest in the event of an employee’s death or disability</w:t>
      </w:r>
      <w:r>
        <w:rPr>
          <w:rFonts w:ascii="Arial" w:cs="Arial" w:eastAsia="Arial" w:hAnsi="Arial"/>
          <w:sz w:val="20"/>
          <w:szCs w:val="20"/>
          <w:i w:val="1"/>
          <w:iCs w:val="1"/>
          <w:color w:val="auto"/>
        </w:rPr>
        <w:t>.</w:t>
      </w:r>
      <w:r>
        <w:rPr>
          <w:rFonts w:ascii="Arial" w:cs="Arial" w:eastAsia="Arial" w:hAnsi="Arial"/>
          <w:sz w:val="20"/>
          <w:szCs w:val="20"/>
          <w:color w:val="auto"/>
        </w:rPr>
        <w:t xml:space="preserve"> The RSUs may not be voted or sold until vested.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0E3C23"/>
        </w:rPr>
        <w:t>Post-Employment and Change in Control Compensation; Clawback Policies</w:t>
      </w:r>
    </w:p>
    <w:p>
      <w:pPr>
        <w:spacing w:after="0" w:line="147" w:lineRule="exact"/>
        <w:rPr>
          <w:sz w:val="20"/>
          <w:szCs w:val="20"/>
          <w:color w:val="auto"/>
        </w:rPr>
      </w:pPr>
    </w:p>
    <w:p>
      <w:pPr>
        <w:jc w:val="both"/>
        <w:ind w:left="180" w:right="200"/>
        <w:spacing w:after="0" w:line="261" w:lineRule="auto"/>
        <w:rPr>
          <w:sz w:val="20"/>
          <w:szCs w:val="20"/>
          <w:color w:val="auto"/>
        </w:rPr>
      </w:pPr>
      <w:r>
        <w:rPr>
          <w:rFonts w:ascii="Arial" w:cs="Arial" w:eastAsia="Arial" w:hAnsi="Arial"/>
          <w:sz w:val="19"/>
          <w:szCs w:val="19"/>
          <w:i w:val="1"/>
          <w:iCs w:val="1"/>
          <w:u w:val="single" w:color="auto"/>
          <w:color w:val="auto"/>
        </w:rPr>
        <w:t>Severance Protection Plan.</w:t>
      </w:r>
      <w:r>
        <w:rPr>
          <w:rFonts w:ascii="Arial" w:cs="Arial" w:eastAsia="Arial" w:hAnsi="Arial"/>
          <w:sz w:val="19"/>
          <w:szCs w:val="19"/>
          <w:i w:val="1"/>
          <w:iCs w:val="1"/>
          <w:color w:val="auto"/>
        </w:rPr>
        <w:t xml:space="preserve"> </w:t>
      </w:r>
      <w:r>
        <w:rPr>
          <w:rFonts w:ascii="Arial" w:cs="Arial" w:eastAsia="Arial" w:hAnsi="Arial"/>
          <w:sz w:val="19"/>
          <w:szCs w:val="19"/>
          <w:color w:val="auto"/>
        </w:rPr>
        <w:t>In December 2017, we adopted an Executive Severance Protection Plan (the “Severance</w:t>
      </w:r>
      <w:r>
        <w:rPr>
          <w:rFonts w:ascii="Arial" w:cs="Arial" w:eastAsia="Arial" w:hAnsi="Arial"/>
          <w:sz w:val="19"/>
          <w:szCs w:val="19"/>
          <w:i w:val="1"/>
          <w:iCs w:val="1"/>
          <w:color w:val="auto"/>
        </w:rPr>
        <w:t xml:space="preserve"> </w:t>
      </w:r>
      <w:r>
        <w:rPr>
          <w:rFonts w:ascii="Arial" w:cs="Arial" w:eastAsia="Arial" w:hAnsi="Arial"/>
          <w:sz w:val="19"/>
          <w:szCs w:val="19"/>
          <w:color w:val="auto"/>
        </w:rPr>
        <w:t>Protection Plan”) and each of Messrs. Fish and Morris and Ms. Rankin entered into new or amended and restated employment agreements (the “2017 Employment Agreements”). The Severance Protection Plan covers each of our executive officers. The 2017 Employment Agreements do not contain separate severance entitlements, but instead provide for additional terms and protections relating to the respective executive’s participation in the Severance Protection Plan. The 2017 Employment Agreements served to transition the Company’s severance protections away from contract-based protections and onto a standardized and flexible plan-based approach. Going forward, the Company does not anticipate entering into new employment agreements with our executive officers, and neither Ms. Hemmer nor Mr. Carrasco is a party to an employment agreement with the Company.</w:t>
      </w:r>
    </w:p>
    <w:p>
      <w:pPr>
        <w:spacing w:after="0" w:line="119" w:lineRule="exact"/>
        <w:rPr>
          <w:sz w:val="20"/>
          <w:szCs w:val="20"/>
          <w:color w:val="auto"/>
        </w:rPr>
      </w:pPr>
    </w:p>
    <w:p>
      <w:pPr>
        <w:jc w:val="both"/>
        <w:ind w:left="180" w:right="200"/>
        <w:spacing w:after="0" w:line="279" w:lineRule="auto"/>
        <w:rPr>
          <w:sz w:val="20"/>
          <w:szCs w:val="20"/>
          <w:color w:val="auto"/>
        </w:rPr>
      </w:pPr>
      <w:r>
        <w:rPr>
          <w:rFonts w:ascii="Arial" w:cs="Arial" w:eastAsia="Arial" w:hAnsi="Arial"/>
          <w:sz w:val="18"/>
          <w:szCs w:val="18"/>
          <w:i w:val="1"/>
          <w:iCs w:val="1"/>
          <w:u w:val="single" w:color="auto"/>
          <w:color w:val="auto"/>
        </w:rPr>
        <w:t>Post-Employment Covenants.</w:t>
      </w:r>
      <w:r>
        <w:rPr>
          <w:rFonts w:ascii="Arial" w:cs="Arial" w:eastAsia="Arial" w:hAnsi="Arial"/>
          <w:sz w:val="18"/>
          <w:szCs w:val="18"/>
          <w:i w:val="1"/>
          <w:iCs w:val="1"/>
          <w:color w:val="auto"/>
        </w:rPr>
        <w:t xml:space="preserve"> </w:t>
      </w:r>
      <w:r>
        <w:rPr>
          <w:rFonts w:ascii="Arial" w:cs="Arial" w:eastAsia="Arial" w:hAnsi="Arial"/>
          <w:sz w:val="18"/>
          <w:szCs w:val="18"/>
          <w:color w:val="auto"/>
        </w:rPr>
        <w:t>The 2017 Employment Agreements contain noncompetition and nonsolicitation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apply during employment and for a two-year period following termination. Additionally, the Severance Protection Plan contains (a) a requirement that the individual execute a general release prior to receiving post-termination benefits and (b) a clawback feature that allows for the suspension and refund of termination benefits for subsequently discovered cause. The clawback feature generally allows the Company to cancel any remaining payments due and obligates the named executive to refund to the Company severance payments already made if, within one year of termination of</w:t>
      </w:r>
    </w:p>
    <w:p>
      <w:pPr>
        <w:spacing w:after="0" w:line="396"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34">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35">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sectPr>
      </w:pPr>
    </w:p>
    <w:bookmarkStart w:id="52" w:name="page53"/>
    <w:bookmarkEnd w:id="52"/>
    <w:p>
      <w:pPr>
        <w:ind w:left="798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279" w:lineRule="exact"/>
        <w:rPr>
          <w:sz w:val="20"/>
          <w:szCs w:val="20"/>
          <w:color w:val="auto"/>
        </w:rPr>
      </w:pPr>
    </w:p>
    <w:p>
      <w:pPr>
        <w:jc w:val="both"/>
        <w:ind w:left="180" w:right="200"/>
        <w:spacing w:after="0" w:line="263" w:lineRule="auto"/>
        <w:rPr>
          <w:sz w:val="20"/>
          <w:szCs w:val="20"/>
          <w:color w:val="auto"/>
        </w:rPr>
      </w:pPr>
      <w:r>
        <w:rPr>
          <w:rFonts w:ascii="Arial" w:cs="Arial" w:eastAsia="Arial" w:hAnsi="Arial"/>
          <w:sz w:val="19"/>
          <w:szCs w:val="19"/>
          <w:color w:val="auto"/>
        </w:rPr>
        <w:t>employment of the named executive by the Company for any reason other than for cause, the Company determines that the named executive could have been terminated for cause. Our current equity award agreements also include a requirement that, in order to be eligible to vest in any portion of the award, the employee must enter into an agreement containing restrictive covenants applicable to the employee’s behavior following termination.</w:t>
      </w:r>
    </w:p>
    <w:p>
      <w:pPr>
        <w:spacing w:after="0" w:line="112" w:lineRule="exact"/>
        <w:rPr>
          <w:sz w:val="20"/>
          <w:szCs w:val="20"/>
          <w:color w:val="auto"/>
        </w:rPr>
      </w:pPr>
    </w:p>
    <w:p>
      <w:pPr>
        <w:jc w:val="both"/>
        <w:ind w:left="180" w:right="200"/>
        <w:spacing w:after="0" w:line="262" w:lineRule="auto"/>
        <w:rPr>
          <w:sz w:val="20"/>
          <w:szCs w:val="20"/>
          <w:color w:val="auto"/>
        </w:rPr>
      </w:pPr>
      <w:r>
        <w:rPr>
          <w:rFonts w:ascii="Arial" w:cs="Arial" w:eastAsia="Arial" w:hAnsi="Arial"/>
          <w:sz w:val="19"/>
          <w:szCs w:val="19"/>
          <w:i w:val="1"/>
          <w:iCs w:val="1"/>
          <w:u w:val="single" w:color="auto"/>
          <w:color w:val="auto"/>
        </w:rPr>
        <w:t>Clawback Policies.</w:t>
      </w:r>
      <w:r>
        <w:rPr>
          <w:rFonts w:ascii="Arial" w:cs="Arial" w:eastAsia="Arial" w:hAnsi="Arial"/>
          <w:sz w:val="19"/>
          <w:szCs w:val="19"/>
          <w:i w:val="1"/>
          <w:iCs w:val="1"/>
          <w:color w:val="auto"/>
        </w:rPr>
        <w:t xml:space="preserve"> </w:t>
      </w:r>
      <w:r>
        <w:rPr>
          <w:rFonts w:ascii="Arial" w:cs="Arial" w:eastAsia="Arial" w:hAnsi="Arial"/>
          <w:sz w:val="19"/>
          <w:szCs w:val="19"/>
          <w:color w:val="auto"/>
        </w:rPr>
        <w:t>In 2023, the MD&amp;C Committee adopted the executive compensation clawback policy mandated by the</w:t>
      </w:r>
      <w:r>
        <w:rPr>
          <w:rFonts w:ascii="Arial" w:cs="Arial" w:eastAsia="Arial" w:hAnsi="Arial"/>
          <w:sz w:val="19"/>
          <w:szCs w:val="19"/>
          <w:i w:val="1"/>
          <w:iCs w:val="1"/>
          <w:color w:val="auto"/>
        </w:rPr>
        <w:t xml:space="preserve"> </w:t>
      </w:r>
      <w:r>
        <w:rPr>
          <w:rFonts w:ascii="Arial" w:cs="Arial" w:eastAsia="Arial" w:hAnsi="Arial"/>
          <w:sz w:val="19"/>
          <w:szCs w:val="19"/>
          <w:color w:val="auto"/>
        </w:rPr>
        <w:t>New York Stock Exchange, which is accessible through the Exhibit List to the Company’s Annual Report on Form 10-K. This clawback policy provides for the recovery of erroneously awarded incentive-based compensation received by current and former executive officers in connection with a financial restatement, regardless of fault or misconduct. No obligation has arisen to recover executive compensation pursuant to this policy.</w:t>
      </w:r>
    </w:p>
    <w:p>
      <w:pPr>
        <w:spacing w:after="0" w:line="115" w:lineRule="exact"/>
        <w:rPr>
          <w:sz w:val="20"/>
          <w:szCs w:val="20"/>
          <w:color w:val="auto"/>
        </w:rPr>
      </w:pPr>
    </w:p>
    <w:p>
      <w:pPr>
        <w:jc w:val="both"/>
        <w:ind w:left="180" w:right="200"/>
        <w:spacing w:after="0" w:line="261" w:lineRule="auto"/>
        <w:rPr>
          <w:sz w:val="20"/>
          <w:szCs w:val="20"/>
          <w:color w:val="auto"/>
        </w:rPr>
      </w:pPr>
      <w:r>
        <w:rPr>
          <w:rFonts w:ascii="Arial" w:cs="Arial" w:eastAsia="Arial" w:hAnsi="Arial"/>
          <w:sz w:val="19"/>
          <w:szCs w:val="19"/>
          <w:color w:val="auto"/>
        </w:rPr>
        <w:t>Additionally, our award agreements for both time-based and performance-based equity awards include compensation clawback provisions that provide, if the MD&amp;C Committee determines that an employee either engaged in or benefited from misconduct, then the employee will refund any amounts received under the equity award agreements. Misconduct generally includes any act or failure to act that caused or was intended to cause a violation of the Company’s policies, generally accepted accounting principles or applicable laws and that materially increased the value of the equity award. Further, our MD&amp;C Committee has adopted a clawback policy applicable to our annual cash incentive awards that is designed to recoup annual cash incentive payments when the recipient’s personal misconduct affects the payout calculations for the awards. Clawback terms applicable to our incentive awards allow recovery within the earlier to occur of one year after discovery of misconduct and the second anniversary of the employee’s termination of employment.</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0E3C23"/>
        </w:rPr>
        <w:t>Other Compensation Policies and Practices</w:t>
      </w:r>
    </w:p>
    <w:p>
      <w:pPr>
        <w:spacing w:after="0" w:line="147" w:lineRule="exact"/>
        <w:rPr>
          <w:sz w:val="20"/>
          <w:szCs w:val="20"/>
          <w:color w:val="auto"/>
        </w:rPr>
      </w:pPr>
    </w:p>
    <w:p>
      <w:pPr>
        <w:jc w:val="both"/>
        <w:ind w:left="180" w:right="200"/>
        <w:spacing w:after="0" w:line="278" w:lineRule="auto"/>
        <w:rPr>
          <w:sz w:val="20"/>
          <w:szCs w:val="20"/>
          <w:color w:val="auto"/>
        </w:rPr>
      </w:pPr>
      <w:r>
        <w:rPr>
          <w:rFonts w:ascii="Arial" w:cs="Arial" w:eastAsia="Arial" w:hAnsi="Arial"/>
          <w:sz w:val="18"/>
          <w:szCs w:val="18"/>
          <w:i w:val="1"/>
          <w:iCs w:val="1"/>
          <w:u w:val="single" w:color="auto"/>
          <w:color w:val="auto"/>
        </w:rPr>
        <w:t>Compensation Limitation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adopted a Severance Limitation Policy that generally provides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may not enter into severance arrangements with its executive officers that provide for benefits, less the value of vested equity awards and benefits provided to employees generally, in an amount that exceeds 2.99 times the executive officer’s then current base salary and target annual cash incentive, unless such future severance arrangement receives stockholder approval. The Company has also adopted its Policy Limiting Certain Compensation Practices, which generally provides that the Company will not enter into compensation arrangements that would obligate the Company to pay a death benefit or gross-up payment to an executive officer unless such arrangement receives stockholder approval. Both of these compensation limitation policies are subject to certain exceptions, including benefits generally available to management-level employees and any payment in reasonable settlement of a legal claim. Additionally, “Death Benefits” under the policy does not include deferred compensation, retirement benefits or accelerated vesting or continuation of equity-based awards pursuant to generally-applicable equity award plan provisions. None of our executive officers are party to any employment agreement or arrangement with the Company that provides for severance, gross-up or death benefits that exceed amounts permitted by these compensation limitation policies.</w:t>
      </w:r>
    </w:p>
    <w:p>
      <w:pPr>
        <w:spacing w:after="0" w:line="112" w:lineRule="exact"/>
        <w:rPr>
          <w:sz w:val="20"/>
          <w:szCs w:val="20"/>
          <w:color w:val="auto"/>
        </w:rPr>
      </w:pPr>
    </w:p>
    <w:p>
      <w:pPr>
        <w:jc w:val="both"/>
        <w:ind w:left="180" w:right="180"/>
        <w:spacing w:after="0" w:line="279" w:lineRule="auto"/>
        <w:rPr>
          <w:sz w:val="20"/>
          <w:szCs w:val="20"/>
          <w:color w:val="auto"/>
        </w:rPr>
      </w:pPr>
      <w:r>
        <w:rPr>
          <w:rFonts w:ascii="Arial" w:cs="Arial" w:eastAsia="Arial" w:hAnsi="Arial"/>
          <w:sz w:val="18"/>
          <w:szCs w:val="18"/>
          <w:i w:val="1"/>
          <w:iCs w:val="1"/>
          <w:u w:val="single" w:color="auto"/>
          <w:color w:val="auto"/>
        </w:rPr>
        <w:t>Stock Ownership Guidelines and Holding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All of our named executive officers are subject to stock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We instituted stock ownership guidelines because we believe that ownership of Company stock demonstrates a commitment to, and confidence in, the Company’s long-term prospects and further aligns employees’ interests with those of our stockholders. We believe that the requirement that these individuals maintain a portion of their individual wealth in the form of Company stock deters actions that would not benefit stockholders generally. Although there is no deadline set for senior executives to reach their ownership guidelines, the MD&amp;C Committee monitors ownership levels to confirm that executives are making sustained progress toward achievement of their ownership guidelines. Additionally, our stock ownership guidelines contain holding requirements. Executives with a title of Senior Vice President or higher, which includes all of our named executives, must hold 100% of all net shares acquired through the Company’s long-term incentive plans until the individual’s ownership guideline is achieved. Once achieved, the requisite stock ownership level must continue to be retained throughout the executive’s employment with the Company.</w:t>
      </w:r>
    </w:p>
    <w:p>
      <w:pPr>
        <w:spacing w:after="0" w:line="107" w:lineRule="exact"/>
        <w:rPr>
          <w:sz w:val="20"/>
          <w:szCs w:val="20"/>
          <w:color w:val="auto"/>
        </w:rPr>
      </w:pPr>
    </w:p>
    <w:p>
      <w:pPr>
        <w:jc w:val="both"/>
        <w:ind w:left="180" w:right="200"/>
        <w:spacing w:after="0" w:line="281" w:lineRule="auto"/>
        <w:rPr>
          <w:sz w:val="20"/>
          <w:szCs w:val="20"/>
          <w:color w:val="auto"/>
        </w:rPr>
      </w:pPr>
      <w:r>
        <w:rPr>
          <w:rFonts w:ascii="Arial" w:cs="Arial" w:eastAsia="Arial" w:hAnsi="Arial"/>
          <w:sz w:val="18"/>
          <w:szCs w:val="18"/>
          <w:color w:val="auto"/>
        </w:rPr>
        <w:t>The MD&amp;C Committee regularly reviews the ownership guidelines to ensure that the appropriate share ownership levels are in place. Guidelines are expressed as a multiple of base salary and are calculated annually based on the average closing price of our Common Stock for the 20 trading days preceding April 1. Each named executive’s ownership guideline multiple of base salary and ownership multiple of base salary attained as of March 18, 2025 using the closing price of our Common Stock on such date and base salaries in effect on December 31, 2024, are set forth below. Shares owned outright, vested equity awards that have been deferred, Common Stock equivalents based on holdings in the Company’s 401(k) Retirement Savings Plan and phantom stock held in the Company’s 409A Deferral Plan count toward</w:t>
      </w:r>
    </w:p>
    <w:p>
      <w:pPr>
        <w:spacing w:after="0" w:line="393"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-207010</wp:posOffset>
            </wp:positionV>
            <wp:extent cx="538480" cy="1619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36">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sectPr>
      </w:pPr>
    </w:p>
    <w:bookmarkStart w:id="53" w:name="page54"/>
    <w:bookmarkEnd w:id="53"/>
    <w:p>
      <w:pPr>
        <w:ind w:left="180"/>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210" w:lineRule="exact"/>
        <w:rPr>
          <w:sz w:val="20"/>
          <w:szCs w:val="20"/>
          <w:color w:val="auto"/>
        </w:rPr>
      </w:pPr>
    </w:p>
    <w:p>
      <w:pPr>
        <w:jc w:val="both"/>
        <w:ind w:left="180" w:right="200"/>
        <w:spacing w:after="0" w:line="246" w:lineRule="auto"/>
        <w:rPr>
          <w:sz w:val="20"/>
          <w:szCs w:val="20"/>
          <w:color w:val="auto"/>
        </w:rPr>
      </w:pPr>
      <w:r>
        <w:rPr>
          <w:rFonts w:ascii="Arial" w:cs="Arial" w:eastAsia="Arial" w:hAnsi="Arial"/>
          <w:sz w:val="20"/>
          <w:szCs w:val="20"/>
          <w:color w:val="auto"/>
        </w:rPr>
        <w:t>meeting the ownership guidelines. PSUs, RSUs and restricted stock, if any, do not count toward meeting the ownership guidelines until they are vested or earned. Unvested stock options and vested unexercised stock options do not count toward meeting the ownership guidelines.</w:t>
      </w:r>
    </w:p>
    <w:p>
      <w:pPr>
        <w:spacing w:after="0" w:line="101"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0E3C23"/>
              </w:rPr>
              <w:t>Ownership</w:t>
            </w:r>
          </w:p>
        </w:tc>
      </w:tr>
      <w:tr>
        <w:trPr>
          <w:trHeight w:val="160"/>
        </w:trPr>
        <w:tc>
          <w:tcPr>
            <w:tcW w:w="35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26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Multiple of</w:t>
            </w:r>
          </w:p>
        </w:tc>
      </w:tr>
      <w:tr>
        <w:trPr>
          <w:trHeight w:val="160"/>
        </w:trPr>
        <w:tc>
          <w:tcPr>
            <w:tcW w:w="3500" w:type="dxa"/>
            <w:vAlign w:val="bottom"/>
          </w:tcPr>
          <w:p>
            <w:pPr>
              <w:spacing w:after="0"/>
              <w:rPr>
                <w:sz w:val="13"/>
                <w:szCs w:val="13"/>
                <w:color w:val="auto"/>
              </w:rPr>
            </w:pPr>
          </w:p>
        </w:tc>
        <w:tc>
          <w:tcPr>
            <w:tcW w:w="3700" w:type="dxa"/>
            <w:vAlign w:val="bottom"/>
          </w:tcPr>
          <w:p>
            <w:pPr>
              <w:ind w:left="2800"/>
              <w:spacing w:after="0" w:line="160" w:lineRule="exact"/>
              <w:rPr>
                <w:sz w:val="20"/>
                <w:szCs w:val="20"/>
                <w:color w:val="auto"/>
              </w:rPr>
            </w:pPr>
            <w:r>
              <w:rPr>
                <w:rFonts w:ascii="Arial" w:cs="Arial" w:eastAsia="Arial" w:hAnsi="Arial"/>
                <w:sz w:val="16"/>
                <w:szCs w:val="16"/>
                <w:b w:val="1"/>
                <w:bCs w:val="1"/>
                <w:color w:val="0E3C23"/>
              </w:rPr>
              <w:t>Ownership</w:t>
            </w:r>
          </w:p>
        </w:tc>
        <w:tc>
          <w:tcPr>
            <w:tcW w:w="126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Base Salary</w:t>
            </w:r>
          </w:p>
        </w:tc>
      </w:tr>
      <w:tr>
        <w:trPr>
          <w:trHeight w:val="160"/>
        </w:trPr>
        <w:tc>
          <w:tcPr>
            <w:tcW w:w="3500" w:type="dxa"/>
            <w:vAlign w:val="bottom"/>
          </w:tcPr>
          <w:p>
            <w:pPr>
              <w:spacing w:after="0"/>
              <w:rPr>
                <w:sz w:val="13"/>
                <w:szCs w:val="13"/>
                <w:color w:val="auto"/>
              </w:rPr>
            </w:pPr>
          </w:p>
        </w:tc>
        <w:tc>
          <w:tcPr>
            <w:tcW w:w="37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E3C23"/>
              </w:rPr>
              <w:t>Guideline Multiple</w:t>
            </w:r>
          </w:p>
        </w:tc>
        <w:tc>
          <w:tcPr>
            <w:tcW w:w="126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Attained as of</w:t>
            </w:r>
          </w:p>
        </w:tc>
      </w:tr>
      <w:tr>
        <w:trPr>
          <w:trHeight w:val="184"/>
        </w:trPr>
        <w:tc>
          <w:tcPr>
            <w:tcW w:w="3500" w:type="dxa"/>
            <w:vAlign w:val="bottom"/>
          </w:tcPr>
          <w:p>
            <w:pPr>
              <w:spacing w:after="0"/>
              <w:rPr>
                <w:sz w:val="15"/>
                <w:szCs w:val="15"/>
                <w:color w:val="auto"/>
              </w:rPr>
            </w:pPr>
          </w:p>
        </w:tc>
        <w:tc>
          <w:tcPr>
            <w:tcW w:w="3700" w:type="dxa"/>
            <w:vAlign w:val="bottom"/>
          </w:tcPr>
          <w:p>
            <w:pPr>
              <w:jc w:val="right"/>
              <w:ind w:right="28"/>
              <w:spacing w:after="0"/>
              <w:rPr>
                <w:sz w:val="20"/>
                <w:szCs w:val="20"/>
                <w:color w:val="auto"/>
              </w:rPr>
            </w:pPr>
            <w:r>
              <w:rPr>
                <w:rFonts w:ascii="Arial" w:cs="Arial" w:eastAsia="Arial" w:hAnsi="Arial"/>
                <w:sz w:val="16"/>
                <w:szCs w:val="16"/>
                <w:b w:val="1"/>
                <w:bCs w:val="1"/>
                <w:color w:val="0E3C23"/>
              </w:rPr>
              <w:t>of Base Salary</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0E3C23"/>
              </w:rPr>
              <w:t>March 18, 2025</w:t>
            </w:r>
          </w:p>
        </w:tc>
      </w:tr>
      <w:tr>
        <w:trPr>
          <w:trHeight w:val="44"/>
        </w:trPr>
        <w:tc>
          <w:tcPr>
            <w:tcW w:w="3500" w:type="dxa"/>
            <w:vAlign w:val="bottom"/>
            <w:tcBorders>
              <w:bottom w:val="single" w:sz="8" w:color="0E3C23"/>
            </w:tcBorders>
          </w:tcPr>
          <w:p>
            <w:pPr>
              <w:spacing w:after="0"/>
              <w:rPr>
                <w:sz w:val="3"/>
                <w:szCs w:val="3"/>
                <w:color w:val="auto"/>
              </w:rPr>
            </w:pPr>
          </w:p>
        </w:tc>
        <w:tc>
          <w:tcPr>
            <w:tcW w:w="3700" w:type="dxa"/>
            <w:vAlign w:val="bottom"/>
            <w:tcBorders>
              <w:bottom w:val="single" w:sz="8" w:color="0E3C23"/>
            </w:tcBorders>
          </w:tcPr>
          <w:p>
            <w:pPr>
              <w:spacing w:after="0"/>
              <w:rPr>
                <w:sz w:val="3"/>
                <w:szCs w:val="3"/>
                <w:color w:val="auto"/>
              </w:rPr>
            </w:pPr>
          </w:p>
        </w:tc>
        <w:tc>
          <w:tcPr>
            <w:tcW w:w="1260" w:type="dxa"/>
            <w:vAlign w:val="bottom"/>
            <w:tcBorders>
              <w:bottom w:val="single" w:sz="8" w:color="0E3C23"/>
            </w:tcBorders>
          </w:tcPr>
          <w:p>
            <w:pPr>
              <w:spacing w:after="0"/>
              <w:rPr>
                <w:sz w:val="3"/>
                <w:szCs w:val="3"/>
                <w:color w:val="auto"/>
              </w:rPr>
            </w:pPr>
          </w:p>
        </w:tc>
      </w:tr>
      <w:tr>
        <w:trPr>
          <w:trHeight w:val="261"/>
        </w:trPr>
        <w:tc>
          <w:tcPr>
            <w:tcW w:w="3500" w:type="dxa"/>
            <w:vAlign w:val="bottom"/>
          </w:tcPr>
          <w:p>
            <w:pPr>
              <w:ind w:left="60"/>
              <w:spacing w:after="0"/>
              <w:rPr>
                <w:sz w:val="20"/>
                <w:szCs w:val="20"/>
                <w:color w:val="auto"/>
              </w:rPr>
            </w:pPr>
            <w:r>
              <w:rPr>
                <w:rFonts w:ascii="Arial" w:cs="Arial" w:eastAsia="Arial" w:hAnsi="Arial"/>
                <w:sz w:val="20"/>
                <w:szCs w:val="20"/>
                <w:b w:val="1"/>
                <w:bCs w:val="1"/>
                <w:color w:val="auto"/>
              </w:rPr>
              <w:t>Mr. Fish</w:t>
            </w:r>
          </w:p>
        </w:tc>
        <w:tc>
          <w:tcPr>
            <w:tcW w:w="3700" w:type="dxa"/>
            <w:vAlign w:val="bottom"/>
          </w:tcPr>
          <w:p>
            <w:pPr>
              <w:ind w:left="2840"/>
              <w:spacing w:after="0"/>
              <w:rPr>
                <w:sz w:val="20"/>
                <w:szCs w:val="20"/>
                <w:color w:val="auto"/>
              </w:rPr>
            </w:pPr>
            <w:r>
              <w:rPr>
                <w:rFonts w:ascii="Arial" w:cs="Arial" w:eastAsia="Arial" w:hAnsi="Arial"/>
                <w:sz w:val="20"/>
                <w:szCs w:val="20"/>
                <w:color w:val="auto"/>
              </w:rPr>
              <w:t>6x</w:t>
            </w:r>
          </w:p>
        </w:tc>
        <w:tc>
          <w:tcPr>
            <w:tcW w:w="1260" w:type="dxa"/>
            <w:vAlign w:val="bottom"/>
          </w:tcPr>
          <w:p>
            <w:pPr>
              <w:jc w:val="right"/>
              <w:ind w:right="370"/>
              <w:spacing w:after="0"/>
              <w:rPr>
                <w:sz w:val="20"/>
                <w:szCs w:val="20"/>
                <w:color w:val="auto"/>
              </w:rPr>
            </w:pPr>
            <w:r>
              <w:rPr>
                <w:rFonts w:ascii="Arial" w:cs="Arial" w:eastAsia="Arial" w:hAnsi="Arial"/>
                <w:sz w:val="20"/>
                <w:szCs w:val="20"/>
                <w:color w:val="auto"/>
              </w:rPr>
              <w:t>50x</w:t>
            </w:r>
          </w:p>
        </w:tc>
      </w:tr>
      <w:tr>
        <w:trPr>
          <w:trHeight w:val="29"/>
        </w:trPr>
        <w:tc>
          <w:tcPr>
            <w:tcW w:w="3500" w:type="dxa"/>
            <w:vAlign w:val="bottom"/>
            <w:tcBorders>
              <w:bottom w:val="single" w:sz="8" w:color="0E3C23"/>
            </w:tcBorders>
          </w:tcPr>
          <w:p>
            <w:pPr>
              <w:spacing w:after="0"/>
              <w:rPr>
                <w:sz w:val="2"/>
                <w:szCs w:val="2"/>
                <w:color w:val="auto"/>
              </w:rPr>
            </w:pPr>
          </w:p>
        </w:tc>
        <w:tc>
          <w:tcPr>
            <w:tcW w:w="3700" w:type="dxa"/>
            <w:vAlign w:val="bottom"/>
            <w:tcBorders>
              <w:bottom w:val="single" w:sz="8" w:color="0E3C23"/>
            </w:tcBorders>
          </w:tcPr>
          <w:p>
            <w:pPr>
              <w:spacing w:after="0"/>
              <w:rPr>
                <w:sz w:val="2"/>
                <w:szCs w:val="2"/>
                <w:color w:val="auto"/>
              </w:rPr>
            </w:pPr>
          </w:p>
        </w:tc>
        <w:tc>
          <w:tcPr>
            <w:tcW w:w="1260" w:type="dxa"/>
            <w:vAlign w:val="bottom"/>
            <w:tcBorders>
              <w:bottom w:val="single" w:sz="8" w:color="0E3C23"/>
            </w:tcBorders>
          </w:tcPr>
          <w:p>
            <w:pPr>
              <w:spacing w:after="0"/>
              <w:rPr>
                <w:sz w:val="2"/>
                <w:szCs w:val="2"/>
                <w:color w:val="auto"/>
              </w:rPr>
            </w:pPr>
          </w:p>
        </w:tc>
      </w:tr>
      <w:tr>
        <w:trPr>
          <w:trHeight w:val="251"/>
        </w:trPr>
        <w:tc>
          <w:tcPr>
            <w:tcW w:w="3500" w:type="dxa"/>
            <w:vAlign w:val="bottom"/>
          </w:tcPr>
          <w:p>
            <w:pPr>
              <w:ind w:left="60"/>
              <w:spacing w:after="0"/>
              <w:rPr>
                <w:sz w:val="20"/>
                <w:szCs w:val="20"/>
                <w:color w:val="auto"/>
              </w:rPr>
            </w:pPr>
            <w:r>
              <w:rPr>
                <w:rFonts w:ascii="Arial" w:cs="Arial" w:eastAsia="Arial" w:hAnsi="Arial"/>
                <w:sz w:val="20"/>
                <w:szCs w:val="20"/>
                <w:b w:val="1"/>
                <w:bCs w:val="1"/>
                <w:color w:val="auto"/>
              </w:rPr>
              <w:t>Ms. Rankin</w:t>
            </w:r>
          </w:p>
        </w:tc>
        <w:tc>
          <w:tcPr>
            <w:tcW w:w="3700" w:type="dxa"/>
            <w:vAlign w:val="bottom"/>
          </w:tcPr>
          <w:p>
            <w:pPr>
              <w:ind w:left="2840"/>
              <w:spacing w:after="0"/>
              <w:rPr>
                <w:sz w:val="20"/>
                <w:szCs w:val="20"/>
                <w:color w:val="auto"/>
              </w:rPr>
            </w:pPr>
            <w:r>
              <w:rPr>
                <w:rFonts w:ascii="Arial" w:cs="Arial" w:eastAsia="Arial" w:hAnsi="Arial"/>
                <w:sz w:val="20"/>
                <w:szCs w:val="20"/>
                <w:color w:val="auto"/>
              </w:rPr>
              <w:t>3x</w:t>
            </w:r>
          </w:p>
        </w:tc>
        <w:tc>
          <w:tcPr>
            <w:tcW w:w="1260" w:type="dxa"/>
            <w:vAlign w:val="bottom"/>
          </w:tcPr>
          <w:p>
            <w:pPr>
              <w:jc w:val="right"/>
              <w:ind w:right="370"/>
              <w:spacing w:after="0"/>
              <w:rPr>
                <w:sz w:val="20"/>
                <w:szCs w:val="20"/>
                <w:color w:val="auto"/>
              </w:rPr>
            </w:pPr>
            <w:r>
              <w:rPr>
                <w:rFonts w:ascii="Arial" w:cs="Arial" w:eastAsia="Arial" w:hAnsi="Arial"/>
                <w:sz w:val="20"/>
                <w:szCs w:val="20"/>
                <w:color w:val="auto"/>
              </w:rPr>
              <w:t>18x</w:t>
            </w:r>
          </w:p>
        </w:tc>
      </w:tr>
      <w:tr>
        <w:trPr>
          <w:trHeight w:val="29"/>
        </w:trPr>
        <w:tc>
          <w:tcPr>
            <w:tcW w:w="3500" w:type="dxa"/>
            <w:vAlign w:val="bottom"/>
            <w:tcBorders>
              <w:bottom w:val="single" w:sz="8" w:color="0E3C23"/>
            </w:tcBorders>
          </w:tcPr>
          <w:p>
            <w:pPr>
              <w:spacing w:after="0"/>
              <w:rPr>
                <w:sz w:val="2"/>
                <w:szCs w:val="2"/>
                <w:color w:val="auto"/>
              </w:rPr>
            </w:pPr>
          </w:p>
        </w:tc>
        <w:tc>
          <w:tcPr>
            <w:tcW w:w="3700" w:type="dxa"/>
            <w:vAlign w:val="bottom"/>
            <w:tcBorders>
              <w:bottom w:val="single" w:sz="8" w:color="0E3C23"/>
            </w:tcBorders>
          </w:tcPr>
          <w:p>
            <w:pPr>
              <w:spacing w:after="0"/>
              <w:rPr>
                <w:sz w:val="2"/>
                <w:szCs w:val="2"/>
                <w:color w:val="auto"/>
              </w:rPr>
            </w:pPr>
          </w:p>
        </w:tc>
        <w:tc>
          <w:tcPr>
            <w:tcW w:w="1260" w:type="dxa"/>
            <w:vAlign w:val="bottom"/>
            <w:tcBorders>
              <w:bottom w:val="single" w:sz="8" w:color="0E3C23"/>
            </w:tcBorders>
          </w:tcPr>
          <w:p>
            <w:pPr>
              <w:spacing w:after="0"/>
              <w:rPr>
                <w:sz w:val="2"/>
                <w:szCs w:val="2"/>
                <w:color w:val="auto"/>
              </w:rPr>
            </w:pPr>
          </w:p>
        </w:tc>
      </w:tr>
      <w:tr>
        <w:trPr>
          <w:trHeight w:val="251"/>
        </w:trPr>
        <w:tc>
          <w:tcPr>
            <w:tcW w:w="3500" w:type="dxa"/>
            <w:vAlign w:val="bottom"/>
          </w:tcPr>
          <w:p>
            <w:pPr>
              <w:ind w:left="60"/>
              <w:spacing w:after="0"/>
              <w:rPr>
                <w:sz w:val="20"/>
                <w:szCs w:val="20"/>
                <w:color w:val="auto"/>
              </w:rPr>
            </w:pPr>
            <w:r>
              <w:rPr>
                <w:rFonts w:ascii="Arial" w:cs="Arial" w:eastAsia="Arial" w:hAnsi="Arial"/>
                <w:sz w:val="20"/>
                <w:szCs w:val="20"/>
                <w:b w:val="1"/>
                <w:bCs w:val="1"/>
                <w:color w:val="auto"/>
              </w:rPr>
              <w:t>Mr. Morris</w:t>
            </w:r>
          </w:p>
        </w:tc>
        <w:tc>
          <w:tcPr>
            <w:tcW w:w="3700" w:type="dxa"/>
            <w:vAlign w:val="bottom"/>
          </w:tcPr>
          <w:p>
            <w:pPr>
              <w:ind w:left="2840"/>
              <w:spacing w:after="0"/>
              <w:rPr>
                <w:sz w:val="20"/>
                <w:szCs w:val="20"/>
                <w:color w:val="auto"/>
              </w:rPr>
            </w:pPr>
            <w:r>
              <w:rPr>
                <w:rFonts w:ascii="Arial" w:cs="Arial" w:eastAsia="Arial" w:hAnsi="Arial"/>
                <w:sz w:val="20"/>
                <w:szCs w:val="20"/>
                <w:color w:val="auto"/>
              </w:rPr>
              <w:t>3x</w:t>
            </w:r>
          </w:p>
        </w:tc>
        <w:tc>
          <w:tcPr>
            <w:tcW w:w="1260" w:type="dxa"/>
            <w:vAlign w:val="bottom"/>
          </w:tcPr>
          <w:p>
            <w:pPr>
              <w:jc w:val="right"/>
              <w:ind w:right="370"/>
              <w:spacing w:after="0"/>
              <w:rPr>
                <w:sz w:val="20"/>
                <w:szCs w:val="20"/>
                <w:color w:val="auto"/>
              </w:rPr>
            </w:pPr>
            <w:r>
              <w:rPr>
                <w:rFonts w:ascii="Arial" w:cs="Arial" w:eastAsia="Arial" w:hAnsi="Arial"/>
                <w:sz w:val="20"/>
                <w:szCs w:val="20"/>
                <w:color w:val="auto"/>
              </w:rPr>
              <w:t>25x</w:t>
            </w:r>
          </w:p>
        </w:tc>
      </w:tr>
      <w:tr>
        <w:trPr>
          <w:trHeight w:val="29"/>
        </w:trPr>
        <w:tc>
          <w:tcPr>
            <w:tcW w:w="3500" w:type="dxa"/>
            <w:vAlign w:val="bottom"/>
            <w:tcBorders>
              <w:bottom w:val="single" w:sz="8" w:color="0E3C23"/>
            </w:tcBorders>
          </w:tcPr>
          <w:p>
            <w:pPr>
              <w:spacing w:after="0"/>
              <w:rPr>
                <w:sz w:val="2"/>
                <w:szCs w:val="2"/>
                <w:color w:val="auto"/>
              </w:rPr>
            </w:pPr>
          </w:p>
        </w:tc>
        <w:tc>
          <w:tcPr>
            <w:tcW w:w="3700" w:type="dxa"/>
            <w:vAlign w:val="bottom"/>
            <w:tcBorders>
              <w:bottom w:val="single" w:sz="8" w:color="0E3C23"/>
            </w:tcBorders>
          </w:tcPr>
          <w:p>
            <w:pPr>
              <w:spacing w:after="0"/>
              <w:rPr>
                <w:sz w:val="2"/>
                <w:szCs w:val="2"/>
                <w:color w:val="auto"/>
              </w:rPr>
            </w:pPr>
          </w:p>
        </w:tc>
        <w:tc>
          <w:tcPr>
            <w:tcW w:w="1260" w:type="dxa"/>
            <w:vAlign w:val="bottom"/>
            <w:tcBorders>
              <w:bottom w:val="single" w:sz="8" w:color="0E3C23"/>
            </w:tcBorders>
          </w:tcPr>
          <w:p>
            <w:pPr>
              <w:spacing w:after="0"/>
              <w:rPr>
                <w:sz w:val="2"/>
                <w:szCs w:val="2"/>
                <w:color w:val="auto"/>
              </w:rPr>
            </w:pPr>
          </w:p>
        </w:tc>
      </w:tr>
      <w:tr>
        <w:trPr>
          <w:trHeight w:val="251"/>
        </w:trPr>
        <w:tc>
          <w:tcPr>
            <w:tcW w:w="3500" w:type="dxa"/>
            <w:vAlign w:val="bottom"/>
          </w:tcPr>
          <w:p>
            <w:pPr>
              <w:ind w:left="60"/>
              <w:spacing w:after="0"/>
              <w:rPr>
                <w:sz w:val="20"/>
                <w:szCs w:val="20"/>
                <w:color w:val="auto"/>
              </w:rPr>
            </w:pPr>
            <w:r>
              <w:rPr>
                <w:rFonts w:ascii="Arial" w:cs="Arial" w:eastAsia="Arial" w:hAnsi="Arial"/>
                <w:sz w:val="20"/>
                <w:szCs w:val="20"/>
                <w:b w:val="1"/>
                <w:bCs w:val="1"/>
                <w:color w:val="auto"/>
              </w:rPr>
              <w:t>Ms. Hemmer</w:t>
            </w:r>
          </w:p>
        </w:tc>
        <w:tc>
          <w:tcPr>
            <w:tcW w:w="3700" w:type="dxa"/>
            <w:vAlign w:val="bottom"/>
          </w:tcPr>
          <w:p>
            <w:pPr>
              <w:ind w:left="2840"/>
              <w:spacing w:after="0"/>
              <w:rPr>
                <w:sz w:val="20"/>
                <w:szCs w:val="20"/>
                <w:color w:val="auto"/>
              </w:rPr>
            </w:pPr>
            <w:r>
              <w:rPr>
                <w:rFonts w:ascii="Arial" w:cs="Arial" w:eastAsia="Arial" w:hAnsi="Arial"/>
                <w:sz w:val="20"/>
                <w:szCs w:val="20"/>
                <w:color w:val="auto"/>
              </w:rPr>
              <w:t>3x</w:t>
            </w:r>
          </w:p>
        </w:tc>
        <w:tc>
          <w:tcPr>
            <w:tcW w:w="1260" w:type="dxa"/>
            <w:vAlign w:val="bottom"/>
          </w:tcPr>
          <w:p>
            <w:pPr>
              <w:jc w:val="right"/>
              <w:ind w:right="370"/>
              <w:spacing w:after="0"/>
              <w:rPr>
                <w:sz w:val="20"/>
                <w:szCs w:val="20"/>
                <w:color w:val="auto"/>
              </w:rPr>
            </w:pPr>
            <w:r>
              <w:rPr>
                <w:rFonts w:ascii="Arial" w:cs="Arial" w:eastAsia="Arial" w:hAnsi="Arial"/>
                <w:sz w:val="20"/>
                <w:szCs w:val="20"/>
                <w:color w:val="auto"/>
              </w:rPr>
              <w:t>17x</w:t>
            </w:r>
          </w:p>
        </w:tc>
      </w:tr>
      <w:tr>
        <w:trPr>
          <w:trHeight w:val="29"/>
        </w:trPr>
        <w:tc>
          <w:tcPr>
            <w:tcW w:w="3500" w:type="dxa"/>
            <w:vAlign w:val="bottom"/>
            <w:tcBorders>
              <w:bottom w:val="single" w:sz="8" w:color="0E3C23"/>
            </w:tcBorders>
          </w:tcPr>
          <w:p>
            <w:pPr>
              <w:spacing w:after="0"/>
              <w:rPr>
                <w:sz w:val="2"/>
                <w:szCs w:val="2"/>
                <w:color w:val="auto"/>
              </w:rPr>
            </w:pPr>
          </w:p>
        </w:tc>
        <w:tc>
          <w:tcPr>
            <w:tcW w:w="3700" w:type="dxa"/>
            <w:vAlign w:val="bottom"/>
            <w:tcBorders>
              <w:bottom w:val="single" w:sz="8" w:color="0E3C23"/>
            </w:tcBorders>
          </w:tcPr>
          <w:p>
            <w:pPr>
              <w:spacing w:after="0"/>
              <w:rPr>
                <w:sz w:val="2"/>
                <w:szCs w:val="2"/>
                <w:color w:val="auto"/>
              </w:rPr>
            </w:pPr>
          </w:p>
        </w:tc>
        <w:tc>
          <w:tcPr>
            <w:tcW w:w="1260" w:type="dxa"/>
            <w:vAlign w:val="bottom"/>
            <w:tcBorders>
              <w:bottom w:val="single" w:sz="8" w:color="0E3C23"/>
            </w:tcBorders>
          </w:tcPr>
          <w:p>
            <w:pPr>
              <w:spacing w:after="0"/>
              <w:rPr>
                <w:sz w:val="2"/>
                <w:szCs w:val="2"/>
                <w:color w:val="auto"/>
              </w:rPr>
            </w:pPr>
          </w:p>
        </w:tc>
      </w:tr>
      <w:tr>
        <w:trPr>
          <w:trHeight w:val="251"/>
        </w:trPr>
        <w:tc>
          <w:tcPr>
            <w:tcW w:w="3500" w:type="dxa"/>
            <w:vAlign w:val="bottom"/>
          </w:tcPr>
          <w:p>
            <w:pPr>
              <w:ind w:left="60"/>
              <w:spacing w:after="0"/>
              <w:rPr>
                <w:sz w:val="20"/>
                <w:szCs w:val="20"/>
                <w:color w:val="auto"/>
              </w:rPr>
            </w:pPr>
            <w:r>
              <w:rPr>
                <w:rFonts w:ascii="Arial" w:cs="Arial" w:eastAsia="Arial" w:hAnsi="Arial"/>
                <w:sz w:val="20"/>
                <w:szCs w:val="20"/>
                <w:b w:val="1"/>
                <w:bCs w:val="1"/>
                <w:color w:val="auto"/>
              </w:rPr>
              <w:t>Mr. Carrasco</w:t>
            </w:r>
          </w:p>
        </w:tc>
        <w:tc>
          <w:tcPr>
            <w:tcW w:w="3700" w:type="dxa"/>
            <w:vAlign w:val="bottom"/>
          </w:tcPr>
          <w:p>
            <w:pPr>
              <w:ind w:left="2840"/>
              <w:spacing w:after="0"/>
              <w:rPr>
                <w:sz w:val="20"/>
                <w:szCs w:val="20"/>
                <w:color w:val="auto"/>
              </w:rPr>
            </w:pPr>
            <w:r>
              <w:rPr>
                <w:rFonts w:ascii="Arial" w:cs="Arial" w:eastAsia="Arial" w:hAnsi="Arial"/>
                <w:sz w:val="20"/>
                <w:szCs w:val="20"/>
                <w:color w:val="auto"/>
              </w:rPr>
              <w:t>3x</w:t>
            </w:r>
          </w:p>
        </w:tc>
        <w:tc>
          <w:tcPr>
            <w:tcW w:w="1260" w:type="dxa"/>
            <w:vAlign w:val="bottom"/>
          </w:tcPr>
          <w:p>
            <w:pPr>
              <w:jc w:val="right"/>
              <w:ind w:right="370"/>
              <w:spacing w:after="0"/>
              <w:rPr>
                <w:sz w:val="20"/>
                <w:szCs w:val="20"/>
                <w:color w:val="auto"/>
              </w:rPr>
            </w:pPr>
            <w:r>
              <w:rPr>
                <w:rFonts w:ascii="Arial" w:cs="Arial" w:eastAsia="Arial" w:hAnsi="Arial"/>
                <w:sz w:val="20"/>
                <w:szCs w:val="20"/>
                <w:color w:val="auto"/>
              </w:rPr>
              <w:t>5x</w:t>
            </w:r>
          </w:p>
        </w:tc>
      </w:tr>
      <w:tr>
        <w:trPr>
          <w:trHeight w:val="34"/>
        </w:trPr>
        <w:tc>
          <w:tcPr>
            <w:tcW w:w="3500" w:type="dxa"/>
            <w:vAlign w:val="bottom"/>
            <w:tcBorders>
              <w:bottom w:val="single" w:sz="8" w:color="0E3C23"/>
            </w:tcBorders>
          </w:tcPr>
          <w:p>
            <w:pPr>
              <w:spacing w:after="0"/>
              <w:rPr>
                <w:sz w:val="2"/>
                <w:szCs w:val="2"/>
                <w:color w:val="auto"/>
              </w:rPr>
            </w:pPr>
          </w:p>
        </w:tc>
        <w:tc>
          <w:tcPr>
            <w:tcW w:w="3700" w:type="dxa"/>
            <w:vAlign w:val="bottom"/>
            <w:tcBorders>
              <w:bottom w:val="single" w:sz="8" w:color="0E3C23"/>
            </w:tcBorders>
          </w:tcPr>
          <w:p>
            <w:pPr>
              <w:spacing w:after="0"/>
              <w:rPr>
                <w:sz w:val="2"/>
                <w:szCs w:val="2"/>
                <w:color w:val="auto"/>
              </w:rPr>
            </w:pPr>
          </w:p>
        </w:tc>
        <w:tc>
          <w:tcPr>
            <w:tcW w:w="1260" w:type="dxa"/>
            <w:vAlign w:val="bottom"/>
            <w:tcBorders>
              <w:bottom w:val="single" w:sz="8" w:color="0E3C23"/>
            </w:tcBorders>
          </w:tcPr>
          <w:p>
            <w:pPr>
              <w:spacing w:after="0"/>
              <w:rPr>
                <w:sz w:val="2"/>
                <w:szCs w:val="2"/>
                <w:color w:val="auto"/>
              </w:rPr>
            </w:pPr>
          </w:p>
        </w:tc>
      </w:tr>
    </w:tbl>
    <w:p>
      <w:pPr>
        <w:spacing w:after="0" w:line="77" w:lineRule="exact"/>
        <w:rPr>
          <w:sz w:val="20"/>
          <w:szCs w:val="20"/>
          <w:color w:val="auto"/>
        </w:rPr>
      </w:pPr>
    </w:p>
    <w:p>
      <w:pPr>
        <w:jc w:val="both"/>
        <w:ind w:left="180" w:right="200"/>
        <w:spacing w:after="0" w:line="246" w:lineRule="auto"/>
        <w:rPr>
          <w:sz w:val="20"/>
          <w:szCs w:val="20"/>
          <w:color w:val="auto"/>
        </w:rPr>
      </w:pPr>
      <w:r>
        <w:rPr>
          <w:rFonts w:ascii="Arial" w:cs="Arial" w:eastAsia="Arial" w:hAnsi="Arial"/>
          <w:sz w:val="20"/>
          <w:szCs w:val="20"/>
          <w:color w:val="auto"/>
        </w:rPr>
        <w:t>As discussed under “Director and Officer Stock Ownership,” the MD&amp;C Committee also establishes ownership guidelines for the non-employee directors and performs regular reviews to ensure all non-employee directors are in compliance or are showing sustained progress toward achievement of their ownership guideline.</w:t>
      </w:r>
    </w:p>
    <w:p>
      <w:pPr>
        <w:spacing w:after="0" w:line="131" w:lineRule="exact"/>
        <w:rPr>
          <w:sz w:val="20"/>
          <w:szCs w:val="20"/>
          <w:color w:val="auto"/>
        </w:rPr>
      </w:pPr>
    </w:p>
    <w:p>
      <w:pPr>
        <w:jc w:val="both"/>
        <w:ind w:left="180" w:right="200"/>
        <w:spacing w:after="0" w:line="249" w:lineRule="auto"/>
        <w:rPr>
          <w:sz w:val="20"/>
          <w:szCs w:val="20"/>
          <w:color w:val="auto"/>
        </w:rPr>
      </w:pPr>
      <w:r>
        <w:rPr>
          <w:rFonts w:ascii="Arial" w:cs="Arial" w:eastAsia="Arial" w:hAnsi="Arial"/>
          <w:sz w:val="20"/>
          <w:szCs w:val="20"/>
          <w:i w:val="1"/>
          <w:iCs w:val="1"/>
          <w:u w:val="single" w:color="auto"/>
          <w:color w:val="auto"/>
        </w:rPr>
        <w:t>Insider Trading; Prohibition of Hedging and Pledging Company Securities.</w:t>
      </w:r>
      <w:r>
        <w:rPr>
          <w:sz w:val="20"/>
          <w:szCs w:val="20"/>
          <w:color w:val="auto"/>
        </w:rPr>
        <w:t xml:space="preserve"> </w:t>
      </w:r>
      <w:r>
        <w:rPr>
          <w:rFonts w:ascii="Arial" w:cs="Arial" w:eastAsia="Arial" w:hAnsi="Arial"/>
          <w:sz w:val="20"/>
          <w:szCs w:val="20"/>
          <w:color w:val="auto"/>
        </w:rPr>
        <w:t>The Company’s Insider Trading Policy prohibits directors, executive officers and other “designated insiders” from engaging in most transactions involving the Company’s Common Stock during periods, determined by the Company, that those individuals are most likely to be aware of material, non-public information. Directors, executive officers and other designated insiders subject to stock ownership guidelines must clear all their transactions in our Common Stock with the Company’s office of the Chief Legal Officer in advance. Additionally, it is our policy that directors, executive officers and designated insiders are not permitted to hedge their ownership of Company securities, including (a) trading in options, warrants, puts and calls or similar derivative instruments on any security of the Company; (b) selling any security of the Company “short” and (c) purchasing any financial instruments (including prepaid variable forward contracts, equity swaps, collars and exchange funds) or otherwise engaging in transactions that are designed to or have the effect of offsetting any decrease in the market value of any security of the Company granted as compensation or held, directly or indirectly, by the director, executive officer or designated insider. The Company’s Insider Trading Policy also provides that directors, executive officers and designated insiders may not pledge Company securities or hold Company securities in a margin account.</w:t>
      </w:r>
    </w:p>
    <w:p>
      <w:pPr>
        <w:spacing w:after="0" w:line="131" w:lineRule="exact"/>
        <w:rPr>
          <w:sz w:val="20"/>
          <w:szCs w:val="20"/>
          <w:color w:val="auto"/>
        </w:rPr>
      </w:pPr>
    </w:p>
    <w:p>
      <w:pPr>
        <w:jc w:val="both"/>
        <w:ind w:left="180" w:right="200"/>
        <w:spacing w:after="0" w:line="263" w:lineRule="auto"/>
        <w:rPr>
          <w:sz w:val="20"/>
          <w:szCs w:val="20"/>
          <w:color w:val="auto"/>
        </w:rPr>
      </w:pPr>
      <w:r>
        <w:rPr>
          <w:rFonts w:ascii="Arial" w:cs="Arial" w:eastAsia="Arial" w:hAnsi="Arial"/>
          <w:sz w:val="19"/>
          <w:szCs w:val="19"/>
          <w:i w:val="1"/>
          <w:iCs w:val="1"/>
          <w:u w:val="single" w:color="auto"/>
          <w:color w:val="auto"/>
        </w:rPr>
        <w:t>Timing of Grants of Certain Equity Awards Close in Time to the Release of Material Nonpublic Information.</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does not have a formal policy regarding the timing of awards of stock options in relation to the disclosure of material nonpublic information by the Company. However, the Company’s long-standing historical practice has been to make annual grants of equity awards, including all stock option awards, in connection with our regularly scheduled first quarter meeting of the MD&amp;C Committee and the Board. This meeting occurs following the release of the Company’s financial results for the fourth quarter and prior fiscal year, when our stock trading window for designated insiders is typically open. As a result, our stock option awards are made at a time when possession of material nonpublic information is not generally anticipated. Stock options are not granted at any other time of the year, as they are not a component of any off-cycle awards. The Company has not timed the disclosure of material nonpublic information for the purpose of affecting the value of executive compensation. The MD&amp;C Committee granted annual long-term equity incentive awards, including stock options, to designated employees, including our named executives, on March 1, 2024 in accordance with our historical practice, and such equity awards were timely reported on a Current Report on Form 8-K. Additionally, on March 1, 2024, the Company filed a Current Report on Form 8-K to make mandatory disclosure of the election of an additional member of our Board pursuant to Item 5.02; the Company does not deem such disclosure to constitute material nonpublic information.</w:t>
      </w:r>
    </w:p>
    <w:p>
      <w:pPr>
        <w:sectPr>
          <w:pgSz w:w="13320" w:h="16920" w:orient="portrait"/>
          <w:cols w:equalWidth="0" w:num="1">
            <w:col w:w="104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37">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38">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54" w:name="page55"/>
    <w:bookmarkEnd w:id="54"/>
    <w:p>
      <w:pPr>
        <w:ind w:left="798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259"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EXECUTIVE COMPENSATION TABLES</w:t>
      </w:r>
    </w:p>
    <w:p>
      <w:pPr>
        <w:spacing w:after="0" w:line="142" w:lineRule="exact"/>
        <w:rPr>
          <w:sz w:val="20"/>
          <w:szCs w:val="20"/>
          <w:color w:val="auto"/>
        </w:rPr>
      </w:pPr>
    </w:p>
    <w:p>
      <w:pPr>
        <w:jc w:val="both"/>
        <w:ind w:left="180" w:right="200"/>
        <w:spacing w:after="0" w:line="248" w:lineRule="auto"/>
        <w:rPr>
          <w:sz w:val="20"/>
          <w:szCs w:val="20"/>
          <w:color w:val="auto"/>
        </w:rPr>
      </w:pPr>
      <w:r>
        <w:rPr>
          <w:rFonts w:ascii="Arial" w:cs="Arial" w:eastAsia="Arial" w:hAnsi="Arial"/>
          <w:sz w:val="20"/>
          <w:szCs w:val="20"/>
          <w:color w:val="auto"/>
        </w:rPr>
        <w:t xml:space="preserve">We are required to present compensation information in the tabular format prescribed by the SEC. This format, including the tables’ column headings, may be different from the way we describe or consider elements and components of compensation internally. The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xml:space="preserve"> contains a discussion that should be read in conjunction with these tables to gain a complete understanding of our executive compensation philosophy, programs and decisions.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Summary Compensation Table</w:t>
      </w:r>
    </w:p>
    <w:p>
      <w:pPr>
        <w:spacing w:after="0" w:line="113"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0E3C23"/>
              </w:rPr>
              <w:t>Stock</w:t>
            </w:r>
          </w:p>
        </w:tc>
        <w:tc>
          <w:tcPr>
            <w:tcW w:w="8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0E3C23"/>
              </w:rPr>
              <w:t>Non-Equity</w:t>
            </w: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6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2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Option</w:t>
            </w:r>
          </w:p>
        </w:tc>
        <w:tc>
          <w:tcPr>
            <w:tcW w:w="112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w w:val="96"/>
              </w:rPr>
              <w:t>Incentive Plan</w:t>
            </w:r>
          </w:p>
        </w:tc>
        <w:tc>
          <w:tcPr>
            <w:tcW w:w="112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All Other</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600" w:type="dxa"/>
            <w:vAlign w:val="bottom"/>
          </w:tcPr>
          <w:p>
            <w:pPr>
              <w:spacing w:after="0"/>
              <w:rPr>
                <w:sz w:val="13"/>
                <w:szCs w:val="13"/>
                <w:color w:val="auto"/>
              </w:rPr>
            </w:pPr>
          </w:p>
        </w:tc>
        <w:tc>
          <w:tcPr>
            <w:tcW w:w="1560" w:type="dxa"/>
            <w:vAlign w:val="bottom"/>
          </w:tcPr>
          <w:p>
            <w:pPr>
              <w:jc w:val="right"/>
              <w:ind w:right="96"/>
              <w:spacing w:after="0" w:line="150" w:lineRule="exact"/>
              <w:rPr>
                <w:sz w:val="20"/>
                <w:szCs w:val="20"/>
                <w:color w:val="auto"/>
              </w:rPr>
            </w:pPr>
            <w:r>
              <w:rPr>
                <w:rFonts w:ascii="Arial" w:cs="Arial" w:eastAsia="Arial" w:hAnsi="Arial"/>
                <w:sz w:val="16"/>
                <w:szCs w:val="16"/>
                <w:b w:val="1"/>
                <w:bCs w:val="1"/>
                <w:color w:val="0E3C23"/>
              </w:rPr>
              <w:t>Salary</w:t>
            </w:r>
          </w:p>
        </w:tc>
        <w:tc>
          <w:tcPr>
            <w:tcW w:w="920" w:type="dxa"/>
            <w:vAlign w:val="bottom"/>
          </w:tcPr>
          <w:p>
            <w:pPr>
              <w:jc w:val="right"/>
              <w:spacing w:after="0" w:line="150" w:lineRule="exact"/>
              <w:rPr>
                <w:sz w:val="20"/>
                <w:szCs w:val="20"/>
                <w:color w:val="auto"/>
              </w:rPr>
            </w:pPr>
            <w:r>
              <w:rPr>
                <w:rFonts w:ascii="Arial" w:cs="Arial" w:eastAsia="Arial" w:hAnsi="Arial"/>
                <w:sz w:val="16"/>
                <w:szCs w:val="16"/>
                <w:b w:val="1"/>
                <w:bCs w:val="1"/>
                <w:color w:val="0E3C23"/>
              </w:rPr>
              <w:t>Awards</w:t>
            </w:r>
          </w:p>
        </w:tc>
        <w:tc>
          <w:tcPr>
            <w:tcW w:w="820" w:type="dxa"/>
            <w:vAlign w:val="bottom"/>
          </w:tcPr>
          <w:p>
            <w:pPr>
              <w:jc w:val="right"/>
              <w:spacing w:after="0" w:line="150" w:lineRule="exact"/>
              <w:rPr>
                <w:sz w:val="20"/>
                <w:szCs w:val="20"/>
                <w:color w:val="auto"/>
              </w:rPr>
            </w:pPr>
            <w:r>
              <w:rPr>
                <w:rFonts w:ascii="Arial" w:cs="Arial" w:eastAsia="Arial" w:hAnsi="Arial"/>
                <w:sz w:val="16"/>
                <w:szCs w:val="16"/>
                <w:b w:val="1"/>
                <w:bCs w:val="1"/>
                <w:color w:val="0E3C23"/>
              </w:rPr>
              <w:t>Awards</w:t>
            </w:r>
          </w:p>
        </w:tc>
        <w:tc>
          <w:tcPr>
            <w:tcW w:w="1120" w:type="dxa"/>
            <w:vAlign w:val="bottom"/>
          </w:tcPr>
          <w:p>
            <w:pPr>
              <w:jc w:val="right"/>
              <w:spacing w:after="0" w:line="150" w:lineRule="exact"/>
              <w:rPr>
                <w:sz w:val="20"/>
                <w:szCs w:val="20"/>
                <w:color w:val="auto"/>
              </w:rPr>
            </w:pPr>
            <w:r>
              <w:rPr>
                <w:rFonts w:ascii="Arial" w:cs="Arial" w:eastAsia="Arial" w:hAnsi="Arial"/>
                <w:sz w:val="16"/>
                <w:szCs w:val="16"/>
                <w:b w:val="1"/>
                <w:bCs w:val="1"/>
                <w:color w:val="0E3C23"/>
                <w:w w:val="93"/>
              </w:rPr>
              <w:t>Compensation</w:t>
            </w:r>
          </w:p>
        </w:tc>
        <w:tc>
          <w:tcPr>
            <w:tcW w:w="1120" w:type="dxa"/>
            <w:vAlign w:val="bottom"/>
          </w:tcPr>
          <w:p>
            <w:pPr>
              <w:jc w:val="right"/>
              <w:spacing w:after="0" w:line="150" w:lineRule="exact"/>
              <w:rPr>
                <w:sz w:val="20"/>
                <w:szCs w:val="20"/>
                <w:color w:val="auto"/>
              </w:rPr>
            </w:pPr>
            <w:r>
              <w:rPr>
                <w:rFonts w:ascii="Arial" w:cs="Arial" w:eastAsia="Arial" w:hAnsi="Arial"/>
                <w:sz w:val="16"/>
                <w:szCs w:val="16"/>
                <w:b w:val="1"/>
                <w:bCs w:val="1"/>
                <w:color w:val="0E3C23"/>
                <w:w w:val="93"/>
              </w:rPr>
              <w:t>Compensation</w:t>
            </w:r>
          </w:p>
        </w:tc>
        <w:tc>
          <w:tcPr>
            <w:tcW w:w="920" w:type="dxa"/>
            <w:vAlign w:val="bottom"/>
          </w:tcPr>
          <w:p>
            <w:pPr>
              <w:jc w:val="right"/>
              <w:spacing w:after="0" w:line="150" w:lineRule="exact"/>
              <w:rPr>
                <w:sz w:val="20"/>
                <w:szCs w:val="20"/>
                <w:color w:val="auto"/>
              </w:rPr>
            </w:pPr>
            <w:r>
              <w:rPr>
                <w:rFonts w:ascii="Arial" w:cs="Arial" w:eastAsia="Arial" w:hAnsi="Arial"/>
                <w:sz w:val="16"/>
                <w:szCs w:val="16"/>
                <w:b w:val="1"/>
                <w:bCs w:val="1"/>
                <w:color w:val="0E3C23"/>
              </w:rPr>
              <w:t>Total</w:t>
            </w:r>
          </w:p>
        </w:tc>
        <w:tc>
          <w:tcPr>
            <w:tcW w:w="0" w:type="dxa"/>
            <w:vAlign w:val="bottom"/>
          </w:tcPr>
          <w:p>
            <w:pPr>
              <w:spacing w:after="0"/>
              <w:rPr>
                <w:sz w:val="1"/>
                <w:szCs w:val="1"/>
                <w:color w:val="auto"/>
              </w:rPr>
            </w:pPr>
          </w:p>
        </w:tc>
      </w:tr>
      <w:tr>
        <w:trPr>
          <w:trHeight w:val="237"/>
        </w:trPr>
        <w:tc>
          <w:tcPr>
            <w:tcW w:w="3600" w:type="dxa"/>
            <w:vAlign w:val="bottom"/>
            <w:tcBorders>
              <w:bottom w:val="single" w:sz="8" w:color="0E3C23"/>
            </w:tcBorders>
          </w:tcPr>
          <w:p>
            <w:pPr>
              <w:ind w:left="60"/>
              <w:spacing w:after="0"/>
              <w:rPr>
                <w:sz w:val="20"/>
                <w:szCs w:val="20"/>
                <w:color w:val="auto"/>
              </w:rPr>
            </w:pPr>
            <w:r>
              <w:rPr>
                <w:rFonts w:ascii="Arial" w:cs="Arial" w:eastAsia="Arial" w:hAnsi="Arial"/>
                <w:sz w:val="16"/>
                <w:szCs w:val="16"/>
                <w:b w:val="1"/>
                <w:bCs w:val="1"/>
                <w:color w:val="0E3C23"/>
              </w:rPr>
              <w:t>Year</w:t>
            </w:r>
          </w:p>
        </w:tc>
        <w:tc>
          <w:tcPr>
            <w:tcW w:w="1560" w:type="dxa"/>
            <w:vAlign w:val="bottom"/>
            <w:tcBorders>
              <w:bottom w:val="single" w:sz="8" w:color="0E3C23"/>
            </w:tcBorders>
          </w:tcPr>
          <w:p>
            <w:pPr>
              <w:jc w:val="right"/>
              <w:ind w:right="96"/>
              <w:spacing w:after="0"/>
              <w:rPr>
                <w:sz w:val="20"/>
                <w:szCs w:val="20"/>
                <w:color w:val="auto"/>
              </w:rPr>
            </w:pPr>
            <w:r>
              <w:rPr>
                <w:rFonts w:ascii="Arial" w:cs="Arial" w:eastAsia="Arial" w:hAnsi="Arial"/>
                <w:sz w:val="16"/>
                <w:szCs w:val="16"/>
                <w:b w:val="1"/>
                <w:bCs w:val="1"/>
                <w:color w:val="0E3C23"/>
              </w:rPr>
              <w:t>($)</w:t>
            </w:r>
          </w:p>
        </w:tc>
        <w:tc>
          <w:tcPr>
            <w:tcW w:w="920" w:type="dxa"/>
            <w:vAlign w:val="bottom"/>
            <w:tcBorders>
              <w:bottom w:val="single" w:sz="8" w:color="0E3C23"/>
            </w:tcBorders>
          </w:tcPr>
          <w:p>
            <w:pPr>
              <w:jc w:val="right"/>
              <w:spacing w:after="0"/>
              <w:rPr>
                <w:sz w:val="20"/>
                <w:szCs w:val="20"/>
                <w:color w:val="auto"/>
              </w:rPr>
            </w:pPr>
            <w:r>
              <w:rPr>
                <w:rFonts w:ascii="Arial" w:cs="Arial" w:eastAsia="Arial" w:hAnsi="Arial"/>
                <w:sz w:val="16"/>
                <w:szCs w:val="16"/>
                <w:b w:val="1"/>
                <w:bCs w:val="1"/>
                <w:color w:val="0E3C23"/>
              </w:rPr>
              <w:t>($)</w:t>
            </w:r>
            <w:r>
              <w:rPr>
                <w:rFonts w:ascii="Arial" w:cs="Arial" w:eastAsia="Arial" w:hAnsi="Arial"/>
                <w:sz w:val="19"/>
                <w:szCs w:val="19"/>
                <w:b w:val="1"/>
                <w:bCs w:val="1"/>
                <w:color w:val="0E3C23"/>
                <w:vertAlign w:val="superscript"/>
              </w:rPr>
              <w:t>(1)</w:t>
            </w:r>
          </w:p>
        </w:tc>
        <w:tc>
          <w:tcPr>
            <w:tcW w:w="820" w:type="dxa"/>
            <w:vAlign w:val="bottom"/>
            <w:tcBorders>
              <w:bottom w:val="single" w:sz="8" w:color="0E3C23"/>
            </w:tcBorders>
          </w:tcPr>
          <w:p>
            <w:pPr>
              <w:jc w:val="right"/>
              <w:spacing w:after="0" w:line="237" w:lineRule="exact"/>
              <w:rPr>
                <w:sz w:val="20"/>
                <w:szCs w:val="20"/>
                <w:color w:val="auto"/>
              </w:rPr>
            </w:pPr>
            <w:r>
              <w:rPr>
                <w:rFonts w:ascii="Arial" w:cs="Arial" w:eastAsia="Arial" w:hAnsi="Arial"/>
                <w:sz w:val="27"/>
                <w:szCs w:val="27"/>
                <w:b w:val="1"/>
                <w:bCs w:val="1"/>
                <w:color w:val="0E3C23"/>
                <w:vertAlign w:val="subscript"/>
              </w:rPr>
              <w:t>($)</w:t>
            </w:r>
            <w:r>
              <w:rPr>
                <w:rFonts w:ascii="Arial" w:cs="Arial" w:eastAsia="Arial" w:hAnsi="Arial"/>
                <w:sz w:val="9"/>
                <w:szCs w:val="9"/>
                <w:b w:val="1"/>
                <w:bCs w:val="1"/>
                <w:color w:val="0E3C23"/>
              </w:rPr>
              <w:t>(2)</w:t>
            </w:r>
          </w:p>
        </w:tc>
        <w:tc>
          <w:tcPr>
            <w:tcW w:w="1120" w:type="dxa"/>
            <w:vAlign w:val="bottom"/>
            <w:tcBorders>
              <w:bottom w:val="single" w:sz="8" w:color="0E3C23"/>
            </w:tcBorders>
          </w:tcPr>
          <w:p>
            <w:pPr>
              <w:jc w:val="right"/>
              <w:spacing w:after="0" w:line="237" w:lineRule="exact"/>
              <w:rPr>
                <w:sz w:val="20"/>
                <w:szCs w:val="20"/>
                <w:color w:val="auto"/>
              </w:rPr>
            </w:pPr>
            <w:r>
              <w:rPr>
                <w:rFonts w:ascii="Arial" w:cs="Arial" w:eastAsia="Arial" w:hAnsi="Arial"/>
                <w:sz w:val="27"/>
                <w:szCs w:val="27"/>
                <w:b w:val="1"/>
                <w:bCs w:val="1"/>
                <w:color w:val="0E3C23"/>
                <w:vertAlign w:val="subscript"/>
              </w:rPr>
              <w:t>($)</w:t>
            </w:r>
            <w:r>
              <w:rPr>
                <w:rFonts w:ascii="Arial" w:cs="Arial" w:eastAsia="Arial" w:hAnsi="Arial"/>
                <w:sz w:val="9"/>
                <w:szCs w:val="9"/>
                <w:b w:val="1"/>
                <w:bCs w:val="1"/>
                <w:color w:val="0E3C23"/>
              </w:rPr>
              <w:t>(3)</w:t>
            </w:r>
          </w:p>
        </w:tc>
        <w:tc>
          <w:tcPr>
            <w:tcW w:w="1120" w:type="dxa"/>
            <w:vAlign w:val="bottom"/>
            <w:tcBorders>
              <w:bottom w:val="single" w:sz="8" w:color="0E3C23"/>
            </w:tcBorders>
          </w:tcPr>
          <w:p>
            <w:pPr>
              <w:jc w:val="right"/>
              <w:spacing w:after="0" w:line="237" w:lineRule="exact"/>
              <w:rPr>
                <w:sz w:val="20"/>
                <w:szCs w:val="20"/>
                <w:color w:val="auto"/>
              </w:rPr>
            </w:pPr>
            <w:r>
              <w:rPr>
                <w:rFonts w:ascii="Arial" w:cs="Arial" w:eastAsia="Arial" w:hAnsi="Arial"/>
                <w:sz w:val="27"/>
                <w:szCs w:val="27"/>
                <w:b w:val="1"/>
                <w:bCs w:val="1"/>
                <w:color w:val="0E3C23"/>
                <w:vertAlign w:val="subscript"/>
              </w:rPr>
              <w:t>($)</w:t>
            </w:r>
            <w:r>
              <w:rPr>
                <w:rFonts w:ascii="Arial" w:cs="Arial" w:eastAsia="Arial" w:hAnsi="Arial"/>
                <w:sz w:val="9"/>
                <w:szCs w:val="9"/>
                <w:b w:val="1"/>
                <w:bCs w:val="1"/>
                <w:color w:val="0E3C23"/>
              </w:rPr>
              <w:t>(4)</w:t>
            </w:r>
          </w:p>
        </w:tc>
        <w:tc>
          <w:tcPr>
            <w:tcW w:w="920" w:type="dxa"/>
            <w:vAlign w:val="bottom"/>
            <w:tcBorders>
              <w:bottom w:val="single" w:sz="8" w:color="0E3C23"/>
            </w:tcBorders>
          </w:tcPr>
          <w:p>
            <w:pPr>
              <w:jc w:val="right"/>
              <w:spacing w:after="0"/>
              <w:rPr>
                <w:sz w:val="20"/>
                <w:szCs w:val="20"/>
                <w:color w:val="auto"/>
              </w:rPr>
            </w:pPr>
            <w:r>
              <w:rPr>
                <w:rFonts w:ascii="Arial" w:cs="Arial" w:eastAsia="Arial" w:hAnsi="Arial"/>
                <w:sz w:val="16"/>
                <w:szCs w:val="16"/>
                <w:b w:val="1"/>
                <w:bCs w:val="1"/>
                <w:color w:val="0E3C23"/>
              </w:rPr>
              <w:t>($)</w:t>
            </w:r>
          </w:p>
        </w:tc>
        <w:tc>
          <w:tcPr>
            <w:tcW w:w="0" w:type="dxa"/>
            <w:vAlign w:val="bottom"/>
          </w:tcPr>
          <w:p>
            <w:pPr>
              <w:spacing w:after="0"/>
              <w:rPr>
                <w:sz w:val="1"/>
                <w:szCs w:val="1"/>
                <w:color w:val="auto"/>
              </w:rPr>
            </w:pPr>
          </w:p>
        </w:tc>
      </w:tr>
      <w:tr>
        <w:trPr>
          <w:trHeight w:val="208"/>
        </w:trPr>
        <w:tc>
          <w:tcPr>
            <w:tcW w:w="3600" w:type="dxa"/>
            <w:vAlign w:val="bottom"/>
          </w:tcPr>
          <w:p>
            <w:pPr>
              <w:ind w:left="60"/>
              <w:spacing w:after="0"/>
              <w:rPr>
                <w:sz w:val="20"/>
                <w:szCs w:val="20"/>
                <w:color w:val="auto"/>
              </w:rPr>
            </w:pPr>
            <w:r>
              <w:rPr>
                <w:rFonts w:ascii="Arial" w:cs="Arial" w:eastAsia="Arial" w:hAnsi="Arial"/>
                <w:sz w:val="17"/>
                <w:szCs w:val="17"/>
                <w:b w:val="1"/>
                <w:bCs w:val="1"/>
                <w:color w:val="auto"/>
              </w:rPr>
              <w:t>James C. Fish, Jr.</w:t>
            </w: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600" w:type="dxa"/>
            <w:vAlign w:val="bottom"/>
          </w:tcPr>
          <w:p>
            <w:pPr>
              <w:ind w:left="60"/>
              <w:spacing w:after="0"/>
              <w:rPr>
                <w:sz w:val="20"/>
                <w:szCs w:val="20"/>
                <w:color w:val="auto"/>
              </w:rPr>
            </w:pPr>
            <w:r>
              <w:rPr>
                <w:rFonts w:ascii="Arial" w:cs="Arial" w:eastAsia="Arial" w:hAnsi="Arial"/>
                <w:sz w:val="17"/>
                <w:szCs w:val="17"/>
                <w:b w:val="1"/>
                <w:bCs w:val="1"/>
                <w:color w:val="auto"/>
              </w:rPr>
              <w:t>President and Chief Executive Officer</w:t>
            </w:r>
          </w:p>
        </w:tc>
        <w:tc>
          <w:tcPr>
            <w:tcW w:w="1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3600" w:type="dxa"/>
            <w:vAlign w:val="bottom"/>
            <w:tcBorders>
              <w:bottom w:val="single" w:sz="8" w:color="0E3C23"/>
            </w:tcBorders>
          </w:tcPr>
          <w:p>
            <w:pPr>
              <w:spacing w:after="0"/>
              <w:rPr>
                <w:sz w:val="3"/>
                <w:szCs w:val="3"/>
                <w:color w:val="auto"/>
              </w:rPr>
            </w:pPr>
          </w:p>
        </w:tc>
        <w:tc>
          <w:tcPr>
            <w:tcW w:w="156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8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3600" w:type="dxa"/>
            <w:vAlign w:val="bottom"/>
            <w:tcBorders>
              <w:bottom w:val="single" w:sz="8" w:color="0E3C23"/>
            </w:tcBorders>
          </w:tcPr>
          <w:p>
            <w:pPr>
              <w:ind w:left="60"/>
              <w:spacing w:after="0"/>
              <w:rPr>
                <w:sz w:val="20"/>
                <w:szCs w:val="20"/>
                <w:color w:val="auto"/>
              </w:rPr>
            </w:pPr>
            <w:r>
              <w:rPr>
                <w:rFonts w:ascii="Arial" w:cs="Arial" w:eastAsia="Arial" w:hAnsi="Arial"/>
                <w:sz w:val="17"/>
                <w:szCs w:val="17"/>
                <w:color w:val="auto"/>
              </w:rPr>
              <w:t>2024</w:t>
            </w:r>
          </w:p>
        </w:tc>
        <w:tc>
          <w:tcPr>
            <w:tcW w:w="1560" w:type="dxa"/>
            <w:vAlign w:val="bottom"/>
            <w:tcBorders>
              <w:bottom w:val="single" w:sz="8" w:color="0E3C23"/>
            </w:tcBorders>
          </w:tcPr>
          <w:p>
            <w:pPr>
              <w:jc w:val="right"/>
              <w:spacing w:after="0"/>
              <w:rPr>
                <w:sz w:val="20"/>
                <w:szCs w:val="20"/>
                <w:color w:val="auto"/>
              </w:rPr>
            </w:pPr>
            <w:r>
              <w:rPr>
                <w:rFonts w:ascii="Arial" w:cs="Arial" w:eastAsia="Arial" w:hAnsi="Arial"/>
                <w:sz w:val="17"/>
                <w:szCs w:val="17"/>
                <w:color w:val="auto"/>
              </w:rPr>
              <w:t>1,429,290</w:t>
            </w:r>
            <w:r>
              <w:rPr>
                <w:rFonts w:ascii="Arial" w:cs="Arial" w:eastAsia="Arial" w:hAnsi="Arial"/>
                <w:sz w:val="21"/>
                <w:szCs w:val="21"/>
                <w:color w:val="auto"/>
                <w:vertAlign w:val="superscript"/>
              </w:rPr>
              <w:t>(5)</w:t>
            </w:r>
          </w:p>
        </w:tc>
        <w:tc>
          <w:tcPr>
            <w:tcW w:w="920" w:type="dxa"/>
            <w:vAlign w:val="bottom"/>
            <w:tcBorders>
              <w:bottom w:val="single" w:sz="8" w:color="0E3C23"/>
            </w:tcBorders>
          </w:tcPr>
          <w:p>
            <w:pPr>
              <w:jc w:val="right"/>
              <w:spacing w:after="0"/>
              <w:rPr>
                <w:sz w:val="20"/>
                <w:szCs w:val="20"/>
                <w:color w:val="auto"/>
              </w:rPr>
            </w:pPr>
            <w:r>
              <w:rPr>
                <w:rFonts w:ascii="Arial" w:cs="Arial" w:eastAsia="Arial" w:hAnsi="Arial"/>
                <w:sz w:val="17"/>
                <w:szCs w:val="17"/>
                <w:color w:val="auto"/>
                <w:w w:val="98"/>
              </w:rPr>
              <w:t>10,292,103</w:t>
            </w:r>
          </w:p>
        </w:tc>
        <w:tc>
          <w:tcPr>
            <w:tcW w:w="820" w:type="dxa"/>
            <w:vAlign w:val="bottom"/>
            <w:tcBorders>
              <w:bottom w:val="single" w:sz="8" w:color="0E3C23"/>
            </w:tcBorders>
          </w:tcPr>
          <w:p>
            <w:pPr>
              <w:jc w:val="right"/>
              <w:spacing w:after="0"/>
              <w:rPr>
                <w:sz w:val="20"/>
                <w:szCs w:val="20"/>
                <w:color w:val="auto"/>
              </w:rPr>
            </w:pPr>
            <w:r>
              <w:rPr>
                <w:rFonts w:ascii="Arial" w:cs="Arial" w:eastAsia="Arial" w:hAnsi="Arial"/>
                <w:sz w:val="17"/>
                <w:szCs w:val="17"/>
                <w:color w:val="auto"/>
                <w:w w:val="97"/>
              </w:rPr>
              <w:t>1,950,007</w:t>
            </w:r>
          </w:p>
        </w:tc>
        <w:tc>
          <w:tcPr>
            <w:tcW w:w="1120" w:type="dxa"/>
            <w:vAlign w:val="bottom"/>
            <w:tcBorders>
              <w:bottom w:val="single" w:sz="8" w:color="0E3C23"/>
            </w:tcBorders>
          </w:tcPr>
          <w:p>
            <w:pPr>
              <w:jc w:val="right"/>
              <w:ind w:right="138"/>
              <w:spacing w:after="0"/>
              <w:rPr>
                <w:sz w:val="20"/>
                <w:szCs w:val="20"/>
                <w:color w:val="auto"/>
              </w:rPr>
            </w:pPr>
            <w:r>
              <w:rPr>
                <w:rFonts w:ascii="Arial" w:cs="Arial" w:eastAsia="Arial" w:hAnsi="Arial"/>
                <w:sz w:val="17"/>
                <w:szCs w:val="17"/>
                <w:color w:val="auto"/>
              </w:rPr>
              <w:t>3,180,080</w:t>
            </w:r>
          </w:p>
        </w:tc>
        <w:tc>
          <w:tcPr>
            <w:tcW w:w="1120" w:type="dxa"/>
            <w:vAlign w:val="bottom"/>
            <w:tcBorders>
              <w:bottom w:val="single" w:sz="8" w:color="0E3C23"/>
            </w:tcBorders>
          </w:tcPr>
          <w:p>
            <w:pPr>
              <w:jc w:val="right"/>
              <w:ind w:right="198"/>
              <w:spacing w:after="0"/>
              <w:rPr>
                <w:sz w:val="20"/>
                <w:szCs w:val="20"/>
                <w:color w:val="auto"/>
              </w:rPr>
            </w:pPr>
            <w:r>
              <w:rPr>
                <w:rFonts w:ascii="Arial" w:cs="Arial" w:eastAsia="Arial" w:hAnsi="Arial"/>
                <w:sz w:val="17"/>
                <w:szCs w:val="17"/>
                <w:color w:val="auto"/>
              </w:rPr>
              <w:t>245,640</w:t>
            </w:r>
          </w:p>
        </w:tc>
        <w:tc>
          <w:tcPr>
            <w:tcW w:w="920" w:type="dxa"/>
            <w:vAlign w:val="bottom"/>
            <w:tcBorders>
              <w:bottom w:val="single" w:sz="8" w:color="0E3C23"/>
            </w:tcBorders>
          </w:tcPr>
          <w:p>
            <w:pPr>
              <w:jc w:val="right"/>
              <w:spacing w:after="0"/>
              <w:rPr>
                <w:sz w:val="20"/>
                <w:szCs w:val="20"/>
                <w:color w:val="auto"/>
              </w:rPr>
            </w:pPr>
            <w:r>
              <w:rPr>
                <w:rFonts w:ascii="Arial" w:cs="Arial" w:eastAsia="Arial" w:hAnsi="Arial"/>
                <w:sz w:val="17"/>
                <w:szCs w:val="17"/>
                <w:color w:val="auto"/>
                <w:w w:val="98"/>
              </w:rPr>
              <w:t>17,097,120</w:t>
            </w:r>
          </w:p>
        </w:tc>
        <w:tc>
          <w:tcPr>
            <w:tcW w:w="0" w:type="dxa"/>
            <w:vAlign w:val="bottom"/>
          </w:tcPr>
          <w:p>
            <w:pPr>
              <w:spacing w:after="0"/>
              <w:rPr>
                <w:sz w:val="1"/>
                <w:szCs w:val="1"/>
                <w:color w:val="auto"/>
              </w:rPr>
            </w:pPr>
          </w:p>
        </w:tc>
      </w:tr>
      <w:tr>
        <w:trPr>
          <w:trHeight w:val="259"/>
        </w:trPr>
        <w:tc>
          <w:tcPr>
            <w:tcW w:w="3600" w:type="dxa"/>
            <w:vAlign w:val="bottom"/>
            <w:tcBorders>
              <w:bottom w:val="single" w:sz="8" w:color="0E3C23"/>
            </w:tcBorders>
          </w:tcPr>
          <w:p>
            <w:pPr>
              <w:ind w:left="60"/>
              <w:spacing w:after="0"/>
              <w:rPr>
                <w:sz w:val="20"/>
                <w:szCs w:val="20"/>
                <w:color w:val="auto"/>
              </w:rPr>
            </w:pPr>
            <w:r>
              <w:rPr>
                <w:rFonts w:ascii="Arial" w:cs="Arial" w:eastAsia="Arial" w:hAnsi="Arial"/>
                <w:sz w:val="17"/>
                <w:szCs w:val="17"/>
                <w:color w:val="auto"/>
              </w:rPr>
              <w:t>2023</w:t>
            </w:r>
          </w:p>
        </w:tc>
        <w:tc>
          <w:tcPr>
            <w:tcW w:w="1560" w:type="dxa"/>
            <w:vAlign w:val="bottom"/>
            <w:tcBorders>
              <w:bottom w:val="single" w:sz="8" w:color="0E3C23"/>
            </w:tcBorders>
          </w:tcPr>
          <w:p>
            <w:pPr>
              <w:jc w:val="right"/>
              <w:spacing w:after="0"/>
              <w:rPr>
                <w:sz w:val="20"/>
                <w:szCs w:val="20"/>
                <w:color w:val="auto"/>
              </w:rPr>
            </w:pPr>
            <w:r>
              <w:rPr>
                <w:rFonts w:ascii="Arial" w:cs="Arial" w:eastAsia="Arial" w:hAnsi="Arial"/>
                <w:sz w:val="17"/>
                <w:szCs w:val="17"/>
                <w:color w:val="auto"/>
              </w:rPr>
              <w:t>1,388,461</w:t>
            </w:r>
            <w:r>
              <w:rPr>
                <w:rFonts w:ascii="Arial" w:cs="Arial" w:eastAsia="Arial" w:hAnsi="Arial"/>
                <w:sz w:val="21"/>
                <w:szCs w:val="21"/>
                <w:color w:val="auto"/>
                <w:vertAlign w:val="superscript"/>
              </w:rPr>
              <w:t>(5)</w:t>
            </w:r>
          </w:p>
        </w:tc>
        <w:tc>
          <w:tcPr>
            <w:tcW w:w="920" w:type="dxa"/>
            <w:vAlign w:val="bottom"/>
            <w:tcBorders>
              <w:bottom w:val="single" w:sz="8" w:color="0E3C23"/>
            </w:tcBorders>
          </w:tcPr>
          <w:p>
            <w:pPr>
              <w:jc w:val="right"/>
              <w:spacing w:after="0"/>
              <w:rPr>
                <w:sz w:val="20"/>
                <w:szCs w:val="20"/>
                <w:color w:val="auto"/>
              </w:rPr>
            </w:pPr>
            <w:r>
              <w:rPr>
                <w:rFonts w:ascii="Arial" w:cs="Arial" w:eastAsia="Arial" w:hAnsi="Arial"/>
                <w:sz w:val="17"/>
                <w:szCs w:val="17"/>
                <w:color w:val="auto"/>
              </w:rPr>
              <w:t>8,405,433</w:t>
            </w:r>
          </w:p>
        </w:tc>
        <w:tc>
          <w:tcPr>
            <w:tcW w:w="820" w:type="dxa"/>
            <w:vAlign w:val="bottom"/>
            <w:tcBorders>
              <w:bottom w:val="single" w:sz="8" w:color="0E3C23"/>
            </w:tcBorders>
          </w:tcPr>
          <w:p>
            <w:pPr>
              <w:jc w:val="right"/>
              <w:spacing w:after="0"/>
              <w:rPr>
                <w:sz w:val="20"/>
                <w:szCs w:val="20"/>
                <w:color w:val="auto"/>
              </w:rPr>
            </w:pPr>
            <w:r>
              <w:rPr>
                <w:rFonts w:ascii="Arial" w:cs="Arial" w:eastAsia="Arial" w:hAnsi="Arial"/>
                <w:sz w:val="17"/>
                <w:szCs w:val="17"/>
                <w:color w:val="auto"/>
                <w:w w:val="97"/>
              </w:rPr>
              <w:t>1,950,000</w:t>
            </w:r>
          </w:p>
        </w:tc>
        <w:tc>
          <w:tcPr>
            <w:tcW w:w="1120" w:type="dxa"/>
            <w:vAlign w:val="bottom"/>
            <w:tcBorders>
              <w:bottom w:val="single" w:sz="8" w:color="0E3C23"/>
            </w:tcBorders>
          </w:tcPr>
          <w:p>
            <w:pPr>
              <w:jc w:val="right"/>
              <w:ind w:right="138"/>
              <w:spacing w:after="0"/>
              <w:rPr>
                <w:sz w:val="20"/>
                <w:szCs w:val="20"/>
                <w:color w:val="auto"/>
              </w:rPr>
            </w:pPr>
            <w:r>
              <w:rPr>
                <w:rFonts w:ascii="Arial" w:cs="Arial" w:eastAsia="Arial" w:hAnsi="Arial"/>
                <w:sz w:val="17"/>
                <w:szCs w:val="17"/>
                <w:color w:val="auto"/>
              </w:rPr>
              <w:t>2,638,116</w:t>
            </w:r>
          </w:p>
        </w:tc>
        <w:tc>
          <w:tcPr>
            <w:tcW w:w="1120" w:type="dxa"/>
            <w:vAlign w:val="bottom"/>
            <w:tcBorders>
              <w:bottom w:val="single" w:sz="8" w:color="0E3C23"/>
            </w:tcBorders>
          </w:tcPr>
          <w:p>
            <w:pPr>
              <w:jc w:val="right"/>
              <w:ind w:right="198"/>
              <w:spacing w:after="0"/>
              <w:rPr>
                <w:sz w:val="20"/>
                <w:szCs w:val="20"/>
                <w:color w:val="auto"/>
              </w:rPr>
            </w:pPr>
            <w:r>
              <w:rPr>
                <w:rFonts w:ascii="Arial" w:cs="Arial" w:eastAsia="Arial" w:hAnsi="Arial"/>
                <w:sz w:val="17"/>
                <w:szCs w:val="17"/>
                <w:color w:val="auto"/>
              </w:rPr>
              <w:t>246,844</w:t>
            </w:r>
          </w:p>
        </w:tc>
        <w:tc>
          <w:tcPr>
            <w:tcW w:w="920" w:type="dxa"/>
            <w:vAlign w:val="bottom"/>
            <w:tcBorders>
              <w:bottom w:val="single" w:sz="8" w:color="0E3C23"/>
            </w:tcBorders>
          </w:tcPr>
          <w:p>
            <w:pPr>
              <w:jc w:val="right"/>
              <w:spacing w:after="0"/>
              <w:rPr>
                <w:sz w:val="20"/>
                <w:szCs w:val="20"/>
                <w:color w:val="auto"/>
              </w:rPr>
            </w:pPr>
            <w:r>
              <w:rPr>
                <w:rFonts w:ascii="Arial" w:cs="Arial" w:eastAsia="Arial" w:hAnsi="Arial"/>
                <w:sz w:val="17"/>
                <w:szCs w:val="17"/>
                <w:color w:val="auto"/>
                <w:w w:val="98"/>
              </w:rPr>
              <w:t>14,628,854</w:t>
            </w:r>
          </w:p>
        </w:tc>
        <w:tc>
          <w:tcPr>
            <w:tcW w:w="0" w:type="dxa"/>
            <w:vAlign w:val="bottom"/>
          </w:tcPr>
          <w:p>
            <w:pPr>
              <w:spacing w:after="0"/>
              <w:rPr>
                <w:sz w:val="1"/>
                <w:szCs w:val="1"/>
                <w:color w:val="auto"/>
              </w:rPr>
            </w:pPr>
          </w:p>
        </w:tc>
      </w:tr>
      <w:tr>
        <w:trPr>
          <w:trHeight w:val="259"/>
        </w:trPr>
        <w:tc>
          <w:tcPr>
            <w:tcW w:w="3600" w:type="dxa"/>
            <w:vAlign w:val="bottom"/>
            <w:tcBorders>
              <w:bottom w:val="single" w:sz="8" w:color="0E3C23"/>
            </w:tcBorders>
          </w:tcPr>
          <w:p>
            <w:pPr>
              <w:ind w:left="60"/>
              <w:spacing w:after="0"/>
              <w:rPr>
                <w:sz w:val="20"/>
                <w:szCs w:val="20"/>
                <w:color w:val="auto"/>
              </w:rPr>
            </w:pPr>
            <w:r>
              <w:rPr>
                <w:rFonts w:ascii="Arial" w:cs="Arial" w:eastAsia="Arial" w:hAnsi="Arial"/>
                <w:sz w:val="17"/>
                <w:szCs w:val="17"/>
                <w:color w:val="auto"/>
              </w:rPr>
              <w:t>2022</w:t>
            </w:r>
          </w:p>
        </w:tc>
        <w:tc>
          <w:tcPr>
            <w:tcW w:w="1560" w:type="dxa"/>
            <w:vAlign w:val="bottom"/>
            <w:tcBorders>
              <w:bottom w:val="single" w:sz="8" w:color="0E3C23"/>
            </w:tcBorders>
          </w:tcPr>
          <w:p>
            <w:pPr>
              <w:jc w:val="right"/>
              <w:spacing w:after="0"/>
              <w:rPr>
                <w:sz w:val="20"/>
                <w:szCs w:val="20"/>
                <w:color w:val="auto"/>
              </w:rPr>
            </w:pPr>
            <w:r>
              <w:rPr>
                <w:rFonts w:ascii="Arial" w:cs="Arial" w:eastAsia="Arial" w:hAnsi="Arial"/>
                <w:sz w:val="17"/>
                <w:szCs w:val="17"/>
                <w:color w:val="auto"/>
              </w:rPr>
              <w:t>1,338,462</w:t>
            </w:r>
            <w:r>
              <w:rPr>
                <w:rFonts w:ascii="Arial" w:cs="Arial" w:eastAsia="Arial" w:hAnsi="Arial"/>
                <w:sz w:val="21"/>
                <w:szCs w:val="21"/>
                <w:color w:val="auto"/>
                <w:vertAlign w:val="superscript"/>
              </w:rPr>
              <w:t>(5)</w:t>
            </w:r>
          </w:p>
        </w:tc>
        <w:tc>
          <w:tcPr>
            <w:tcW w:w="920" w:type="dxa"/>
            <w:vAlign w:val="bottom"/>
            <w:tcBorders>
              <w:bottom w:val="single" w:sz="8" w:color="0E3C23"/>
            </w:tcBorders>
          </w:tcPr>
          <w:p>
            <w:pPr>
              <w:jc w:val="right"/>
              <w:spacing w:after="0"/>
              <w:rPr>
                <w:sz w:val="20"/>
                <w:szCs w:val="20"/>
                <w:color w:val="auto"/>
              </w:rPr>
            </w:pPr>
            <w:r>
              <w:rPr>
                <w:rFonts w:ascii="Arial" w:cs="Arial" w:eastAsia="Arial" w:hAnsi="Arial"/>
                <w:sz w:val="17"/>
                <w:szCs w:val="17"/>
                <w:color w:val="auto"/>
              </w:rPr>
              <w:t>8,023,256</w:t>
            </w:r>
          </w:p>
        </w:tc>
        <w:tc>
          <w:tcPr>
            <w:tcW w:w="820" w:type="dxa"/>
            <w:vAlign w:val="bottom"/>
            <w:tcBorders>
              <w:bottom w:val="single" w:sz="8" w:color="0E3C23"/>
            </w:tcBorders>
          </w:tcPr>
          <w:p>
            <w:pPr>
              <w:jc w:val="right"/>
              <w:spacing w:after="0"/>
              <w:rPr>
                <w:sz w:val="20"/>
                <w:szCs w:val="20"/>
                <w:color w:val="auto"/>
              </w:rPr>
            </w:pPr>
            <w:r>
              <w:rPr>
                <w:rFonts w:ascii="Arial" w:cs="Arial" w:eastAsia="Arial" w:hAnsi="Arial"/>
                <w:sz w:val="17"/>
                <w:szCs w:val="17"/>
                <w:color w:val="auto"/>
                <w:w w:val="97"/>
              </w:rPr>
              <w:t>1,750,011</w:t>
            </w:r>
          </w:p>
        </w:tc>
        <w:tc>
          <w:tcPr>
            <w:tcW w:w="1120" w:type="dxa"/>
            <w:vAlign w:val="bottom"/>
            <w:tcBorders>
              <w:bottom w:val="single" w:sz="8" w:color="0E3C23"/>
            </w:tcBorders>
          </w:tcPr>
          <w:p>
            <w:pPr>
              <w:jc w:val="right"/>
              <w:ind w:right="138"/>
              <w:spacing w:after="0"/>
              <w:rPr>
                <w:sz w:val="20"/>
                <w:szCs w:val="20"/>
                <w:color w:val="auto"/>
              </w:rPr>
            </w:pPr>
            <w:r>
              <w:rPr>
                <w:rFonts w:ascii="Arial" w:cs="Arial" w:eastAsia="Arial" w:hAnsi="Arial"/>
                <w:sz w:val="17"/>
                <w:szCs w:val="17"/>
                <w:color w:val="auto"/>
              </w:rPr>
              <w:t>3,459,049</w:t>
            </w:r>
          </w:p>
        </w:tc>
        <w:tc>
          <w:tcPr>
            <w:tcW w:w="1120" w:type="dxa"/>
            <w:vAlign w:val="bottom"/>
            <w:tcBorders>
              <w:bottom w:val="single" w:sz="8" w:color="0E3C23"/>
            </w:tcBorders>
          </w:tcPr>
          <w:p>
            <w:pPr>
              <w:jc w:val="right"/>
              <w:ind w:right="198"/>
              <w:spacing w:after="0"/>
              <w:rPr>
                <w:sz w:val="20"/>
                <w:szCs w:val="20"/>
                <w:color w:val="auto"/>
              </w:rPr>
            </w:pPr>
            <w:r>
              <w:rPr>
                <w:rFonts w:ascii="Arial" w:cs="Arial" w:eastAsia="Arial" w:hAnsi="Arial"/>
                <w:sz w:val="17"/>
                <w:szCs w:val="17"/>
                <w:color w:val="auto"/>
              </w:rPr>
              <w:t>249,906</w:t>
            </w:r>
          </w:p>
        </w:tc>
        <w:tc>
          <w:tcPr>
            <w:tcW w:w="920" w:type="dxa"/>
            <w:vAlign w:val="bottom"/>
            <w:tcBorders>
              <w:bottom w:val="single" w:sz="8" w:color="0E3C23"/>
            </w:tcBorders>
          </w:tcPr>
          <w:p>
            <w:pPr>
              <w:jc w:val="right"/>
              <w:spacing w:after="0"/>
              <w:rPr>
                <w:sz w:val="20"/>
                <w:szCs w:val="20"/>
                <w:color w:val="auto"/>
              </w:rPr>
            </w:pPr>
            <w:r>
              <w:rPr>
                <w:rFonts w:ascii="Arial" w:cs="Arial" w:eastAsia="Arial" w:hAnsi="Arial"/>
                <w:sz w:val="17"/>
                <w:szCs w:val="17"/>
                <w:color w:val="auto"/>
                <w:w w:val="98"/>
              </w:rPr>
              <w:t>14,820,684</w:t>
            </w:r>
          </w:p>
        </w:tc>
        <w:tc>
          <w:tcPr>
            <w:tcW w:w="0" w:type="dxa"/>
            <w:vAlign w:val="bottom"/>
          </w:tcPr>
          <w:p>
            <w:pPr>
              <w:spacing w:after="0"/>
              <w:rPr>
                <w:sz w:val="1"/>
                <w:szCs w:val="1"/>
                <w:color w:val="auto"/>
              </w:rPr>
            </w:pPr>
          </w:p>
        </w:tc>
      </w:tr>
      <w:tr>
        <w:trPr>
          <w:trHeight w:val="197"/>
        </w:trPr>
        <w:tc>
          <w:tcPr>
            <w:tcW w:w="3600" w:type="dxa"/>
            <w:vAlign w:val="bottom"/>
          </w:tcPr>
          <w:p>
            <w:pPr>
              <w:ind w:left="60"/>
              <w:spacing w:after="0"/>
              <w:rPr>
                <w:sz w:val="20"/>
                <w:szCs w:val="20"/>
                <w:color w:val="auto"/>
              </w:rPr>
            </w:pPr>
            <w:r>
              <w:rPr>
                <w:rFonts w:ascii="Arial" w:cs="Arial" w:eastAsia="Arial" w:hAnsi="Arial"/>
                <w:sz w:val="17"/>
                <w:szCs w:val="17"/>
                <w:b w:val="1"/>
                <w:bCs w:val="1"/>
                <w:color w:val="auto"/>
              </w:rPr>
              <w:t>Devina A. Rankin</w:t>
            </w:r>
          </w:p>
        </w:tc>
        <w:tc>
          <w:tcPr>
            <w:tcW w:w="1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0" w:type="dxa"/>
            <w:vAlign w:val="bottom"/>
          </w:tcPr>
          <w:p>
            <w:pPr>
              <w:ind w:left="60"/>
              <w:spacing w:after="0"/>
              <w:rPr>
                <w:sz w:val="20"/>
                <w:szCs w:val="20"/>
                <w:color w:val="auto"/>
              </w:rPr>
            </w:pPr>
            <w:r>
              <w:rPr>
                <w:rFonts w:ascii="Arial" w:cs="Arial" w:eastAsia="Arial" w:hAnsi="Arial"/>
                <w:sz w:val="17"/>
                <w:szCs w:val="17"/>
                <w:b w:val="1"/>
                <w:bCs w:val="1"/>
                <w:color w:val="auto"/>
              </w:rPr>
              <w:t>EVP and Chief Financial Officer</w:t>
            </w:r>
          </w:p>
        </w:tc>
        <w:tc>
          <w:tcPr>
            <w:tcW w:w="1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3600" w:type="dxa"/>
            <w:vAlign w:val="bottom"/>
            <w:tcBorders>
              <w:bottom w:val="single" w:sz="8" w:color="0E3C23"/>
            </w:tcBorders>
          </w:tcPr>
          <w:p>
            <w:pPr>
              <w:spacing w:after="0"/>
              <w:rPr>
                <w:sz w:val="3"/>
                <w:szCs w:val="3"/>
                <w:color w:val="auto"/>
              </w:rPr>
            </w:pPr>
          </w:p>
        </w:tc>
        <w:tc>
          <w:tcPr>
            <w:tcW w:w="156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8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600" w:type="dxa"/>
            <w:vAlign w:val="bottom"/>
          </w:tcPr>
          <w:p>
            <w:pPr>
              <w:ind w:left="60"/>
              <w:spacing w:after="0"/>
              <w:rPr>
                <w:sz w:val="20"/>
                <w:szCs w:val="20"/>
                <w:color w:val="auto"/>
              </w:rPr>
            </w:pPr>
            <w:r>
              <w:rPr>
                <w:rFonts w:ascii="Arial" w:cs="Arial" w:eastAsia="Arial" w:hAnsi="Arial"/>
                <w:sz w:val="17"/>
                <w:szCs w:val="17"/>
                <w:color w:val="auto"/>
              </w:rPr>
              <w:t>2024</w:t>
            </w:r>
          </w:p>
        </w:tc>
        <w:tc>
          <w:tcPr>
            <w:tcW w:w="1560" w:type="dxa"/>
            <w:vAlign w:val="bottom"/>
          </w:tcPr>
          <w:p>
            <w:pPr>
              <w:jc w:val="right"/>
              <w:ind w:right="96"/>
              <w:spacing w:after="0"/>
              <w:rPr>
                <w:sz w:val="20"/>
                <w:szCs w:val="20"/>
                <w:color w:val="auto"/>
              </w:rPr>
            </w:pPr>
            <w:r>
              <w:rPr>
                <w:rFonts w:ascii="Arial" w:cs="Arial" w:eastAsia="Arial" w:hAnsi="Arial"/>
                <w:sz w:val="17"/>
                <w:szCs w:val="17"/>
                <w:color w:val="auto"/>
              </w:rPr>
              <w:t>790,035</w:t>
            </w:r>
          </w:p>
        </w:tc>
        <w:tc>
          <w:tcPr>
            <w:tcW w:w="920" w:type="dxa"/>
            <w:vAlign w:val="bottom"/>
          </w:tcPr>
          <w:p>
            <w:pPr>
              <w:jc w:val="right"/>
              <w:spacing w:after="0"/>
              <w:rPr>
                <w:sz w:val="20"/>
                <w:szCs w:val="20"/>
                <w:color w:val="auto"/>
              </w:rPr>
            </w:pPr>
            <w:r>
              <w:rPr>
                <w:rFonts w:ascii="Arial" w:cs="Arial" w:eastAsia="Arial" w:hAnsi="Arial"/>
                <w:sz w:val="17"/>
                <w:szCs w:val="17"/>
                <w:color w:val="auto"/>
              </w:rPr>
              <w:t>2,427,755</w:t>
            </w:r>
          </w:p>
        </w:tc>
        <w:tc>
          <w:tcPr>
            <w:tcW w:w="820" w:type="dxa"/>
            <w:vAlign w:val="bottom"/>
          </w:tcPr>
          <w:p>
            <w:pPr>
              <w:jc w:val="right"/>
              <w:spacing w:after="0"/>
              <w:rPr>
                <w:sz w:val="20"/>
                <w:szCs w:val="20"/>
                <w:color w:val="auto"/>
              </w:rPr>
            </w:pPr>
            <w:r>
              <w:rPr>
                <w:rFonts w:ascii="Arial" w:cs="Arial" w:eastAsia="Arial" w:hAnsi="Arial"/>
                <w:sz w:val="17"/>
                <w:szCs w:val="17"/>
                <w:color w:val="auto"/>
              </w:rPr>
              <w:t>460,014</w:t>
            </w:r>
          </w:p>
        </w:tc>
        <w:tc>
          <w:tcPr>
            <w:tcW w:w="1120" w:type="dxa"/>
            <w:vAlign w:val="bottom"/>
          </w:tcPr>
          <w:p>
            <w:pPr>
              <w:jc w:val="right"/>
              <w:ind w:right="138"/>
              <w:spacing w:after="0"/>
              <w:rPr>
                <w:sz w:val="20"/>
                <w:szCs w:val="20"/>
                <w:color w:val="auto"/>
              </w:rPr>
            </w:pPr>
            <w:r>
              <w:rPr>
                <w:rFonts w:ascii="Arial" w:cs="Arial" w:eastAsia="Arial" w:hAnsi="Arial"/>
                <w:sz w:val="17"/>
                <w:szCs w:val="17"/>
                <w:color w:val="auto"/>
              </w:rPr>
              <w:t>1,203,674</w:t>
            </w:r>
          </w:p>
        </w:tc>
        <w:tc>
          <w:tcPr>
            <w:tcW w:w="1120" w:type="dxa"/>
            <w:vAlign w:val="bottom"/>
          </w:tcPr>
          <w:p>
            <w:pPr>
              <w:jc w:val="right"/>
              <w:ind w:right="198"/>
              <w:spacing w:after="0"/>
              <w:rPr>
                <w:sz w:val="20"/>
                <w:szCs w:val="20"/>
                <w:color w:val="auto"/>
              </w:rPr>
            </w:pPr>
            <w:r>
              <w:rPr>
                <w:rFonts w:ascii="Arial" w:cs="Arial" w:eastAsia="Arial" w:hAnsi="Arial"/>
                <w:sz w:val="17"/>
                <w:szCs w:val="17"/>
                <w:color w:val="auto"/>
              </w:rPr>
              <w:t>78,250</w:t>
            </w:r>
          </w:p>
        </w:tc>
        <w:tc>
          <w:tcPr>
            <w:tcW w:w="920" w:type="dxa"/>
            <w:vAlign w:val="bottom"/>
          </w:tcPr>
          <w:p>
            <w:pPr>
              <w:jc w:val="right"/>
              <w:spacing w:after="0"/>
              <w:rPr>
                <w:sz w:val="20"/>
                <w:szCs w:val="20"/>
                <w:color w:val="auto"/>
              </w:rPr>
            </w:pPr>
            <w:r>
              <w:rPr>
                <w:rFonts w:ascii="Arial" w:cs="Arial" w:eastAsia="Arial" w:hAnsi="Arial"/>
                <w:sz w:val="17"/>
                <w:szCs w:val="17"/>
                <w:color w:val="auto"/>
              </w:rPr>
              <w:t>4,959,728</w:t>
            </w:r>
          </w:p>
        </w:tc>
        <w:tc>
          <w:tcPr>
            <w:tcW w:w="0" w:type="dxa"/>
            <w:vAlign w:val="bottom"/>
          </w:tcPr>
          <w:p>
            <w:pPr>
              <w:spacing w:after="0"/>
              <w:rPr>
                <w:sz w:val="1"/>
                <w:szCs w:val="1"/>
                <w:color w:val="auto"/>
              </w:rPr>
            </w:pPr>
          </w:p>
        </w:tc>
      </w:tr>
      <w:tr>
        <w:trPr>
          <w:trHeight w:val="39"/>
        </w:trPr>
        <w:tc>
          <w:tcPr>
            <w:tcW w:w="3600" w:type="dxa"/>
            <w:vAlign w:val="bottom"/>
            <w:tcBorders>
              <w:bottom w:val="single" w:sz="8" w:color="0E3C23"/>
            </w:tcBorders>
          </w:tcPr>
          <w:p>
            <w:pPr>
              <w:spacing w:after="0"/>
              <w:rPr>
                <w:sz w:val="3"/>
                <w:szCs w:val="3"/>
                <w:color w:val="auto"/>
              </w:rPr>
            </w:pPr>
          </w:p>
        </w:tc>
        <w:tc>
          <w:tcPr>
            <w:tcW w:w="156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8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600" w:type="dxa"/>
            <w:vAlign w:val="bottom"/>
          </w:tcPr>
          <w:p>
            <w:pPr>
              <w:ind w:left="60"/>
              <w:spacing w:after="0"/>
              <w:rPr>
                <w:sz w:val="20"/>
                <w:szCs w:val="20"/>
                <w:color w:val="auto"/>
              </w:rPr>
            </w:pPr>
            <w:r>
              <w:rPr>
                <w:rFonts w:ascii="Arial" w:cs="Arial" w:eastAsia="Arial" w:hAnsi="Arial"/>
                <w:sz w:val="17"/>
                <w:szCs w:val="17"/>
                <w:color w:val="auto"/>
              </w:rPr>
              <w:t>2023</w:t>
            </w:r>
          </w:p>
        </w:tc>
        <w:tc>
          <w:tcPr>
            <w:tcW w:w="1560" w:type="dxa"/>
            <w:vAlign w:val="bottom"/>
          </w:tcPr>
          <w:p>
            <w:pPr>
              <w:jc w:val="right"/>
              <w:ind w:right="96"/>
              <w:spacing w:after="0"/>
              <w:rPr>
                <w:sz w:val="20"/>
                <w:szCs w:val="20"/>
                <w:color w:val="auto"/>
              </w:rPr>
            </w:pPr>
            <w:r>
              <w:rPr>
                <w:rFonts w:ascii="Arial" w:cs="Arial" w:eastAsia="Arial" w:hAnsi="Arial"/>
                <w:sz w:val="17"/>
                <w:szCs w:val="17"/>
                <w:color w:val="auto"/>
              </w:rPr>
              <w:t>760,792</w:t>
            </w:r>
          </w:p>
        </w:tc>
        <w:tc>
          <w:tcPr>
            <w:tcW w:w="920" w:type="dxa"/>
            <w:vAlign w:val="bottom"/>
          </w:tcPr>
          <w:p>
            <w:pPr>
              <w:jc w:val="right"/>
              <w:spacing w:after="0"/>
              <w:rPr>
                <w:sz w:val="20"/>
                <w:szCs w:val="20"/>
                <w:color w:val="auto"/>
              </w:rPr>
            </w:pPr>
            <w:r>
              <w:rPr>
                <w:rFonts w:ascii="Arial" w:cs="Arial" w:eastAsia="Arial" w:hAnsi="Arial"/>
                <w:sz w:val="17"/>
                <w:szCs w:val="17"/>
                <w:color w:val="auto"/>
              </w:rPr>
              <w:t>1,982,933</w:t>
            </w:r>
          </w:p>
        </w:tc>
        <w:tc>
          <w:tcPr>
            <w:tcW w:w="820" w:type="dxa"/>
            <w:vAlign w:val="bottom"/>
          </w:tcPr>
          <w:p>
            <w:pPr>
              <w:jc w:val="right"/>
              <w:spacing w:after="0"/>
              <w:rPr>
                <w:sz w:val="20"/>
                <w:szCs w:val="20"/>
                <w:color w:val="auto"/>
              </w:rPr>
            </w:pPr>
            <w:r>
              <w:rPr>
                <w:rFonts w:ascii="Arial" w:cs="Arial" w:eastAsia="Arial" w:hAnsi="Arial"/>
                <w:sz w:val="17"/>
                <w:szCs w:val="17"/>
                <w:color w:val="auto"/>
              </w:rPr>
              <w:t>460,005</w:t>
            </w:r>
          </w:p>
        </w:tc>
        <w:tc>
          <w:tcPr>
            <w:tcW w:w="1120" w:type="dxa"/>
            <w:vAlign w:val="bottom"/>
          </w:tcPr>
          <w:p>
            <w:pPr>
              <w:jc w:val="right"/>
              <w:ind w:right="138"/>
              <w:spacing w:after="0"/>
              <w:rPr>
                <w:sz w:val="20"/>
                <w:szCs w:val="20"/>
                <w:color w:val="auto"/>
              </w:rPr>
            </w:pPr>
            <w:r>
              <w:rPr>
                <w:rFonts w:ascii="Arial" w:cs="Arial" w:eastAsia="Arial" w:hAnsi="Arial"/>
                <w:sz w:val="17"/>
                <w:szCs w:val="17"/>
                <w:color w:val="auto"/>
              </w:rPr>
              <w:t>915,228</w:t>
            </w:r>
          </w:p>
        </w:tc>
        <w:tc>
          <w:tcPr>
            <w:tcW w:w="1120" w:type="dxa"/>
            <w:vAlign w:val="bottom"/>
          </w:tcPr>
          <w:p>
            <w:pPr>
              <w:jc w:val="right"/>
              <w:ind w:right="198"/>
              <w:spacing w:after="0"/>
              <w:rPr>
                <w:sz w:val="20"/>
                <w:szCs w:val="20"/>
                <w:color w:val="auto"/>
              </w:rPr>
            </w:pPr>
            <w:r>
              <w:rPr>
                <w:rFonts w:ascii="Arial" w:cs="Arial" w:eastAsia="Arial" w:hAnsi="Arial"/>
                <w:sz w:val="17"/>
                <w:szCs w:val="17"/>
                <w:color w:val="auto"/>
              </w:rPr>
              <w:t>95,142</w:t>
            </w:r>
          </w:p>
        </w:tc>
        <w:tc>
          <w:tcPr>
            <w:tcW w:w="920" w:type="dxa"/>
            <w:vAlign w:val="bottom"/>
          </w:tcPr>
          <w:p>
            <w:pPr>
              <w:jc w:val="right"/>
              <w:spacing w:after="0"/>
              <w:rPr>
                <w:sz w:val="20"/>
                <w:szCs w:val="20"/>
                <w:color w:val="auto"/>
              </w:rPr>
            </w:pPr>
            <w:r>
              <w:rPr>
                <w:rFonts w:ascii="Arial" w:cs="Arial" w:eastAsia="Arial" w:hAnsi="Arial"/>
                <w:sz w:val="17"/>
                <w:szCs w:val="17"/>
                <w:color w:val="auto"/>
              </w:rPr>
              <w:t>4,214,100</w:t>
            </w:r>
          </w:p>
        </w:tc>
        <w:tc>
          <w:tcPr>
            <w:tcW w:w="0" w:type="dxa"/>
            <w:vAlign w:val="bottom"/>
          </w:tcPr>
          <w:p>
            <w:pPr>
              <w:spacing w:after="0"/>
              <w:rPr>
                <w:sz w:val="1"/>
                <w:szCs w:val="1"/>
                <w:color w:val="auto"/>
              </w:rPr>
            </w:pPr>
          </w:p>
        </w:tc>
      </w:tr>
      <w:tr>
        <w:trPr>
          <w:trHeight w:val="39"/>
        </w:trPr>
        <w:tc>
          <w:tcPr>
            <w:tcW w:w="3600" w:type="dxa"/>
            <w:vAlign w:val="bottom"/>
            <w:tcBorders>
              <w:bottom w:val="single" w:sz="8" w:color="0E3C23"/>
            </w:tcBorders>
          </w:tcPr>
          <w:p>
            <w:pPr>
              <w:spacing w:after="0"/>
              <w:rPr>
                <w:sz w:val="3"/>
                <w:szCs w:val="3"/>
                <w:color w:val="auto"/>
              </w:rPr>
            </w:pPr>
          </w:p>
        </w:tc>
        <w:tc>
          <w:tcPr>
            <w:tcW w:w="156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8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600" w:type="dxa"/>
            <w:vAlign w:val="bottom"/>
          </w:tcPr>
          <w:p>
            <w:pPr>
              <w:ind w:left="60"/>
              <w:spacing w:after="0"/>
              <w:rPr>
                <w:sz w:val="20"/>
                <w:szCs w:val="20"/>
                <w:color w:val="auto"/>
              </w:rPr>
            </w:pPr>
            <w:r>
              <w:rPr>
                <w:rFonts w:ascii="Arial" w:cs="Arial" w:eastAsia="Arial" w:hAnsi="Arial"/>
                <w:sz w:val="17"/>
                <w:szCs w:val="17"/>
                <w:color w:val="auto"/>
              </w:rPr>
              <w:t>2022</w:t>
            </w:r>
          </w:p>
        </w:tc>
        <w:tc>
          <w:tcPr>
            <w:tcW w:w="1560" w:type="dxa"/>
            <w:vAlign w:val="bottom"/>
          </w:tcPr>
          <w:p>
            <w:pPr>
              <w:jc w:val="right"/>
              <w:ind w:right="96"/>
              <w:spacing w:after="0"/>
              <w:rPr>
                <w:sz w:val="20"/>
                <w:szCs w:val="20"/>
                <w:color w:val="auto"/>
              </w:rPr>
            </w:pPr>
            <w:r>
              <w:rPr>
                <w:rFonts w:ascii="Arial" w:cs="Arial" w:eastAsia="Arial" w:hAnsi="Arial"/>
                <w:sz w:val="17"/>
                <w:szCs w:val="17"/>
                <w:color w:val="auto"/>
              </w:rPr>
              <w:t>730,288</w:t>
            </w:r>
          </w:p>
        </w:tc>
        <w:tc>
          <w:tcPr>
            <w:tcW w:w="920" w:type="dxa"/>
            <w:vAlign w:val="bottom"/>
          </w:tcPr>
          <w:p>
            <w:pPr>
              <w:jc w:val="right"/>
              <w:spacing w:after="0"/>
              <w:rPr>
                <w:sz w:val="20"/>
                <w:szCs w:val="20"/>
                <w:color w:val="auto"/>
              </w:rPr>
            </w:pPr>
            <w:r>
              <w:rPr>
                <w:rFonts w:ascii="Arial" w:cs="Arial" w:eastAsia="Arial" w:hAnsi="Arial"/>
                <w:sz w:val="17"/>
                <w:szCs w:val="17"/>
                <w:color w:val="auto"/>
              </w:rPr>
              <w:t>3,008,095</w:t>
            </w:r>
          </w:p>
        </w:tc>
        <w:tc>
          <w:tcPr>
            <w:tcW w:w="820" w:type="dxa"/>
            <w:vAlign w:val="bottom"/>
          </w:tcPr>
          <w:p>
            <w:pPr>
              <w:jc w:val="right"/>
              <w:spacing w:after="0"/>
              <w:rPr>
                <w:sz w:val="20"/>
                <w:szCs w:val="20"/>
                <w:color w:val="auto"/>
              </w:rPr>
            </w:pPr>
            <w:r>
              <w:rPr>
                <w:rFonts w:ascii="Arial" w:cs="Arial" w:eastAsia="Arial" w:hAnsi="Arial"/>
                <w:sz w:val="17"/>
                <w:szCs w:val="17"/>
                <w:color w:val="auto"/>
              </w:rPr>
              <w:t>439,988</w:t>
            </w:r>
          </w:p>
        </w:tc>
        <w:tc>
          <w:tcPr>
            <w:tcW w:w="1120" w:type="dxa"/>
            <w:vAlign w:val="bottom"/>
          </w:tcPr>
          <w:p>
            <w:pPr>
              <w:jc w:val="right"/>
              <w:ind w:right="138"/>
              <w:spacing w:after="0"/>
              <w:rPr>
                <w:sz w:val="20"/>
                <w:szCs w:val="20"/>
                <w:color w:val="auto"/>
              </w:rPr>
            </w:pPr>
            <w:r>
              <w:rPr>
                <w:rFonts w:ascii="Arial" w:cs="Arial" w:eastAsia="Arial" w:hAnsi="Arial"/>
                <w:sz w:val="17"/>
                <w:szCs w:val="17"/>
                <w:color w:val="auto"/>
              </w:rPr>
              <w:t>1,258,404</w:t>
            </w:r>
          </w:p>
        </w:tc>
        <w:tc>
          <w:tcPr>
            <w:tcW w:w="1120" w:type="dxa"/>
            <w:vAlign w:val="bottom"/>
          </w:tcPr>
          <w:p>
            <w:pPr>
              <w:jc w:val="right"/>
              <w:ind w:right="198"/>
              <w:spacing w:after="0"/>
              <w:rPr>
                <w:sz w:val="20"/>
                <w:szCs w:val="20"/>
                <w:color w:val="auto"/>
              </w:rPr>
            </w:pPr>
            <w:r>
              <w:rPr>
                <w:rFonts w:ascii="Arial" w:cs="Arial" w:eastAsia="Arial" w:hAnsi="Arial"/>
                <w:sz w:val="17"/>
                <w:szCs w:val="17"/>
                <w:color w:val="auto"/>
              </w:rPr>
              <w:t>98,980</w:t>
            </w:r>
          </w:p>
        </w:tc>
        <w:tc>
          <w:tcPr>
            <w:tcW w:w="920" w:type="dxa"/>
            <w:vAlign w:val="bottom"/>
          </w:tcPr>
          <w:p>
            <w:pPr>
              <w:jc w:val="right"/>
              <w:spacing w:after="0"/>
              <w:rPr>
                <w:sz w:val="20"/>
                <w:szCs w:val="20"/>
                <w:color w:val="auto"/>
              </w:rPr>
            </w:pPr>
            <w:r>
              <w:rPr>
                <w:rFonts w:ascii="Arial" w:cs="Arial" w:eastAsia="Arial" w:hAnsi="Arial"/>
                <w:sz w:val="17"/>
                <w:szCs w:val="17"/>
                <w:color w:val="auto"/>
              </w:rPr>
              <w:t>5,535,755</w:t>
            </w:r>
          </w:p>
        </w:tc>
        <w:tc>
          <w:tcPr>
            <w:tcW w:w="0" w:type="dxa"/>
            <w:vAlign w:val="bottom"/>
          </w:tcPr>
          <w:p>
            <w:pPr>
              <w:spacing w:after="0"/>
              <w:rPr>
                <w:sz w:val="1"/>
                <w:szCs w:val="1"/>
                <w:color w:val="auto"/>
              </w:rPr>
            </w:pPr>
          </w:p>
        </w:tc>
      </w:tr>
      <w:tr>
        <w:trPr>
          <w:trHeight w:val="39"/>
        </w:trPr>
        <w:tc>
          <w:tcPr>
            <w:tcW w:w="3600" w:type="dxa"/>
            <w:vAlign w:val="bottom"/>
            <w:tcBorders>
              <w:bottom w:val="single" w:sz="8" w:color="0E3C23"/>
            </w:tcBorders>
          </w:tcPr>
          <w:p>
            <w:pPr>
              <w:spacing w:after="0"/>
              <w:rPr>
                <w:sz w:val="3"/>
                <w:szCs w:val="3"/>
                <w:color w:val="auto"/>
              </w:rPr>
            </w:pPr>
          </w:p>
        </w:tc>
        <w:tc>
          <w:tcPr>
            <w:tcW w:w="156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8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3600" w:type="dxa"/>
            <w:vAlign w:val="bottom"/>
          </w:tcPr>
          <w:p>
            <w:pPr>
              <w:ind w:left="60"/>
              <w:spacing w:after="0"/>
              <w:rPr>
                <w:sz w:val="20"/>
                <w:szCs w:val="20"/>
                <w:color w:val="auto"/>
              </w:rPr>
            </w:pPr>
            <w:r>
              <w:rPr>
                <w:rFonts w:ascii="Arial" w:cs="Arial" w:eastAsia="Arial" w:hAnsi="Arial"/>
                <w:sz w:val="17"/>
                <w:szCs w:val="17"/>
                <w:b w:val="1"/>
                <w:bCs w:val="1"/>
                <w:color w:val="auto"/>
              </w:rPr>
              <w:t>John J. Morris, Jr.</w:t>
            </w:r>
          </w:p>
        </w:tc>
        <w:tc>
          <w:tcPr>
            <w:tcW w:w="1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0" w:type="dxa"/>
            <w:vAlign w:val="bottom"/>
          </w:tcPr>
          <w:p>
            <w:pPr>
              <w:ind w:left="60"/>
              <w:spacing w:after="0"/>
              <w:rPr>
                <w:sz w:val="20"/>
                <w:szCs w:val="20"/>
                <w:color w:val="auto"/>
              </w:rPr>
            </w:pPr>
            <w:r>
              <w:rPr>
                <w:rFonts w:ascii="Arial" w:cs="Arial" w:eastAsia="Arial" w:hAnsi="Arial"/>
                <w:sz w:val="17"/>
                <w:szCs w:val="17"/>
                <w:b w:val="1"/>
                <w:bCs w:val="1"/>
                <w:color w:val="auto"/>
              </w:rPr>
              <w:t>EVP and Chief Operating Officer</w:t>
            </w:r>
          </w:p>
        </w:tc>
        <w:tc>
          <w:tcPr>
            <w:tcW w:w="1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3600" w:type="dxa"/>
            <w:vAlign w:val="bottom"/>
            <w:tcBorders>
              <w:bottom w:val="single" w:sz="8" w:color="0E3C23"/>
            </w:tcBorders>
          </w:tcPr>
          <w:p>
            <w:pPr>
              <w:spacing w:after="0"/>
              <w:rPr>
                <w:sz w:val="3"/>
                <w:szCs w:val="3"/>
                <w:color w:val="auto"/>
              </w:rPr>
            </w:pPr>
          </w:p>
        </w:tc>
        <w:tc>
          <w:tcPr>
            <w:tcW w:w="156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8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600" w:type="dxa"/>
            <w:vAlign w:val="bottom"/>
          </w:tcPr>
          <w:p>
            <w:pPr>
              <w:ind w:left="60"/>
              <w:spacing w:after="0"/>
              <w:rPr>
                <w:sz w:val="20"/>
                <w:szCs w:val="20"/>
                <w:color w:val="auto"/>
              </w:rPr>
            </w:pPr>
            <w:r>
              <w:rPr>
                <w:rFonts w:ascii="Arial" w:cs="Arial" w:eastAsia="Arial" w:hAnsi="Arial"/>
                <w:sz w:val="17"/>
                <w:szCs w:val="17"/>
                <w:color w:val="auto"/>
              </w:rPr>
              <w:t>2024</w:t>
            </w:r>
          </w:p>
        </w:tc>
        <w:tc>
          <w:tcPr>
            <w:tcW w:w="1560" w:type="dxa"/>
            <w:vAlign w:val="bottom"/>
          </w:tcPr>
          <w:p>
            <w:pPr>
              <w:jc w:val="right"/>
              <w:ind w:right="96"/>
              <w:spacing w:after="0"/>
              <w:rPr>
                <w:sz w:val="20"/>
                <w:szCs w:val="20"/>
                <w:color w:val="auto"/>
              </w:rPr>
            </w:pPr>
            <w:r>
              <w:rPr>
                <w:rFonts w:ascii="Arial" w:cs="Arial" w:eastAsia="Arial" w:hAnsi="Arial"/>
                <w:sz w:val="17"/>
                <w:szCs w:val="17"/>
                <w:color w:val="auto"/>
              </w:rPr>
              <w:t>806,946</w:t>
            </w:r>
          </w:p>
        </w:tc>
        <w:tc>
          <w:tcPr>
            <w:tcW w:w="920" w:type="dxa"/>
            <w:vAlign w:val="bottom"/>
          </w:tcPr>
          <w:p>
            <w:pPr>
              <w:jc w:val="right"/>
              <w:spacing w:after="0"/>
              <w:rPr>
                <w:sz w:val="20"/>
                <w:szCs w:val="20"/>
                <w:color w:val="auto"/>
              </w:rPr>
            </w:pPr>
            <w:r>
              <w:rPr>
                <w:rFonts w:ascii="Arial" w:cs="Arial" w:eastAsia="Arial" w:hAnsi="Arial"/>
                <w:sz w:val="17"/>
                <w:szCs w:val="17"/>
                <w:color w:val="auto"/>
              </w:rPr>
              <w:t>3,113,792</w:t>
            </w:r>
          </w:p>
        </w:tc>
        <w:tc>
          <w:tcPr>
            <w:tcW w:w="820" w:type="dxa"/>
            <w:vAlign w:val="bottom"/>
          </w:tcPr>
          <w:p>
            <w:pPr>
              <w:jc w:val="right"/>
              <w:spacing w:after="0"/>
              <w:rPr>
                <w:sz w:val="20"/>
                <w:szCs w:val="20"/>
                <w:color w:val="auto"/>
              </w:rPr>
            </w:pPr>
            <w:r>
              <w:rPr>
                <w:rFonts w:ascii="Arial" w:cs="Arial" w:eastAsia="Arial" w:hAnsi="Arial"/>
                <w:sz w:val="17"/>
                <w:szCs w:val="17"/>
                <w:color w:val="auto"/>
              </w:rPr>
              <w:t>590,003</w:t>
            </w:r>
          </w:p>
        </w:tc>
        <w:tc>
          <w:tcPr>
            <w:tcW w:w="1120" w:type="dxa"/>
            <w:vAlign w:val="bottom"/>
          </w:tcPr>
          <w:p>
            <w:pPr>
              <w:jc w:val="right"/>
              <w:ind w:right="138"/>
              <w:spacing w:after="0"/>
              <w:rPr>
                <w:sz w:val="20"/>
                <w:szCs w:val="20"/>
                <w:color w:val="auto"/>
              </w:rPr>
            </w:pPr>
            <w:r>
              <w:rPr>
                <w:rFonts w:ascii="Arial" w:cs="Arial" w:eastAsia="Arial" w:hAnsi="Arial"/>
                <w:sz w:val="17"/>
                <w:szCs w:val="17"/>
                <w:color w:val="auto"/>
              </w:rPr>
              <w:t>1,352,403</w:t>
            </w:r>
          </w:p>
        </w:tc>
        <w:tc>
          <w:tcPr>
            <w:tcW w:w="1120" w:type="dxa"/>
            <w:vAlign w:val="bottom"/>
          </w:tcPr>
          <w:p>
            <w:pPr>
              <w:jc w:val="right"/>
              <w:ind w:right="198"/>
              <w:spacing w:after="0"/>
              <w:rPr>
                <w:sz w:val="20"/>
                <w:szCs w:val="20"/>
                <w:color w:val="auto"/>
              </w:rPr>
            </w:pPr>
            <w:r>
              <w:rPr>
                <w:rFonts w:ascii="Arial" w:cs="Arial" w:eastAsia="Arial" w:hAnsi="Arial"/>
                <w:sz w:val="17"/>
                <w:szCs w:val="17"/>
                <w:color w:val="auto"/>
              </w:rPr>
              <w:t>136,349</w:t>
            </w:r>
          </w:p>
        </w:tc>
        <w:tc>
          <w:tcPr>
            <w:tcW w:w="920" w:type="dxa"/>
            <w:vAlign w:val="bottom"/>
          </w:tcPr>
          <w:p>
            <w:pPr>
              <w:jc w:val="right"/>
              <w:spacing w:after="0"/>
              <w:rPr>
                <w:sz w:val="20"/>
                <w:szCs w:val="20"/>
                <w:color w:val="auto"/>
              </w:rPr>
            </w:pPr>
            <w:r>
              <w:rPr>
                <w:rFonts w:ascii="Arial" w:cs="Arial" w:eastAsia="Arial" w:hAnsi="Arial"/>
                <w:sz w:val="17"/>
                <w:szCs w:val="17"/>
                <w:color w:val="auto"/>
              </w:rPr>
              <w:t>5,999,493</w:t>
            </w:r>
          </w:p>
        </w:tc>
        <w:tc>
          <w:tcPr>
            <w:tcW w:w="0" w:type="dxa"/>
            <w:vAlign w:val="bottom"/>
          </w:tcPr>
          <w:p>
            <w:pPr>
              <w:spacing w:after="0"/>
              <w:rPr>
                <w:sz w:val="1"/>
                <w:szCs w:val="1"/>
                <w:color w:val="auto"/>
              </w:rPr>
            </w:pPr>
          </w:p>
        </w:tc>
      </w:tr>
      <w:tr>
        <w:trPr>
          <w:trHeight w:val="39"/>
        </w:trPr>
        <w:tc>
          <w:tcPr>
            <w:tcW w:w="3600" w:type="dxa"/>
            <w:vAlign w:val="bottom"/>
            <w:tcBorders>
              <w:bottom w:val="single" w:sz="8" w:color="0E3C23"/>
            </w:tcBorders>
          </w:tcPr>
          <w:p>
            <w:pPr>
              <w:spacing w:after="0"/>
              <w:rPr>
                <w:sz w:val="3"/>
                <w:szCs w:val="3"/>
                <w:color w:val="auto"/>
              </w:rPr>
            </w:pPr>
          </w:p>
        </w:tc>
        <w:tc>
          <w:tcPr>
            <w:tcW w:w="156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8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600" w:type="dxa"/>
            <w:vAlign w:val="bottom"/>
          </w:tcPr>
          <w:p>
            <w:pPr>
              <w:ind w:left="60"/>
              <w:spacing w:after="0"/>
              <w:rPr>
                <w:sz w:val="20"/>
                <w:szCs w:val="20"/>
                <w:color w:val="auto"/>
              </w:rPr>
            </w:pPr>
            <w:r>
              <w:rPr>
                <w:rFonts w:ascii="Arial" w:cs="Arial" w:eastAsia="Arial" w:hAnsi="Arial"/>
                <w:sz w:val="17"/>
                <w:szCs w:val="17"/>
                <w:color w:val="auto"/>
              </w:rPr>
              <w:t>2023</w:t>
            </w:r>
          </w:p>
        </w:tc>
        <w:tc>
          <w:tcPr>
            <w:tcW w:w="1560" w:type="dxa"/>
            <w:vAlign w:val="bottom"/>
          </w:tcPr>
          <w:p>
            <w:pPr>
              <w:jc w:val="right"/>
              <w:ind w:right="96"/>
              <w:spacing w:after="0"/>
              <w:rPr>
                <w:sz w:val="20"/>
                <w:szCs w:val="20"/>
                <w:color w:val="auto"/>
              </w:rPr>
            </w:pPr>
            <w:r>
              <w:rPr>
                <w:rFonts w:ascii="Arial" w:cs="Arial" w:eastAsia="Arial" w:hAnsi="Arial"/>
                <w:sz w:val="17"/>
                <w:szCs w:val="17"/>
                <w:color w:val="auto"/>
              </w:rPr>
              <w:t>777,031</w:t>
            </w:r>
          </w:p>
        </w:tc>
        <w:tc>
          <w:tcPr>
            <w:tcW w:w="920" w:type="dxa"/>
            <w:vAlign w:val="bottom"/>
          </w:tcPr>
          <w:p>
            <w:pPr>
              <w:jc w:val="right"/>
              <w:spacing w:after="0"/>
              <w:rPr>
                <w:sz w:val="20"/>
                <w:szCs w:val="20"/>
                <w:color w:val="auto"/>
              </w:rPr>
            </w:pPr>
            <w:r>
              <w:rPr>
                <w:rFonts w:ascii="Arial" w:cs="Arial" w:eastAsia="Arial" w:hAnsi="Arial"/>
                <w:sz w:val="17"/>
                <w:szCs w:val="17"/>
                <w:color w:val="auto"/>
              </w:rPr>
              <w:t>2,327,562</w:t>
            </w:r>
          </w:p>
        </w:tc>
        <w:tc>
          <w:tcPr>
            <w:tcW w:w="820" w:type="dxa"/>
            <w:vAlign w:val="bottom"/>
          </w:tcPr>
          <w:p>
            <w:pPr>
              <w:jc w:val="right"/>
              <w:spacing w:after="0"/>
              <w:rPr>
                <w:sz w:val="20"/>
                <w:szCs w:val="20"/>
                <w:color w:val="auto"/>
              </w:rPr>
            </w:pPr>
            <w:r>
              <w:rPr>
                <w:rFonts w:ascii="Arial" w:cs="Arial" w:eastAsia="Arial" w:hAnsi="Arial"/>
                <w:sz w:val="17"/>
                <w:szCs w:val="17"/>
                <w:color w:val="auto"/>
              </w:rPr>
              <w:t>539,987</w:t>
            </w:r>
          </w:p>
        </w:tc>
        <w:tc>
          <w:tcPr>
            <w:tcW w:w="1120" w:type="dxa"/>
            <w:vAlign w:val="bottom"/>
          </w:tcPr>
          <w:p>
            <w:pPr>
              <w:jc w:val="right"/>
              <w:ind w:right="138"/>
              <w:spacing w:after="0"/>
              <w:rPr>
                <w:sz w:val="20"/>
                <w:szCs w:val="20"/>
                <w:color w:val="auto"/>
              </w:rPr>
            </w:pPr>
            <w:r>
              <w:rPr>
                <w:rFonts w:ascii="Arial" w:cs="Arial" w:eastAsia="Arial" w:hAnsi="Arial"/>
                <w:sz w:val="17"/>
                <w:szCs w:val="17"/>
                <w:color w:val="auto"/>
              </w:rPr>
              <w:t>1,028,241</w:t>
            </w:r>
          </w:p>
        </w:tc>
        <w:tc>
          <w:tcPr>
            <w:tcW w:w="1120" w:type="dxa"/>
            <w:vAlign w:val="bottom"/>
          </w:tcPr>
          <w:p>
            <w:pPr>
              <w:jc w:val="right"/>
              <w:ind w:right="198"/>
              <w:spacing w:after="0"/>
              <w:rPr>
                <w:sz w:val="20"/>
                <w:szCs w:val="20"/>
                <w:color w:val="auto"/>
              </w:rPr>
            </w:pPr>
            <w:r>
              <w:rPr>
                <w:rFonts w:ascii="Arial" w:cs="Arial" w:eastAsia="Arial" w:hAnsi="Arial"/>
                <w:sz w:val="17"/>
                <w:szCs w:val="17"/>
                <w:color w:val="auto"/>
              </w:rPr>
              <w:t>144,151</w:t>
            </w:r>
          </w:p>
        </w:tc>
        <w:tc>
          <w:tcPr>
            <w:tcW w:w="920" w:type="dxa"/>
            <w:vAlign w:val="bottom"/>
          </w:tcPr>
          <w:p>
            <w:pPr>
              <w:jc w:val="right"/>
              <w:spacing w:after="0"/>
              <w:rPr>
                <w:sz w:val="20"/>
                <w:szCs w:val="20"/>
                <w:color w:val="auto"/>
              </w:rPr>
            </w:pPr>
            <w:r>
              <w:rPr>
                <w:rFonts w:ascii="Arial" w:cs="Arial" w:eastAsia="Arial" w:hAnsi="Arial"/>
                <w:sz w:val="17"/>
                <w:szCs w:val="17"/>
                <w:color w:val="auto"/>
              </w:rPr>
              <w:t>4,816,972</w:t>
            </w:r>
          </w:p>
        </w:tc>
        <w:tc>
          <w:tcPr>
            <w:tcW w:w="0" w:type="dxa"/>
            <w:vAlign w:val="bottom"/>
          </w:tcPr>
          <w:p>
            <w:pPr>
              <w:spacing w:after="0"/>
              <w:rPr>
                <w:sz w:val="1"/>
                <w:szCs w:val="1"/>
                <w:color w:val="auto"/>
              </w:rPr>
            </w:pPr>
          </w:p>
        </w:tc>
      </w:tr>
      <w:tr>
        <w:trPr>
          <w:trHeight w:val="39"/>
        </w:trPr>
        <w:tc>
          <w:tcPr>
            <w:tcW w:w="3600" w:type="dxa"/>
            <w:vAlign w:val="bottom"/>
            <w:tcBorders>
              <w:bottom w:val="single" w:sz="8" w:color="0E3C23"/>
            </w:tcBorders>
          </w:tcPr>
          <w:p>
            <w:pPr>
              <w:spacing w:after="0"/>
              <w:rPr>
                <w:sz w:val="3"/>
                <w:szCs w:val="3"/>
                <w:color w:val="auto"/>
              </w:rPr>
            </w:pPr>
          </w:p>
        </w:tc>
        <w:tc>
          <w:tcPr>
            <w:tcW w:w="156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8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600" w:type="dxa"/>
            <w:vAlign w:val="bottom"/>
          </w:tcPr>
          <w:p>
            <w:pPr>
              <w:ind w:left="60"/>
              <w:spacing w:after="0"/>
              <w:rPr>
                <w:sz w:val="20"/>
                <w:szCs w:val="20"/>
                <w:color w:val="auto"/>
              </w:rPr>
            </w:pPr>
            <w:r>
              <w:rPr>
                <w:rFonts w:ascii="Arial" w:cs="Arial" w:eastAsia="Arial" w:hAnsi="Arial"/>
                <w:sz w:val="17"/>
                <w:szCs w:val="17"/>
                <w:color w:val="auto"/>
              </w:rPr>
              <w:t>2022</w:t>
            </w:r>
          </w:p>
        </w:tc>
        <w:tc>
          <w:tcPr>
            <w:tcW w:w="1560" w:type="dxa"/>
            <w:vAlign w:val="bottom"/>
          </w:tcPr>
          <w:p>
            <w:pPr>
              <w:jc w:val="right"/>
              <w:ind w:right="96"/>
              <w:spacing w:after="0"/>
              <w:rPr>
                <w:sz w:val="20"/>
                <w:szCs w:val="20"/>
                <w:color w:val="auto"/>
              </w:rPr>
            </w:pPr>
            <w:r>
              <w:rPr>
                <w:rFonts w:ascii="Arial" w:cs="Arial" w:eastAsia="Arial" w:hAnsi="Arial"/>
                <w:sz w:val="17"/>
                <w:szCs w:val="17"/>
                <w:color w:val="auto"/>
              </w:rPr>
              <w:t>748,736</w:t>
            </w:r>
          </w:p>
        </w:tc>
        <w:tc>
          <w:tcPr>
            <w:tcW w:w="920" w:type="dxa"/>
            <w:vAlign w:val="bottom"/>
          </w:tcPr>
          <w:p>
            <w:pPr>
              <w:jc w:val="right"/>
              <w:spacing w:after="0"/>
              <w:rPr>
                <w:sz w:val="20"/>
                <w:szCs w:val="20"/>
                <w:color w:val="auto"/>
              </w:rPr>
            </w:pPr>
            <w:r>
              <w:rPr>
                <w:rFonts w:ascii="Arial" w:cs="Arial" w:eastAsia="Arial" w:hAnsi="Arial"/>
                <w:sz w:val="17"/>
                <w:szCs w:val="17"/>
                <w:color w:val="auto"/>
              </w:rPr>
              <w:t>3,870,479</w:t>
            </w:r>
          </w:p>
        </w:tc>
        <w:tc>
          <w:tcPr>
            <w:tcW w:w="820" w:type="dxa"/>
            <w:vAlign w:val="bottom"/>
          </w:tcPr>
          <w:p>
            <w:pPr>
              <w:jc w:val="right"/>
              <w:spacing w:after="0"/>
              <w:rPr>
                <w:sz w:val="20"/>
                <w:szCs w:val="20"/>
                <w:color w:val="auto"/>
              </w:rPr>
            </w:pPr>
            <w:r>
              <w:rPr>
                <w:rFonts w:ascii="Arial" w:cs="Arial" w:eastAsia="Arial" w:hAnsi="Arial"/>
                <w:sz w:val="17"/>
                <w:szCs w:val="17"/>
                <w:color w:val="auto"/>
              </w:rPr>
              <w:t>519,995</w:t>
            </w:r>
          </w:p>
        </w:tc>
        <w:tc>
          <w:tcPr>
            <w:tcW w:w="1120" w:type="dxa"/>
            <w:vAlign w:val="bottom"/>
          </w:tcPr>
          <w:p>
            <w:pPr>
              <w:jc w:val="right"/>
              <w:ind w:right="138"/>
              <w:spacing w:after="0"/>
              <w:rPr>
                <w:sz w:val="20"/>
                <w:szCs w:val="20"/>
                <w:color w:val="auto"/>
              </w:rPr>
            </w:pPr>
            <w:r>
              <w:rPr>
                <w:rFonts w:ascii="Arial" w:cs="Arial" w:eastAsia="Arial" w:hAnsi="Arial"/>
                <w:sz w:val="17"/>
                <w:szCs w:val="17"/>
                <w:color w:val="auto"/>
              </w:rPr>
              <w:t>1,391,871</w:t>
            </w:r>
          </w:p>
        </w:tc>
        <w:tc>
          <w:tcPr>
            <w:tcW w:w="1120" w:type="dxa"/>
            <w:vAlign w:val="bottom"/>
          </w:tcPr>
          <w:p>
            <w:pPr>
              <w:jc w:val="right"/>
              <w:ind w:right="198"/>
              <w:spacing w:after="0"/>
              <w:rPr>
                <w:sz w:val="20"/>
                <w:szCs w:val="20"/>
                <w:color w:val="auto"/>
              </w:rPr>
            </w:pPr>
            <w:r>
              <w:rPr>
                <w:rFonts w:ascii="Arial" w:cs="Arial" w:eastAsia="Arial" w:hAnsi="Arial"/>
                <w:sz w:val="17"/>
                <w:szCs w:val="17"/>
                <w:color w:val="auto"/>
              </w:rPr>
              <w:t>131,155</w:t>
            </w:r>
          </w:p>
        </w:tc>
        <w:tc>
          <w:tcPr>
            <w:tcW w:w="920" w:type="dxa"/>
            <w:vAlign w:val="bottom"/>
          </w:tcPr>
          <w:p>
            <w:pPr>
              <w:jc w:val="right"/>
              <w:spacing w:after="0"/>
              <w:rPr>
                <w:sz w:val="20"/>
                <w:szCs w:val="20"/>
                <w:color w:val="auto"/>
              </w:rPr>
            </w:pPr>
            <w:r>
              <w:rPr>
                <w:rFonts w:ascii="Arial" w:cs="Arial" w:eastAsia="Arial" w:hAnsi="Arial"/>
                <w:sz w:val="17"/>
                <w:szCs w:val="17"/>
                <w:color w:val="auto"/>
              </w:rPr>
              <w:t>6,662,236</w:t>
            </w:r>
          </w:p>
        </w:tc>
        <w:tc>
          <w:tcPr>
            <w:tcW w:w="0" w:type="dxa"/>
            <w:vAlign w:val="bottom"/>
          </w:tcPr>
          <w:p>
            <w:pPr>
              <w:spacing w:after="0"/>
              <w:rPr>
                <w:sz w:val="1"/>
                <w:szCs w:val="1"/>
                <w:color w:val="auto"/>
              </w:rPr>
            </w:pPr>
          </w:p>
        </w:tc>
      </w:tr>
      <w:tr>
        <w:trPr>
          <w:trHeight w:val="39"/>
        </w:trPr>
        <w:tc>
          <w:tcPr>
            <w:tcW w:w="3600" w:type="dxa"/>
            <w:vAlign w:val="bottom"/>
            <w:tcBorders>
              <w:bottom w:val="single" w:sz="8" w:color="0E3C23"/>
            </w:tcBorders>
          </w:tcPr>
          <w:p>
            <w:pPr>
              <w:spacing w:after="0"/>
              <w:rPr>
                <w:sz w:val="3"/>
                <w:szCs w:val="3"/>
                <w:color w:val="auto"/>
              </w:rPr>
            </w:pPr>
          </w:p>
        </w:tc>
        <w:tc>
          <w:tcPr>
            <w:tcW w:w="156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8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3600" w:type="dxa"/>
            <w:vAlign w:val="bottom"/>
          </w:tcPr>
          <w:p>
            <w:pPr>
              <w:ind w:left="60"/>
              <w:spacing w:after="0"/>
              <w:rPr>
                <w:sz w:val="20"/>
                <w:szCs w:val="20"/>
                <w:color w:val="auto"/>
              </w:rPr>
            </w:pPr>
            <w:r>
              <w:rPr>
                <w:rFonts w:ascii="Arial" w:cs="Arial" w:eastAsia="Arial" w:hAnsi="Arial"/>
                <w:sz w:val="17"/>
                <w:szCs w:val="17"/>
                <w:b w:val="1"/>
                <w:bCs w:val="1"/>
                <w:color w:val="auto"/>
              </w:rPr>
              <w:t>Tara J. Hemmer</w:t>
            </w:r>
          </w:p>
        </w:tc>
        <w:tc>
          <w:tcPr>
            <w:tcW w:w="1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0" w:type="dxa"/>
            <w:vAlign w:val="bottom"/>
          </w:tcPr>
          <w:p>
            <w:pPr>
              <w:ind w:left="60"/>
              <w:spacing w:after="0"/>
              <w:rPr>
                <w:sz w:val="20"/>
                <w:szCs w:val="20"/>
                <w:color w:val="auto"/>
              </w:rPr>
            </w:pPr>
            <w:r>
              <w:rPr>
                <w:rFonts w:ascii="Arial" w:cs="Arial" w:eastAsia="Arial" w:hAnsi="Arial"/>
                <w:sz w:val="17"/>
                <w:szCs w:val="17"/>
                <w:b w:val="1"/>
                <w:bCs w:val="1"/>
                <w:color w:val="auto"/>
              </w:rPr>
              <w:t>SVP and Chief Sustainability Officer</w:t>
            </w:r>
          </w:p>
        </w:tc>
        <w:tc>
          <w:tcPr>
            <w:tcW w:w="1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3600" w:type="dxa"/>
            <w:vAlign w:val="bottom"/>
            <w:tcBorders>
              <w:bottom w:val="single" w:sz="8" w:color="0E3C23"/>
            </w:tcBorders>
          </w:tcPr>
          <w:p>
            <w:pPr>
              <w:spacing w:after="0"/>
              <w:rPr>
                <w:sz w:val="3"/>
                <w:szCs w:val="3"/>
                <w:color w:val="auto"/>
              </w:rPr>
            </w:pPr>
          </w:p>
        </w:tc>
        <w:tc>
          <w:tcPr>
            <w:tcW w:w="156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8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600" w:type="dxa"/>
            <w:vAlign w:val="bottom"/>
          </w:tcPr>
          <w:p>
            <w:pPr>
              <w:ind w:left="60"/>
              <w:spacing w:after="0"/>
              <w:rPr>
                <w:sz w:val="20"/>
                <w:szCs w:val="20"/>
                <w:color w:val="auto"/>
              </w:rPr>
            </w:pPr>
            <w:r>
              <w:rPr>
                <w:rFonts w:ascii="Arial" w:cs="Arial" w:eastAsia="Arial" w:hAnsi="Arial"/>
                <w:sz w:val="17"/>
                <w:szCs w:val="17"/>
                <w:color w:val="auto"/>
              </w:rPr>
              <w:t>2024</w:t>
            </w:r>
          </w:p>
        </w:tc>
        <w:tc>
          <w:tcPr>
            <w:tcW w:w="1560" w:type="dxa"/>
            <w:vAlign w:val="bottom"/>
          </w:tcPr>
          <w:p>
            <w:pPr>
              <w:jc w:val="right"/>
              <w:ind w:right="96"/>
              <w:spacing w:after="0"/>
              <w:rPr>
                <w:sz w:val="20"/>
                <w:szCs w:val="20"/>
                <w:color w:val="auto"/>
              </w:rPr>
            </w:pPr>
            <w:r>
              <w:rPr>
                <w:rFonts w:ascii="Arial" w:cs="Arial" w:eastAsia="Arial" w:hAnsi="Arial"/>
                <w:sz w:val="17"/>
                <w:szCs w:val="17"/>
                <w:color w:val="auto"/>
              </w:rPr>
              <w:t>691,573</w:t>
            </w:r>
          </w:p>
        </w:tc>
        <w:tc>
          <w:tcPr>
            <w:tcW w:w="920" w:type="dxa"/>
            <w:vAlign w:val="bottom"/>
          </w:tcPr>
          <w:p>
            <w:pPr>
              <w:jc w:val="right"/>
              <w:spacing w:after="0"/>
              <w:rPr>
                <w:sz w:val="20"/>
                <w:szCs w:val="20"/>
                <w:color w:val="auto"/>
              </w:rPr>
            </w:pPr>
            <w:r>
              <w:rPr>
                <w:rFonts w:ascii="Arial" w:cs="Arial" w:eastAsia="Arial" w:hAnsi="Arial"/>
                <w:sz w:val="17"/>
                <w:szCs w:val="17"/>
                <w:color w:val="auto"/>
              </w:rPr>
              <w:t>2,111,358</w:t>
            </w:r>
          </w:p>
        </w:tc>
        <w:tc>
          <w:tcPr>
            <w:tcW w:w="820" w:type="dxa"/>
            <w:vAlign w:val="bottom"/>
          </w:tcPr>
          <w:p>
            <w:pPr>
              <w:jc w:val="right"/>
              <w:spacing w:after="0"/>
              <w:rPr>
                <w:sz w:val="20"/>
                <w:szCs w:val="20"/>
                <w:color w:val="auto"/>
              </w:rPr>
            </w:pPr>
            <w:r>
              <w:rPr>
                <w:rFonts w:ascii="Arial" w:cs="Arial" w:eastAsia="Arial" w:hAnsi="Arial"/>
                <w:sz w:val="17"/>
                <w:szCs w:val="17"/>
                <w:color w:val="auto"/>
              </w:rPr>
              <w:t>399,986</w:t>
            </w:r>
          </w:p>
        </w:tc>
        <w:tc>
          <w:tcPr>
            <w:tcW w:w="1120" w:type="dxa"/>
            <w:vAlign w:val="bottom"/>
          </w:tcPr>
          <w:p>
            <w:pPr>
              <w:jc w:val="right"/>
              <w:ind w:right="138"/>
              <w:spacing w:after="0"/>
              <w:rPr>
                <w:sz w:val="20"/>
                <w:szCs w:val="20"/>
                <w:color w:val="auto"/>
              </w:rPr>
            </w:pPr>
            <w:r>
              <w:rPr>
                <w:rFonts w:ascii="Arial" w:cs="Arial" w:eastAsia="Arial" w:hAnsi="Arial"/>
                <w:sz w:val="17"/>
                <w:szCs w:val="17"/>
                <w:color w:val="auto"/>
              </w:rPr>
              <w:t>1,034,468</w:t>
            </w:r>
          </w:p>
        </w:tc>
        <w:tc>
          <w:tcPr>
            <w:tcW w:w="1120" w:type="dxa"/>
            <w:vAlign w:val="bottom"/>
          </w:tcPr>
          <w:p>
            <w:pPr>
              <w:jc w:val="right"/>
              <w:ind w:right="198"/>
              <w:spacing w:after="0"/>
              <w:rPr>
                <w:sz w:val="20"/>
                <w:szCs w:val="20"/>
                <w:color w:val="auto"/>
              </w:rPr>
            </w:pPr>
            <w:r>
              <w:rPr>
                <w:rFonts w:ascii="Arial" w:cs="Arial" w:eastAsia="Arial" w:hAnsi="Arial"/>
                <w:sz w:val="17"/>
                <w:szCs w:val="17"/>
                <w:color w:val="auto"/>
              </w:rPr>
              <w:t>64,743</w:t>
            </w:r>
          </w:p>
        </w:tc>
        <w:tc>
          <w:tcPr>
            <w:tcW w:w="920" w:type="dxa"/>
            <w:vAlign w:val="bottom"/>
          </w:tcPr>
          <w:p>
            <w:pPr>
              <w:jc w:val="right"/>
              <w:spacing w:after="0"/>
              <w:rPr>
                <w:sz w:val="20"/>
                <w:szCs w:val="20"/>
                <w:color w:val="auto"/>
              </w:rPr>
            </w:pPr>
            <w:r>
              <w:rPr>
                <w:rFonts w:ascii="Arial" w:cs="Arial" w:eastAsia="Arial" w:hAnsi="Arial"/>
                <w:sz w:val="17"/>
                <w:szCs w:val="17"/>
                <w:color w:val="auto"/>
              </w:rPr>
              <w:t>4,302,128</w:t>
            </w:r>
          </w:p>
        </w:tc>
        <w:tc>
          <w:tcPr>
            <w:tcW w:w="0" w:type="dxa"/>
            <w:vAlign w:val="bottom"/>
          </w:tcPr>
          <w:p>
            <w:pPr>
              <w:spacing w:after="0"/>
              <w:rPr>
                <w:sz w:val="1"/>
                <w:szCs w:val="1"/>
                <w:color w:val="auto"/>
              </w:rPr>
            </w:pPr>
          </w:p>
        </w:tc>
      </w:tr>
      <w:tr>
        <w:trPr>
          <w:trHeight w:val="39"/>
        </w:trPr>
        <w:tc>
          <w:tcPr>
            <w:tcW w:w="3600" w:type="dxa"/>
            <w:vAlign w:val="bottom"/>
            <w:tcBorders>
              <w:bottom w:val="single" w:sz="8" w:color="0E3C23"/>
            </w:tcBorders>
          </w:tcPr>
          <w:p>
            <w:pPr>
              <w:spacing w:after="0"/>
              <w:rPr>
                <w:sz w:val="3"/>
                <w:szCs w:val="3"/>
                <w:color w:val="auto"/>
              </w:rPr>
            </w:pPr>
          </w:p>
        </w:tc>
        <w:tc>
          <w:tcPr>
            <w:tcW w:w="156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8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600" w:type="dxa"/>
            <w:vAlign w:val="bottom"/>
          </w:tcPr>
          <w:p>
            <w:pPr>
              <w:ind w:left="60"/>
              <w:spacing w:after="0"/>
              <w:rPr>
                <w:sz w:val="20"/>
                <w:szCs w:val="20"/>
                <w:color w:val="auto"/>
              </w:rPr>
            </w:pPr>
            <w:r>
              <w:rPr>
                <w:rFonts w:ascii="Arial" w:cs="Arial" w:eastAsia="Arial" w:hAnsi="Arial"/>
                <w:sz w:val="17"/>
                <w:szCs w:val="17"/>
                <w:color w:val="auto"/>
              </w:rPr>
              <w:t>2023</w:t>
            </w:r>
          </w:p>
        </w:tc>
        <w:tc>
          <w:tcPr>
            <w:tcW w:w="1560" w:type="dxa"/>
            <w:vAlign w:val="bottom"/>
          </w:tcPr>
          <w:p>
            <w:pPr>
              <w:jc w:val="right"/>
              <w:ind w:right="96"/>
              <w:spacing w:after="0"/>
              <w:rPr>
                <w:sz w:val="20"/>
                <w:szCs w:val="20"/>
                <w:color w:val="auto"/>
              </w:rPr>
            </w:pPr>
            <w:r>
              <w:rPr>
                <w:rFonts w:ascii="Arial" w:cs="Arial" w:eastAsia="Arial" w:hAnsi="Arial"/>
                <w:sz w:val="17"/>
                <w:szCs w:val="17"/>
                <w:color w:val="auto"/>
              </w:rPr>
              <w:t>662,769</w:t>
            </w:r>
          </w:p>
        </w:tc>
        <w:tc>
          <w:tcPr>
            <w:tcW w:w="920" w:type="dxa"/>
            <w:vAlign w:val="bottom"/>
          </w:tcPr>
          <w:p>
            <w:pPr>
              <w:jc w:val="right"/>
              <w:spacing w:after="0"/>
              <w:rPr>
                <w:sz w:val="20"/>
                <w:szCs w:val="20"/>
                <w:color w:val="auto"/>
              </w:rPr>
            </w:pPr>
            <w:r>
              <w:rPr>
                <w:rFonts w:ascii="Arial" w:cs="Arial" w:eastAsia="Arial" w:hAnsi="Arial"/>
                <w:sz w:val="17"/>
                <w:szCs w:val="17"/>
                <w:color w:val="auto"/>
              </w:rPr>
              <w:t>1,551,818</w:t>
            </w:r>
          </w:p>
        </w:tc>
        <w:tc>
          <w:tcPr>
            <w:tcW w:w="820" w:type="dxa"/>
            <w:vAlign w:val="bottom"/>
          </w:tcPr>
          <w:p>
            <w:pPr>
              <w:jc w:val="right"/>
              <w:spacing w:after="0"/>
              <w:rPr>
                <w:sz w:val="20"/>
                <w:szCs w:val="20"/>
                <w:color w:val="auto"/>
              </w:rPr>
            </w:pPr>
            <w:r>
              <w:rPr>
                <w:rFonts w:ascii="Arial" w:cs="Arial" w:eastAsia="Arial" w:hAnsi="Arial"/>
                <w:sz w:val="17"/>
                <w:szCs w:val="17"/>
                <w:color w:val="auto"/>
              </w:rPr>
              <w:t>360,003</w:t>
            </w:r>
          </w:p>
        </w:tc>
        <w:tc>
          <w:tcPr>
            <w:tcW w:w="1120" w:type="dxa"/>
            <w:vAlign w:val="bottom"/>
          </w:tcPr>
          <w:p>
            <w:pPr>
              <w:jc w:val="right"/>
              <w:ind w:right="138"/>
              <w:spacing w:after="0"/>
              <w:rPr>
                <w:sz w:val="20"/>
                <w:szCs w:val="20"/>
                <w:color w:val="auto"/>
              </w:rPr>
            </w:pPr>
            <w:r>
              <w:rPr>
                <w:rFonts w:ascii="Arial" w:cs="Arial" w:eastAsia="Arial" w:hAnsi="Arial"/>
                <w:sz w:val="17"/>
                <w:szCs w:val="17"/>
                <w:color w:val="auto"/>
              </w:rPr>
              <w:t>717,576</w:t>
            </w:r>
          </w:p>
        </w:tc>
        <w:tc>
          <w:tcPr>
            <w:tcW w:w="1120" w:type="dxa"/>
            <w:vAlign w:val="bottom"/>
          </w:tcPr>
          <w:p>
            <w:pPr>
              <w:jc w:val="right"/>
              <w:ind w:right="198"/>
              <w:spacing w:after="0"/>
              <w:rPr>
                <w:sz w:val="20"/>
                <w:szCs w:val="20"/>
                <w:color w:val="auto"/>
              </w:rPr>
            </w:pPr>
            <w:r>
              <w:rPr>
                <w:rFonts w:ascii="Arial" w:cs="Arial" w:eastAsia="Arial" w:hAnsi="Arial"/>
                <w:sz w:val="17"/>
                <w:szCs w:val="17"/>
                <w:color w:val="auto"/>
              </w:rPr>
              <w:t>102,639</w:t>
            </w:r>
          </w:p>
        </w:tc>
        <w:tc>
          <w:tcPr>
            <w:tcW w:w="920" w:type="dxa"/>
            <w:vAlign w:val="bottom"/>
          </w:tcPr>
          <w:p>
            <w:pPr>
              <w:jc w:val="right"/>
              <w:spacing w:after="0"/>
              <w:rPr>
                <w:sz w:val="20"/>
                <w:szCs w:val="20"/>
                <w:color w:val="auto"/>
              </w:rPr>
            </w:pPr>
            <w:r>
              <w:rPr>
                <w:rFonts w:ascii="Arial" w:cs="Arial" w:eastAsia="Arial" w:hAnsi="Arial"/>
                <w:sz w:val="17"/>
                <w:szCs w:val="17"/>
                <w:color w:val="auto"/>
              </w:rPr>
              <w:t>3,394,805</w:t>
            </w:r>
          </w:p>
        </w:tc>
        <w:tc>
          <w:tcPr>
            <w:tcW w:w="0" w:type="dxa"/>
            <w:vAlign w:val="bottom"/>
          </w:tcPr>
          <w:p>
            <w:pPr>
              <w:spacing w:after="0"/>
              <w:rPr>
                <w:sz w:val="1"/>
                <w:szCs w:val="1"/>
                <w:color w:val="auto"/>
              </w:rPr>
            </w:pPr>
          </w:p>
        </w:tc>
      </w:tr>
      <w:tr>
        <w:trPr>
          <w:trHeight w:val="39"/>
        </w:trPr>
        <w:tc>
          <w:tcPr>
            <w:tcW w:w="3600" w:type="dxa"/>
            <w:vAlign w:val="bottom"/>
            <w:tcBorders>
              <w:bottom w:val="single" w:sz="8" w:color="0E3C23"/>
            </w:tcBorders>
          </w:tcPr>
          <w:p>
            <w:pPr>
              <w:spacing w:after="0"/>
              <w:rPr>
                <w:sz w:val="3"/>
                <w:szCs w:val="3"/>
                <w:color w:val="auto"/>
              </w:rPr>
            </w:pPr>
          </w:p>
        </w:tc>
        <w:tc>
          <w:tcPr>
            <w:tcW w:w="156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8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3600" w:type="dxa"/>
            <w:vAlign w:val="bottom"/>
          </w:tcPr>
          <w:p>
            <w:pPr>
              <w:ind w:left="60"/>
              <w:spacing w:after="0"/>
              <w:rPr>
                <w:sz w:val="20"/>
                <w:szCs w:val="20"/>
                <w:color w:val="auto"/>
              </w:rPr>
            </w:pPr>
            <w:r>
              <w:rPr>
                <w:rFonts w:ascii="Arial" w:cs="Arial" w:eastAsia="Arial" w:hAnsi="Arial"/>
                <w:sz w:val="17"/>
                <w:szCs w:val="17"/>
                <w:color w:val="auto"/>
              </w:rPr>
              <w:t>2022</w:t>
            </w:r>
          </w:p>
        </w:tc>
        <w:tc>
          <w:tcPr>
            <w:tcW w:w="1560" w:type="dxa"/>
            <w:vAlign w:val="bottom"/>
          </w:tcPr>
          <w:p>
            <w:pPr>
              <w:jc w:val="right"/>
              <w:ind w:right="96"/>
              <w:spacing w:after="0"/>
              <w:rPr>
                <w:sz w:val="20"/>
                <w:szCs w:val="20"/>
                <w:color w:val="auto"/>
              </w:rPr>
            </w:pPr>
            <w:r>
              <w:rPr>
                <w:rFonts w:ascii="Arial" w:cs="Arial" w:eastAsia="Arial" w:hAnsi="Arial"/>
                <w:sz w:val="17"/>
                <w:szCs w:val="17"/>
                <w:color w:val="auto"/>
              </w:rPr>
              <w:t>630,506</w:t>
            </w:r>
          </w:p>
        </w:tc>
        <w:tc>
          <w:tcPr>
            <w:tcW w:w="920" w:type="dxa"/>
            <w:vAlign w:val="bottom"/>
          </w:tcPr>
          <w:p>
            <w:pPr>
              <w:jc w:val="right"/>
              <w:spacing w:after="0"/>
              <w:rPr>
                <w:sz w:val="20"/>
                <w:szCs w:val="20"/>
                <w:color w:val="auto"/>
              </w:rPr>
            </w:pPr>
            <w:r>
              <w:rPr>
                <w:rFonts w:ascii="Arial" w:cs="Arial" w:eastAsia="Arial" w:hAnsi="Arial"/>
                <w:sz w:val="17"/>
                <w:szCs w:val="17"/>
                <w:color w:val="auto"/>
              </w:rPr>
              <w:t>2,302,032</w:t>
            </w:r>
          </w:p>
        </w:tc>
        <w:tc>
          <w:tcPr>
            <w:tcW w:w="820" w:type="dxa"/>
            <w:vAlign w:val="bottom"/>
          </w:tcPr>
          <w:p>
            <w:pPr>
              <w:jc w:val="right"/>
              <w:spacing w:after="0"/>
              <w:rPr>
                <w:sz w:val="20"/>
                <w:szCs w:val="20"/>
                <w:color w:val="auto"/>
              </w:rPr>
            </w:pPr>
            <w:r>
              <w:rPr>
                <w:rFonts w:ascii="Arial" w:cs="Arial" w:eastAsia="Arial" w:hAnsi="Arial"/>
                <w:sz w:val="17"/>
                <w:szCs w:val="17"/>
                <w:color w:val="auto"/>
              </w:rPr>
              <w:t>339,992</w:t>
            </w:r>
          </w:p>
        </w:tc>
        <w:tc>
          <w:tcPr>
            <w:tcW w:w="1120" w:type="dxa"/>
            <w:vAlign w:val="bottom"/>
          </w:tcPr>
          <w:p>
            <w:pPr>
              <w:jc w:val="right"/>
              <w:ind w:right="138"/>
              <w:spacing w:after="0"/>
              <w:rPr>
                <w:sz w:val="20"/>
                <w:szCs w:val="20"/>
                <w:color w:val="auto"/>
              </w:rPr>
            </w:pPr>
            <w:r>
              <w:rPr>
                <w:rFonts w:ascii="Arial" w:cs="Arial" w:eastAsia="Arial" w:hAnsi="Arial"/>
                <w:sz w:val="17"/>
                <w:szCs w:val="17"/>
                <w:color w:val="auto"/>
              </w:rPr>
              <w:t>978,476</w:t>
            </w:r>
          </w:p>
        </w:tc>
        <w:tc>
          <w:tcPr>
            <w:tcW w:w="1120" w:type="dxa"/>
            <w:vAlign w:val="bottom"/>
          </w:tcPr>
          <w:p>
            <w:pPr>
              <w:jc w:val="right"/>
              <w:ind w:right="198"/>
              <w:spacing w:after="0"/>
              <w:rPr>
                <w:sz w:val="20"/>
                <w:szCs w:val="20"/>
                <w:color w:val="auto"/>
              </w:rPr>
            </w:pPr>
            <w:r>
              <w:rPr>
                <w:rFonts w:ascii="Arial" w:cs="Arial" w:eastAsia="Arial" w:hAnsi="Arial"/>
                <w:sz w:val="17"/>
                <w:szCs w:val="17"/>
                <w:color w:val="auto"/>
              </w:rPr>
              <w:t>70,648</w:t>
            </w:r>
          </w:p>
        </w:tc>
        <w:tc>
          <w:tcPr>
            <w:tcW w:w="920" w:type="dxa"/>
            <w:vAlign w:val="bottom"/>
          </w:tcPr>
          <w:p>
            <w:pPr>
              <w:jc w:val="right"/>
              <w:spacing w:after="0"/>
              <w:rPr>
                <w:sz w:val="20"/>
                <w:szCs w:val="20"/>
                <w:color w:val="auto"/>
              </w:rPr>
            </w:pPr>
            <w:r>
              <w:rPr>
                <w:rFonts w:ascii="Arial" w:cs="Arial" w:eastAsia="Arial" w:hAnsi="Arial"/>
                <w:sz w:val="17"/>
                <w:szCs w:val="17"/>
                <w:color w:val="auto"/>
              </w:rPr>
              <w:t>4,321,654</w:t>
            </w:r>
          </w:p>
        </w:tc>
        <w:tc>
          <w:tcPr>
            <w:tcW w:w="0" w:type="dxa"/>
            <w:vAlign w:val="bottom"/>
          </w:tcPr>
          <w:p>
            <w:pPr>
              <w:spacing w:after="0"/>
              <w:rPr>
                <w:sz w:val="1"/>
                <w:szCs w:val="1"/>
                <w:color w:val="auto"/>
              </w:rPr>
            </w:pPr>
          </w:p>
        </w:tc>
      </w:tr>
      <w:tr>
        <w:trPr>
          <w:trHeight w:val="39"/>
        </w:trPr>
        <w:tc>
          <w:tcPr>
            <w:tcW w:w="3600" w:type="dxa"/>
            <w:vAlign w:val="bottom"/>
            <w:tcBorders>
              <w:bottom w:val="single" w:sz="8" w:color="0E3C23"/>
            </w:tcBorders>
          </w:tcPr>
          <w:p>
            <w:pPr>
              <w:spacing w:after="0"/>
              <w:rPr>
                <w:sz w:val="3"/>
                <w:szCs w:val="3"/>
                <w:color w:val="auto"/>
              </w:rPr>
            </w:pPr>
          </w:p>
        </w:tc>
        <w:tc>
          <w:tcPr>
            <w:tcW w:w="156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8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3600" w:type="dxa"/>
            <w:vAlign w:val="bottom"/>
          </w:tcPr>
          <w:p>
            <w:pPr>
              <w:ind w:left="60"/>
              <w:spacing w:after="0"/>
              <w:rPr>
                <w:sz w:val="20"/>
                <w:szCs w:val="20"/>
                <w:color w:val="auto"/>
              </w:rPr>
            </w:pPr>
            <w:r>
              <w:rPr>
                <w:rFonts w:ascii="Arial" w:cs="Arial" w:eastAsia="Arial" w:hAnsi="Arial"/>
                <w:sz w:val="17"/>
                <w:szCs w:val="17"/>
                <w:b w:val="1"/>
                <w:bCs w:val="1"/>
                <w:color w:val="auto"/>
              </w:rPr>
              <w:t>Rafael E. Carrasco</w:t>
            </w:r>
          </w:p>
        </w:tc>
        <w:tc>
          <w:tcPr>
            <w:tcW w:w="1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600" w:type="dxa"/>
            <w:vAlign w:val="bottom"/>
          </w:tcPr>
          <w:p>
            <w:pPr>
              <w:ind w:left="60"/>
              <w:spacing w:after="0" w:line="170" w:lineRule="exact"/>
              <w:rPr>
                <w:sz w:val="20"/>
                <w:szCs w:val="20"/>
                <w:color w:val="auto"/>
              </w:rPr>
            </w:pPr>
            <w:r>
              <w:rPr>
                <w:rFonts w:ascii="Arial" w:cs="Arial" w:eastAsia="Arial" w:hAnsi="Arial"/>
                <w:sz w:val="17"/>
                <w:szCs w:val="17"/>
                <w:b w:val="1"/>
                <w:bCs w:val="1"/>
                <w:color w:val="auto"/>
              </w:rPr>
              <w:t>SVP — Enterprise Strategy;</w:t>
            </w:r>
          </w:p>
        </w:tc>
        <w:tc>
          <w:tcPr>
            <w:tcW w:w="1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600" w:type="dxa"/>
            <w:vAlign w:val="bottom"/>
          </w:tcPr>
          <w:p>
            <w:pPr>
              <w:ind w:left="60"/>
              <w:spacing w:after="0"/>
              <w:rPr>
                <w:sz w:val="20"/>
                <w:szCs w:val="20"/>
                <w:color w:val="auto"/>
              </w:rPr>
            </w:pPr>
            <w:r>
              <w:rPr>
                <w:rFonts w:ascii="Arial" w:cs="Arial" w:eastAsia="Arial" w:hAnsi="Arial"/>
                <w:sz w:val="17"/>
                <w:szCs w:val="17"/>
                <w:b w:val="1"/>
                <w:bCs w:val="1"/>
                <w:color w:val="auto"/>
              </w:rPr>
              <w:t>President — WM Healthcare Solutions</w:t>
            </w:r>
          </w:p>
        </w:tc>
        <w:tc>
          <w:tcPr>
            <w:tcW w:w="1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3600" w:type="dxa"/>
            <w:vAlign w:val="bottom"/>
            <w:tcBorders>
              <w:bottom w:val="single" w:sz="8" w:color="0E3C23"/>
            </w:tcBorders>
          </w:tcPr>
          <w:p>
            <w:pPr>
              <w:spacing w:after="0"/>
              <w:rPr>
                <w:sz w:val="3"/>
                <w:szCs w:val="3"/>
                <w:color w:val="auto"/>
              </w:rPr>
            </w:pPr>
          </w:p>
        </w:tc>
        <w:tc>
          <w:tcPr>
            <w:tcW w:w="156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8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3600" w:type="dxa"/>
            <w:vAlign w:val="bottom"/>
          </w:tcPr>
          <w:p>
            <w:pPr>
              <w:ind w:left="60"/>
              <w:spacing w:after="0"/>
              <w:rPr>
                <w:sz w:val="20"/>
                <w:szCs w:val="20"/>
                <w:color w:val="auto"/>
              </w:rPr>
            </w:pPr>
            <w:r>
              <w:rPr>
                <w:rFonts w:ascii="Arial" w:cs="Arial" w:eastAsia="Arial" w:hAnsi="Arial"/>
                <w:sz w:val="17"/>
                <w:szCs w:val="17"/>
                <w:color w:val="auto"/>
              </w:rPr>
              <w:t>2024</w:t>
            </w:r>
          </w:p>
        </w:tc>
        <w:tc>
          <w:tcPr>
            <w:tcW w:w="1560" w:type="dxa"/>
            <w:vAlign w:val="bottom"/>
          </w:tcPr>
          <w:p>
            <w:pPr>
              <w:jc w:val="right"/>
              <w:ind w:right="96"/>
              <w:spacing w:after="0"/>
              <w:rPr>
                <w:sz w:val="20"/>
                <w:szCs w:val="20"/>
                <w:color w:val="auto"/>
              </w:rPr>
            </w:pPr>
            <w:r>
              <w:rPr>
                <w:rFonts w:ascii="Arial" w:cs="Arial" w:eastAsia="Arial" w:hAnsi="Arial"/>
                <w:sz w:val="17"/>
                <w:szCs w:val="17"/>
                <w:color w:val="auto"/>
              </w:rPr>
              <w:t>667,708</w:t>
            </w:r>
          </w:p>
        </w:tc>
        <w:tc>
          <w:tcPr>
            <w:tcW w:w="920" w:type="dxa"/>
            <w:vAlign w:val="bottom"/>
          </w:tcPr>
          <w:p>
            <w:pPr>
              <w:jc w:val="right"/>
              <w:spacing w:after="0"/>
              <w:rPr>
                <w:sz w:val="20"/>
                <w:szCs w:val="20"/>
                <w:color w:val="auto"/>
              </w:rPr>
            </w:pPr>
            <w:r>
              <w:rPr>
                <w:rFonts w:ascii="Arial" w:cs="Arial" w:eastAsia="Arial" w:hAnsi="Arial"/>
                <w:sz w:val="17"/>
                <w:szCs w:val="17"/>
                <w:color w:val="auto"/>
              </w:rPr>
              <w:t>2,111,358</w:t>
            </w:r>
          </w:p>
        </w:tc>
        <w:tc>
          <w:tcPr>
            <w:tcW w:w="820" w:type="dxa"/>
            <w:vAlign w:val="bottom"/>
          </w:tcPr>
          <w:p>
            <w:pPr>
              <w:jc w:val="right"/>
              <w:spacing w:after="0"/>
              <w:rPr>
                <w:sz w:val="20"/>
                <w:szCs w:val="20"/>
                <w:color w:val="auto"/>
              </w:rPr>
            </w:pPr>
            <w:r>
              <w:rPr>
                <w:rFonts w:ascii="Arial" w:cs="Arial" w:eastAsia="Arial" w:hAnsi="Arial"/>
                <w:sz w:val="17"/>
                <w:szCs w:val="17"/>
                <w:color w:val="auto"/>
              </w:rPr>
              <w:t>399,986</w:t>
            </w:r>
          </w:p>
        </w:tc>
        <w:tc>
          <w:tcPr>
            <w:tcW w:w="1120" w:type="dxa"/>
            <w:vAlign w:val="bottom"/>
          </w:tcPr>
          <w:p>
            <w:pPr>
              <w:jc w:val="right"/>
              <w:ind w:right="138"/>
              <w:spacing w:after="0"/>
              <w:rPr>
                <w:sz w:val="20"/>
                <w:szCs w:val="20"/>
                <w:color w:val="auto"/>
              </w:rPr>
            </w:pPr>
            <w:r>
              <w:rPr>
                <w:rFonts w:ascii="Arial" w:cs="Arial" w:eastAsia="Arial" w:hAnsi="Arial"/>
                <w:sz w:val="17"/>
                <w:szCs w:val="17"/>
                <w:color w:val="auto"/>
              </w:rPr>
              <w:t>925,683</w:t>
            </w:r>
          </w:p>
        </w:tc>
        <w:tc>
          <w:tcPr>
            <w:tcW w:w="1120" w:type="dxa"/>
            <w:vAlign w:val="bottom"/>
          </w:tcPr>
          <w:p>
            <w:pPr>
              <w:jc w:val="right"/>
              <w:ind w:right="198"/>
              <w:spacing w:after="0"/>
              <w:rPr>
                <w:sz w:val="20"/>
                <w:szCs w:val="20"/>
                <w:color w:val="auto"/>
              </w:rPr>
            </w:pPr>
            <w:r>
              <w:rPr>
                <w:rFonts w:ascii="Arial" w:cs="Arial" w:eastAsia="Arial" w:hAnsi="Arial"/>
                <w:sz w:val="17"/>
                <w:szCs w:val="17"/>
                <w:color w:val="auto"/>
              </w:rPr>
              <w:t>40,158</w:t>
            </w:r>
          </w:p>
        </w:tc>
        <w:tc>
          <w:tcPr>
            <w:tcW w:w="920" w:type="dxa"/>
            <w:vAlign w:val="bottom"/>
          </w:tcPr>
          <w:p>
            <w:pPr>
              <w:jc w:val="right"/>
              <w:spacing w:after="0"/>
              <w:rPr>
                <w:sz w:val="20"/>
                <w:szCs w:val="20"/>
                <w:color w:val="auto"/>
              </w:rPr>
            </w:pPr>
            <w:r>
              <w:rPr>
                <w:rFonts w:ascii="Arial" w:cs="Arial" w:eastAsia="Arial" w:hAnsi="Arial"/>
                <w:sz w:val="17"/>
                <w:szCs w:val="17"/>
                <w:color w:val="auto"/>
              </w:rPr>
              <w:t>4,144,893</w:t>
            </w:r>
          </w:p>
        </w:tc>
        <w:tc>
          <w:tcPr>
            <w:tcW w:w="0" w:type="dxa"/>
            <w:vAlign w:val="bottom"/>
          </w:tcPr>
          <w:p>
            <w:pPr>
              <w:spacing w:after="0"/>
              <w:rPr>
                <w:sz w:val="1"/>
                <w:szCs w:val="1"/>
                <w:color w:val="auto"/>
              </w:rPr>
            </w:pPr>
          </w:p>
        </w:tc>
      </w:tr>
      <w:tr>
        <w:trPr>
          <w:trHeight w:val="39"/>
        </w:trPr>
        <w:tc>
          <w:tcPr>
            <w:tcW w:w="3600" w:type="dxa"/>
            <w:vAlign w:val="bottom"/>
            <w:tcBorders>
              <w:bottom w:val="single" w:sz="8" w:color="0E3C23"/>
            </w:tcBorders>
          </w:tcPr>
          <w:p>
            <w:pPr>
              <w:spacing w:after="0"/>
              <w:rPr>
                <w:sz w:val="3"/>
                <w:szCs w:val="3"/>
                <w:color w:val="auto"/>
              </w:rPr>
            </w:pPr>
          </w:p>
        </w:tc>
        <w:tc>
          <w:tcPr>
            <w:tcW w:w="156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8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3600" w:type="dxa"/>
            <w:vAlign w:val="bottom"/>
          </w:tcPr>
          <w:p>
            <w:pPr>
              <w:ind w:left="60"/>
              <w:spacing w:after="0"/>
              <w:rPr>
                <w:sz w:val="20"/>
                <w:szCs w:val="20"/>
                <w:color w:val="auto"/>
              </w:rPr>
            </w:pPr>
            <w:r>
              <w:rPr>
                <w:rFonts w:ascii="Arial" w:cs="Arial" w:eastAsia="Arial" w:hAnsi="Arial"/>
                <w:sz w:val="17"/>
                <w:szCs w:val="17"/>
                <w:color w:val="auto"/>
              </w:rPr>
              <w:t>2023</w:t>
            </w:r>
          </w:p>
        </w:tc>
        <w:tc>
          <w:tcPr>
            <w:tcW w:w="1560" w:type="dxa"/>
            <w:vAlign w:val="bottom"/>
          </w:tcPr>
          <w:p>
            <w:pPr>
              <w:jc w:val="right"/>
              <w:ind w:right="96"/>
              <w:spacing w:after="0"/>
              <w:rPr>
                <w:sz w:val="20"/>
                <w:szCs w:val="20"/>
                <w:color w:val="auto"/>
              </w:rPr>
            </w:pPr>
            <w:r>
              <w:rPr>
                <w:rFonts w:ascii="Arial" w:cs="Arial" w:eastAsia="Arial" w:hAnsi="Arial"/>
                <w:sz w:val="17"/>
                <w:szCs w:val="17"/>
                <w:color w:val="auto"/>
              </w:rPr>
              <w:t>633,592</w:t>
            </w:r>
          </w:p>
        </w:tc>
        <w:tc>
          <w:tcPr>
            <w:tcW w:w="920" w:type="dxa"/>
            <w:vAlign w:val="bottom"/>
          </w:tcPr>
          <w:p>
            <w:pPr>
              <w:jc w:val="right"/>
              <w:spacing w:after="0"/>
              <w:rPr>
                <w:sz w:val="20"/>
                <w:szCs w:val="20"/>
                <w:color w:val="auto"/>
              </w:rPr>
            </w:pPr>
            <w:r>
              <w:rPr>
                <w:rFonts w:ascii="Arial" w:cs="Arial" w:eastAsia="Arial" w:hAnsi="Arial"/>
                <w:sz w:val="17"/>
                <w:szCs w:val="17"/>
                <w:color w:val="auto"/>
              </w:rPr>
              <w:t>1,724,132</w:t>
            </w:r>
          </w:p>
        </w:tc>
        <w:tc>
          <w:tcPr>
            <w:tcW w:w="820" w:type="dxa"/>
            <w:vAlign w:val="bottom"/>
          </w:tcPr>
          <w:p>
            <w:pPr>
              <w:jc w:val="right"/>
              <w:spacing w:after="0"/>
              <w:rPr>
                <w:sz w:val="20"/>
                <w:szCs w:val="20"/>
                <w:color w:val="auto"/>
              </w:rPr>
            </w:pPr>
            <w:r>
              <w:rPr>
                <w:rFonts w:ascii="Arial" w:cs="Arial" w:eastAsia="Arial" w:hAnsi="Arial"/>
                <w:sz w:val="17"/>
                <w:szCs w:val="17"/>
                <w:color w:val="auto"/>
              </w:rPr>
              <w:t>400,010</w:t>
            </w:r>
          </w:p>
        </w:tc>
        <w:tc>
          <w:tcPr>
            <w:tcW w:w="1120" w:type="dxa"/>
            <w:vAlign w:val="bottom"/>
          </w:tcPr>
          <w:p>
            <w:pPr>
              <w:jc w:val="right"/>
              <w:ind w:right="138"/>
              <w:spacing w:after="0"/>
              <w:rPr>
                <w:sz w:val="20"/>
                <w:szCs w:val="20"/>
                <w:color w:val="auto"/>
              </w:rPr>
            </w:pPr>
            <w:r>
              <w:rPr>
                <w:rFonts w:ascii="Arial" w:cs="Arial" w:eastAsia="Arial" w:hAnsi="Arial"/>
                <w:sz w:val="17"/>
                <w:szCs w:val="17"/>
                <w:color w:val="auto"/>
              </w:rPr>
              <w:t>686,538</w:t>
            </w:r>
          </w:p>
        </w:tc>
        <w:tc>
          <w:tcPr>
            <w:tcW w:w="1120" w:type="dxa"/>
            <w:vAlign w:val="bottom"/>
          </w:tcPr>
          <w:p>
            <w:pPr>
              <w:jc w:val="right"/>
              <w:ind w:right="198"/>
              <w:spacing w:after="0"/>
              <w:rPr>
                <w:sz w:val="20"/>
                <w:szCs w:val="20"/>
                <w:color w:val="auto"/>
              </w:rPr>
            </w:pPr>
            <w:r>
              <w:rPr>
                <w:rFonts w:ascii="Arial" w:cs="Arial" w:eastAsia="Arial" w:hAnsi="Arial"/>
                <w:sz w:val="17"/>
                <w:szCs w:val="17"/>
                <w:color w:val="auto"/>
              </w:rPr>
              <w:t>16,036</w:t>
            </w:r>
          </w:p>
        </w:tc>
        <w:tc>
          <w:tcPr>
            <w:tcW w:w="920" w:type="dxa"/>
            <w:vAlign w:val="bottom"/>
          </w:tcPr>
          <w:p>
            <w:pPr>
              <w:jc w:val="right"/>
              <w:spacing w:after="0"/>
              <w:rPr>
                <w:sz w:val="20"/>
                <w:szCs w:val="20"/>
                <w:color w:val="auto"/>
              </w:rPr>
            </w:pPr>
            <w:r>
              <w:rPr>
                <w:rFonts w:ascii="Arial" w:cs="Arial" w:eastAsia="Arial" w:hAnsi="Arial"/>
                <w:sz w:val="17"/>
                <w:szCs w:val="17"/>
                <w:color w:val="auto"/>
              </w:rPr>
              <w:t>3,460,308</w:t>
            </w:r>
          </w:p>
        </w:tc>
        <w:tc>
          <w:tcPr>
            <w:tcW w:w="0" w:type="dxa"/>
            <w:vAlign w:val="bottom"/>
          </w:tcPr>
          <w:p>
            <w:pPr>
              <w:spacing w:after="0"/>
              <w:rPr>
                <w:sz w:val="1"/>
                <w:szCs w:val="1"/>
                <w:color w:val="auto"/>
              </w:rPr>
            </w:pPr>
          </w:p>
        </w:tc>
      </w:tr>
      <w:tr>
        <w:trPr>
          <w:trHeight w:val="44"/>
        </w:trPr>
        <w:tc>
          <w:tcPr>
            <w:tcW w:w="3600" w:type="dxa"/>
            <w:vAlign w:val="bottom"/>
            <w:tcBorders>
              <w:bottom w:val="single" w:sz="8" w:color="0E3C23"/>
            </w:tcBorders>
          </w:tcPr>
          <w:p>
            <w:pPr>
              <w:spacing w:after="0"/>
              <w:rPr>
                <w:sz w:val="3"/>
                <w:szCs w:val="3"/>
                <w:color w:val="auto"/>
              </w:rPr>
            </w:pPr>
          </w:p>
        </w:tc>
        <w:tc>
          <w:tcPr>
            <w:tcW w:w="156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8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jc w:val="both"/>
        <w:ind w:left="580" w:right="200" w:hanging="402"/>
        <w:spacing w:after="0" w:line="277"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PSUs granted to all named executives annually. The grant date fair values were calculated in accordance with ASC Topic 718, as further described in Note 14 in the Notes to the Consolidated Financial Statements in our 2024 Annual Report on Form 10-K. The grant date fair value of a TSR PSU granted in 2024, based on a multifactor Monte Carlo model, is $307.21, and because total shareholder return is a market condition, projected achievement is embedded in the grant date fair value. The grant date fair value of a Cash Flow PSU granted in 2024 is $204.7585, which is the average of the high and low market price of our Common Stock on the date of the grant, in accordance with our 2023 Stock Incentive Plan. The table below shows</w:t>
      </w:r>
    </w:p>
    <w:p>
      <w:pPr>
        <w:spacing w:after="0" w:line="4" w:lineRule="exact"/>
        <w:rPr>
          <w:rFonts w:ascii="Arial" w:cs="Arial" w:eastAsia="Arial" w:hAnsi="Arial"/>
          <w:sz w:val="18"/>
          <w:szCs w:val="18"/>
          <w:color w:val="auto"/>
        </w:rPr>
      </w:pPr>
    </w:p>
    <w:p>
      <w:pPr>
        <w:jc w:val="both"/>
        <w:ind w:left="580" w:right="200"/>
        <w:spacing w:after="0" w:line="247" w:lineRule="auto"/>
        <w:rPr>
          <w:rFonts w:ascii="Arial" w:cs="Arial" w:eastAsia="Arial" w:hAnsi="Arial"/>
          <w:sz w:val="18"/>
          <w:szCs w:val="18"/>
          <w:color w:val="auto"/>
        </w:rPr>
      </w:pPr>
      <w:r>
        <w:rPr>
          <w:rFonts w:ascii="Arial" w:cs="Arial" w:eastAsia="Arial" w:hAnsi="Arial"/>
          <w:sz w:val="20"/>
          <w:szCs w:val="20"/>
          <w:color w:val="auto"/>
        </w:rPr>
        <w:t>(a) the aggregate grant date fair value of Cash Flow PSUs assuming target level of performance is achieved (this is the amount included in the Stock Awards column in the Summary Compensation Table) and (b) the aggregate grant date fair value of the same PSUs assuming the Company will reach the highest level of achievement for this performance measure and maximum payouts will be earned.</w:t>
      </w:r>
    </w:p>
    <w:p>
      <w:pPr>
        <w:sectPr>
          <w:pgSz w:w="13320" w:h="16920" w:orient="portrait"/>
          <w:cols w:equalWidth="0" w:num="1">
            <w:col w:w="104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-207010</wp:posOffset>
            </wp:positionV>
            <wp:extent cx="538480" cy="1619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39">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55" w:name="page56"/>
    <w:bookmarkEnd w:id="55"/>
    <w:p>
      <w:pPr>
        <w:ind w:left="180"/>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760" w:type="dxa"/>
            <w:vAlign w:val="bottom"/>
          </w:tcPr>
          <w:p>
            <w:pPr>
              <w:jc w:val="right"/>
              <w:ind w:right="26"/>
              <w:spacing w:after="0"/>
              <w:rPr>
                <w:sz w:val="20"/>
                <w:szCs w:val="20"/>
                <w:color w:val="auto"/>
              </w:rPr>
            </w:pPr>
            <w:r>
              <w:rPr>
                <w:rFonts w:ascii="Arial" w:cs="Arial" w:eastAsia="Arial" w:hAnsi="Arial"/>
                <w:sz w:val="16"/>
                <w:szCs w:val="16"/>
                <w:b w:val="1"/>
                <w:bCs w:val="1"/>
                <w:color w:val="0E3C23"/>
                <w:w w:val="97"/>
              </w:rPr>
              <w:t>Aggregate Grant Date</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0E3C23"/>
                <w:w w:val="93"/>
              </w:rPr>
              <w:t>Aggregate Grant Date</w:t>
            </w:r>
          </w:p>
        </w:tc>
      </w:tr>
      <w:tr>
        <w:trPr>
          <w:trHeight w:val="160"/>
        </w:trPr>
        <w:tc>
          <w:tcPr>
            <w:tcW w:w="38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760" w:type="dxa"/>
            <w:vAlign w:val="bottom"/>
          </w:tcPr>
          <w:p>
            <w:pPr>
              <w:jc w:val="right"/>
              <w:ind w:right="6"/>
              <w:spacing w:after="0" w:line="160" w:lineRule="exact"/>
              <w:rPr>
                <w:sz w:val="20"/>
                <w:szCs w:val="20"/>
                <w:color w:val="auto"/>
              </w:rPr>
            </w:pPr>
            <w:r>
              <w:rPr>
                <w:rFonts w:ascii="Arial" w:cs="Arial" w:eastAsia="Arial" w:hAnsi="Arial"/>
                <w:sz w:val="16"/>
                <w:szCs w:val="16"/>
                <w:b w:val="1"/>
                <w:bCs w:val="1"/>
                <w:color w:val="0E3C23"/>
              </w:rPr>
              <w:t>Fair Value of Cash</w:t>
            </w:r>
          </w:p>
        </w:tc>
        <w:tc>
          <w:tcPr>
            <w:tcW w:w="172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Fair Value of Cash</w:t>
            </w:r>
          </w:p>
        </w:tc>
      </w:tr>
      <w:tr>
        <w:trPr>
          <w:trHeight w:val="160"/>
        </w:trPr>
        <w:tc>
          <w:tcPr>
            <w:tcW w:w="38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760" w:type="dxa"/>
            <w:vAlign w:val="bottom"/>
          </w:tcPr>
          <w:p>
            <w:pPr>
              <w:jc w:val="right"/>
              <w:ind w:right="6"/>
              <w:spacing w:after="0" w:line="160" w:lineRule="exact"/>
              <w:rPr>
                <w:sz w:val="20"/>
                <w:szCs w:val="20"/>
                <w:color w:val="auto"/>
              </w:rPr>
            </w:pPr>
            <w:r>
              <w:rPr>
                <w:rFonts w:ascii="Arial" w:cs="Arial" w:eastAsia="Arial" w:hAnsi="Arial"/>
                <w:sz w:val="16"/>
                <w:szCs w:val="16"/>
                <w:b w:val="1"/>
                <w:bCs w:val="1"/>
                <w:color w:val="0E3C23"/>
              </w:rPr>
              <w:t>Flow PSUs</w:t>
            </w:r>
          </w:p>
        </w:tc>
        <w:tc>
          <w:tcPr>
            <w:tcW w:w="172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Flow PSUs</w:t>
            </w:r>
          </w:p>
        </w:tc>
      </w:tr>
      <w:tr>
        <w:trPr>
          <w:trHeight w:val="160"/>
        </w:trPr>
        <w:tc>
          <w:tcPr>
            <w:tcW w:w="38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760" w:type="dxa"/>
            <w:vAlign w:val="bottom"/>
          </w:tcPr>
          <w:p>
            <w:pPr>
              <w:jc w:val="right"/>
              <w:ind w:right="6"/>
              <w:spacing w:after="0" w:line="160" w:lineRule="exact"/>
              <w:rPr>
                <w:sz w:val="20"/>
                <w:szCs w:val="20"/>
                <w:color w:val="auto"/>
              </w:rPr>
            </w:pPr>
            <w:r>
              <w:rPr>
                <w:rFonts w:ascii="Arial" w:cs="Arial" w:eastAsia="Arial" w:hAnsi="Arial"/>
                <w:sz w:val="16"/>
                <w:szCs w:val="16"/>
                <w:b w:val="1"/>
                <w:bCs w:val="1"/>
                <w:color w:val="0E3C23"/>
              </w:rPr>
              <w:t>Assuming Target</w:t>
            </w:r>
          </w:p>
        </w:tc>
        <w:tc>
          <w:tcPr>
            <w:tcW w:w="172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Assuming Highest</w:t>
            </w:r>
          </w:p>
        </w:tc>
      </w:tr>
      <w:tr>
        <w:trPr>
          <w:trHeight w:val="160"/>
        </w:trPr>
        <w:tc>
          <w:tcPr>
            <w:tcW w:w="38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760" w:type="dxa"/>
            <w:vAlign w:val="bottom"/>
          </w:tcPr>
          <w:p>
            <w:pPr>
              <w:jc w:val="right"/>
              <w:ind w:right="6"/>
              <w:spacing w:after="0" w:line="160" w:lineRule="exact"/>
              <w:rPr>
                <w:sz w:val="20"/>
                <w:szCs w:val="20"/>
                <w:color w:val="auto"/>
              </w:rPr>
            </w:pPr>
            <w:r>
              <w:rPr>
                <w:rFonts w:ascii="Arial" w:cs="Arial" w:eastAsia="Arial" w:hAnsi="Arial"/>
                <w:sz w:val="16"/>
                <w:szCs w:val="16"/>
                <w:b w:val="1"/>
                <w:bCs w:val="1"/>
                <w:color w:val="0E3C23"/>
              </w:rPr>
              <w:t>Level of Performance</w:t>
            </w:r>
          </w:p>
        </w:tc>
        <w:tc>
          <w:tcPr>
            <w:tcW w:w="1720" w:type="dxa"/>
            <w:vAlign w:val="bottom"/>
          </w:tcPr>
          <w:p>
            <w:pPr>
              <w:jc w:val="center"/>
              <w:spacing w:after="0" w:line="160" w:lineRule="exact"/>
              <w:rPr>
                <w:sz w:val="20"/>
                <w:szCs w:val="20"/>
                <w:color w:val="auto"/>
              </w:rPr>
            </w:pPr>
            <w:r>
              <w:rPr>
                <w:rFonts w:ascii="Arial" w:cs="Arial" w:eastAsia="Arial" w:hAnsi="Arial"/>
                <w:sz w:val="16"/>
                <w:szCs w:val="16"/>
                <w:b w:val="1"/>
                <w:bCs w:val="1"/>
                <w:color w:val="0E3C23"/>
                <w:w w:val="93"/>
              </w:rPr>
              <w:t>Level of Performance</w:t>
            </w:r>
          </w:p>
        </w:tc>
      </w:tr>
      <w:tr>
        <w:trPr>
          <w:trHeight w:val="198"/>
        </w:trPr>
        <w:tc>
          <w:tcPr>
            <w:tcW w:w="3860" w:type="dxa"/>
            <w:vAlign w:val="bottom"/>
            <w:tcBorders>
              <w:bottom w:val="single" w:sz="8" w:color="0E3C23"/>
            </w:tcBorders>
          </w:tcPr>
          <w:p>
            <w:pPr>
              <w:spacing w:after="0"/>
              <w:rPr>
                <w:sz w:val="17"/>
                <w:szCs w:val="17"/>
                <w:color w:val="auto"/>
              </w:rPr>
            </w:pPr>
          </w:p>
        </w:tc>
        <w:tc>
          <w:tcPr>
            <w:tcW w:w="2720" w:type="dxa"/>
            <w:vAlign w:val="bottom"/>
            <w:tcBorders>
              <w:bottom w:val="single" w:sz="8" w:color="0E3C23"/>
            </w:tcBorders>
          </w:tcPr>
          <w:p>
            <w:pPr>
              <w:jc w:val="right"/>
              <w:ind w:right="22"/>
              <w:spacing w:after="0"/>
              <w:rPr>
                <w:sz w:val="20"/>
                <w:szCs w:val="20"/>
                <w:color w:val="auto"/>
              </w:rPr>
            </w:pPr>
            <w:r>
              <w:rPr>
                <w:rFonts w:ascii="Arial" w:cs="Arial" w:eastAsia="Arial" w:hAnsi="Arial"/>
                <w:sz w:val="16"/>
                <w:szCs w:val="16"/>
                <w:b w:val="1"/>
                <w:bCs w:val="1"/>
                <w:color w:val="0E3C23"/>
              </w:rPr>
              <w:t>Year</w:t>
            </w:r>
          </w:p>
        </w:tc>
        <w:tc>
          <w:tcPr>
            <w:tcW w:w="1760" w:type="dxa"/>
            <w:vAlign w:val="bottom"/>
            <w:tcBorders>
              <w:bottom w:val="single" w:sz="8" w:color="0E3C23"/>
            </w:tcBorders>
          </w:tcPr>
          <w:p>
            <w:pPr>
              <w:jc w:val="right"/>
              <w:ind w:right="6"/>
              <w:spacing w:after="0"/>
              <w:rPr>
                <w:sz w:val="20"/>
                <w:szCs w:val="20"/>
                <w:color w:val="auto"/>
              </w:rPr>
            </w:pPr>
            <w:r>
              <w:rPr>
                <w:rFonts w:ascii="Arial" w:cs="Arial" w:eastAsia="Arial" w:hAnsi="Arial"/>
                <w:sz w:val="16"/>
                <w:szCs w:val="16"/>
                <w:b w:val="1"/>
                <w:bCs w:val="1"/>
                <w:color w:val="0E3C23"/>
              </w:rPr>
              <w:t>Achieved ($)</w:t>
            </w:r>
          </w:p>
        </w:tc>
        <w:tc>
          <w:tcPr>
            <w:tcW w:w="1720" w:type="dxa"/>
            <w:vAlign w:val="bottom"/>
            <w:tcBorders>
              <w:bottom w:val="single" w:sz="8" w:color="0E3C23"/>
            </w:tcBorders>
          </w:tcPr>
          <w:p>
            <w:pPr>
              <w:jc w:val="right"/>
              <w:spacing w:after="0"/>
              <w:rPr>
                <w:sz w:val="20"/>
                <w:szCs w:val="20"/>
                <w:color w:val="auto"/>
              </w:rPr>
            </w:pPr>
            <w:r>
              <w:rPr>
                <w:rFonts w:ascii="Arial" w:cs="Arial" w:eastAsia="Arial" w:hAnsi="Arial"/>
                <w:sz w:val="16"/>
                <w:szCs w:val="16"/>
                <w:b w:val="1"/>
                <w:bCs w:val="1"/>
                <w:color w:val="0E3C23"/>
              </w:rPr>
              <w:t>Achieved ($)</w:t>
            </w:r>
          </w:p>
        </w:tc>
      </w:tr>
      <w:tr>
        <w:trPr>
          <w:trHeight w:val="243"/>
        </w:trPr>
        <w:tc>
          <w:tcPr>
            <w:tcW w:w="3860" w:type="dxa"/>
            <w:vAlign w:val="bottom"/>
            <w:tcBorders>
              <w:bottom w:val="single" w:sz="8" w:color="0E3C23"/>
            </w:tcBorders>
          </w:tcPr>
          <w:p>
            <w:pPr>
              <w:ind w:left="60"/>
              <w:spacing w:after="0"/>
              <w:rPr>
                <w:sz w:val="20"/>
                <w:szCs w:val="20"/>
                <w:color w:val="auto"/>
              </w:rPr>
            </w:pPr>
            <w:r>
              <w:rPr>
                <w:rFonts w:ascii="Arial" w:cs="Arial" w:eastAsia="Arial" w:hAnsi="Arial"/>
                <w:sz w:val="20"/>
                <w:szCs w:val="20"/>
                <w:b w:val="1"/>
                <w:bCs w:val="1"/>
                <w:color w:val="auto"/>
              </w:rPr>
              <w:t>James C. Fish, Jr.</w:t>
            </w:r>
          </w:p>
        </w:tc>
        <w:tc>
          <w:tcPr>
            <w:tcW w:w="2720" w:type="dxa"/>
            <w:vAlign w:val="bottom"/>
            <w:tcBorders>
              <w:bottom w:val="single" w:sz="8" w:color="0E3C23"/>
            </w:tcBorders>
          </w:tcPr>
          <w:p>
            <w:pPr>
              <w:jc w:val="right"/>
              <w:ind w:right="22"/>
              <w:spacing w:after="0"/>
              <w:rPr>
                <w:sz w:val="20"/>
                <w:szCs w:val="20"/>
                <w:color w:val="auto"/>
              </w:rPr>
            </w:pPr>
            <w:r>
              <w:rPr>
                <w:rFonts w:ascii="Arial" w:cs="Arial" w:eastAsia="Arial" w:hAnsi="Arial"/>
                <w:sz w:val="20"/>
                <w:szCs w:val="20"/>
                <w:color w:val="auto"/>
              </w:rPr>
              <w:t>2024</w:t>
            </w:r>
          </w:p>
        </w:tc>
        <w:tc>
          <w:tcPr>
            <w:tcW w:w="1760" w:type="dxa"/>
            <w:vAlign w:val="bottom"/>
            <w:tcBorders>
              <w:bottom w:val="single" w:sz="8" w:color="0E3C23"/>
            </w:tcBorders>
          </w:tcPr>
          <w:p>
            <w:pPr>
              <w:jc w:val="right"/>
              <w:ind w:right="366"/>
              <w:spacing w:after="0"/>
              <w:rPr>
                <w:sz w:val="20"/>
                <w:szCs w:val="20"/>
                <w:color w:val="auto"/>
              </w:rPr>
            </w:pPr>
            <w:r>
              <w:rPr>
                <w:rFonts w:ascii="Arial" w:cs="Arial" w:eastAsia="Arial" w:hAnsi="Arial"/>
                <w:sz w:val="20"/>
                <w:szCs w:val="20"/>
                <w:color w:val="auto"/>
              </w:rPr>
              <w:t>4,116,260</w:t>
            </w:r>
          </w:p>
        </w:tc>
        <w:tc>
          <w:tcPr>
            <w:tcW w:w="1720" w:type="dxa"/>
            <w:vAlign w:val="bottom"/>
            <w:tcBorders>
              <w:bottom w:val="single" w:sz="8" w:color="0E3C23"/>
            </w:tcBorders>
          </w:tcPr>
          <w:p>
            <w:pPr>
              <w:jc w:val="center"/>
              <w:spacing w:after="0"/>
              <w:rPr>
                <w:sz w:val="20"/>
                <w:szCs w:val="20"/>
                <w:color w:val="auto"/>
              </w:rPr>
            </w:pPr>
            <w:r>
              <w:rPr>
                <w:rFonts w:ascii="Arial" w:cs="Arial" w:eastAsia="Arial" w:hAnsi="Arial"/>
                <w:sz w:val="20"/>
                <w:szCs w:val="20"/>
                <w:color w:val="auto"/>
                <w:w w:val="92"/>
              </w:rPr>
              <w:t>8,232,520</w:t>
            </w:r>
          </w:p>
        </w:tc>
      </w:tr>
      <w:tr>
        <w:trPr>
          <w:trHeight w:val="227"/>
        </w:trPr>
        <w:tc>
          <w:tcPr>
            <w:tcW w:w="3860" w:type="dxa"/>
            <w:vAlign w:val="bottom"/>
            <w:tcBorders>
              <w:bottom w:val="single" w:sz="8" w:color="0E3C23"/>
            </w:tcBorders>
          </w:tcPr>
          <w:p>
            <w:pPr>
              <w:spacing w:after="0"/>
              <w:rPr>
                <w:sz w:val="19"/>
                <w:szCs w:val="19"/>
                <w:color w:val="auto"/>
              </w:rPr>
            </w:pPr>
          </w:p>
        </w:tc>
        <w:tc>
          <w:tcPr>
            <w:tcW w:w="2720" w:type="dxa"/>
            <w:vAlign w:val="bottom"/>
            <w:tcBorders>
              <w:bottom w:val="single" w:sz="8" w:color="0E3C23"/>
            </w:tcBorders>
          </w:tcPr>
          <w:p>
            <w:pPr>
              <w:jc w:val="right"/>
              <w:ind w:right="22"/>
              <w:spacing w:after="0" w:line="225" w:lineRule="exact"/>
              <w:rPr>
                <w:sz w:val="20"/>
                <w:szCs w:val="20"/>
                <w:color w:val="auto"/>
              </w:rPr>
            </w:pPr>
            <w:r>
              <w:rPr>
                <w:rFonts w:ascii="Arial" w:cs="Arial" w:eastAsia="Arial" w:hAnsi="Arial"/>
                <w:sz w:val="20"/>
                <w:szCs w:val="20"/>
                <w:color w:val="auto"/>
              </w:rPr>
              <w:t>2023</w:t>
            </w:r>
          </w:p>
        </w:tc>
        <w:tc>
          <w:tcPr>
            <w:tcW w:w="1760" w:type="dxa"/>
            <w:vAlign w:val="bottom"/>
            <w:tcBorders>
              <w:bottom w:val="single" w:sz="8" w:color="0E3C23"/>
            </w:tcBorders>
          </w:tcPr>
          <w:p>
            <w:pPr>
              <w:jc w:val="right"/>
              <w:ind w:right="366"/>
              <w:spacing w:after="0" w:line="225" w:lineRule="exact"/>
              <w:rPr>
                <w:sz w:val="20"/>
                <w:szCs w:val="20"/>
                <w:color w:val="auto"/>
              </w:rPr>
            </w:pPr>
            <w:r>
              <w:rPr>
                <w:rFonts w:ascii="Arial" w:cs="Arial" w:eastAsia="Arial" w:hAnsi="Arial"/>
                <w:sz w:val="20"/>
                <w:szCs w:val="20"/>
                <w:color w:val="auto"/>
              </w:rPr>
              <w:t>3,851,651</w:t>
            </w:r>
          </w:p>
        </w:tc>
        <w:tc>
          <w:tcPr>
            <w:tcW w:w="1720" w:type="dxa"/>
            <w:vAlign w:val="bottom"/>
            <w:tcBorders>
              <w:bottom w:val="single" w:sz="8" w:color="0E3C23"/>
            </w:tcBorders>
          </w:tcPr>
          <w:p>
            <w:pPr>
              <w:jc w:val="center"/>
              <w:spacing w:after="0" w:line="225" w:lineRule="exact"/>
              <w:rPr>
                <w:sz w:val="20"/>
                <w:szCs w:val="20"/>
                <w:color w:val="auto"/>
              </w:rPr>
            </w:pPr>
            <w:r>
              <w:rPr>
                <w:rFonts w:ascii="Arial" w:cs="Arial" w:eastAsia="Arial" w:hAnsi="Arial"/>
                <w:sz w:val="20"/>
                <w:szCs w:val="20"/>
                <w:color w:val="auto"/>
                <w:w w:val="92"/>
              </w:rPr>
              <w:t>7,703,302</w:t>
            </w:r>
          </w:p>
        </w:tc>
      </w:tr>
      <w:tr>
        <w:trPr>
          <w:trHeight w:val="229"/>
        </w:trPr>
        <w:tc>
          <w:tcPr>
            <w:tcW w:w="3860" w:type="dxa"/>
            <w:vAlign w:val="bottom"/>
            <w:tcBorders>
              <w:bottom w:val="single" w:sz="8" w:color="0E3C23"/>
            </w:tcBorders>
          </w:tcPr>
          <w:p>
            <w:pPr>
              <w:spacing w:after="0"/>
              <w:rPr>
                <w:sz w:val="19"/>
                <w:szCs w:val="19"/>
                <w:color w:val="auto"/>
              </w:rPr>
            </w:pPr>
          </w:p>
        </w:tc>
        <w:tc>
          <w:tcPr>
            <w:tcW w:w="2720" w:type="dxa"/>
            <w:vAlign w:val="bottom"/>
            <w:tcBorders>
              <w:bottom w:val="single" w:sz="8" w:color="0E3C23"/>
            </w:tcBorders>
          </w:tcPr>
          <w:p>
            <w:pPr>
              <w:jc w:val="right"/>
              <w:ind w:right="22"/>
              <w:spacing w:after="0" w:line="226" w:lineRule="exact"/>
              <w:rPr>
                <w:sz w:val="20"/>
                <w:szCs w:val="20"/>
                <w:color w:val="auto"/>
              </w:rPr>
            </w:pPr>
            <w:r>
              <w:rPr>
                <w:rFonts w:ascii="Arial" w:cs="Arial" w:eastAsia="Arial" w:hAnsi="Arial"/>
                <w:sz w:val="20"/>
                <w:szCs w:val="20"/>
                <w:color w:val="auto"/>
              </w:rPr>
              <w:t>2022</w:t>
            </w:r>
          </w:p>
        </w:tc>
        <w:tc>
          <w:tcPr>
            <w:tcW w:w="1760" w:type="dxa"/>
            <w:vAlign w:val="bottom"/>
            <w:tcBorders>
              <w:bottom w:val="single" w:sz="8" w:color="0E3C23"/>
            </w:tcBorders>
          </w:tcPr>
          <w:p>
            <w:pPr>
              <w:jc w:val="right"/>
              <w:ind w:right="366"/>
              <w:spacing w:after="0" w:line="226" w:lineRule="exact"/>
              <w:rPr>
                <w:sz w:val="20"/>
                <w:szCs w:val="20"/>
                <w:color w:val="auto"/>
              </w:rPr>
            </w:pPr>
            <w:r>
              <w:rPr>
                <w:rFonts w:ascii="Arial" w:cs="Arial" w:eastAsia="Arial" w:hAnsi="Arial"/>
                <w:sz w:val="20"/>
                <w:szCs w:val="20"/>
                <w:color w:val="auto"/>
              </w:rPr>
              <w:t>3,468,403</w:t>
            </w:r>
          </w:p>
        </w:tc>
        <w:tc>
          <w:tcPr>
            <w:tcW w:w="1720" w:type="dxa"/>
            <w:vAlign w:val="bottom"/>
            <w:tcBorders>
              <w:bottom w:val="single" w:sz="8" w:color="0E3C23"/>
            </w:tcBorders>
          </w:tcPr>
          <w:p>
            <w:pPr>
              <w:jc w:val="center"/>
              <w:spacing w:after="0" w:line="226" w:lineRule="exact"/>
              <w:rPr>
                <w:sz w:val="20"/>
                <w:szCs w:val="20"/>
                <w:color w:val="auto"/>
              </w:rPr>
            </w:pPr>
            <w:r>
              <w:rPr>
                <w:rFonts w:ascii="Arial" w:cs="Arial" w:eastAsia="Arial" w:hAnsi="Arial"/>
                <w:sz w:val="20"/>
                <w:szCs w:val="20"/>
                <w:color w:val="auto"/>
                <w:w w:val="92"/>
              </w:rPr>
              <w:t>6,936,806</w:t>
            </w:r>
          </w:p>
        </w:tc>
      </w:tr>
      <w:tr>
        <w:trPr>
          <w:trHeight w:val="231"/>
        </w:trPr>
        <w:tc>
          <w:tcPr>
            <w:tcW w:w="3860" w:type="dxa"/>
            <w:vAlign w:val="bottom"/>
            <w:tcBorders>
              <w:bottom w:val="single" w:sz="8" w:color="0E3C23"/>
            </w:tcBorders>
          </w:tcPr>
          <w:p>
            <w:pPr>
              <w:ind w:left="60"/>
              <w:spacing w:after="0"/>
              <w:rPr>
                <w:sz w:val="20"/>
                <w:szCs w:val="20"/>
                <w:color w:val="auto"/>
              </w:rPr>
            </w:pPr>
            <w:r>
              <w:rPr>
                <w:rFonts w:ascii="Arial" w:cs="Arial" w:eastAsia="Arial" w:hAnsi="Arial"/>
                <w:sz w:val="20"/>
                <w:szCs w:val="20"/>
                <w:b w:val="1"/>
                <w:bCs w:val="1"/>
                <w:color w:val="auto"/>
              </w:rPr>
              <w:t>Devina A. Rankin</w:t>
            </w:r>
          </w:p>
        </w:tc>
        <w:tc>
          <w:tcPr>
            <w:tcW w:w="2720" w:type="dxa"/>
            <w:vAlign w:val="bottom"/>
            <w:tcBorders>
              <w:bottom w:val="single" w:sz="8" w:color="0E3C23"/>
            </w:tcBorders>
          </w:tcPr>
          <w:p>
            <w:pPr>
              <w:jc w:val="right"/>
              <w:ind w:right="22"/>
              <w:spacing w:after="0" w:line="226" w:lineRule="exact"/>
              <w:rPr>
                <w:sz w:val="20"/>
                <w:szCs w:val="20"/>
                <w:color w:val="auto"/>
              </w:rPr>
            </w:pPr>
            <w:r>
              <w:rPr>
                <w:rFonts w:ascii="Arial" w:cs="Arial" w:eastAsia="Arial" w:hAnsi="Arial"/>
                <w:sz w:val="20"/>
                <w:szCs w:val="20"/>
                <w:color w:val="auto"/>
              </w:rPr>
              <w:t>2024</w:t>
            </w:r>
          </w:p>
        </w:tc>
        <w:tc>
          <w:tcPr>
            <w:tcW w:w="1760" w:type="dxa"/>
            <w:vAlign w:val="bottom"/>
            <w:tcBorders>
              <w:bottom w:val="single" w:sz="8" w:color="0E3C23"/>
            </w:tcBorders>
          </w:tcPr>
          <w:p>
            <w:pPr>
              <w:jc w:val="right"/>
              <w:ind w:right="366"/>
              <w:spacing w:after="0" w:line="226" w:lineRule="exact"/>
              <w:rPr>
                <w:sz w:val="20"/>
                <w:szCs w:val="20"/>
                <w:color w:val="auto"/>
              </w:rPr>
            </w:pPr>
            <w:r>
              <w:rPr>
                <w:rFonts w:ascii="Arial" w:cs="Arial" w:eastAsia="Arial" w:hAnsi="Arial"/>
                <w:sz w:val="20"/>
                <w:szCs w:val="20"/>
                <w:color w:val="auto"/>
              </w:rPr>
              <w:t>970,965</w:t>
            </w:r>
          </w:p>
        </w:tc>
        <w:tc>
          <w:tcPr>
            <w:tcW w:w="1720" w:type="dxa"/>
            <w:vAlign w:val="bottom"/>
            <w:tcBorders>
              <w:bottom w:val="single" w:sz="8" w:color="0E3C23"/>
            </w:tcBorders>
          </w:tcPr>
          <w:p>
            <w:pPr>
              <w:jc w:val="center"/>
              <w:spacing w:after="0" w:line="226" w:lineRule="exact"/>
              <w:rPr>
                <w:sz w:val="20"/>
                <w:szCs w:val="20"/>
                <w:color w:val="auto"/>
              </w:rPr>
            </w:pPr>
            <w:r>
              <w:rPr>
                <w:rFonts w:ascii="Arial" w:cs="Arial" w:eastAsia="Arial" w:hAnsi="Arial"/>
                <w:sz w:val="20"/>
                <w:szCs w:val="20"/>
                <w:color w:val="auto"/>
                <w:w w:val="92"/>
              </w:rPr>
              <w:t>1,941,930</w:t>
            </w:r>
          </w:p>
        </w:tc>
      </w:tr>
      <w:tr>
        <w:trPr>
          <w:trHeight w:val="227"/>
        </w:trPr>
        <w:tc>
          <w:tcPr>
            <w:tcW w:w="3860" w:type="dxa"/>
            <w:vAlign w:val="bottom"/>
            <w:tcBorders>
              <w:bottom w:val="single" w:sz="8" w:color="0E3C23"/>
            </w:tcBorders>
          </w:tcPr>
          <w:p>
            <w:pPr>
              <w:spacing w:after="0"/>
              <w:rPr>
                <w:sz w:val="19"/>
                <w:szCs w:val="19"/>
                <w:color w:val="auto"/>
              </w:rPr>
            </w:pPr>
          </w:p>
        </w:tc>
        <w:tc>
          <w:tcPr>
            <w:tcW w:w="2720" w:type="dxa"/>
            <w:vAlign w:val="bottom"/>
            <w:tcBorders>
              <w:bottom w:val="single" w:sz="8" w:color="0E3C23"/>
            </w:tcBorders>
          </w:tcPr>
          <w:p>
            <w:pPr>
              <w:jc w:val="right"/>
              <w:ind w:right="22"/>
              <w:spacing w:after="0" w:line="225" w:lineRule="exact"/>
              <w:rPr>
                <w:sz w:val="20"/>
                <w:szCs w:val="20"/>
                <w:color w:val="auto"/>
              </w:rPr>
            </w:pPr>
            <w:r>
              <w:rPr>
                <w:rFonts w:ascii="Arial" w:cs="Arial" w:eastAsia="Arial" w:hAnsi="Arial"/>
                <w:sz w:val="20"/>
                <w:szCs w:val="20"/>
                <w:color w:val="auto"/>
              </w:rPr>
              <w:t>2023</w:t>
            </w:r>
          </w:p>
        </w:tc>
        <w:tc>
          <w:tcPr>
            <w:tcW w:w="1760" w:type="dxa"/>
            <w:vAlign w:val="bottom"/>
            <w:tcBorders>
              <w:bottom w:val="single" w:sz="8" w:color="0E3C23"/>
            </w:tcBorders>
          </w:tcPr>
          <w:p>
            <w:pPr>
              <w:jc w:val="right"/>
              <w:ind w:right="366"/>
              <w:spacing w:after="0" w:line="225" w:lineRule="exact"/>
              <w:rPr>
                <w:sz w:val="20"/>
                <w:szCs w:val="20"/>
                <w:color w:val="auto"/>
              </w:rPr>
            </w:pPr>
            <w:r>
              <w:rPr>
                <w:rFonts w:ascii="Arial" w:cs="Arial" w:eastAsia="Arial" w:hAnsi="Arial"/>
                <w:sz w:val="20"/>
                <w:szCs w:val="20"/>
                <w:color w:val="auto"/>
              </w:rPr>
              <w:t>908,646</w:t>
            </w:r>
          </w:p>
        </w:tc>
        <w:tc>
          <w:tcPr>
            <w:tcW w:w="1720" w:type="dxa"/>
            <w:vAlign w:val="bottom"/>
            <w:tcBorders>
              <w:bottom w:val="single" w:sz="8" w:color="0E3C23"/>
            </w:tcBorders>
          </w:tcPr>
          <w:p>
            <w:pPr>
              <w:jc w:val="center"/>
              <w:spacing w:after="0" w:line="225" w:lineRule="exact"/>
              <w:rPr>
                <w:sz w:val="20"/>
                <w:szCs w:val="20"/>
                <w:color w:val="auto"/>
              </w:rPr>
            </w:pPr>
            <w:r>
              <w:rPr>
                <w:rFonts w:ascii="Arial" w:cs="Arial" w:eastAsia="Arial" w:hAnsi="Arial"/>
                <w:sz w:val="20"/>
                <w:szCs w:val="20"/>
                <w:color w:val="auto"/>
                <w:w w:val="92"/>
              </w:rPr>
              <w:t>1,817,292</w:t>
            </w:r>
          </w:p>
        </w:tc>
      </w:tr>
      <w:tr>
        <w:trPr>
          <w:trHeight w:val="229"/>
        </w:trPr>
        <w:tc>
          <w:tcPr>
            <w:tcW w:w="3860" w:type="dxa"/>
            <w:vAlign w:val="bottom"/>
            <w:tcBorders>
              <w:bottom w:val="single" w:sz="8" w:color="0E3C23"/>
            </w:tcBorders>
          </w:tcPr>
          <w:p>
            <w:pPr>
              <w:spacing w:after="0"/>
              <w:rPr>
                <w:sz w:val="19"/>
                <w:szCs w:val="19"/>
                <w:color w:val="auto"/>
              </w:rPr>
            </w:pPr>
          </w:p>
        </w:tc>
        <w:tc>
          <w:tcPr>
            <w:tcW w:w="2720" w:type="dxa"/>
            <w:vAlign w:val="bottom"/>
            <w:tcBorders>
              <w:bottom w:val="single" w:sz="8" w:color="0E3C23"/>
            </w:tcBorders>
          </w:tcPr>
          <w:p>
            <w:pPr>
              <w:jc w:val="right"/>
              <w:ind w:right="22"/>
              <w:spacing w:after="0" w:line="226" w:lineRule="exact"/>
              <w:rPr>
                <w:sz w:val="20"/>
                <w:szCs w:val="20"/>
                <w:color w:val="auto"/>
              </w:rPr>
            </w:pPr>
            <w:r>
              <w:rPr>
                <w:rFonts w:ascii="Arial" w:cs="Arial" w:eastAsia="Arial" w:hAnsi="Arial"/>
                <w:sz w:val="20"/>
                <w:szCs w:val="20"/>
                <w:color w:val="auto"/>
              </w:rPr>
              <w:t>2022</w:t>
            </w:r>
          </w:p>
        </w:tc>
        <w:tc>
          <w:tcPr>
            <w:tcW w:w="1760" w:type="dxa"/>
            <w:vAlign w:val="bottom"/>
            <w:tcBorders>
              <w:bottom w:val="single" w:sz="8" w:color="0E3C23"/>
            </w:tcBorders>
          </w:tcPr>
          <w:p>
            <w:pPr>
              <w:jc w:val="right"/>
              <w:ind w:right="366"/>
              <w:spacing w:after="0" w:line="226" w:lineRule="exact"/>
              <w:rPr>
                <w:sz w:val="20"/>
                <w:szCs w:val="20"/>
                <w:color w:val="auto"/>
              </w:rPr>
            </w:pPr>
            <w:r>
              <w:rPr>
                <w:rFonts w:ascii="Arial" w:cs="Arial" w:eastAsia="Arial" w:hAnsi="Arial"/>
                <w:sz w:val="20"/>
                <w:szCs w:val="20"/>
                <w:color w:val="auto"/>
              </w:rPr>
              <w:t>871,981</w:t>
            </w:r>
          </w:p>
        </w:tc>
        <w:tc>
          <w:tcPr>
            <w:tcW w:w="1720" w:type="dxa"/>
            <w:vAlign w:val="bottom"/>
            <w:tcBorders>
              <w:bottom w:val="single" w:sz="8" w:color="0E3C23"/>
            </w:tcBorders>
          </w:tcPr>
          <w:p>
            <w:pPr>
              <w:jc w:val="center"/>
              <w:spacing w:after="0" w:line="226" w:lineRule="exact"/>
              <w:rPr>
                <w:sz w:val="20"/>
                <w:szCs w:val="20"/>
                <w:color w:val="auto"/>
              </w:rPr>
            </w:pPr>
            <w:r>
              <w:rPr>
                <w:rFonts w:ascii="Arial" w:cs="Arial" w:eastAsia="Arial" w:hAnsi="Arial"/>
                <w:sz w:val="20"/>
                <w:szCs w:val="20"/>
                <w:color w:val="auto"/>
                <w:w w:val="92"/>
              </w:rPr>
              <w:t>1,743,962</w:t>
            </w:r>
          </w:p>
        </w:tc>
      </w:tr>
      <w:tr>
        <w:trPr>
          <w:trHeight w:val="231"/>
        </w:trPr>
        <w:tc>
          <w:tcPr>
            <w:tcW w:w="3860" w:type="dxa"/>
            <w:vAlign w:val="bottom"/>
            <w:tcBorders>
              <w:bottom w:val="single" w:sz="8" w:color="0E3C23"/>
            </w:tcBorders>
          </w:tcPr>
          <w:p>
            <w:pPr>
              <w:ind w:left="60"/>
              <w:spacing w:after="0"/>
              <w:rPr>
                <w:sz w:val="20"/>
                <w:szCs w:val="20"/>
                <w:color w:val="auto"/>
              </w:rPr>
            </w:pPr>
            <w:r>
              <w:rPr>
                <w:rFonts w:ascii="Arial" w:cs="Arial" w:eastAsia="Arial" w:hAnsi="Arial"/>
                <w:sz w:val="20"/>
                <w:szCs w:val="20"/>
                <w:b w:val="1"/>
                <w:bCs w:val="1"/>
                <w:color w:val="auto"/>
              </w:rPr>
              <w:t>John J. Morris, Jr.</w:t>
            </w:r>
          </w:p>
        </w:tc>
        <w:tc>
          <w:tcPr>
            <w:tcW w:w="2720" w:type="dxa"/>
            <w:vAlign w:val="bottom"/>
            <w:tcBorders>
              <w:bottom w:val="single" w:sz="8" w:color="0E3C23"/>
            </w:tcBorders>
          </w:tcPr>
          <w:p>
            <w:pPr>
              <w:jc w:val="right"/>
              <w:ind w:right="22"/>
              <w:spacing w:after="0" w:line="226" w:lineRule="exact"/>
              <w:rPr>
                <w:sz w:val="20"/>
                <w:szCs w:val="20"/>
                <w:color w:val="auto"/>
              </w:rPr>
            </w:pPr>
            <w:r>
              <w:rPr>
                <w:rFonts w:ascii="Arial" w:cs="Arial" w:eastAsia="Arial" w:hAnsi="Arial"/>
                <w:sz w:val="20"/>
                <w:szCs w:val="20"/>
                <w:color w:val="auto"/>
              </w:rPr>
              <w:t>2024</w:t>
            </w:r>
          </w:p>
        </w:tc>
        <w:tc>
          <w:tcPr>
            <w:tcW w:w="1760" w:type="dxa"/>
            <w:vAlign w:val="bottom"/>
            <w:tcBorders>
              <w:bottom w:val="single" w:sz="8" w:color="0E3C23"/>
            </w:tcBorders>
          </w:tcPr>
          <w:p>
            <w:pPr>
              <w:jc w:val="right"/>
              <w:ind w:right="366"/>
              <w:spacing w:after="0" w:line="226" w:lineRule="exact"/>
              <w:rPr>
                <w:sz w:val="20"/>
                <w:szCs w:val="20"/>
                <w:color w:val="auto"/>
              </w:rPr>
            </w:pPr>
            <w:r>
              <w:rPr>
                <w:rFonts w:ascii="Arial" w:cs="Arial" w:eastAsia="Arial" w:hAnsi="Arial"/>
                <w:sz w:val="20"/>
                <w:szCs w:val="20"/>
                <w:color w:val="auto"/>
              </w:rPr>
              <w:t>1,245,341</w:t>
            </w:r>
          </w:p>
        </w:tc>
        <w:tc>
          <w:tcPr>
            <w:tcW w:w="1720" w:type="dxa"/>
            <w:vAlign w:val="bottom"/>
            <w:tcBorders>
              <w:bottom w:val="single" w:sz="8" w:color="0E3C23"/>
            </w:tcBorders>
          </w:tcPr>
          <w:p>
            <w:pPr>
              <w:jc w:val="center"/>
              <w:spacing w:after="0" w:line="226" w:lineRule="exact"/>
              <w:rPr>
                <w:sz w:val="20"/>
                <w:szCs w:val="20"/>
                <w:color w:val="auto"/>
              </w:rPr>
            </w:pPr>
            <w:r>
              <w:rPr>
                <w:rFonts w:ascii="Arial" w:cs="Arial" w:eastAsia="Arial" w:hAnsi="Arial"/>
                <w:sz w:val="20"/>
                <w:szCs w:val="20"/>
                <w:color w:val="auto"/>
                <w:w w:val="92"/>
              </w:rPr>
              <w:t>2,490,682</w:t>
            </w:r>
          </w:p>
        </w:tc>
      </w:tr>
      <w:tr>
        <w:trPr>
          <w:trHeight w:val="227"/>
        </w:trPr>
        <w:tc>
          <w:tcPr>
            <w:tcW w:w="3860" w:type="dxa"/>
            <w:vAlign w:val="bottom"/>
            <w:tcBorders>
              <w:bottom w:val="single" w:sz="8" w:color="0E3C23"/>
            </w:tcBorders>
          </w:tcPr>
          <w:p>
            <w:pPr>
              <w:spacing w:after="0"/>
              <w:rPr>
                <w:sz w:val="19"/>
                <w:szCs w:val="19"/>
                <w:color w:val="auto"/>
              </w:rPr>
            </w:pPr>
          </w:p>
        </w:tc>
        <w:tc>
          <w:tcPr>
            <w:tcW w:w="2720" w:type="dxa"/>
            <w:vAlign w:val="bottom"/>
            <w:tcBorders>
              <w:bottom w:val="single" w:sz="8" w:color="0E3C23"/>
            </w:tcBorders>
          </w:tcPr>
          <w:p>
            <w:pPr>
              <w:jc w:val="right"/>
              <w:ind w:right="22"/>
              <w:spacing w:after="0" w:line="225" w:lineRule="exact"/>
              <w:rPr>
                <w:sz w:val="20"/>
                <w:szCs w:val="20"/>
                <w:color w:val="auto"/>
              </w:rPr>
            </w:pPr>
            <w:r>
              <w:rPr>
                <w:rFonts w:ascii="Arial" w:cs="Arial" w:eastAsia="Arial" w:hAnsi="Arial"/>
                <w:sz w:val="20"/>
                <w:szCs w:val="20"/>
                <w:color w:val="auto"/>
              </w:rPr>
              <w:t>2023</w:t>
            </w:r>
          </w:p>
        </w:tc>
        <w:tc>
          <w:tcPr>
            <w:tcW w:w="1760" w:type="dxa"/>
            <w:vAlign w:val="bottom"/>
            <w:tcBorders>
              <w:bottom w:val="single" w:sz="8" w:color="0E3C23"/>
            </w:tcBorders>
          </w:tcPr>
          <w:p>
            <w:pPr>
              <w:jc w:val="right"/>
              <w:ind w:right="366"/>
              <w:spacing w:after="0" w:line="225" w:lineRule="exact"/>
              <w:rPr>
                <w:sz w:val="20"/>
                <w:szCs w:val="20"/>
                <w:color w:val="auto"/>
              </w:rPr>
            </w:pPr>
            <w:r>
              <w:rPr>
                <w:rFonts w:ascii="Arial" w:cs="Arial" w:eastAsia="Arial" w:hAnsi="Arial"/>
                <w:sz w:val="20"/>
                <w:szCs w:val="20"/>
                <w:color w:val="auto"/>
              </w:rPr>
              <w:t>1,066,567</w:t>
            </w:r>
          </w:p>
        </w:tc>
        <w:tc>
          <w:tcPr>
            <w:tcW w:w="1720" w:type="dxa"/>
            <w:vAlign w:val="bottom"/>
            <w:tcBorders>
              <w:bottom w:val="single" w:sz="8" w:color="0E3C23"/>
            </w:tcBorders>
          </w:tcPr>
          <w:p>
            <w:pPr>
              <w:jc w:val="center"/>
              <w:spacing w:after="0" w:line="225" w:lineRule="exact"/>
              <w:rPr>
                <w:sz w:val="20"/>
                <w:szCs w:val="20"/>
                <w:color w:val="auto"/>
              </w:rPr>
            </w:pPr>
            <w:r>
              <w:rPr>
                <w:rFonts w:ascii="Arial" w:cs="Arial" w:eastAsia="Arial" w:hAnsi="Arial"/>
                <w:sz w:val="20"/>
                <w:szCs w:val="20"/>
                <w:color w:val="auto"/>
                <w:w w:val="92"/>
              </w:rPr>
              <w:t>2,133,134</w:t>
            </w:r>
          </w:p>
        </w:tc>
      </w:tr>
      <w:tr>
        <w:trPr>
          <w:trHeight w:val="229"/>
        </w:trPr>
        <w:tc>
          <w:tcPr>
            <w:tcW w:w="3860" w:type="dxa"/>
            <w:vAlign w:val="bottom"/>
            <w:tcBorders>
              <w:bottom w:val="single" w:sz="8" w:color="0E3C23"/>
            </w:tcBorders>
          </w:tcPr>
          <w:p>
            <w:pPr>
              <w:spacing w:after="0"/>
              <w:rPr>
                <w:sz w:val="19"/>
                <w:szCs w:val="19"/>
                <w:color w:val="auto"/>
              </w:rPr>
            </w:pPr>
          </w:p>
        </w:tc>
        <w:tc>
          <w:tcPr>
            <w:tcW w:w="2720" w:type="dxa"/>
            <w:vAlign w:val="bottom"/>
            <w:tcBorders>
              <w:bottom w:val="single" w:sz="8" w:color="0E3C23"/>
            </w:tcBorders>
          </w:tcPr>
          <w:p>
            <w:pPr>
              <w:jc w:val="right"/>
              <w:ind w:right="22"/>
              <w:spacing w:after="0" w:line="226" w:lineRule="exact"/>
              <w:rPr>
                <w:sz w:val="20"/>
                <w:szCs w:val="20"/>
                <w:color w:val="auto"/>
              </w:rPr>
            </w:pPr>
            <w:r>
              <w:rPr>
                <w:rFonts w:ascii="Arial" w:cs="Arial" w:eastAsia="Arial" w:hAnsi="Arial"/>
                <w:sz w:val="20"/>
                <w:szCs w:val="20"/>
                <w:color w:val="auto"/>
              </w:rPr>
              <w:t>2022</w:t>
            </w:r>
          </w:p>
        </w:tc>
        <w:tc>
          <w:tcPr>
            <w:tcW w:w="1760" w:type="dxa"/>
            <w:vAlign w:val="bottom"/>
            <w:tcBorders>
              <w:bottom w:val="single" w:sz="8" w:color="0E3C23"/>
            </w:tcBorders>
          </w:tcPr>
          <w:p>
            <w:pPr>
              <w:jc w:val="right"/>
              <w:ind w:right="366"/>
              <w:spacing w:after="0" w:line="226" w:lineRule="exact"/>
              <w:rPr>
                <w:sz w:val="20"/>
                <w:szCs w:val="20"/>
                <w:color w:val="auto"/>
              </w:rPr>
            </w:pPr>
            <w:r>
              <w:rPr>
                <w:rFonts w:ascii="Arial" w:cs="Arial" w:eastAsia="Arial" w:hAnsi="Arial"/>
                <w:sz w:val="20"/>
                <w:szCs w:val="20"/>
                <w:color w:val="auto"/>
              </w:rPr>
              <w:t>1,030,615</w:t>
            </w:r>
          </w:p>
        </w:tc>
        <w:tc>
          <w:tcPr>
            <w:tcW w:w="1720" w:type="dxa"/>
            <w:vAlign w:val="bottom"/>
            <w:tcBorders>
              <w:bottom w:val="single" w:sz="8" w:color="0E3C23"/>
            </w:tcBorders>
          </w:tcPr>
          <w:p>
            <w:pPr>
              <w:jc w:val="center"/>
              <w:spacing w:after="0" w:line="226" w:lineRule="exact"/>
              <w:rPr>
                <w:sz w:val="20"/>
                <w:szCs w:val="20"/>
                <w:color w:val="auto"/>
              </w:rPr>
            </w:pPr>
            <w:r>
              <w:rPr>
                <w:rFonts w:ascii="Arial" w:cs="Arial" w:eastAsia="Arial" w:hAnsi="Arial"/>
                <w:sz w:val="20"/>
                <w:szCs w:val="20"/>
                <w:color w:val="auto"/>
                <w:w w:val="92"/>
              </w:rPr>
              <w:t>2,061,230</w:t>
            </w:r>
          </w:p>
        </w:tc>
      </w:tr>
      <w:tr>
        <w:trPr>
          <w:trHeight w:val="231"/>
        </w:trPr>
        <w:tc>
          <w:tcPr>
            <w:tcW w:w="3860" w:type="dxa"/>
            <w:vAlign w:val="bottom"/>
            <w:tcBorders>
              <w:bottom w:val="single" w:sz="8" w:color="0E3C23"/>
            </w:tcBorders>
          </w:tcPr>
          <w:p>
            <w:pPr>
              <w:ind w:left="60"/>
              <w:spacing w:after="0"/>
              <w:rPr>
                <w:sz w:val="20"/>
                <w:szCs w:val="20"/>
                <w:color w:val="auto"/>
              </w:rPr>
            </w:pPr>
            <w:r>
              <w:rPr>
                <w:rFonts w:ascii="Arial" w:cs="Arial" w:eastAsia="Arial" w:hAnsi="Arial"/>
                <w:sz w:val="20"/>
                <w:szCs w:val="20"/>
                <w:b w:val="1"/>
                <w:bCs w:val="1"/>
                <w:color w:val="auto"/>
              </w:rPr>
              <w:t>Tara J. Hemmer</w:t>
            </w:r>
          </w:p>
        </w:tc>
        <w:tc>
          <w:tcPr>
            <w:tcW w:w="2720" w:type="dxa"/>
            <w:vAlign w:val="bottom"/>
            <w:tcBorders>
              <w:bottom w:val="single" w:sz="8" w:color="0E3C23"/>
            </w:tcBorders>
          </w:tcPr>
          <w:p>
            <w:pPr>
              <w:jc w:val="right"/>
              <w:ind w:right="22"/>
              <w:spacing w:after="0" w:line="226" w:lineRule="exact"/>
              <w:rPr>
                <w:sz w:val="20"/>
                <w:szCs w:val="20"/>
                <w:color w:val="auto"/>
              </w:rPr>
            </w:pPr>
            <w:r>
              <w:rPr>
                <w:rFonts w:ascii="Arial" w:cs="Arial" w:eastAsia="Arial" w:hAnsi="Arial"/>
                <w:sz w:val="20"/>
                <w:szCs w:val="20"/>
                <w:color w:val="auto"/>
              </w:rPr>
              <w:t>2024</w:t>
            </w:r>
          </w:p>
        </w:tc>
        <w:tc>
          <w:tcPr>
            <w:tcW w:w="1760" w:type="dxa"/>
            <w:vAlign w:val="bottom"/>
            <w:tcBorders>
              <w:bottom w:val="single" w:sz="8" w:color="0E3C23"/>
            </w:tcBorders>
          </w:tcPr>
          <w:p>
            <w:pPr>
              <w:jc w:val="right"/>
              <w:ind w:right="366"/>
              <w:spacing w:after="0" w:line="226" w:lineRule="exact"/>
              <w:rPr>
                <w:sz w:val="20"/>
                <w:szCs w:val="20"/>
                <w:color w:val="auto"/>
              </w:rPr>
            </w:pPr>
            <w:r>
              <w:rPr>
                <w:rFonts w:ascii="Arial" w:cs="Arial" w:eastAsia="Arial" w:hAnsi="Arial"/>
                <w:sz w:val="20"/>
                <w:szCs w:val="20"/>
                <w:color w:val="auto"/>
              </w:rPr>
              <w:t>844,424</w:t>
            </w:r>
          </w:p>
        </w:tc>
        <w:tc>
          <w:tcPr>
            <w:tcW w:w="1720" w:type="dxa"/>
            <w:vAlign w:val="bottom"/>
            <w:tcBorders>
              <w:bottom w:val="single" w:sz="8" w:color="0E3C23"/>
            </w:tcBorders>
          </w:tcPr>
          <w:p>
            <w:pPr>
              <w:jc w:val="center"/>
              <w:spacing w:after="0" w:line="226" w:lineRule="exact"/>
              <w:rPr>
                <w:sz w:val="20"/>
                <w:szCs w:val="20"/>
                <w:color w:val="auto"/>
              </w:rPr>
            </w:pPr>
            <w:r>
              <w:rPr>
                <w:rFonts w:ascii="Arial" w:cs="Arial" w:eastAsia="Arial" w:hAnsi="Arial"/>
                <w:sz w:val="20"/>
                <w:szCs w:val="20"/>
                <w:color w:val="auto"/>
                <w:w w:val="92"/>
              </w:rPr>
              <w:t>1,688,848</w:t>
            </w:r>
          </w:p>
        </w:tc>
      </w:tr>
      <w:tr>
        <w:trPr>
          <w:trHeight w:val="227"/>
        </w:trPr>
        <w:tc>
          <w:tcPr>
            <w:tcW w:w="3860" w:type="dxa"/>
            <w:vAlign w:val="bottom"/>
            <w:tcBorders>
              <w:bottom w:val="single" w:sz="8" w:color="0E3C23"/>
            </w:tcBorders>
          </w:tcPr>
          <w:p>
            <w:pPr>
              <w:spacing w:after="0"/>
              <w:rPr>
                <w:sz w:val="19"/>
                <w:szCs w:val="19"/>
                <w:color w:val="auto"/>
              </w:rPr>
            </w:pPr>
          </w:p>
        </w:tc>
        <w:tc>
          <w:tcPr>
            <w:tcW w:w="2720" w:type="dxa"/>
            <w:vAlign w:val="bottom"/>
            <w:tcBorders>
              <w:bottom w:val="single" w:sz="8" w:color="0E3C23"/>
            </w:tcBorders>
          </w:tcPr>
          <w:p>
            <w:pPr>
              <w:jc w:val="right"/>
              <w:ind w:right="22"/>
              <w:spacing w:after="0" w:line="225" w:lineRule="exact"/>
              <w:rPr>
                <w:sz w:val="20"/>
                <w:szCs w:val="20"/>
                <w:color w:val="auto"/>
              </w:rPr>
            </w:pPr>
            <w:r>
              <w:rPr>
                <w:rFonts w:ascii="Arial" w:cs="Arial" w:eastAsia="Arial" w:hAnsi="Arial"/>
                <w:sz w:val="20"/>
                <w:szCs w:val="20"/>
                <w:color w:val="auto"/>
              </w:rPr>
              <w:t>2023</w:t>
            </w:r>
          </w:p>
        </w:tc>
        <w:tc>
          <w:tcPr>
            <w:tcW w:w="1760" w:type="dxa"/>
            <w:vAlign w:val="bottom"/>
            <w:tcBorders>
              <w:bottom w:val="single" w:sz="8" w:color="0E3C23"/>
            </w:tcBorders>
          </w:tcPr>
          <w:p>
            <w:pPr>
              <w:jc w:val="right"/>
              <w:ind w:right="366"/>
              <w:spacing w:after="0" w:line="225" w:lineRule="exact"/>
              <w:rPr>
                <w:sz w:val="20"/>
                <w:szCs w:val="20"/>
                <w:color w:val="auto"/>
              </w:rPr>
            </w:pPr>
            <w:r>
              <w:rPr>
                <w:rFonts w:ascii="Arial" w:cs="Arial" w:eastAsia="Arial" w:hAnsi="Arial"/>
                <w:sz w:val="20"/>
                <w:szCs w:val="20"/>
                <w:color w:val="auto"/>
              </w:rPr>
              <w:t>711,095</w:t>
            </w:r>
          </w:p>
        </w:tc>
        <w:tc>
          <w:tcPr>
            <w:tcW w:w="1720" w:type="dxa"/>
            <w:vAlign w:val="bottom"/>
            <w:tcBorders>
              <w:bottom w:val="single" w:sz="8" w:color="0E3C23"/>
            </w:tcBorders>
          </w:tcPr>
          <w:p>
            <w:pPr>
              <w:jc w:val="center"/>
              <w:spacing w:after="0" w:line="225" w:lineRule="exact"/>
              <w:rPr>
                <w:sz w:val="20"/>
                <w:szCs w:val="20"/>
                <w:color w:val="auto"/>
              </w:rPr>
            </w:pPr>
            <w:r>
              <w:rPr>
                <w:rFonts w:ascii="Arial" w:cs="Arial" w:eastAsia="Arial" w:hAnsi="Arial"/>
                <w:sz w:val="20"/>
                <w:szCs w:val="20"/>
                <w:color w:val="auto"/>
                <w:w w:val="92"/>
              </w:rPr>
              <w:t>1,422,190</w:t>
            </w:r>
          </w:p>
        </w:tc>
      </w:tr>
      <w:tr>
        <w:trPr>
          <w:trHeight w:val="229"/>
        </w:trPr>
        <w:tc>
          <w:tcPr>
            <w:tcW w:w="3860" w:type="dxa"/>
            <w:vAlign w:val="bottom"/>
            <w:tcBorders>
              <w:bottom w:val="single" w:sz="8" w:color="0E3C23"/>
            </w:tcBorders>
          </w:tcPr>
          <w:p>
            <w:pPr>
              <w:spacing w:after="0"/>
              <w:rPr>
                <w:sz w:val="19"/>
                <w:szCs w:val="19"/>
                <w:color w:val="auto"/>
              </w:rPr>
            </w:pPr>
          </w:p>
        </w:tc>
        <w:tc>
          <w:tcPr>
            <w:tcW w:w="2720" w:type="dxa"/>
            <w:vAlign w:val="bottom"/>
            <w:tcBorders>
              <w:bottom w:val="single" w:sz="8" w:color="0E3C23"/>
            </w:tcBorders>
          </w:tcPr>
          <w:p>
            <w:pPr>
              <w:jc w:val="right"/>
              <w:ind w:right="22"/>
              <w:spacing w:after="0" w:line="226" w:lineRule="exact"/>
              <w:rPr>
                <w:sz w:val="20"/>
                <w:szCs w:val="20"/>
                <w:color w:val="auto"/>
              </w:rPr>
            </w:pPr>
            <w:r>
              <w:rPr>
                <w:rFonts w:ascii="Arial" w:cs="Arial" w:eastAsia="Arial" w:hAnsi="Arial"/>
                <w:sz w:val="20"/>
                <w:szCs w:val="20"/>
                <w:color w:val="auto"/>
              </w:rPr>
              <w:t>2022</w:t>
            </w:r>
          </w:p>
        </w:tc>
        <w:tc>
          <w:tcPr>
            <w:tcW w:w="1760" w:type="dxa"/>
            <w:vAlign w:val="bottom"/>
            <w:tcBorders>
              <w:bottom w:val="single" w:sz="8" w:color="0E3C23"/>
            </w:tcBorders>
          </w:tcPr>
          <w:p>
            <w:pPr>
              <w:jc w:val="right"/>
              <w:ind w:right="366"/>
              <w:spacing w:after="0" w:line="226" w:lineRule="exact"/>
              <w:rPr>
                <w:sz w:val="20"/>
                <w:szCs w:val="20"/>
                <w:color w:val="auto"/>
              </w:rPr>
            </w:pPr>
            <w:r>
              <w:rPr>
                <w:rFonts w:ascii="Arial" w:cs="Arial" w:eastAsia="Arial" w:hAnsi="Arial"/>
                <w:sz w:val="20"/>
                <w:szCs w:val="20"/>
                <w:color w:val="auto"/>
              </w:rPr>
              <w:t>673,869</w:t>
            </w:r>
          </w:p>
        </w:tc>
        <w:tc>
          <w:tcPr>
            <w:tcW w:w="1720" w:type="dxa"/>
            <w:vAlign w:val="bottom"/>
            <w:tcBorders>
              <w:bottom w:val="single" w:sz="8" w:color="0E3C23"/>
            </w:tcBorders>
          </w:tcPr>
          <w:p>
            <w:pPr>
              <w:jc w:val="center"/>
              <w:spacing w:after="0" w:line="226" w:lineRule="exact"/>
              <w:rPr>
                <w:sz w:val="20"/>
                <w:szCs w:val="20"/>
                <w:color w:val="auto"/>
              </w:rPr>
            </w:pPr>
            <w:r>
              <w:rPr>
                <w:rFonts w:ascii="Arial" w:cs="Arial" w:eastAsia="Arial" w:hAnsi="Arial"/>
                <w:sz w:val="20"/>
                <w:szCs w:val="20"/>
                <w:color w:val="auto"/>
                <w:w w:val="92"/>
              </w:rPr>
              <w:t>1,347,738</w:t>
            </w:r>
          </w:p>
        </w:tc>
      </w:tr>
      <w:tr>
        <w:trPr>
          <w:trHeight w:val="231"/>
        </w:trPr>
        <w:tc>
          <w:tcPr>
            <w:tcW w:w="3860" w:type="dxa"/>
            <w:vAlign w:val="bottom"/>
            <w:tcBorders>
              <w:bottom w:val="single" w:sz="8" w:color="0E3C23"/>
            </w:tcBorders>
          </w:tcPr>
          <w:p>
            <w:pPr>
              <w:ind w:left="60"/>
              <w:spacing w:after="0"/>
              <w:rPr>
                <w:sz w:val="20"/>
                <w:szCs w:val="20"/>
                <w:color w:val="auto"/>
              </w:rPr>
            </w:pPr>
            <w:r>
              <w:rPr>
                <w:rFonts w:ascii="Arial" w:cs="Arial" w:eastAsia="Arial" w:hAnsi="Arial"/>
                <w:sz w:val="20"/>
                <w:szCs w:val="20"/>
                <w:b w:val="1"/>
                <w:bCs w:val="1"/>
                <w:color w:val="auto"/>
              </w:rPr>
              <w:t>Rafael E. Carrasco</w:t>
            </w:r>
          </w:p>
        </w:tc>
        <w:tc>
          <w:tcPr>
            <w:tcW w:w="2720" w:type="dxa"/>
            <w:vAlign w:val="bottom"/>
            <w:tcBorders>
              <w:bottom w:val="single" w:sz="8" w:color="0E3C23"/>
            </w:tcBorders>
          </w:tcPr>
          <w:p>
            <w:pPr>
              <w:jc w:val="right"/>
              <w:ind w:right="22"/>
              <w:spacing w:after="0" w:line="226" w:lineRule="exact"/>
              <w:rPr>
                <w:sz w:val="20"/>
                <w:szCs w:val="20"/>
                <w:color w:val="auto"/>
              </w:rPr>
            </w:pPr>
            <w:r>
              <w:rPr>
                <w:rFonts w:ascii="Arial" w:cs="Arial" w:eastAsia="Arial" w:hAnsi="Arial"/>
                <w:sz w:val="20"/>
                <w:szCs w:val="20"/>
                <w:color w:val="auto"/>
              </w:rPr>
              <w:t>2024</w:t>
            </w:r>
          </w:p>
        </w:tc>
        <w:tc>
          <w:tcPr>
            <w:tcW w:w="1760" w:type="dxa"/>
            <w:vAlign w:val="bottom"/>
            <w:tcBorders>
              <w:bottom w:val="single" w:sz="8" w:color="0E3C23"/>
            </w:tcBorders>
          </w:tcPr>
          <w:p>
            <w:pPr>
              <w:jc w:val="right"/>
              <w:ind w:right="366"/>
              <w:spacing w:after="0" w:line="226" w:lineRule="exact"/>
              <w:rPr>
                <w:sz w:val="20"/>
                <w:szCs w:val="20"/>
                <w:color w:val="auto"/>
              </w:rPr>
            </w:pPr>
            <w:r>
              <w:rPr>
                <w:rFonts w:ascii="Arial" w:cs="Arial" w:eastAsia="Arial" w:hAnsi="Arial"/>
                <w:sz w:val="20"/>
                <w:szCs w:val="20"/>
                <w:color w:val="auto"/>
              </w:rPr>
              <w:t>844,424</w:t>
            </w:r>
          </w:p>
        </w:tc>
        <w:tc>
          <w:tcPr>
            <w:tcW w:w="1720" w:type="dxa"/>
            <w:vAlign w:val="bottom"/>
            <w:tcBorders>
              <w:bottom w:val="single" w:sz="8" w:color="0E3C23"/>
            </w:tcBorders>
          </w:tcPr>
          <w:p>
            <w:pPr>
              <w:jc w:val="center"/>
              <w:spacing w:after="0" w:line="226" w:lineRule="exact"/>
              <w:rPr>
                <w:sz w:val="20"/>
                <w:szCs w:val="20"/>
                <w:color w:val="auto"/>
              </w:rPr>
            </w:pPr>
            <w:r>
              <w:rPr>
                <w:rFonts w:ascii="Arial" w:cs="Arial" w:eastAsia="Arial" w:hAnsi="Arial"/>
                <w:sz w:val="20"/>
                <w:szCs w:val="20"/>
                <w:color w:val="auto"/>
                <w:w w:val="92"/>
              </w:rPr>
              <w:t>1,688,848</w:t>
            </w:r>
          </w:p>
        </w:tc>
      </w:tr>
      <w:tr>
        <w:trPr>
          <w:trHeight w:val="224"/>
        </w:trPr>
        <w:tc>
          <w:tcPr>
            <w:tcW w:w="3860" w:type="dxa"/>
            <w:vAlign w:val="bottom"/>
          </w:tcPr>
          <w:p>
            <w:pPr>
              <w:spacing w:after="0"/>
              <w:rPr>
                <w:sz w:val="19"/>
                <w:szCs w:val="19"/>
                <w:color w:val="auto"/>
              </w:rPr>
            </w:pPr>
          </w:p>
        </w:tc>
        <w:tc>
          <w:tcPr>
            <w:tcW w:w="2720" w:type="dxa"/>
            <w:vAlign w:val="bottom"/>
          </w:tcPr>
          <w:p>
            <w:pPr>
              <w:jc w:val="right"/>
              <w:ind w:right="22"/>
              <w:spacing w:after="0" w:line="224" w:lineRule="exact"/>
              <w:rPr>
                <w:sz w:val="20"/>
                <w:szCs w:val="20"/>
                <w:color w:val="auto"/>
              </w:rPr>
            </w:pPr>
            <w:r>
              <w:rPr>
                <w:rFonts w:ascii="Arial" w:cs="Arial" w:eastAsia="Arial" w:hAnsi="Arial"/>
                <w:sz w:val="20"/>
                <w:szCs w:val="20"/>
                <w:color w:val="auto"/>
              </w:rPr>
              <w:t>2023</w:t>
            </w:r>
          </w:p>
        </w:tc>
        <w:tc>
          <w:tcPr>
            <w:tcW w:w="1760" w:type="dxa"/>
            <w:vAlign w:val="bottom"/>
          </w:tcPr>
          <w:p>
            <w:pPr>
              <w:jc w:val="right"/>
              <w:ind w:right="366"/>
              <w:spacing w:after="0" w:line="224" w:lineRule="exact"/>
              <w:rPr>
                <w:sz w:val="20"/>
                <w:szCs w:val="20"/>
                <w:color w:val="auto"/>
              </w:rPr>
            </w:pPr>
            <w:r>
              <w:rPr>
                <w:rFonts w:ascii="Arial" w:cs="Arial" w:eastAsia="Arial" w:hAnsi="Arial"/>
                <w:sz w:val="20"/>
                <w:szCs w:val="20"/>
                <w:color w:val="auto"/>
              </w:rPr>
              <w:t>790,055</w:t>
            </w:r>
          </w:p>
        </w:tc>
        <w:tc>
          <w:tcPr>
            <w:tcW w:w="1720" w:type="dxa"/>
            <w:vAlign w:val="bottom"/>
          </w:tcPr>
          <w:p>
            <w:pPr>
              <w:jc w:val="center"/>
              <w:spacing w:after="0" w:line="224" w:lineRule="exact"/>
              <w:rPr>
                <w:sz w:val="20"/>
                <w:szCs w:val="20"/>
                <w:color w:val="auto"/>
              </w:rPr>
            </w:pPr>
            <w:r>
              <w:rPr>
                <w:rFonts w:ascii="Arial" w:cs="Arial" w:eastAsia="Arial" w:hAnsi="Arial"/>
                <w:sz w:val="20"/>
                <w:szCs w:val="20"/>
                <w:color w:val="auto"/>
                <w:w w:val="92"/>
              </w:rPr>
              <w:t>1,580,110</w:t>
            </w:r>
          </w:p>
        </w:tc>
      </w:tr>
      <w:tr>
        <w:trPr>
          <w:trHeight w:val="38"/>
        </w:trPr>
        <w:tc>
          <w:tcPr>
            <w:tcW w:w="3860" w:type="dxa"/>
            <w:vAlign w:val="bottom"/>
            <w:tcBorders>
              <w:bottom w:val="single" w:sz="8" w:color="0E3C23"/>
            </w:tcBorders>
          </w:tcPr>
          <w:p>
            <w:pPr>
              <w:spacing w:after="0"/>
              <w:rPr>
                <w:sz w:val="3"/>
                <w:szCs w:val="3"/>
                <w:color w:val="auto"/>
              </w:rPr>
            </w:pPr>
          </w:p>
        </w:tc>
        <w:tc>
          <w:tcPr>
            <w:tcW w:w="2720" w:type="dxa"/>
            <w:vAlign w:val="bottom"/>
            <w:tcBorders>
              <w:bottom w:val="single" w:sz="8" w:color="0E3C23"/>
            </w:tcBorders>
          </w:tcPr>
          <w:p>
            <w:pPr>
              <w:spacing w:after="0"/>
              <w:rPr>
                <w:sz w:val="3"/>
                <w:szCs w:val="3"/>
                <w:color w:val="auto"/>
              </w:rPr>
            </w:pPr>
          </w:p>
        </w:tc>
        <w:tc>
          <w:tcPr>
            <w:tcW w:w="1760" w:type="dxa"/>
            <w:vAlign w:val="bottom"/>
            <w:tcBorders>
              <w:bottom w:val="single" w:sz="8" w:color="0E3C23"/>
            </w:tcBorders>
          </w:tcPr>
          <w:p>
            <w:pPr>
              <w:spacing w:after="0"/>
              <w:rPr>
                <w:sz w:val="3"/>
                <w:szCs w:val="3"/>
                <w:color w:val="auto"/>
              </w:rPr>
            </w:pPr>
          </w:p>
        </w:tc>
        <w:tc>
          <w:tcPr>
            <w:tcW w:w="1720" w:type="dxa"/>
            <w:vAlign w:val="bottom"/>
            <w:tcBorders>
              <w:bottom w:val="single" w:sz="8" w:color="0E3C23"/>
            </w:tcBorders>
          </w:tcPr>
          <w:p>
            <w:pPr>
              <w:spacing w:after="0"/>
              <w:rPr>
                <w:sz w:val="3"/>
                <w:szCs w:val="3"/>
                <w:color w:val="auto"/>
              </w:rPr>
            </w:pPr>
          </w:p>
        </w:tc>
      </w:tr>
    </w:tbl>
    <w:p>
      <w:pPr>
        <w:spacing w:after="0" w:line="73" w:lineRule="exact"/>
        <w:rPr>
          <w:sz w:val="20"/>
          <w:szCs w:val="20"/>
          <w:color w:val="auto"/>
        </w:rPr>
      </w:pPr>
    </w:p>
    <w:p>
      <w:pPr>
        <w:jc w:val="both"/>
        <w:ind w:left="580" w:right="200" w:hanging="402"/>
        <w:spacing w:after="0" w:line="243" w:lineRule="auto"/>
        <w:tabs>
          <w:tab w:leader="none" w:pos="5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Amounts in this column represent the grant date fair value of stock options granted annually, in accordance with ASC Topic 718. The grant date fair value of the options granted in 2024, calculated using a Black-Scholes option pricing model, is $43.00 per option. See Note 14 in the Notes to the Consolidated Financial Statements in our 2024 Annual Report on Form 10-K for additional information.</w:t>
      </w:r>
    </w:p>
    <w:p>
      <w:pPr>
        <w:spacing w:after="0" w:line="104" w:lineRule="exact"/>
        <w:rPr>
          <w:rFonts w:ascii="Arial" w:cs="Arial" w:eastAsia="Arial" w:hAnsi="Arial"/>
          <w:sz w:val="20"/>
          <w:szCs w:val="20"/>
          <w:color w:val="auto"/>
        </w:rPr>
      </w:pPr>
    </w:p>
    <w:p>
      <w:pPr>
        <w:jc w:val="both"/>
        <w:ind w:left="580" w:right="200" w:hanging="402"/>
        <w:spacing w:after="0" w:line="242" w:lineRule="auto"/>
        <w:tabs>
          <w:tab w:leader="none" w:pos="5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Amounts in this column represent cash incentive awards earned and paid based on the achievement of performance criteria. See “Compensation Discussion and Analysis — Named Executive’s 2024 Compensation Program and Results — Annual Cash Incentive” for additional information.</w:t>
      </w:r>
    </w:p>
    <w:p>
      <w:pPr>
        <w:spacing w:after="0" w:line="99" w:lineRule="exact"/>
        <w:rPr>
          <w:rFonts w:ascii="Arial" w:cs="Arial" w:eastAsia="Arial" w:hAnsi="Arial"/>
          <w:sz w:val="20"/>
          <w:szCs w:val="20"/>
          <w:color w:val="auto"/>
        </w:rPr>
      </w:pPr>
    </w:p>
    <w:p>
      <w:pPr>
        <w:ind w:left="580" w:hanging="402"/>
        <w:spacing w:after="0"/>
        <w:tabs>
          <w:tab w:leader="none" w:pos="5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amounts included in “All Other Compensation” for 2024 are shown below (in dollars):</w:t>
      </w:r>
    </w:p>
    <w:p>
      <w:pPr>
        <w:spacing w:after="0" w:line="45"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2040" w:type="dxa"/>
            <w:vAlign w:val="bottom"/>
          </w:tcPr>
          <w:p>
            <w:pPr>
              <w:jc w:val="right"/>
              <w:ind w:right="28"/>
              <w:spacing w:after="0"/>
              <w:rPr>
                <w:sz w:val="20"/>
                <w:szCs w:val="20"/>
                <w:color w:val="auto"/>
              </w:rPr>
            </w:pPr>
            <w:r>
              <w:rPr>
                <w:rFonts w:ascii="Arial" w:cs="Arial" w:eastAsia="Arial" w:hAnsi="Arial"/>
                <w:sz w:val="16"/>
                <w:szCs w:val="16"/>
                <w:b w:val="1"/>
                <w:bCs w:val="1"/>
                <w:color w:val="0E3C23"/>
              </w:rPr>
              <w:t>401(k) Plan</w:t>
            </w:r>
          </w:p>
        </w:tc>
        <w:tc>
          <w:tcPr>
            <w:tcW w:w="1240" w:type="dxa"/>
            <w:vAlign w:val="bottom"/>
          </w:tcPr>
          <w:p>
            <w:pPr>
              <w:jc w:val="right"/>
              <w:ind w:right="28"/>
              <w:spacing w:after="0"/>
              <w:rPr>
                <w:sz w:val="20"/>
                <w:szCs w:val="20"/>
                <w:color w:val="auto"/>
              </w:rPr>
            </w:pPr>
            <w:r>
              <w:rPr>
                <w:rFonts w:ascii="Arial" w:cs="Arial" w:eastAsia="Arial" w:hAnsi="Arial"/>
                <w:sz w:val="16"/>
                <w:szCs w:val="16"/>
                <w:b w:val="1"/>
                <w:bCs w:val="1"/>
                <w:color w:val="0E3C23"/>
              </w:rPr>
              <w:t>409A Deferral</w:t>
            </w:r>
          </w:p>
        </w:tc>
        <w:tc>
          <w:tcPr>
            <w:tcW w:w="1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0E3C23"/>
              </w:rPr>
              <w:t>Perquisites and</w:t>
            </w:r>
          </w:p>
        </w:tc>
      </w:tr>
      <w:tr>
        <w:trPr>
          <w:trHeight w:val="150"/>
        </w:trPr>
        <w:tc>
          <w:tcPr>
            <w:tcW w:w="2640" w:type="dxa"/>
            <w:vAlign w:val="bottom"/>
          </w:tcPr>
          <w:p>
            <w:pPr>
              <w:spacing w:after="0"/>
              <w:rPr>
                <w:sz w:val="13"/>
                <w:szCs w:val="13"/>
                <w:color w:val="auto"/>
              </w:rPr>
            </w:pPr>
          </w:p>
        </w:tc>
        <w:tc>
          <w:tcPr>
            <w:tcW w:w="2040" w:type="dxa"/>
            <w:vAlign w:val="bottom"/>
          </w:tcPr>
          <w:p>
            <w:pPr>
              <w:jc w:val="right"/>
              <w:ind w:right="28"/>
              <w:spacing w:after="0" w:line="150" w:lineRule="exact"/>
              <w:rPr>
                <w:sz w:val="20"/>
                <w:szCs w:val="20"/>
                <w:color w:val="auto"/>
              </w:rPr>
            </w:pPr>
            <w:r>
              <w:rPr>
                <w:rFonts w:ascii="Arial" w:cs="Arial" w:eastAsia="Arial" w:hAnsi="Arial"/>
                <w:sz w:val="16"/>
                <w:szCs w:val="16"/>
                <w:b w:val="1"/>
                <w:bCs w:val="1"/>
                <w:color w:val="0E3C23"/>
              </w:rPr>
              <w:t>Matching</w:t>
            </w:r>
          </w:p>
        </w:tc>
        <w:tc>
          <w:tcPr>
            <w:tcW w:w="1240" w:type="dxa"/>
            <w:vAlign w:val="bottom"/>
          </w:tcPr>
          <w:p>
            <w:pPr>
              <w:jc w:val="right"/>
              <w:ind w:right="28"/>
              <w:spacing w:after="0" w:line="150" w:lineRule="exact"/>
              <w:rPr>
                <w:sz w:val="20"/>
                <w:szCs w:val="20"/>
                <w:color w:val="auto"/>
              </w:rPr>
            </w:pPr>
            <w:r>
              <w:rPr>
                <w:rFonts w:ascii="Arial" w:cs="Arial" w:eastAsia="Arial" w:hAnsi="Arial"/>
                <w:sz w:val="16"/>
                <w:szCs w:val="16"/>
                <w:b w:val="1"/>
                <w:bCs w:val="1"/>
                <w:color w:val="0E3C23"/>
              </w:rPr>
              <w:t>Plan Matching</w:t>
            </w:r>
          </w:p>
        </w:tc>
        <w:tc>
          <w:tcPr>
            <w:tcW w:w="1260" w:type="dxa"/>
            <w:vAlign w:val="bottom"/>
          </w:tcPr>
          <w:p>
            <w:pPr>
              <w:ind w:left="120"/>
              <w:spacing w:after="0" w:line="150" w:lineRule="exact"/>
              <w:rPr>
                <w:sz w:val="20"/>
                <w:szCs w:val="20"/>
                <w:color w:val="auto"/>
              </w:rPr>
            </w:pPr>
            <w:r>
              <w:rPr>
                <w:rFonts w:ascii="Arial" w:cs="Arial" w:eastAsia="Arial" w:hAnsi="Arial"/>
                <w:sz w:val="16"/>
                <w:szCs w:val="16"/>
                <w:b w:val="1"/>
                <w:bCs w:val="1"/>
                <w:color w:val="0E3C23"/>
              </w:rPr>
              <w:t>Life Insurance</w:t>
            </w:r>
          </w:p>
        </w:tc>
        <w:tc>
          <w:tcPr>
            <w:tcW w:w="1280" w:type="dxa"/>
            <w:vAlign w:val="bottom"/>
          </w:tcPr>
          <w:p>
            <w:pPr>
              <w:jc w:val="right"/>
              <w:spacing w:after="0" w:line="150" w:lineRule="exact"/>
              <w:rPr>
                <w:sz w:val="20"/>
                <w:szCs w:val="20"/>
                <w:color w:val="auto"/>
              </w:rPr>
            </w:pPr>
            <w:r>
              <w:rPr>
                <w:rFonts w:ascii="Arial" w:cs="Arial" w:eastAsia="Arial" w:hAnsi="Arial"/>
                <w:sz w:val="16"/>
                <w:szCs w:val="16"/>
                <w:b w:val="1"/>
                <w:bCs w:val="1"/>
                <w:color w:val="0E3C23"/>
              </w:rPr>
              <w:t>Other Personal</w:t>
            </w:r>
          </w:p>
        </w:tc>
      </w:tr>
      <w:tr>
        <w:trPr>
          <w:trHeight w:val="217"/>
        </w:trPr>
        <w:tc>
          <w:tcPr>
            <w:tcW w:w="2640" w:type="dxa"/>
            <w:vAlign w:val="bottom"/>
            <w:tcBorders>
              <w:bottom w:val="single" w:sz="8" w:color="0E3C23"/>
            </w:tcBorders>
          </w:tcPr>
          <w:p>
            <w:pPr>
              <w:spacing w:after="0"/>
              <w:rPr>
                <w:sz w:val="18"/>
                <w:szCs w:val="18"/>
                <w:color w:val="auto"/>
              </w:rPr>
            </w:pPr>
          </w:p>
        </w:tc>
        <w:tc>
          <w:tcPr>
            <w:tcW w:w="2040" w:type="dxa"/>
            <w:vAlign w:val="bottom"/>
            <w:tcBorders>
              <w:bottom w:val="single" w:sz="8" w:color="0E3C23"/>
            </w:tcBorders>
          </w:tcPr>
          <w:p>
            <w:pPr>
              <w:jc w:val="center"/>
              <w:ind w:left="768"/>
              <w:spacing w:after="0"/>
              <w:rPr>
                <w:sz w:val="20"/>
                <w:szCs w:val="20"/>
                <w:color w:val="auto"/>
              </w:rPr>
            </w:pPr>
            <w:r>
              <w:rPr>
                <w:rFonts w:ascii="Arial" w:cs="Arial" w:eastAsia="Arial" w:hAnsi="Arial"/>
                <w:sz w:val="16"/>
                <w:szCs w:val="16"/>
                <w:b w:val="1"/>
                <w:bCs w:val="1"/>
                <w:color w:val="0E3C23"/>
                <w:w w:val="89"/>
              </w:rPr>
              <w:t>Contributions</w:t>
            </w:r>
          </w:p>
        </w:tc>
        <w:tc>
          <w:tcPr>
            <w:tcW w:w="1240" w:type="dxa"/>
            <w:vAlign w:val="bottom"/>
            <w:tcBorders>
              <w:bottom w:val="single" w:sz="8" w:color="0E3C23"/>
            </w:tcBorders>
          </w:tcPr>
          <w:p>
            <w:pPr>
              <w:jc w:val="right"/>
              <w:ind w:right="28"/>
              <w:spacing w:after="0"/>
              <w:rPr>
                <w:sz w:val="20"/>
                <w:szCs w:val="20"/>
                <w:color w:val="auto"/>
              </w:rPr>
            </w:pPr>
            <w:r>
              <w:rPr>
                <w:rFonts w:ascii="Arial" w:cs="Arial" w:eastAsia="Arial" w:hAnsi="Arial"/>
                <w:sz w:val="16"/>
                <w:szCs w:val="16"/>
                <w:b w:val="1"/>
                <w:bCs w:val="1"/>
                <w:color w:val="0E3C23"/>
              </w:rPr>
              <w:t>Contributions</w:t>
            </w:r>
          </w:p>
        </w:tc>
        <w:tc>
          <w:tcPr>
            <w:tcW w:w="1260" w:type="dxa"/>
            <w:vAlign w:val="bottom"/>
            <w:tcBorders>
              <w:bottom w:val="single" w:sz="8" w:color="0E3C23"/>
            </w:tcBorders>
          </w:tcPr>
          <w:p>
            <w:pPr>
              <w:ind w:left="400"/>
              <w:spacing w:after="0"/>
              <w:rPr>
                <w:sz w:val="20"/>
                <w:szCs w:val="20"/>
                <w:color w:val="auto"/>
              </w:rPr>
            </w:pPr>
            <w:r>
              <w:rPr>
                <w:rFonts w:ascii="Arial" w:cs="Arial" w:eastAsia="Arial" w:hAnsi="Arial"/>
                <w:sz w:val="16"/>
                <w:szCs w:val="16"/>
                <w:b w:val="1"/>
                <w:bCs w:val="1"/>
                <w:color w:val="0E3C23"/>
              </w:rPr>
              <w:t>Premiums</w:t>
            </w:r>
          </w:p>
        </w:tc>
        <w:tc>
          <w:tcPr>
            <w:tcW w:w="1280" w:type="dxa"/>
            <w:vAlign w:val="bottom"/>
            <w:tcBorders>
              <w:bottom w:val="single" w:sz="8" w:color="0E3C23"/>
            </w:tcBorders>
          </w:tcPr>
          <w:p>
            <w:pPr>
              <w:jc w:val="right"/>
              <w:spacing w:after="0" w:line="217" w:lineRule="exact"/>
              <w:rPr>
                <w:sz w:val="20"/>
                <w:szCs w:val="20"/>
                <w:color w:val="auto"/>
              </w:rPr>
            </w:pPr>
            <w:r>
              <w:rPr>
                <w:rFonts w:ascii="Arial" w:cs="Arial" w:eastAsia="Arial" w:hAnsi="Arial"/>
                <w:sz w:val="16"/>
                <w:szCs w:val="16"/>
                <w:b w:val="1"/>
                <w:bCs w:val="1"/>
                <w:color w:val="0E3C23"/>
              </w:rPr>
              <w:t>Benefits</w:t>
            </w:r>
            <w:r>
              <w:rPr>
                <w:rFonts w:ascii="Arial" w:cs="Arial" w:eastAsia="Arial" w:hAnsi="Arial"/>
                <w:sz w:val="19"/>
                <w:szCs w:val="19"/>
                <w:b w:val="1"/>
                <w:bCs w:val="1"/>
                <w:color w:val="0E3C23"/>
                <w:vertAlign w:val="superscript"/>
              </w:rPr>
              <w:t>(a)</w:t>
            </w:r>
          </w:p>
        </w:tc>
      </w:tr>
      <w:tr>
        <w:trPr>
          <w:trHeight w:val="246"/>
        </w:trPr>
        <w:tc>
          <w:tcPr>
            <w:tcW w:w="2640" w:type="dxa"/>
            <w:vAlign w:val="bottom"/>
            <w:tcBorders>
              <w:bottom w:val="single" w:sz="8" w:color="0E3C23"/>
            </w:tcBorders>
          </w:tcPr>
          <w:p>
            <w:pPr>
              <w:ind w:left="60"/>
              <w:spacing w:after="0"/>
              <w:rPr>
                <w:sz w:val="20"/>
                <w:szCs w:val="20"/>
                <w:color w:val="auto"/>
              </w:rPr>
            </w:pPr>
            <w:r>
              <w:rPr>
                <w:rFonts w:ascii="Arial" w:cs="Arial" w:eastAsia="Arial" w:hAnsi="Arial"/>
                <w:sz w:val="20"/>
                <w:szCs w:val="20"/>
                <w:b w:val="1"/>
                <w:bCs w:val="1"/>
                <w:color w:val="auto"/>
              </w:rPr>
              <w:t>James C. Fish, Jr.</w:t>
            </w:r>
          </w:p>
        </w:tc>
        <w:tc>
          <w:tcPr>
            <w:tcW w:w="2040" w:type="dxa"/>
            <w:vAlign w:val="bottom"/>
            <w:tcBorders>
              <w:bottom w:val="single" w:sz="8" w:color="0E3C23"/>
            </w:tcBorders>
          </w:tcPr>
          <w:p>
            <w:pPr>
              <w:jc w:val="center"/>
              <w:ind w:left="768"/>
              <w:spacing w:after="0"/>
              <w:rPr>
                <w:sz w:val="20"/>
                <w:szCs w:val="20"/>
                <w:color w:val="auto"/>
              </w:rPr>
            </w:pPr>
            <w:r>
              <w:rPr>
                <w:rFonts w:ascii="Arial" w:cs="Arial" w:eastAsia="Arial" w:hAnsi="Arial"/>
                <w:sz w:val="20"/>
                <w:szCs w:val="20"/>
                <w:color w:val="auto"/>
                <w:w w:val="94"/>
              </w:rPr>
              <w:t>15,525</w:t>
            </w:r>
          </w:p>
        </w:tc>
        <w:tc>
          <w:tcPr>
            <w:tcW w:w="1240" w:type="dxa"/>
            <w:vAlign w:val="bottom"/>
            <w:tcBorders>
              <w:bottom w:val="single" w:sz="8" w:color="0E3C23"/>
            </w:tcBorders>
          </w:tcPr>
          <w:p>
            <w:pPr>
              <w:jc w:val="right"/>
              <w:ind w:right="188"/>
              <w:spacing w:after="0"/>
              <w:rPr>
                <w:sz w:val="20"/>
                <w:szCs w:val="20"/>
                <w:color w:val="auto"/>
              </w:rPr>
            </w:pPr>
            <w:r>
              <w:rPr>
                <w:rFonts w:ascii="Arial" w:cs="Arial" w:eastAsia="Arial" w:hAnsi="Arial"/>
                <w:sz w:val="20"/>
                <w:szCs w:val="20"/>
                <w:color w:val="auto"/>
              </w:rPr>
              <w:t>124,458</w:t>
            </w:r>
          </w:p>
        </w:tc>
        <w:tc>
          <w:tcPr>
            <w:tcW w:w="1260" w:type="dxa"/>
            <w:vAlign w:val="bottom"/>
            <w:tcBorders>
              <w:bottom w:val="single" w:sz="8" w:color="0E3C23"/>
            </w:tcBorders>
          </w:tcPr>
          <w:p>
            <w:pPr>
              <w:ind w:left="400"/>
              <w:spacing w:after="0"/>
              <w:rPr>
                <w:sz w:val="20"/>
                <w:szCs w:val="20"/>
                <w:color w:val="auto"/>
              </w:rPr>
            </w:pPr>
            <w:r>
              <w:rPr>
                <w:rFonts w:ascii="Arial" w:cs="Arial" w:eastAsia="Arial" w:hAnsi="Arial"/>
                <w:sz w:val="20"/>
                <w:szCs w:val="20"/>
                <w:color w:val="auto"/>
              </w:rPr>
              <w:t>2,344</w:t>
            </w:r>
          </w:p>
        </w:tc>
        <w:tc>
          <w:tcPr>
            <w:tcW w:w="1280" w:type="dxa"/>
            <w:vAlign w:val="bottom"/>
            <w:tcBorders>
              <w:bottom w:val="single" w:sz="8" w:color="0E3C23"/>
            </w:tcBorders>
          </w:tcPr>
          <w:p>
            <w:pPr>
              <w:jc w:val="right"/>
              <w:ind w:right="188"/>
              <w:spacing w:after="0"/>
              <w:rPr>
                <w:sz w:val="20"/>
                <w:szCs w:val="20"/>
                <w:color w:val="auto"/>
              </w:rPr>
            </w:pPr>
            <w:r>
              <w:rPr>
                <w:rFonts w:ascii="Arial" w:cs="Arial" w:eastAsia="Arial" w:hAnsi="Arial"/>
                <w:sz w:val="20"/>
                <w:szCs w:val="20"/>
                <w:color w:val="auto"/>
              </w:rPr>
              <w:t>103,313</w:t>
            </w:r>
          </w:p>
        </w:tc>
      </w:tr>
      <w:tr>
        <w:trPr>
          <w:trHeight w:val="239"/>
        </w:trPr>
        <w:tc>
          <w:tcPr>
            <w:tcW w:w="2640" w:type="dxa"/>
            <w:vAlign w:val="bottom"/>
            <w:tcBorders>
              <w:bottom w:val="single" w:sz="8" w:color="0E3C23"/>
            </w:tcBorders>
          </w:tcPr>
          <w:p>
            <w:pPr>
              <w:ind w:left="60"/>
              <w:spacing w:after="0"/>
              <w:rPr>
                <w:sz w:val="20"/>
                <w:szCs w:val="20"/>
                <w:color w:val="auto"/>
              </w:rPr>
            </w:pPr>
            <w:r>
              <w:rPr>
                <w:rFonts w:ascii="Arial" w:cs="Arial" w:eastAsia="Arial" w:hAnsi="Arial"/>
                <w:sz w:val="20"/>
                <w:szCs w:val="20"/>
                <w:b w:val="1"/>
                <w:bCs w:val="1"/>
                <w:color w:val="auto"/>
              </w:rPr>
              <w:t>Devina A. Rankin</w:t>
            </w:r>
          </w:p>
        </w:tc>
        <w:tc>
          <w:tcPr>
            <w:tcW w:w="2040" w:type="dxa"/>
            <w:vAlign w:val="bottom"/>
            <w:tcBorders>
              <w:bottom w:val="single" w:sz="8" w:color="0E3C23"/>
            </w:tcBorders>
          </w:tcPr>
          <w:p>
            <w:pPr>
              <w:jc w:val="center"/>
              <w:ind w:left="768"/>
              <w:spacing w:after="0"/>
              <w:rPr>
                <w:sz w:val="20"/>
                <w:szCs w:val="20"/>
                <w:color w:val="auto"/>
              </w:rPr>
            </w:pPr>
            <w:r>
              <w:rPr>
                <w:rFonts w:ascii="Arial" w:cs="Arial" w:eastAsia="Arial" w:hAnsi="Arial"/>
                <w:sz w:val="20"/>
                <w:szCs w:val="20"/>
                <w:color w:val="auto"/>
                <w:w w:val="94"/>
              </w:rPr>
              <w:t>15,525</w:t>
            </w:r>
          </w:p>
        </w:tc>
        <w:tc>
          <w:tcPr>
            <w:tcW w:w="1240" w:type="dxa"/>
            <w:vAlign w:val="bottom"/>
            <w:tcBorders>
              <w:bottom w:val="single" w:sz="8" w:color="0E3C23"/>
            </w:tcBorders>
          </w:tcPr>
          <w:p>
            <w:pPr>
              <w:jc w:val="right"/>
              <w:ind w:right="188"/>
              <w:spacing w:after="0"/>
              <w:rPr>
                <w:sz w:val="20"/>
                <w:szCs w:val="20"/>
                <w:color w:val="auto"/>
              </w:rPr>
            </w:pPr>
            <w:r>
              <w:rPr>
                <w:rFonts w:ascii="Arial" w:cs="Arial" w:eastAsia="Arial" w:hAnsi="Arial"/>
                <w:sz w:val="20"/>
                <w:szCs w:val="20"/>
                <w:color w:val="auto"/>
              </w:rPr>
              <w:t>61,212</w:t>
            </w:r>
          </w:p>
        </w:tc>
        <w:tc>
          <w:tcPr>
            <w:tcW w:w="1260" w:type="dxa"/>
            <w:vAlign w:val="bottom"/>
            <w:tcBorders>
              <w:bottom w:val="single" w:sz="8" w:color="0E3C23"/>
            </w:tcBorders>
          </w:tcPr>
          <w:p>
            <w:pPr>
              <w:ind w:left="400"/>
              <w:spacing w:after="0"/>
              <w:rPr>
                <w:sz w:val="20"/>
                <w:szCs w:val="20"/>
                <w:color w:val="auto"/>
              </w:rPr>
            </w:pPr>
            <w:r>
              <w:rPr>
                <w:rFonts w:ascii="Arial" w:cs="Arial" w:eastAsia="Arial" w:hAnsi="Arial"/>
                <w:sz w:val="20"/>
                <w:szCs w:val="20"/>
                <w:color w:val="auto"/>
              </w:rPr>
              <w:t>1,513</w:t>
            </w:r>
          </w:p>
        </w:tc>
        <w:tc>
          <w:tcPr>
            <w:tcW w:w="1280" w:type="dxa"/>
            <w:vAlign w:val="bottom"/>
            <w:tcBorders>
              <w:bottom w:val="single" w:sz="8" w:color="0E3C23"/>
            </w:tcBorders>
          </w:tcPr>
          <w:p>
            <w:pPr>
              <w:jc w:val="right"/>
              <w:ind w:right="188"/>
              <w:spacing w:after="0"/>
              <w:rPr>
                <w:sz w:val="20"/>
                <w:szCs w:val="20"/>
                <w:color w:val="auto"/>
              </w:rPr>
            </w:pPr>
            <w:r>
              <w:rPr>
                <w:rFonts w:ascii="Arial" w:cs="Arial" w:eastAsia="Arial" w:hAnsi="Arial"/>
                <w:sz w:val="20"/>
                <w:szCs w:val="20"/>
                <w:color w:val="auto"/>
              </w:rPr>
              <w:t>—</w:t>
            </w:r>
          </w:p>
        </w:tc>
      </w:tr>
      <w:tr>
        <w:trPr>
          <w:trHeight w:val="239"/>
        </w:trPr>
        <w:tc>
          <w:tcPr>
            <w:tcW w:w="2640" w:type="dxa"/>
            <w:vAlign w:val="bottom"/>
            <w:tcBorders>
              <w:bottom w:val="single" w:sz="8" w:color="0E3C23"/>
            </w:tcBorders>
          </w:tcPr>
          <w:p>
            <w:pPr>
              <w:ind w:left="60"/>
              <w:spacing w:after="0"/>
              <w:rPr>
                <w:sz w:val="20"/>
                <w:szCs w:val="20"/>
                <w:color w:val="auto"/>
              </w:rPr>
            </w:pPr>
            <w:r>
              <w:rPr>
                <w:rFonts w:ascii="Arial" w:cs="Arial" w:eastAsia="Arial" w:hAnsi="Arial"/>
                <w:sz w:val="20"/>
                <w:szCs w:val="20"/>
                <w:b w:val="1"/>
                <w:bCs w:val="1"/>
                <w:color w:val="auto"/>
              </w:rPr>
              <w:t>John J. Morris, Jr.</w:t>
            </w:r>
          </w:p>
        </w:tc>
        <w:tc>
          <w:tcPr>
            <w:tcW w:w="2040" w:type="dxa"/>
            <w:vAlign w:val="bottom"/>
            <w:tcBorders>
              <w:bottom w:val="single" w:sz="8" w:color="0E3C23"/>
            </w:tcBorders>
          </w:tcPr>
          <w:p>
            <w:pPr>
              <w:jc w:val="center"/>
              <w:ind w:left="768"/>
              <w:spacing w:after="0"/>
              <w:rPr>
                <w:sz w:val="20"/>
                <w:szCs w:val="20"/>
                <w:color w:val="auto"/>
              </w:rPr>
            </w:pPr>
            <w:r>
              <w:rPr>
                <w:rFonts w:ascii="Arial" w:cs="Arial" w:eastAsia="Arial" w:hAnsi="Arial"/>
                <w:sz w:val="20"/>
                <w:szCs w:val="20"/>
                <w:color w:val="auto"/>
                <w:w w:val="94"/>
              </w:rPr>
              <w:t>15,525</w:t>
            </w:r>
          </w:p>
        </w:tc>
        <w:tc>
          <w:tcPr>
            <w:tcW w:w="1240" w:type="dxa"/>
            <w:vAlign w:val="bottom"/>
            <w:tcBorders>
              <w:bottom w:val="single" w:sz="8" w:color="0E3C23"/>
            </w:tcBorders>
          </w:tcPr>
          <w:p>
            <w:pPr>
              <w:jc w:val="right"/>
              <w:ind w:right="188"/>
              <w:spacing w:after="0"/>
              <w:rPr>
                <w:sz w:val="20"/>
                <w:szCs w:val="20"/>
                <w:color w:val="auto"/>
              </w:rPr>
            </w:pPr>
            <w:r>
              <w:rPr>
                <w:rFonts w:ascii="Arial" w:cs="Arial" w:eastAsia="Arial" w:hAnsi="Arial"/>
                <w:sz w:val="20"/>
                <w:szCs w:val="20"/>
                <w:color w:val="auto"/>
              </w:rPr>
              <w:t>67,058</w:t>
            </w:r>
          </w:p>
        </w:tc>
        <w:tc>
          <w:tcPr>
            <w:tcW w:w="1260" w:type="dxa"/>
            <w:vAlign w:val="bottom"/>
            <w:tcBorders>
              <w:bottom w:val="single" w:sz="8" w:color="0E3C23"/>
            </w:tcBorders>
          </w:tcPr>
          <w:p>
            <w:pPr>
              <w:ind w:left="400"/>
              <w:spacing w:after="0"/>
              <w:rPr>
                <w:sz w:val="20"/>
                <w:szCs w:val="20"/>
                <w:color w:val="auto"/>
              </w:rPr>
            </w:pPr>
            <w:r>
              <w:rPr>
                <w:rFonts w:ascii="Arial" w:cs="Arial" w:eastAsia="Arial" w:hAnsi="Arial"/>
                <w:sz w:val="20"/>
                <w:szCs w:val="20"/>
                <w:color w:val="auto"/>
              </w:rPr>
              <w:t>1,556</w:t>
            </w:r>
          </w:p>
        </w:tc>
        <w:tc>
          <w:tcPr>
            <w:tcW w:w="1280" w:type="dxa"/>
            <w:vAlign w:val="bottom"/>
            <w:tcBorders>
              <w:bottom w:val="single" w:sz="8" w:color="0E3C23"/>
            </w:tcBorders>
          </w:tcPr>
          <w:p>
            <w:pPr>
              <w:jc w:val="right"/>
              <w:ind w:right="188"/>
              <w:spacing w:after="0"/>
              <w:rPr>
                <w:sz w:val="20"/>
                <w:szCs w:val="20"/>
                <w:color w:val="auto"/>
              </w:rPr>
            </w:pPr>
            <w:r>
              <w:rPr>
                <w:rFonts w:ascii="Arial" w:cs="Arial" w:eastAsia="Arial" w:hAnsi="Arial"/>
                <w:sz w:val="20"/>
                <w:szCs w:val="20"/>
                <w:color w:val="auto"/>
              </w:rPr>
              <w:t>52,210</w:t>
            </w:r>
          </w:p>
        </w:tc>
      </w:tr>
      <w:tr>
        <w:trPr>
          <w:trHeight w:val="239"/>
        </w:trPr>
        <w:tc>
          <w:tcPr>
            <w:tcW w:w="2640" w:type="dxa"/>
            <w:vAlign w:val="bottom"/>
            <w:tcBorders>
              <w:bottom w:val="single" w:sz="8" w:color="0E3C23"/>
            </w:tcBorders>
          </w:tcPr>
          <w:p>
            <w:pPr>
              <w:ind w:left="60"/>
              <w:spacing w:after="0"/>
              <w:rPr>
                <w:sz w:val="20"/>
                <w:szCs w:val="20"/>
                <w:color w:val="auto"/>
              </w:rPr>
            </w:pPr>
            <w:r>
              <w:rPr>
                <w:rFonts w:ascii="Arial" w:cs="Arial" w:eastAsia="Arial" w:hAnsi="Arial"/>
                <w:sz w:val="20"/>
                <w:szCs w:val="20"/>
                <w:b w:val="1"/>
                <w:bCs w:val="1"/>
                <w:color w:val="auto"/>
              </w:rPr>
              <w:t>Tara J. Hemmer</w:t>
            </w:r>
          </w:p>
        </w:tc>
        <w:tc>
          <w:tcPr>
            <w:tcW w:w="2040" w:type="dxa"/>
            <w:vAlign w:val="bottom"/>
            <w:tcBorders>
              <w:bottom w:val="single" w:sz="8" w:color="0E3C23"/>
            </w:tcBorders>
          </w:tcPr>
          <w:p>
            <w:pPr>
              <w:jc w:val="center"/>
              <w:ind w:left="768"/>
              <w:spacing w:after="0"/>
              <w:rPr>
                <w:sz w:val="20"/>
                <w:szCs w:val="20"/>
                <w:color w:val="auto"/>
              </w:rPr>
            </w:pPr>
            <w:r>
              <w:rPr>
                <w:rFonts w:ascii="Arial" w:cs="Arial" w:eastAsia="Arial" w:hAnsi="Arial"/>
                <w:sz w:val="20"/>
                <w:szCs w:val="20"/>
                <w:color w:val="auto"/>
                <w:w w:val="94"/>
              </w:rPr>
              <w:t>15,525</w:t>
            </w:r>
          </w:p>
        </w:tc>
        <w:tc>
          <w:tcPr>
            <w:tcW w:w="1240" w:type="dxa"/>
            <w:vAlign w:val="bottom"/>
            <w:tcBorders>
              <w:bottom w:val="single" w:sz="8" w:color="0E3C23"/>
            </w:tcBorders>
          </w:tcPr>
          <w:p>
            <w:pPr>
              <w:jc w:val="right"/>
              <w:ind w:right="188"/>
              <w:spacing w:after="0"/>
              <w:rPr>
                <w:sz w:val="20"/>
                <w:szCs w:val="20"/>
                <w:color w:val="auto"/>
              </w:rPr>
            </w:pPr>
            <w:r>
              <w:rPr>
                <w:rFonts w:ascii="Arial" w:cs="Arial" w:eastAsia="Arial" w:hAnsi="Arial"/>
                <w:sz w:val="20"/>
                <w:szCs w:val="20"/>
                <w:color w:val="auto"/>
              </w:rPr>
              <w:t>47,887</w:t>
            </w:r>
          </w:p>
        </w:tc>
        <w:tc>
          <w:tcPr>
            <w:tcW w:w="1260" w:type="dxa"/>
            <w:vAlign w:val="bottom"/>
            <w:tcBorders>
              <w:bottom w:val="single" w:sz="8" w:color="0E3C23"/>
            </w:tcBorders>
          </w:tcPr>
          <w:p>
            <w:pPr>
              <w:ind w:left="400"/>
              <w:spacing w:after="0"/>
              <w:rPr>
                <w:sz w:val="20"/>
                <w:szCs w:val="20"/>
                <w:color w:val="auto"/>
              </w:rPr>
            </w:pPr>
            <w:r>
              <w:rPr>
                <w:rFonts w:ascii="Arial" w:cs="Arial" w:eastAsia="Arial" w:hAnsi="Arial"/>
                <w:sz w:val="20"/>
                <w:szCs w:val="20"/>
                <w:color w:val="auto"/>
              </w:rPr>
              <w:t>1,331</w:t>
            </w:r>
          </w:p>
        </w:tc>
        <w:tc>
          <w:tcPr>
            <w:tcW w:w="1280" w:type="dxa"/>
            <w:vAlign w:val="bottom"/>
            <w:tcBorders>
              <w:bottom w:val="single" w:sz="8" w:color="0E3C23"/>
            </w:tcBorders>
          </w:tcPr>
          <w:p>
            <w:pPr>
              <w:jc w:val="right"/>
              <w:ind w:right="188"/>
              <w:spacing w:after="0"/>
              <w:rPr>
                <w:sz w:val="20"/>
                <w:szCs w:val="20"/>
                <w:color w:val="auto"/>
              </w:rPr>
            </w:pPr>
            <w:r>
              <w:rPr>
                <w:rFonts w:ascii="Arial" w:cs="Arial" w:eastAsia="Arial" w:hAnsi="Arial"/>
                <w:sz w:val="20"/>
                <w:szCs w:val="20"/>
                <w:color w:val="auto"/>
              </w:rPr>
              <w:t>—</w:t>
            </w:r>
          </w:p>
        </w:tc>
      </w:tr>
      <w:tr>
        <w:trPr>
          <w:trHeight w:val="235"/>
        </w:trPr>
        <w:tc>
          <w:tcPr>
            <w:tcW w:w="2640" w:type="dxa"/>
            <w:vAlign w:val="bottom"/>
          </w:tcPr>
          <w:p>
            <w:pPr>
              <w:ind w:left="60"/>
              <w:spacing w:after="0"/>
              <w:rPr>
                <w:sz w:val="20"/>
                <w:szCs w:val="20"/>
                <w:color w:val="auto"/>
              </w:rPr>
            </w:pPr>
            <w:r>
              <w:rPr>
                <w:rFonts w:ascii="Arial" w:cs="Arial" w:eastAsia="Arial" w:hAnsi="Arial"/>
                <w:sz w:val="20"/>
                <w:szCs w:val="20"/>
                <w:b w:val="1"/>
                <w:bCs w:val="1"/>
                <w:color w:val="auto"/>
              </w:rPr>
              <w:t>Rafael E. Carrasco</w:t>
            </w:r>
          </w:p>
        </w:tc>
        <w:tc>
          <w:tcPr>
            <w:tcW w:w="2040" w:type="dxa"/>
            <w:vAlign w:val="bottom"/>
          </w:tcPr>
          <w:p>
            <w:pPr>
              <w:jc w:val="center"/>
              <w:ind w:left="768"/>
              <w:spacing w:after="0"/>
              <w:rPr>
                <w:sz w:val="20"/>
                <w:szCs w:val="20"/>
                <w:color w:val="auto"/>
              </w:rPr>
            </w:pPr>
            <w:r>
              <w:rPr>
                <w:rFonts w:ascii="Arial" w:cs="Arial" w:eastAsia="Arial" w:hAnsi="Arial"/>
                <w:sz w:val="20"/>
                <w:szCs w:val="20"/>
                <w:color w:val="auto"/>
                <w:w w:val="94"/>
              </w:rPr>
              <w:t>15,525</w:t>
            </w:r>
          </w:p>
        </w:tc>
        <w:tc>
          <w:tcPr>
            <w:tcW w:w="1240" w:type="dxa"/>
            <w:vAlign w:val="bottom"/>
          </w:tcPr>
          <w:p>
            <w:pPr>
              <w:jc w:val="right"/>
              <w:ind w:right="188"/>
              <w:spacing w:after="0"/>
              <w:rPr>
                <w:sz w:val="20"/>
                <w:szCs w:val="20"/>
                <w:color w:val="auto"/>
              </w:rPr>
            </w:pPr>
            <w:r>
              <w:rPr>
                <w:rFonts w:ascii="Arial" w:cs="Arial" w:eastAsia="Arial" w:hAnsi="Arial"/>
                <w:sz w:val="20"/>
                <w:szCs w:val="20"/>
                <w:color w:val="auto"/>
              </w:rPr>
              <w:t>23,347</w:t>
            </w:r>
          </w:p>
        </w:tc>
        <w:tc>
          <w:tcPr>
            <w:tcW w:w="1260" w:type="dxa"/>
            <w:vAlign w:val="bottom"/>
          </w:tcPr>
          <w:p>
            <w:pPr>
              <w:ind w:left="400"/>
              <w:spacing w:after="0"/>
              <w:rPr>
                <w:sz w:val="20"/>
                <w:szCs w:val="20"/>
                <w:color w:val="auto"/>
              </w:rPr>
            </w:pPr>
            <w:r>
              <w:rPr>
                <w:rFonts w:ascii="Arial" w:cs="Arial" w:eastAsia="Arial" w:hAnsi="Arial"/>
                <w:sz w:val="20"/>
                <w:szCs w:val="20"/>
                <w:color w:val="auto"/>
              </w:rPr>
              <w:t>1,286</w:t>
            </w:r>
          </w:p>
        </w:tc>
        <w:tc>
          <w:tcPr>
            <w:tcW w:w="1280" w:type="dxa"/>
            <w:vAlign w:val="bottom"/>
          </w:tcPr>
          <w:p>
            <w:pPr>
              <w:jc w:val="right"/>
              <w:ind w:right="188"/>
              <w:spacing w:after="0"/>
              <w:rPr>
                <w:sz w:val="20"/>
                <w:szCs w:val="20"/>
                <w:color w:val="auto"/>
              </w:rPr>
            </w:pPr>
            <w:r>
              <w:rPr>
                <w:rFonts w:ascii="Arial" w:cs="Arial" w:eastAsia="Arial" w:hAnsi="Arial"/>
                <w:sz w:val="20"/>
                <w:szCs w:val="20"/>
                <w:color w:val="auto"/>
              </w:rPr>
              <w:t>—</w:t>
            </w:r>
          </w:p>
        </w:tc>
      </w:tr>
      <w:tr>
        <w:trPr>
          <w:trHeight w:val="34"/>
        </w:trPr>
        <w:tc>
          <w:tcPr>
            <w:tcW w:w="2640" w:type="dxa"/>
            <w:vAlign w:val="bottom"/>
            <w:tcBorders>
              <w:bottom w:val="single" w:sz="8" w:color="0E3C23"/>
            </w:tcBorders>
          </w:tcPr>
          <w:p>
            <w:pPr>
              <w:spacing w:after="0"/>
              <w:rPr>
                <w:sz w:val="2"/>
                <w:szCs w:val="2"/>
                <w:color w:val="auto"/>
              </w:rPr>
            </w:pPr>
          </w:p>
        </w:tc>
        <w:tc>
          <w:tcPr>
            <w:tcW w:w="2040" w:type="dxa"/>
            <w:vAlign w:val="bottom"/>
            <w:tcBorders>
              <w:bottom w:val="single" w:sz="8" w:color="0E3C23"/>
            </w:tcBorders>
          </w:tcPr>
          <w:p>
            <w:pPr>
              <w:spacing w:after="0"/>
              <w:rPr>
                <w:sz w:val="2"/>
                <w:szCs w:val="2"/>
                <w:color w:val="auto"/>
              </w:rPr>
            </w:pPr>
          </w:p>
        </w:tc>
        <w:tc>
          <w:tcPr>
            <w:tcW w:w="1240" w:type="dxa"/>
            <w:vAlign w:val="bottom"/>
            <w:tcBorders>
              <w:bottom w:val="single" w:sz="8" w:color="0E3C23"/>
            </w:tcBorders>
          </w:tcPr>
          <w:p>
            <w:pPr>
              <w:spacing w:after="0"/>
              <w:rPr>
                <w:sz w:val="2"/>
                <w:szCs w:val="2"/>
                <w:color w:val="auto"/>
              </w:rPr>
            </w:pPr>
          </w:p>
        </w:tc>
        <w:tc>
          <w:tcPr>
            <w:tcW w:w="1260" w:type="dxa"/>
            <w:vAlign w:val="bottom"/>
            <w:tcBorders>
              <w:bottom w:val="single" w:sz="8" w:color="0E3C23"/>
            </w:tcBorders>
          </w:tcPr>
          <w:p>
            <w:pPr>
              <w:spacing w:after="0"/>
              <w:rPr>
                <w:sz w:val="2"/>
                <w:szCs w:val="2"/>
                <w:color w:val="auto"/>
              </w:rPr>
            </w:pPr>
          </w:p>
        </w:tc>
        <w:tc>
          <w:tcPr>
            <w:tcW w:w="1280" w:type="dxa"/>
            <w:vAlign w:val="bottom"/>
            <w:tcBorders>
              <w:bottom w:val="single" w:sz="8" w:color="0E3C23"/>
            </w:tcBorders>
          </w:tcPr>
          <w:p>
            <w:pPr>
              <w:spacing w:after="0"/>
              <w:rPr>
                <w:sz w:val="2"/>
                <w:szCs w:val="2"/>
                <w:color w:val="auto"/>
              </w:rPr>
            </w:pPr>
          </w:p>
        </w:tc>
      </w:tr>
    </w:tbl>
    <w:p>
      <w:pPr>
        <w:spacing w:after="0" w:line="73" w:lineRule="exact"/>
        <w:rPr>
          <w:sz w:val="20"/>
          <w:szCs w:val="20"/>
          <w:color w:val="auto"/>
        </w:rPr>
      </w:pPr>
    </w:p>
    <w:p>
      <w:pPr>
        <w:jc w:val="both"/>
        <w:ind w:left="1380" w:right="200" w:hanging="403"/>
        <w:spacing w:after="0" w:line="259" w:lineRule="auto"/>
        <w:tabs>
          <w:tab w:leader="none" w:pos="1380"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This column includes perquisites and personal benefits received by a named executive officer in 2024, to the extent that the total incremental cost of such perquisites and personal benefits was at least $10,000, consisting of (i) incremental cost for personal use of Company aircraft in the following amounts: Mr. Fish — $99,098 and Mr. Morris — $47,117; (ii) $4,215 of income that was imputed for the cost of the executive’s guest’s participation in Company events and (iii) $878 for the value of certain gifts and awards received by Mr. Morris. Annually, we calculate an hourly direct operating cost for Company aircraft using industry standard measurements of costs for fuel, catering, telecommunications, maintenance, landing and hangar fees, flight plans and permits, and crew. We then allocate incremental cost to the named executive based on the amount of aircraft time required for the personal use, multiplied by the direct operating cost. When a deviation is made from business travel to pick up or drop off the executive in another location for a personal purpose, we calculate the time difference resulting from the flight plan deviation and multiply it by the direct operating cost. We also allocate incremental cost to the named executive in the unusual event that a deadhead flight is required to position the aircraft to serve personal needs. We own and operate our aircraft primarily for business use; therefore, we do not include purchase costs or other fixed costs associated with our aircraft in the direct operating cost.</w:t>
      </w:r>
    </w:p>
    <w:p>
      <w:pPr>
        <w:spacing w:after="0" w:line="89" w:lineRule="exact"/>
        <w:rPr>
          <w:rFonts w:ascii="Arial" w:cs="Arial" w:eastAsia="Arial" w:hAnsi="Arial"/>
          <w:sz w:val="19"/>
          <w:szCs w:val="19"/>
          <w:color w:val="auto"/>
        </w:rPr>
      </w:pPr>
    </w:p>
    <w:p>
      <w:pPr>
        <w:jc w:val="both"/>
        <w:ind w:left="580" w:right="200" w:hanging="401"/>
        <w:spacing w:after="0" w:line="265" w:lineRule="auto"/>
        <w:tabs>
          <w:tab w:leader="none" w:pos="580" w:val="left"/>
        </w:tabs>
        <w:numPr>
          <w:ilvl w:val="0"/>
          <w:numId w:val="27"/>
        </w:numPr>
        <w:rPr>
          <w:rFonts w:ascii="Arial" w:cs="Arial" w:eastAsia="Arial" w:hAnsi="Arial"/>
          <w:sz w:val="19"/>
          <w:szCs w:val="19"/>
          <w:color w:val="auto"/>
        </w:rPr>
      </w:pPr>
      <w:r>
        <w:rPr>
          <w:rFonts w:ascii="Arial" w:cs="Arial" w:eastAsia="Arial" w:hAnsi="Arial"/>
          <w:sz w:val="19"/>
          <w:szCs w:val="19"/>
          <w:color w:val="auto"/>
        </w:rPr>
        <w:t>Includes $100,000 of base salary in each of 2022 and 2024 and $200,000 of base salary in 2023 to which Mr. Fish was entitled but voluntarily relinquished to fund scholarships and other programs that benefit Company employees.</w:t>
      </w:r>
    </w:p>
    <w:p>
      <w:pPr>
        <w:spacing w:after="0" w:line="399"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50</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40">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41">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sectPr>
      </w:pPr>
    </w:p>
    <w:bookmarkStart w:id="56" w:name="page57"/>
    <w:bookmarkEnd w:id="56"/>
    <w:p>
      <w:pPr>
        <w:ind w:left="8180"/>
        <w:spacing w:after="0"/>
        <w:rPr>
          <w:sz w:val="20"/>
          <w:szCs w:val="20"/>
          <w:color w:val="auto"/>
        </w:rPr>
      </w:pPr>
      <w:r>
        <w:rPr>
          <w:rFonts w:ascii="Arial" w:cs="Arial" w:eastAsia="Arial" w:hAnsi="Arial"/>
          <w:sz w:val="18"/>
          <w:szCs w:val="18"/>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236" w:lineRule="exact"/>
        <w:rPr>
          <w:sz w:val="20"/>
          <w:szCs w:val="20"/>
          <w:color w:val="auto"/>
        </w:rPr>
      </w:pPr>
    </w:p>
    <w:p>
      <w:pPr>
        <w:ind w:left="380"/>
        <w:spacing w:after="0"/>
        <w:rPr>
          <w:sz w:val="20"/>
          <w:szCs w:val="20"/>
          <w:color w:val="auto"/>
        </w:rPr>
      </w:pPr>
      <w:r>
        <w:rPr>
          <w:rFonts w:ascii="Arial" w:cs="Arial" w:eastAsia="Arial" w:hAnsi="Arial"/>
          <w:sz w:val="24"/>
          <w:szCs w:val="24"/>
          <w:b w:val="1"/>
          <w:bCs w:val="1"/>
          <w:color w:val="0E3C23"/>
        </w:rPr>
        <w:t>Grant of Plan-Based Awards in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0E3C23"/>
              </w:rPr>
              <w:t>All other</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0E3C23"/>
              </w:rPr>
              <w:t>All other</w:t>
            </w: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0E3C23"/>
              </w:rPr>
              <w:t>Grant</w:t>
            </w:r>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2640" w:type="dxa"/>
            <w:vAlign w:val="bottom"/>
            <w:gridSpan w:val="4"/>
            <w:vMerge w:val="restart"/>
          </w:tcPr>
          <w:p>
            <w:pPr>
              <w:jc w:val="center"/>
              <w:ind w:right="80"/>
              <w:spacing w:after="0"/>
              <w:rPr>
                <w:sz w:val="20"/>
                <w:szCs w:val="20"/>
                <w:color w:val="auto"/>
              </w:rPr>
            </w:pPr>
            <w:r>
              <w:rPr>
                <w:rFonts w:ascii="Arial" w:cs="Arial" w:eastAsia="Arial" w:hAnsi="Arial"/>
                <w:sz w:val="16"/>
                <w:szCs w:val="16"/>
                <w:b w:val="1"/>
                <w:bCs w:val="1"/>
                <w:color w:val="0E3C23"/>
                <w:w w:val="91"/>
              </w:rPr>
              <w:t>Estimated Possible Payouts</w:t>
            </w:r>
          </w:p>
        </w:tc>
        <w:tc>
          <w:tcPr>
            <w:tcW w:w="60" w:type="dxa"/>
            <w:vAlign w:val="bottom"/>
          </w:tcPr>
          <w:p>
            <w:pPr>
              <w:spacing w:after="0"/>
              <w:rPr>
                <w:sz w:val="13"/>
                <w:szCs w:val="13"/>
                <w:color w:val="auto"/>
              </w:rPr>
            </w:pPr>
          </w:p>
        </w:tc>
        <w:tc>
          <w:tcPr>
            <w:tcW w:w="2300" w:type="dxa"/>
            <w:vAlign w:val="bottom"/>
            <w:gridSpan w:val="4"/>
            <w:vMerge w:val="restart"/>
          </w:tcPr>
          <w:p>
            <w:pPr>
              <w:jc w:val="center"/>
              <w:ind w:right="80"/>
              <w:spacing w:after="0"/>
              <w:rPr>
                <w:sz w:val="20"/>
                <w:szCs w:val="20"/>
                <w:color w:val="auto"/>
              </w:rPr>
            </w:pPr>
            <w:r>
              <w:rPr>
                <w:rFonts w:ascii="Arial" w:cs="Arial" w:eastAsia="Arial" w:hAnsi="Arial"/>
                <w:sz w:val="16"/>
                <w:szCs w:val="16"/>
                <w:b w:val="1"/>
                <w:bCs w:val="1"/>
                <w:color w:val="0E3C23"/>
                <w:w w:val="92"/>
              </w:rPr>
              <w:t>Estimated Future Payouts</w:t>
            </w:r>
          </w:p>
        </w:tc>
        <w:tc>
          <w:tcPr>
            <w:tcW w:w="88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Stock</w:t>
            </w:r>
          </w:p>
        </w:tc>
        <w:tc>
          <w:tcPr>
            <w:tcW w:w="100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Option</w:t>
            </w:r>
          </w:p>
        </w:tc>
        <w:tc>
          <w:tcPr>
            <w:tcW w:w="88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Exercise</w:t>
            </w:r>
          </w:p>
        </w:tc>
        <w:tc>
          <w:tcPr>
            <w:tcW w:w="72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Closing</w:t>
            </w:r>
          </w:p>
        </w:tc>
        <w:tc>
          <w:tcPr>
            <w:tcW w:w="98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Date Fair</w:t>
            </w:r>
          </w:p>
        </w:tc>
        <w:tc>
          <w:tcPr>
            <w:tcW w:w="0" w:type="dxa"/>
            <w:vAlign w:val="bottom"/>
          </w:tcPr>
          <w:p>
            <w:pPr>
              <w:spacing w:after="0"/>
              <w:rPr>
                <w:sz w:val="1"/>
                <w:szCs w:val="1"/>
                <w:color w:val="auto"/>
              </w:rPr>
            </w:pPr>
          </w:p>
        </w:tc>
      </w:tr>
      <w:tr>
        <w:trPr>
          <w:trHeight w:val="104"/>
        </w:trPr>
        <w:tc>
          <w:tcPr>
            <w:tcW w:w="1340" w:type="dxa"/>
            <w:vAlign w:val="bottom"/>
          </w:tcPr>
          <w:p>
            <w:pPr>
              <w:spacing w:after="0"/>
              <w:rPr>
                <w:sz w:val="9"/>
                <w:szCs w:val="9"/>
                <w:color w:val="auto"/>
              </w:rPr>
            </w:pPr>
          </w:p>
        </w:tc>
        <w:tc>
          <w:tcPr>
            <w:tcW w:w="264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88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E3C23"/>
              </w:rPr>
              <w:t>Awards:</w:t>
            </w:r>
          </w:p>
        </w:tc>
        <w:tc>
          <w:tcPr>
            <w:tcW w:w="100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E3C23"/>
              </w:rPr>
              <w:t>Awards:</w:t>
            </w:r>
          </w:p>
        </w:tc>
        <w:tc>
          <w:tcPr>
            <w:tcW w:w="88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E3C23"/>
              </w:rPr>
              <w:t>or Base</w:t>
            </w:r>
          </w:p>
        </w:tc>
        <w:tc>
          <w:tcPr>
            <w:tcW w:w="72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E3C23"/>
              </w:rPr>
              <w:t>Market</w:t>
            </w:r>
          </w:p>
        </w:tc>
        <w:tc>
          <w:tcPr>
            <w:tcW w:w="98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E3C23"/>
              </w:rPr>
              <w:t>Value of</w:t>
            </w:r>
          </w:p>
        </w:tc>
        <w:tc>
          <w:tcPr>
            <w:tcW w:w="0" w:type="dxa"/>
            <w:vAlign w:val="bottom"/>
          </w:tcPr>
          <w:p>
            <w:pPr>
              <w:spacing w:after="0"/>
              <w:rPr>
                <w:sz w:val="1"/>
                <w:szCs w:val="1"/>
                <w:color w:val="auto"/>
              </w:rPr>
            </w:pPr>
          </w:p>
        </w:tc>
      </w:tr>
      <w:tr>
        <w:trPr>
          <w:trHeight w:val="56"/>
        </w:trPr>
        <w:tc>
          <w:tcPr>
            <w:tcW w:w="1340" w:type="dxa"/>
            <w:vAlign w:val="bottom"/>
          </w:tcPr>
          <w:p>
            <w:pPr>
              <w:spacing w:after="0"/>
              <w:rPr>
                <w:sz w:val="4"/>
                <w:szCs w:val="4"/>
                <w:color w:val="auto"/>
              </w:rPr>
            </w:pPr>
          </w:p>
        </w:tc>
        <w:tc>
          <w:tcPr>
            <w:tcW w:w="2640" w:type="dxa"/>
            <w:vAlign w:val="bottom"/>
            <w:gridSpan w:val="4"/>
            <w:vMerge w:val="restart"/>
          </w:tcPr>
          <w:p>
            <w:pPr>
              <w:jc w:val="center"/>
              <w:ind w:right="80"/>
              <w:spacing w:after="0" w:line="150" w:lineRule="exact"/>
              <w:rPr>
                <w:sz w:val="20"/>
                <w:szCs w:val="20"/>
                <w:color w:val="auto"/>
              </w:rPr>
            </w:pPr>
            <w:r>
              <w:rPr>
                <w:rFonts w:ascii="Arial" w:cs="Arial" w:eastAsia="Arial" w:hAnsi="Arial"/>
                <w:sz w:val="16"/>
                <w:szCs w:val="16"/>
                <w:b w:val="1"/>
                <w:bCs w:val="1"/>
                <w:color w:val="0E3C23"/>
                <w:w w:val="91"/>
              </w:rPr>
              <w:t>Under Non-Equity Incentive</w:t>
            </w:r>
          </w:p>
        </w:tc>
        <w:tc>
          <w:tcPr>
            <w:tcW w:w="60" w:type="dxa"/>
            <w:vAlign w:val="bottom"/>
          </w:tcPr>
          <w:p>
            <w:pPr>
              <w:spacing w:after="0"/>
              <w:rPr>
                <w:sz w:val="4"/>
                <w:szCs w:val="4"/>
                <w:color w:val="auto"/>
              </w:rPr>
            </w:pPr>
          </w:p>
        </w:tc>
        <w:tc>
          <w:tcPr>
            <w:tcW w:w="2300" w:type="dxa"/>
            <w:vAlign w:val="bottom"/>
            <w:gridSpan w:val="4"/>
            <w:vMerge w:val="restart"/>
          </w:tcPr>
          <w:p>
            <w:pPr>
              <w:jc w:val="center"/>
              <w:ind w:right="60"/>
              <w:spacing w:after="0" w:line="150" w:lineRule="exact"/>
              <w:rPr>
                <w:sz w:val="20"/>
                <w:szCs w:val="20"/>
                <w:color w:val="auto"/>
              </w:rPr>
            </w:pPr>
            <w:r>
              <w:rPr>
                <w:rFonts w:ascii="Arial" w:cs="Arial" w:eastAsia="Arial" w:hAnsi="Arial"/>
                <w:sz w:val="16"/>
                <w:szCs w:val="16"/>
                <w:b w:val="1"/>
                <w:bCs w:val="1"/>
                <w:color w:val="0E3C23"/>
                <w:w w:val="92"/>
              </w:rPr>
              <w:t>Under Equity Incentive</w:t>
            </w:r>
          </w:p>
        </w:tc>
        <w:tc>
          <w:tcPr>
            <w:tcW w:w="88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340" w:type="dxa"/>
            <w:vAlign w:val="bottom"/>
          </w:tcPr>
          <w:p>
            <w:pPr>
              <w:spacing w:after="0"/>
              <w:rPr>
                <w:sz w:val="8"/>
                <w:szCs w:val="8"/>
                <w:color w:val="auto"/>
              </w:rPr>
            </w:pPr>
          </w:p>
        </w:tc>
        <w:tc>
          <w:tcPr>
            <w:tcW w:w="264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88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E3C23"/>
                <w:w w:val="99"/>
              </w:rPr>
              <w:t>Number of</w:t>
            </w:r>
          </w:p>
        </w:tc>
        <w:tc>
          <w:tcPr>
            <w:tcW w:w="100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E3C23"/>
              </w:rPr>
              <w:t>Number of</w:t>
            </w:r>
          </w:p>
        </w:tc>
        <w:tc>
          <w:tcPr>
            <w:tcW w:w="88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E3C23"/>
              </w:rPr>
              <w:t>Price of</w:t>
            </w:r>
          </w:p>
        </w:tc>
        <w:tc>
          <w:tcPr>
            <w:tcW w:w="72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E3C23"/>
                <w:w w:val="98"/>
              </w:rPr>
              <w:t>Price on</w:t>
            </w:r>
          </w:p>
        </w:tc>
        <w:tc>
          <w:tcPr>
            <w:tcW w:w="98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E3C23"/>
              </w:rPr>
              <w:t>Stock and</w:t>
            </w:r>
          </w:p>
        </w:tc>
        <w:tc>
          <w:tcPr>
            <w:tcW w:w="0" w:type="dxa"/>
            <w:vAlign w:val="bottom"/>
          </w:tcPr>
          <w:p>
            <w:pPr>
              <w:spacing w:after="0"/>
              <w:rPr>
                <w:sz w:val="1"/>
                <w:szCs w:val="1"/>
                <w:color w:val="auto"/>
              </w:rPr>
            </w:pPr>
          </w:p>
        </w:tc>
      </w:tr>
      <w:tr>
        <w:trPr>
          <w:trHeight w:val="65"/>
        </w:trPr>
        <w:tc>
          <w:tcPr>
            <w:tcW w:w="1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vMerge w:val="restart"/>
          </w:tcPr>
          <w:p>
            <w:pPr>
              <w:jc w:val="center"/>
              <w:spacing w:after="0" w:line="211" w:lineRule="exact"/>
              <w:rPr>
                <w:sz w:val="20"/>
                <w:szCs w:val="20"/>
                <w:color w:val="auto"/>
              </w:rPr>
            </w:pPr>
            <w:r>
              <w:rPr>
                <w:rFonts w:ascii="Arial" w:cs="Arial" w:eastAsia="Arial" w:hAnsi="Arial"/>
                <w:sz w:val="16"/>
                <w:szCs w:val="16"/>
                <w:b w:val="1"/>
                <w:bCs w:val="1"/>
                <w:color w:val="0E3C23"/>
                <w:w w:val="93"/>
              </w:rPr>
              <w:t>Plan Awards</w:t>
            </w:r>
            <w:r>
              <w:rPr>
                <w:rFonts w:ascii="Arial" w:cs="Arial" w:eastAsia="Arial" w:hAnsi="Arial"/>
                <w:sz w:val="19"/>
                <w:szCs w:val="19"/>
                <w:b w:val="1"/>
                <w:bCs w:val="1"/>
                <w:color w:val="0E3C23"/>
                <w:w w:val="93"/>
                <w:vertAlign w:val="superscript"/>
              </w:rPr>
              <w:t>(1)</w:t>
            </w: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20" w:type="dxa"/>
            <w:vAlign w:val="bottom"/>
            <w:gridSpan w:val="3"/>
            <w:vMerge w:val="restart"/>
          </w:tcPr>
          <w:p>
            <w:pPr>
              <w:jc w:val="center"/>
              <w:spacing w:after="0" w:line="211" w:lineRule="exact"/>
              <w:rPr>
                <w:sz w:val="20"/>
                <w:szCs w:val="20"/>
                <w:color w:val="auto"/>
              </w:rPr>
            </w:pPr>
            <w:r>
              <w:rPr>
                <w:rFonts w:ascii="Arial" w:cs="Arial" w:eastAsia="Arial" w:hAnsi="Arial"/>
                <w:sz w:val="16"/>
                <w:szCs w:val="16"/>
                <w:b w:val="1"/>
                <w:bCs w:val="1"/>
                <w:color w:val="0E3C23"/>
                <w:w w:val="93"/>
              </w:rPr>
              <w:t>Plan Awards</w:t>
            </w:r>
            <w:r>
              <w:rPr>
                <w:rFonts w:ascii="Arial" w:cs="Arial" w:eastAsia="Arial" w:hAnsi="Arial"/>
                <w:sz w:val="19"/>
                <w:szCs w:val="19"/>
                <w:b w:val="1"/>
                <w:bCs w:val="1"/>
                <w:color w:val="0E3C23"/>
                <w:w w:val="93"/>
                <w:vertAlign w:val="superscript"/>
              </w:rPr>
              <w:t>(2)</w:t>
            </w:r>
          </w:p>
        </w:tc>
        <w:tc>
          <w:tcPr>
            <w:tcW w:w="80" w:type="dxa"/>
            <w:vAlign w:val="bottom"/>
            <w:vMerge w:val="restart"/>
          </w:tcPr>
          <w:p>
            <w:pPr>
              <w:spacing w:after="0"/>
              <w:rPr>
                <w:sz w:val="5"/>
                <w:szCs w:val="5"/>
                <w:color w:val="auto"/>
              </w:rPr>
            </w:pPr>
          </w:p>
        </w:tc>
        <w:tc>
          <w:tcPr>
            <w:tcW w:w="8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760" w:type="dxa"/>
            <w:vAlign w:val="bottom"/>
            <w:tcBorders>
              <w:bottom w:val="single" w:sz="8" w:color="0E3C23"/>
            </w:tcBorders>
          </w:tcPr>
          <w:p>
            <w:pPr>
              <w:spacing w:after="0"/>
              <w:rPr>
                <w:sz w:val="12"/>
                <w:szCs w:val="12"/>
                <w:color w:val="auto"/>
              </w:rPr>
            </w:pPr>
          </w:p>
        </w:tc>
        <w:tc>
          <w:tcPr>
            <w:tcW w:w="1040" w:type="dxa"/>
            <w:vAlign w:val="bottom"/>
            <w:tcBorders>
              <w:bottom w:val="single" w:sz="8" w:color="0E3C23"/>
            </w:tcBorders>
            <w:vMerge w:val="continue"/>
          </w:tcPr>
          <w:p>
            <w:pPr>
              <w:spacing w:after="0"/>
              <w:rPr>
                <w:sz w:val="12"/>
                <w:szCs w:val="12"/>
                <w:color w:val="auto"/>
              </w:rPr>
            </w:pPr>
          </w:p>
        </w:tc>
        <w:tc>
          <w:tcPr>
            <w:tcW w:w="760" w:type="dxa"/>
            <w:vAlign w:val="bottom"/>
            <w:tcBorders>
              <w:bottom w:val="single" w:sz="8" w:color="0E3C23"/>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tcBorders>
              <w:bottom w:val="single" w:sz="8" w:color="0E3C23"/>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80" w:type="dxa"/>
            <w:vAlign w:val="bottom"/>
          </w:tcPr>
          <w:p>
            <w:pPr>
              <w:jc w:val="right"/>
              <w:spacing w:after="0" w:line="146" w:lineRule="exact"/>
              <w:rPr>
                <w:sz w:val="20"/>
                <w:szCs w:val="20"/>
                <w:color w:val="auto"/>
              </w:rPr>
            </w:pPr>
            <w:r>
              <w:rPr>
                <w:rFonts w:ascii="Arial" w:cs="Arial" w:eastAsia="Arial" w:hAnsi="Arial"/>
                <w:sz w:val="16"/>
                <w:szCs w:val="16"/>
                <w:b w:val="1"/>
                <w:bCs w:val="1"/>
                <w:color w:val="0E3C23"/>
              </w:rPr>
              <w:t>Shares of</w:t>
            </w:r>
          </w:p>
        </w:tc>
        <w:tc>
          <w:tcPr>
            <w:tcW w:w="1000" w:type="dxa"/>
            <w:vAlign w:val="bottom"/>
          </w:tcPr>
          <w:p>
            <w:pPr>
              <w:jc w:val="right"/>
              <w:spacing w:after="0" w:line="146" w:lineRule="exact"/>
              <w:rPr>
                <w:sz w:val="20"/>
                <w:szCs w:val="20"/>
                <w:color w:val="auto"/>
              </w:rPr>
            </w:pPr>
            <w:r>
              <w:rPr>
                <w:rFonts w:ascii="Arial" w:cs="Arial" w:eastAsia="Arial" w:hAnsi="Arial"/>
                <w:sz w:val="16"/>
                <w:szCs w:val="16"/>
                <w:b w:val="1"/>
                <w:bCs w:val="1"/>
                <w:color w:val="0E3C23"/>
              </w:rPr>
              <w:t>Securities</w:t>
            </w:r>
          </w:p>
        </w:tc>
        <w:tc>
          <w:tcPr>
            <w:tcW w:w="880" w:type="dxa"/>
            <w:vAlign w:val="bottom"/>
          </w:tcPr>
          <w:p>
            <w:pPr>
              <w:jc w:val="right"/>
              <w:spacing w:after="0" w:line="146" w:lineRule="exact"/>
              <w:rPr>
                <w:sz w:val="20"/>
                <w:szCs w:val="20"/>
                <w:color w:val="auto"/>
              </w:rPr>
            </w:pPr>
            <w:r>
              <w:rPr>
                <w:rFonts w:ascii="Arial" w:cs="Arial" w:eastAsia="Arial" w:hAnsi="Arial"/>
                <w:sz w:val="16"/>
                <w:szCs w:val="16"/>
                <w:b w:val="1"/>
                <w:bCs w:val="1"/>
                <w:color w:val="0E3C23"/>
              </w:rPr>
              <w:t>Option</w:t>
            </w:r>
          </w:p>
        </w:tc>
        <w:tc>
          <w:tcPr>
            <w:tcW w:w="720" w:type="dxa"/>
            <w:vAlign w:val="bottom"/>
          </w:tcPr>
          <w:p>
            <w:pPr>
              <w:jc w:val="right"/>
              <w:spacing w:after="0" w:line="146" w:lineRule="exact"/>
              <w:rPr>
                <w:sz w:val="20"/>
                <w:szCs w:val="20"/>
                <w:color w:val="auto"/>
              </w:rPr>
            </w:pPr>
            <w:r>
              <w:rPr>
                <w:rFonts w:ascii="Arial" w:cs="Arial" w:eastAsia="Arial" w:hAnsi="Arial"/>
                <w:sz w:val="16"/>
                <w:szCs w:val="16"/>
                <w:b w:val="1"/>
                <w:bCs w:val="1"/>
                <w:color w:val="0E3C23"/>
              </w:rPr>
              <w:t>Date of</w:t>
            </w:r>
          </w:p>
        </w:tc>
        <w:tc>
          <w:tcPr>
            <w:tcW w:w="980" w:type="dxa"/>
            <w:vAlign w:val="bottom"/>
          </w:tcPr>
          <w:p>
            <w:pPr>
              <w:jc w:val="right"/>
              <w:spacing w:after="0" w:line="146" w:lineRule="exact"/>
              <w:rPr>
                <w:sz w:val="20"/>
                <w:szCs w:val="20"/>
                <w:color w:val="auto"/>
              </w:rPr>
            </w:pPr>
            <w:r>
              <w:rPr>
                <w:rFonts w:ascii="Arial" w:cs="Arial" w:eastAsia="Arial" w:hAnsi="Arial"/>
                <w:sz w:val="16"/>
                <w:szCs w:val="16"/>
                <w:b w:val="1"/>
                <w:bCs w:val="1"/>
                <w:color w:val="0E3C23"/>
              </w:rPr>
              <w:t>Option</w:t>
            </w:r>
          </w:p>
        </w:tc>
        <w:tc>
          <w:tcPr>
            <w:tcW w:w="0" w:type="dxa"/>
            <w:vAlign w:val="bottom"/>
          </w:tcPr>
          <w:p>
            <w:pPr>
              <w:spacing w:after="0"/>
              <w:rPr>
                <w:sz w:val="1"/>
                <w:szCs w:val="1"/>
                <w:color w:val="auto"/>
              </w:rPr>
            </w:pPr>
          </w:p>
        </w:tc>
      </w:tr>
      <w:tr>
        <w:trPr>
          <w:trHeight w:val="144"/>
        </w:trPr>
        <w:tc>
          <w:tcPr>
            <w:tcW w:w="134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6"/>
                <w:szCs w:val="16"/>
                <w:b w:val="1"/>
                <w:bCs w:val="1"/>
                <w:color w:val="0E3C23"/>
                <w:w w:val="95"/>
              </w:rPr>
              <w:t>Threshold</w:t>
            </w:r>
          </w:p>
        </w:tc>
        <w:tc>
          <w:tcPr>
            <w:tcW w:w="1040" w:type="dxa"/>
            <w:vAlign w:val="bottom"/>
          </w:tcPr>
          <w:p>
            <w:pPr>
              <w:jc w:val="right"/>
              <w:ind w:right="53"/>
              <w:spacing w:after="0" w:line="145" w:lineRule="exact"/>
              <w:rPr>
                <w:sz w:val="20"/>
                <w:szCs w:val="20"/>
                <w:color w:val="auto"/>
              </w:rPr>
            </w:pPr>
            <w:r>
              <w:rPr>
                <w:rFonts w:ascii="Arial" w:cs="Arial" w:eastAsia="Arial" w:hAnsi="Arial"/>
                <w:sz w:val="16"/>
                <w:szCs w:val="16"/>
                <w:b w:val="1"/>
                <w:bCs w:val="1"/>
                <w:color w:val="0E3C23"/>
              </w:rPr>
              <w:t>Target</w:t>
            </w:r>
          </w:p>
        </w:tc>
        <w:tc>
          <w:tcPr>
            <w:tcW w:w="840" w:type="dxa"/>
            <w:vAlign w:val="bottom"/>
            <w:gridSpan w:val="2"/>
          </w:tcPr>
          <w:p>
            <w:pPr>
              <w:jc w:val="right"/>
              <w:ind w:right="80"/>
              <w:spacing w:after="0" w:line="145" w:lineRule="exact"/>
              <w:rPr>
                <w:sz w:val="20"/>
                <w:szCs w:val="20"/>
                <w:color w:val="auto"/>
              </w:rPr>
            </w:pPr>
            <w:r>
              <w:rPr>
                <w:rFonts w:ascii="Arial" w:cs="Arial" w:eastAsia="Arial" w:hAnsi="Arial"/>
                <w:sz w:val="16"/>
                <w:szCs w:val="16"/>
                <w:b w:val="1"/>
                <w:bCs w:val="1"/>
                <w:color w:val="0E3C23"/>
              </w:rPr>
              <w:t>Maximum</w:t>
            </w:r>
          </w:p>
        </w:tc>
        <w:tc>
          <w:tcPr>
            <w:tcW w:w="860" w:type="dxa"/>
            <w:vAlign w:val="bottom"/>
            <w:gridSpan w:val="2"/>
          </w:tcPr>
          <w:p>
            <w:pPr>
              <w:jc w:val="right"/>
              <w:spacing w:after="0" w:line="145" w:lineRule="exact"/>
              <w:rPr>
                <w:sz w:val="20"/>
                <w:szCs w:val="20"/>
                <w:color w:val="auto"/>
              </w:rPr>
            </w:pPr>
            <w:r>
              <w:rPr>
                <w:rFonts w:ascii="Arial" w:cs="Arial" w:eastAsia="Arial" w:hAnsi="Arial"/>
                <w:sz w:val="16"/>
                <w:szCs w:val="16"/>
                <w:b w:val="1"/>
                <w:bCs w:val="1"/>
                <w:color w:val="0E3C23"/>
                <w:w w:val="98"/>
              </w:rPr>
              <w:t>Threshold</w:t>
            </w:r>
          </w:p>
        </w:tc>
        <w:tc>
          <w:tcPr>
            <w:tcW w:w="660" w:type="dxa"/>
            <w:vAlign w:val="bottom"/>
          </w:tcPr>
          <w:p>
            <w:pPr>
              <w:jc w:val="right"/>
              <w:spacing w:after="0" w:line="145" w:lineRule="exact"/>
              <w:rPr>
                <w:sz w:val="20"/>
                <w:szCs w:val="20"/>
                <w:color w:val="auto"/>
              </w:rPr>
            </w:pPr>
            <w:r>
              <w:rPr>
                <w:rFonts w:ascii="Arial" w:cs="Arial" w:eastAsia="Arial" w:hAnsi="Arial"/>
                <w:sz w:val="16"/>
                <w:szCs w:val="16"/>
                <w:b w:val="1"/>
                <w:bCs w:val="1"/>
                <w:color w:val="0E3C23"/>
              </w:rPr>
              <w:t>Target</w:t>
            </w:r>
          </w:p>
        </w:tc>
        <w:tc>
          <w:tcPr>
            <w:tcW w:w="840" w:type="dxa"/>
            <w:vAlign w:val="bottom"/>
            <w:gridSpan w:val="2"/>
          </w:tcPr>
          <w:p>
            <w:pPr>
              <w:jc w:val="center"/>
              <w:spacing w:after="0" w:line="145" w:lineRule="exact"/>
              <w:rPr>
                <w:sz w:val="20"/>
                <w:szCs w:val="20"/>
                <w:color w:val="auto"/>
              </w:rPr>
            </w:pPr>
            <w:r>
              <w:rPr>
                <w:rFonts w:ascii="Arial" w:cs="Arial" w:eastAsia="Arial" w:hAnsi="Arial"/>
                <w:sz w:val="16"/>
                <w:szCs w:val="16"/>
                <w:b w:val="1"/>
                <w:bCs w:val="1"/>
                <w:color w:val="0E3C23"/>
                <w:w w:val="92"/>
              </w:rPr>
              <w:t>Maximum</w:t>
            </w:r>
          </w:p>
        </w:tc>
        <w:tc>
          <w:tcPr>
            <w:tcW w:w="880" w:type="dxa"/>
            <w:vAlign w:val="bottom"/>
          </w:tcPr>
          <w:p>
            <w:pPr>
              <w:jc w:val="right"/>
              <w:spacing w:after="0" w:line="145" w:lineRule="exact"/>
              <w:rPr>
                <w:sz w:val="20"/>
                <w:szCs w:val="20"/>
                <w:color w:val="auto"/>
              </w:rPr>
            </w:pPr>
            <w:r>
              <w:rPr>
                <w:rFonts w:ascii="Arial" w:cs="Arial" w:eastAsia="Arial" w:hAnsi="Arial"/>
                <w:sz w:val="16"/>
                <w:szCs w:val="16"/>
                <w:b w:val="1"/>
                <w:bCs w:val="1"/>
                <w:color w:val="0E3C23"/>
              </w:rPr>
              <w:t>Stock or</w:t>
            </w:r>
          </w:p>
        </w:tc>
        <w:tc>
          <w:tcPr>
            <w:tcW w:w="1000" w:type="dxa"/>
            <w:vAlign w:val="bottom"/>
          </w:tcPr>
          <w:p>
            <w:pPr>
              <w:jc w:val="right"/>
              <w:spacing w:after="0" w:line="145" w:lineRule="exact"/>
              <w:rPr>
                <w:sz w:val="20"/>
                <w:szCs w:val="20"/>
                <w:color w:val="auto"/>
              </w:rPr>
            </w:pPr>
            <w:r>
              <w:rPr>
                <w:rFonts w:ascii="Arial" w:cs="Arial" w:eastAsia="Arial" w:hAnsi="Arial"/>
                <w:sz w:val="16"/>
                <w:szCs w:val="16"/>
                <w:b w:val="1"/>
                <w:bCs w:val="1"/>
                <w:color w:val="0E3C23"/>
              </w:rPr>
              <w:t>Underlying</w:t>
            </w:r>
          </w:p>
        </w:tc>
        <w:tc>
          <w:tcPr>
            <w:tcW w:w="880" w:type="dxa"/>
            <w:vAlign w:val="bottom"/>
          </w:tcPr>
          <w:p>
            <w:pPr>
              <w:jc w:val="right"/>
              <w:spacing w:after="0" w:line="145" w:lineRule="exact"/>
              <w:rPr>
                <w:sz w:val="20"/>
                <w:szCs w:val="20"/>
                <w:color w:val="auto"/>
              </w:rPr>
            </w:pPr>
            <w:r>
              <w:rPr>
                <w:rFonts w:ascii="Arial" w:cs="Arial" w:eastAsia="Arial" w:hAnsi="Arial"/>
                <w:sz w:val="16"/>
                <w:szCs w:val="16"/>
                <w:b w:val="1"/>
                <w:bCs w:val="1"/>
                <w:color w:val="0E3C23"/>
              </w:rPr>
              <w:t>Awards</w:t>
            </w:r>
          </w:p>
        </w:tc>
        <w:tc>
          <w:tcPr>
            <w:tcW w:w="720" w:type="dxa"/>
            <w:vAlign w:val="bottom"/>
          </w:tcPr>
          <w:p>
            <w:pPr>
              <w:jc w:val="right"/>
              <w:spacing w:after="0" w:line="145" w:lineRule="exact"/>
              <w:rPr>
                <w:sz w:val="20"/>
                <w:szCs w:val="20"/>
                <w:color w:val="auto"/>
              </w:rPr>
            </w:pPr>
            <w:r>
              <w:rPr>
                <w:rFonts w:ascii="Arial" w:cs="Arial" w:eastAsia="Arial" w:hAnsi="Arial"/>
                <w:sz w:val="16"/>
                <w:szCs w:val="16"/>
                <w:b w:val="1"/>
                <w:bCs w:val="1"/>
                <w:color w:val="0E3C23"/>
              </w:rPr>
              <w:t>Grant</w:t>
            </w:r>
          </w:p>
        </w:tc>
        <w:tc>
          <w:tcPr>
            <w:tcW w:w="980" w:type="dxa"/>
            <w:vAlign w:val="bottom"/>
          </w:tcPr>
          <w:p>
            <w:pPr>
              <w:jc w:val="right"/>
              <w:spacing w:after="0" w:line="145" w:lineRule="exact"/>
              <w:rPr>
                <w:sz w:val="20"/>
                <w:szCs w:val="20"/>
                <w:color w:val="auto"/>
              </w:rPr>
            </w:pPr>
            <w:r>
              <w:rPr>
                <w:rFonts w:ascii="Arial" w:cs="Arial" w:eastAsia="Arial" w:hAnsi="Arial"/>
                <w:sz w:val="16"/>
                <w:szCs w:val="16"/>
                <w:b w:val="1"/>
                <w:bCs w:val="1"/>
                <w:color w:val="0E3C23"/>
              </w:rPr>
              <w:t>Awards</w:t>
            </w:r>
          </w:p>
        </w:tc>
        <w:tc>
          <w:tcPr>
            <w:tcW w:w="0" w:type="dxa"/>
            <w:vAlign w:val="bottom"/>
          </w:tcPr>
          <w:p>
            <w:pPr>
              <w:spacing w:after="0"/>
              <w:rPr>
                <w:sz w:val="1"/>
                <w:szCs w:val="1"/>
                <w:color w:val="auto"/>
              </w:rPr>
            </w:pPr>
          </w:p>
        </w:tc>
      </w:tr>
      <w:tr>
        <w:trPr>
          <w:trHeight w:val="207"/>
        </w:trPr>
        <w:tc>
          <w:tcPr>
            <w:tcW w:w="1340" w:type="dxa"/>
            <w:vAlign w:val="bottom"/>
            <w:tcBorders>
              <w:bottom w:val="single" w:sz="8" w:color="0E3C23"/>
            </w:tcBorders>
          </w:tcPr>
          <w:p>
            <w:pPr>
              <w:ind w:left="60"/>
              <w:spacing w:after="0"/>
              <w:rPr>
                <w:sz w:val="20"/>
                <w:szCs w:val="20"/>
                <w:color w:val="auto"/>
              </w:rPr>
            </w:pPr>
            <w:r>
              <w:rPr>
                <w:rFonts w:ascii="Arial" w:cs="Arial" w:eastAsia="Arial" w:hAnsi="Arial"/>
                <w:sz w:val="16"/>
                <w:szCs w:val="16"/>
                <w:b w:val="1"/>
                <w:bCs w:val="1"/>
                <w:color w:val="0E3C23"/>
              </w:rPr>
              <w:t>Grant Date</w:t>
            </w:r>
          </w:p>
        </w:tc>
        <w:tc>
          <w:tcPr>
            <w:tcW w:w="760" w:type="dxa"/>
            <w:vAlign w:val="bottom"/>
            <w:tcBorders>
              <w:bottom w:val="single" w:sz="8" w:color="0E3C23"/>
            </w:tcBorders>
          </w:tcPr>
          <w:p>
            <w:pPr>
              <w:jc w:val="right"/>
              <w:spacing w:after="0"/>
              <w:rPr>
                <w:sz w:val="20"/>
                <w:szCs w:val="20"/>
                <w:color w:val="auto"/>
              </w:rPr>
            </w:pPr>
            <w:r>
              <w:rPr>
                <w:rFonts w:ascii="Arial" w:cs="Arial" w:eastAsia="Arial" w:hAnsi="Arial"/>
                <w:sz w:val="16"/>
                <w:szCs w:val="16"/>
                <w:b w:val="1"/>
                <w:bCs w:val="1"/>
                <w:color w:val="0E3C23"/>
              </w:rPr>
              <w:t>($)</w:t>
            </w:r>
          </w:p>
        </w:tc>
        <w:tc>
          <w:tcPr>
            <w:tcW w:w="1040" w:type="dxa"/>
            <w:vAlign w:val="bottom"/>
            <w:tcBorders>
              <w:bottom w:val="single" w:sz="8" w:color="0E3C23"/>
            </w:tcBorders>
          </w:tcPr>
          <w:p>
            <w:pPr>
              <w:jc w:val="right"/>
              <w:ind w:right="53"/>
              <w:spacing w:after="0"/>
              <w:rPr>
                <w:sz w:val="20"/>
                <w:szCs w:val="20"/>
                <w:color w:val="auto"/>
              </w:rPr>
            </w:pPr>
            <w:r>
              <w:rPr>
                <w:rFonts w:ascii="Arial" w:cs="Arial" w:eastAsia="Arial" w:hAnsi="Arial"/>
                <w:sz w:val="16"/>
                <w:szCs w:val="16"/>
                <w:b w:val="1"/>
                <w:bCs w:val="1"/>
                <w:color w:val="0E3C23"/>
              </w:rPr>
              <w:t>($)</w:t>
            </w:r>
          </w:p>
        </w:tc>
        <w:tc>
          <w:tcPr>
            <w:tcW w:w="760" w:type="dxa"/>
            <w:vAlign w:val="bottom"/>
            <w:tcBorders>
              <w:bottom w:val="single" w:sz="8" w:color="0E3C23"/>
            </w:tcBorders>
          </w:tcPr>
          <w:p>
            <w:pPr>
              <w:jc w:val="right"/>
              <w:spacing w:after="0"/>
              <w:rPr>
                <w:sz w:val="20"/>
                <w:szCs w:val="20"/>
                <w:color w:val="auto"/>
              </w:rPr>
            </w:pPr>
            <w:r>
              <w:rPr>
                <w:rFonts w:ascii="Arial" w:cs="Arial" w:eastAsia="Arial" w:hAnsi="Arial"/>
                <w:sz w:val="16"/>
                <w:szCs w:val="16"/>
                <w:b w:val="1"/>
                <w:bCs w:val="1"/>
                <w:color w:val="0E3C23"/>
              </w:rPr>
              <w:t>($)</w:t>
            </w:r>
          </w:p>
        </w:tc>
        <w:tc>
          <w:tcPr>
            <w:tcW w:w="80" w:type="dxa"/>
            <w:vAlign w:val="bottom"/>
            <w:tcBorders>
              <w:bottom w:val="single" w:sz="8" w:color="0E3C23"/>
            </w:tcBorders>
          </w:tcPr>
          <w:p>
            <w:pPr>
              <w:spacing w:after="0"/>
              <w:rPr>
                <w:sz w:val="18"/>
                <w:szCs w:val="18"/>
                <w:color w:val="auto"/>
              </w:rPr>
            </w:pPr>
          </w:p>
        </w:tc>
        <w:tc>
          <w:tcPr>
            <w:tcW w:w="860" w:type="dxa"/>
            <w:vAlign w:val="bottom"/>
            <w:tcBorders>
              <w:bottom w:val="single" w:sz="8" w:color="0E3C23"/>
            </w:tcBorders>
            <w:gridSpan w:val="2"/>
          </w:tcPr>
          <w:p>
            <w:pPr>
              <w:jc w:val="right"/>
              <w:spacing w:after="0"/>
              <w:rPr>
                <w:sz w:val="20"/>
                <w:szCs w:val="20"/>
                <w:color w:val="auto"/>
              </w:rPr>
            </w:pPr>
            <w:r>
              <w:rPr>
                <w:rFonts w:ascii="Arial" w:cs="Arial" w:eastAsia="Arial" w:hAnsi="Arial"/>
                <w:sz w:val="16"/>
                <w:szCs w:val="16"/>
                <w:b w:val="1"/>
                <w:bCs w:val="1"/>
                <w:color w:val="0E3C23"/>
              </w:rPr>
              <w:t>(#)</w:t>
            </w:r>
          </w:p>
        </w:tc>
        <w:tc>
          <w:tcPr>
            <w:tcW w:w="660" w:type="dxa"/>
            <w:vAlign w:val="bottom"/>
            <w:tcBorders>
              <w:bottom w:val="single" w:sz="8" w:color="0E3C23"/>
            </w:tcBorders>
          </w:tcPr>
          <w:p>
            <w:pPr>
              <w:jc w:val="right"/>
              <w:spacing w:after="0"/>
              <w:rPr>
                <w:sz w:val="20"/>
                <w:szCs w:val="20"/>
                <w:color w:val="auto"/>
              </w:rPr>
            </w:pPr>
            <w:r>
              <w:rPr>
                <w:rFonts w:ascii="Arial" w:cs="Arial" w:eastAsia="Arial" w:hAnsi="Arial"/>
                <w:sz w:val="16"/>
                <w:szCs w:val="16"/>
                <w:b w:val="1"/>
                <w:bCs w:val="1"/>
                <w:color w:val="0E3C23"/>
              </w:rPr>
              <w:t>(#)</w:t>
            </w:r>
          </w:p>
        </w:tc>
        <w:tc>
          <w:tcPr>
            <w:tcW w:w="840" w:type="dxa"/>
            <w:vAlign w:val="bottom"/>
            <w:tcBorders>
              <w:bottom w:val="single" w:sz="8" w:color="0E3C23"/>
            </w:tcBorders>
            <w:gridSpan w:val="2"/>
          </w:tcPr>
          <w:p>
            <w:pPr>
              <w:jc w:val="right"/>
              <w:ind w:right="80"/>
              <w:spacing w:after="0"/>
              <w:rPr>
                <w:sz w:val="20"/>
                <w:szCs w:val="20"/>
                <w:color w:val="auto"/>
              </w:rPr>
            </w:pPr>
            <w:r>
              <w:rPr>
                <w:rFonts w:ascii="Arial" w:cs="Arial" w:eastAsia="Arial" w:hAnsi="Arial"/>
                <w:sz w:val="16"/>
                <w:szCs w:val="16"/>
                <w:b w:val="1"/>
                <w:bCs w:val="1"/>
                <w:color w:val="0E3C23"/>
              </w:rPr>
              <w:t>(#)</w:t>
            </w:r>
          </w:p>
        </w:tc>
        <w:tc>
          <w:tcPr>
            <w:tcW w:w="880" w:type="dxa"/>
            <w:vAlign w:val="bottom"/>
            <w:tcBorders>
              <w:bottom w:val="single" w:sz="8" w:color="0E3C23"/>
            </w:tcBorders>
          </w:tcPr>
          <w:p>
            <w:pPr>
              <w:jc w:val="right"/>
              <w:spacing w:after="0"/>
              <w:rPr>
                <w:sz w:val="20"/>
                <w:szCs w:val="20"/>
                <w:color w:val="auto"/>
              </w:rPr>
            </w:pPr>
            <w:r>
              <w:rPr>
                <w:rFonts w:ascii="Arial" w:cs="Arial" w:eastAsia="Arial" w:hAnsi="Arial"/>
                <w:sz w:val="16"/>
                <w:szCs w:val="16"/>
                <w:b w:val="1"/>
                <w:bCs w:val="1"/>
                <w:color w:val="0E3C23"/>
              </w:rPr>
              <w:t>Units (#)</w:t>
            </w:r>
          </w:p>
        </w:tc>
        <w:tc>
          <w:tcPr>
            <w:tcW w:w="1000" w:type="dxa"/>
            <w:vAlign w:val="bottom"/>
            <w:tcBorders>
              <w:bottom w:val="single" w:sz="8" w:color="0E3C23"/>
            </w:tcBorders>
          </w:tcPr>
          <w:p>
            <w:pPr>
              <w:jc w:val="right"/>
              <w:spacing w:after="0" w:line="207" w:lineRule="exact"/>
              <w:rPr>
                <w:sz w:val="20"/>
                <w:szCs w:val="20"/>
                <w:color w:val="auto"/>
              </w:rPr>
            </w:pPr>
            <w:r>
              <w:rPr>
                <w:rFonts w:ascii="Arial" w:cs="Arial" w:eastAsia="Arial" w:hAnsi="Arial"/>
                <w:sz w:val="16"/>
                <w:szCs w:val="16"/>
                <w:b w:val="1"/>
                <w:bCs w:val="1"/>
                <w:color w:val="0E3C23"/>
                <w:w w:val="96"/>
              </w:rPr>
              <w:t>Options(#)</w:t>
            </w:r>
            <w:r>
              <w:rPr>
                <w:rFonts w:ascii="Arial" w:cs="Arial" w:eastAsia="Arial" w:hAnsi="Arial"/>
                <w:sz w:val="19"/>
                <w:szCs w:val="19"/>
                <w:b w:val="1"/>
                <w:bCs w:val="1"/>
                <w:color w:val="0E3C23"/>
                <w:w w:val="96"/>
                <w:vertAlign w:val="superscript"/>
              </w:rPr>
              <w:t>(3)</w:t>
            </w:r>
          </w:p>
        </w:tc>
        <w:tc>
          <w:tcPr>
            <w:tcW w:w="880" w:type="dxa"/>
            <w:vAlign w:val="bottom"/>
            <w:tcBorders>
              <w:bottom w:val="single" w:sz="8" w:color="0E3C23"/>
            </w:tcBorders>
          </w:tcPr>
          <w:p>
            <w:pPr>
              <w:jc w:val="right"/>
              <w:spacing w:after="0" w:line="207" w:lineRule="exact"/>
              <w:rPr>
                <w:sz w:val="20"/>
                <w:szCs w:val="20"/>
                <w:color w:val="auto"/>
              </w:rPr>
            </w:pPr>
            <w:r>
              <w:rPr>
                <w:rFonts w:ascii="Arial" w:cs="Arial" w:eastAsia="Arial" w:hAnsi="Arial"/>
                <w:sz w:val="16"/>
                <w:szCs w:val="16"/>
                <w:b w:val="1"/>
                <w:bCs w:val="1"/>
                <w:color w:val="0E3C23"/>
              </w:rPr>
              <w:t>($/sh)</w:t>
            </w:r>
            <w:r>
              <w:rPr>
                <w:rFonts w:ascii="Arial" w:cs="Arial" w:eastAsia="Arial" w:hAnsi="Arial"/>
                <w:sz w:val="19"/>
                <w:szCs w:val="19"/>
                <w:b w:val="1"/>
                <w:bCs w:val="1"/>
                <w:color w:val="0E3C23"/>
                <w:vertAlign w:val="superscript"/>
              </w:rPr>
              <w:t>(4)</w:t>
            </w:r>
          </w:p>
        </w:tc>
        <w:tc>
          <w:tcPr>
            <w:tcW w:w="720" w:type="dxa"/>
            <w:vAlign w:val="bottom"/>
            <w:tcBorders>
              <w:bottom w:val="single" w:sz="8" w:color="0E3C23"/>
            </w:tcBorders>
          </w:tcPr>
          <w:p>
            <w:pPr>
              <w:jc w:val="right"/>
              <w:spacing w:after="0"/>
              <w:rPr>
                <w:sz w:val="20"/>
                <w:szCs w:val="20"/>
                <w:color w:val="auto"/>
              </w:rPr>
            </w:pPr>
            <w:r>
              <w:rPr>
                <w:rFonts w:ascii="Arial" w:cs="Arial" w:eastAsia="Arial" w:hAnsi="Arial"/>
                <w:sz w:val="16"/>
                <w:szCs w:val="16"/>
                <w:b w:val="1"/>
                <w:bCs w:val="1"/>
                <w:color w:val="0E3C23"/>
              </w:rPr>
              <w:t>($/sh)</w:t>
            </w:r>
          </w:p>
        </w:tc>
        <w:tc>
          <w:tcPr>
            <w:tcW w:w="980" w:type="dxa"/>
            <w:vAlign w:val="bottom"/>
            <w:tcBorders>
              <w:bottom w:val="single" w:sz="8" w:color="0E3C23"/>
            </w:tcBorders>
          </w:tcPr>
          <w:p>
            <w:pPr>
              <w:jc w:val="right"/>
              <w:spacing w:after="0" w:line="207" w:lineRule="exact"/>
              <w:rPr>
                <w:sz w:val="20"/>
                <w:szCs w:val="20"/>
                <w:color w:val="auto"/>
              </w:rPr>
            </w:pPr>
            <w:r>
              <w:rPr>
                <w:rFonts w:ascii="Arial" w:cs="Arial" w:eastAsia="Arial" w:hAnsi="Arial"/>
                <w:sz w:val="16"/>
                <w:szCs w:val="16"/>
                <w:b w:val="1"/>
                <w:bCs w:val="1"/>
                <w:color w:val="0E3C23"/>
              </w:rPr>
              <w:t>($)</w:t>
            </w:r>
            <w:r>
              <w:rPr>
                <w:rFonts w:ascii="Arial" w:cs="Arial" w:eastAsia="Arial" w:hAnsi="Arial"/>
                <w:sz w:val="19"/>
                <w:szCs w:val="19"/>
                <w:b w:val="1"/>
                <w:bCs w:val="1"/>
                <w:color w:val="0E3C23"/>
                <w:vertAlign w:val="superscript"/>
              </w:rPr>
              <w:t>(5)</w:t>
            </w:r>
          </w:p>
        </w:tc>
        <w:tc>
          <w:tcPr>
            <w:tcW w:w="0" w:type="dxa"/>
            <w:vAlign w:val="bottom"/>
          </w:tcPr>
          <w:p>
            <w:pPr>
              <w:spacing w:after="0"/>
              <w:rPr>
                <w:sz w:val="1"/>
                <w:szCs w:val="1"/>
                <w:color w:val="auto"/>
              </w:rPr>
            </w:pPr>
          </w:p>
        </w:tc>
      </w:tr>
      <w:tr>
        <w:trPr>
          <w:trHeight w:val="217"/>
        </w:trPr>
        <w:tc>
          <w:tcPr>
            <w:tcW w:w="2100" w:type="dxa"/>
            <w:vAlign w:val="bottom"/>
            <w:tcBorders>
              <w:bottom w:val="single" w:sz="8" w:color="0E3C23"/>
            </w:tcBorders>
            <w:gridSpan w:val="2"/>
          </w:tcPr>
          <w:p>
            <w:pPr>
              <w:ind w:left="60"/>
              <w:spacing w:after="0"/>
              <w:rPr>
                <w:sz w:val="20"/>
                <w:szCs w:val="20"/>
                <w:color w:val="auto"/>
              </w:rPr>
            </w:pPr>
            <w:r>
              <w:rPr>
                <w:rFonts w:ascii="Arial" w:cs="Arial" w:eastAsia="Arial" w:hAnsi="Arial"/>
                <w:sz w:val="18"/>
                <w:szCs w:val="18"/>
                <w:b w:val="1"/>
                <w:bCs w:val="1"/>
                <w:color w:val="auto"/>
              </w:rPr>
              <w:t>James C. Fish, Jr.</w:t>
            </w:r>
          </w:p>
        </w:tc>
        <w:tc>
          <w:tcPr>
            <w:tcW w:w="1040" w:type="dxa"/>
            <w:vAlign w:val="bottom"/>
            <w:tcBorders>
              <w:bottom w:val="single" w:sz="8" w:color="0E3C23"/>
            </w:tcBorders>
          </w:tcPr>
          <w:p>
            <w:pPr>
              <w:spacing w:after="0"/>
              <w:rPr>
                <w:sz w:val="18"/>
                <w:szCs w:val="18"/>
                <w:color w:val="auto"/>
              </w:rPr>
            </w:pPr>
          </w:p>
        </w:tc>
        <w:tc>
          <w:tcPr>
            <w:tcW w:w="760" w:type="dxa"/>
            <w:vAlign w:val="bottom"/>
            <w:tcBorders>
              <w:bottom w:val="single" w:sz="8" w:color="0E3C23"/>
            </w:tcBorders>
          </w:tcPr>
          <w:p>
            <w:pPr>
              <w:spacing w:after="0"/>
              <w:rPr>
                <w:sz w:val="18"/>
                <w:szCs w:val="18"/>
                <w:color w:val="auto"/>
              </w:rPr>
            </w:pPr>
          </w:p>
        </w:tc>
        <w:tc>
          <w:tcPr>
            <w:tcW w:w="80" w:type="dxa"/>
            <w:vAlign w:val="bottom"/>
            <w:tcBorders>
              <w:bottom w:val="single" w:sz="8" w:color="0E3C23"/>
            </w:tcBorders>
          </w:tcPr>
          <w:p>
            <w:pPr>
              <w:spacing w:after="0"/>
              <w:rPr>
                <w:sz w:val="18"/>
                <w:szCs w:val="18"/>
                <w:color w:val="auto"/>
              </w:rPr>
            </w:pPr>
          </w:p>
        </w:tc>
        <w:tc>
          <w:tcPr>
            <w:tcW w:w="60" w:type="dxa"/>
            <w:vAlign w:val="bottom"/>
            <w:tcBorders>
              <w:bottom w:val="single" w:sz="8" w:color="0E3C23"/>
            </w:tcBorders>
          </w:tcPr>
          <w:p>
            <w:pPr>
              <w:spacing w:after="0"/>
              <w:rPr>
                <w:sz w:val="18"/>
                <w:szCs w:val="18"/>
                <w:color w:val="auto"/>
              </w:rPr>
            </w:pPr>
          </w:p>
        </w:tc>
        <w:tc>
          <w:tcPr>
            <w:tcW w:w="800" w:type="dxa"/>
            <w:vAlign w:val="bottom"/>
            <w:tcBorders>
              <w:bottom w:val="single" w:sz="8" w:color="0E3C23"/>
            </w:tcBorders>
          </w:tcPr>
          <w:p>
            <w:pPr>
              <w:spacing w:after="0"/>
              <w:rPr>
                <w:sz w:val="18"/>
                <w:szCs w:val="18"/>
                <w:color w:val="auto"/>
              </w:rPr>
            </w:pPr>
          </w:p>
        </w:tc>
        <w:tc>
          <w:tcPr>
            <w:tcW w:w="660" w:type="dxa"/>
            <w:vAlign w:val="bottom"/>
            <w:tcBorders>
              <w:bottom w:val="single" w:sz="8" w:color="0E3C23"/>
            </w:tcBorders>
          </w:tcPr>
          <w:p>
            <w:pPr>
              <w:spacing w:after="0"/>
              <w:rPr>
                <w:sz w:val="18"/>
                <w:szCs w:val="18"/>
                <w:color w:val="auto"/>
              </w:rPr>
            </w:pPr>
          </w:p>
        </w:tc>
        <w:tc>
          <w:tcPr>
            <w:tcW w:w="760" w:type="dxa"/>
            <w:vAlign w:val="bottom"/>
            <w:tcBorders>
              <w:bottom w:val="single" w:sz="8" w:color="0E3C23"/>
            </w:tcBorders>
          </w:tcPr>
          <w:p>
            <w:pPr>
              <w:spacing w:after="0"/>
              <w:rPr>
                <w:sz w:val="18"/>
                <w:szCs w:val="18"/>
                <w:color w:val="auto"/>
              </w:rPr>
            </w:pPr>
          </w:p>
        </w:tc>
        <w:tc>
          <w:tcPr>
            <w:tcW w:w="80" w:type="dxa"/>
            <w:vAlign w:val="bottom"/>
            <w:tcBorders>
              <w:bottom w:val="single" w:sz="8" w:color="0E3C23"/>
            </w:tcBorders>
          </w:tcPr>
          <w:p>
            <w:pPr>
              <w:spacing w:after="0"/>
              <w:rPr>
                <w:sz w:val="18"/>
                <w:szCs w:val="18"/>
                <w:color w:val="auto"/>
              </w:rPr>
            </w:pPr>
          </w:p>
        </w:tc>
        <w:tc>
          <w:tcPr>
            <w:tcW w:w="880" w:type="dxa"/>
            <w:vAlign w:val="bottom"/>
            <w:tcBorders>
              <w:bottom w:val="single" w:sz="8" w:color="0E3C23"/>
            </w:tcBorders>
          </w:tcPr>
          <w:p>
            <w:pPr>
              <w:spacing w:after="0"/>
              <w:rPr>
                <w:sz w:val="18"/>
                <w:szCs w:val="18"/>
                <w:color w:val="auto"/>
              </w:rPr>
            </w:pPr>
          </w:p>
        </w:tc>
        <w:tc>
          <w:tcPr>
            <w:tcW w:w="1000" w:type="dxa"/>
            <w:vAlign w:val="bottom"/>
            <w:tcBorders>
              <w:bottom w:val="single" w:sz="8" w:color="0E3C23"/>
            </w:tcBorders>
          </w:tcPr>
          <w:p>
            <w:pPr>
              <w:spacing w:after="0"/>
              <w:rPr>
                <w:sz w:val="18"/>
                <w:szCs w:val="18"/>
                <w:color w:val="auto"/>
              </w:rPr>
            </w:pPr>
          </w:p>
        </w:tc>
        <w:tc>
          <w:tcPr>
            <w:tcW w:w="880" w:type="dxa"/>
            <w:vAlign w:val="bottom"/>
            <w:tcBorders>
              <w:bottom w:val="single" w:sz="8" w:color="0E3C23"/>
            </w:tcBorders>
          </w:tcPr>
          <w:p>
            <w:pPr>
              <w:spacing w:after="0"/>
              <w:rPr>
                <w:sz w:val="18"/>
                <w:szCs w:val="18"/>
                <w:color w:val="auto"/>
              </w:rPr>
            </w:pPr>
          </w:p>
        </w:tc>
        <w:tc>
          <w:tcPr>
            <w:tcW w:w="720" w:type="dxa"/>
            <w:vAlign w:val="bottom"/>
            <w:tcBorders>
              <w:bottom w:val="single" w:sz="8" w:color="0E3C23"/>
            </w:tcBorders>
          </w:tcPr>
          <w:p>
            <w:pPr>
              <w:spacing w:after="0"/>
              <w:rPr>
                <w:sz w:val="18"/>
                <w:szCs w:val="18"/>
                <w:color w:val="auto"/>
              </w:rPr>
            </w:pPr>
          </w:p>
        </w:tc>
        <w:tc>
          <w:tcPr>
            <w:tcW w:w="980" w:type="dxa"/>
            <w:vAlign w:val="bottom"/>
            <w:tcBorders>
              <w:bottom w:val="single" w:sz="8" w:color="0E3C23"/>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40" w:type="dxa"/>
            <w:vAlign w:val="bottom"/>
            <w:tcBorders>
              <w:bottom w:val="single" w:sz="8" w:color="0E3C23"/>
            </w:tcBorders>
          </w:tcPr>
          <w:p>
            <w:pPr>
              <w:ind w:left="60"/>
              <w:spacing w:after="0" w:line="206" w:lineRule="exact"/>
              <w:rPr>
                <w:sz w:val="20"/>
                <w:szCs w:val="20"/>
                <w:color w:val="auto"/>
              </w:rPr>
            </w:pPr>
            <w:r>
              <w:rPr>
                <w:rFonts w:ascii="Arial" w:cs="Arial" w:eastAsia="Arial" w:hAnsi="Arial"/>
                <w:sz w:val="18"/>
                <w:szCs w:val="18"/>
                <w:color w:val="auto"/>
              </w:rPr>
              <w:t>Cash Incentive</w:t>
            </w:r>
          </w:p>
        </w:tc>
        <w:tc>
          <w:tcPr>
            <w:tcW w:w="760" w:type="dxa"/>
            <w:vAlign w:val="bottom"/>
            <w:tcBorders>
              <w:bottom w:val="single" w:sz="8" w:color="0E3C23"/>
            </w:tcBorders>
          </w:tcPr>
          <w:p>
            <w:pPr>
              <w:jc w:val="right"/>
              <w:spacing w:after="0" w:line="206" w:lineRule="exact"/>
              <w:rPr>
                <w:sz w:val="20"/>
                <w:szCs w:val="20"/>
                <w:color w:val="auto"/>
              </w:rPr>
            </w:pPr>
            <w:r>
              <w:rPr>
                <w:rFonts w:ascii="Arial" w:cs="Arial" w:eastAsia="Arial" w:hAnsi="Arial"/>
                <w:sz w:val="18"/>
                <w:szCs w:val="18"/>
                <w:color w:val="auto"/>
                <w:w w:val="92"/>
              </w:rPr>
              <w:t>1,392,000</w:t>
            </w:r>
          </w:p>
        </w:tc>
        <w:tc>
          <w:tcPr>
            <w:tcW w:w="1040" w:type="dxa"/>
            <w:vAlign w:val="bottom"/>
            <w:tcBorders>
              <w:bottom w:val="single" w:sz="8" w:color="0E3C23"/>
            </w:tcBorders>
          </w:tcPr>
          <w:p>
            <w:pPr>
              <w:jc w:val="right"/>
              <w:ind w:right="53"/>
              <w:spacing w:after="0" w:line="206" w:lineRule="exact"/>
              <w:rPr>
                <w:sz w:val="20"/>
                <w:szCs w:val="20"/>
                <w:color w:val="auto"/>
              </w:rPr>
            </w:pPr>
            <w:r>
              <w:rPr>
                <w:rFonts w:ascii="Arial" w:cs="Arial" w:eastAsia="Arial" w:hAnsi="Arial"/>
                <w:sz w:val="18"/>
                <w:szCs w:val="18"/>
                <w:color w:val="auto"/>
              </w:rPr>
              <w:t>2,320,000</w:t>
            </w:r>
          </w:p>
        </w:tc>
        <w:tc>
          <w:tcPr>
            <w:tcW w:w="840" w:type="dxa"/>
            <w:vAlign w:val="bottom"/>
            <w:tcBorders>
              <w:bottom w:val="single" w:sz="8" w:color="0E3C23"/>
            </w:tcBorders>
            <w:gridSpan w:val="2"/>
          </w:tcPr>
          <w:p>
            <w:pPr>
              <w:jc w:val="right"/>
              <w:ind w:right="80"/>
              <w:spacing w:after="0" w:line="206" w:lineRule="exact"/>
              <w:rPr>
                <w:sz w:val="20"/>
                <w:szCs w:val="20"/>
                <w:color w:val="auto"/>
              </w:rPr>
            </w:pPr>
            <w:r>
              <w:rPr>
                <w:rFonts w:ascii="Arial" w:cs="Arial" w:eastAsia="Arial" w:hAnsi="Arial"/>
                <w:sz w:val="18"/>
                <w:szCs w:val="18"/>
                <w:color w:val="auto"/>
                <w:w w:val="92"/>
              </w:rPr>
              <w:t>4,640,000</w:t>
            </w:r>
          </w:p>
        </w:tc>
        <w:tc>
          <w:tcPr>
            <w:tcW w:w="60" w:type="dxa"/>
            <w:vAlign w:val="bottom"/>
            <w:tcBorders>
              <w:bottom w:val="single" w:sz="8" w:color="0E3C23"/>
            </w:tcBorders>
          </w:tcPr>
          <w:p>
            <w:pPr>
              <w:spacing w:after="0"/>
              <w:rPr>
                <w:sz w:val="17"/>
                <w:szCs w:val="17"/>
                <w:color w:val="auto"/>
              </w:rPr>
            </w:pPr>
          </w:p>
        </w:tc>
        <w:tc>
          <w:tcPr>
            <w:tcW w:w="800" w:type="dxa"/>
            <w:vAlign w:val="bottom"/>
            <w:tcBorders>
              <w:bottom w:val="single" w:sz="8" w:color="0E3C23"/>
            </w:tcBorders>
          </w:tcPr>
          <w:p>
            <w:pPr>
              <w:spacing w:after="0"/>
              <w:rPr>
                <w:sz w:val="17"/>
                <w:szCs w:val="17"/>
                <w:color w:val="auto"/>
              </w:rPr>
            </w:pPr>
          </w:p>
        </w:tc>
        <w:tc>
          <w:tcPr>
            <w:tcW w:w="660" w:type="dxa"/>
            <w:vAlign w:val="bottom"/>
            <w:tcBorders>
              <w:bottom w:val="single" w:sz="8" w:color="0E3C23"/>
            </w:tcBorders>
          </w:tcPr>
          <w:p>
            <w:pPr>
              <w:spacing w:after="0"/>
              <w:rPr>
                <w:sz w:val="17"/>
                <w:szCs w:val="17"/>
                <w:color w:val="auto"/>
              </w:rPr>
            </w:pPr>
          </w:p>
        </w:tc>
        <w:tc>
          <w:tcPr>
            <w:tcW w:w="760" w:type="dxa"/>
            <w:vAlign w:val="bottom"/>
            <w:tcBorders>
              <w:bottom w:val="single" w:sz="8" w:color="0E3C23"/>
            </w:tcBorders>
          </w:tcPr>
          <w:p>
            <w:pPr>
              <w:spacing w:after="0"/>
              <w:rPr>
                <w:sz w:val="17"/>
                <w:szCs w:val="17"/>
                <w:color w:val="auto"/>
              </w:rPr>
            </w:pPr>
          </w:p>
        </w:tc>
        <w:tc>
          <w:tcPr>
            <w:tcW w:w="80" w:type="dxa"/>
            <w:vAlign w:val="bottom"/>
            <w:tcBorders>
              <w:bottom w:val="single" w:sz="8" w:color="0E3C23"/>
            </w:tcBorders>
          </w:tcPr>
          <w:p>
            <w:pPr>
              <w:spacing w:after="0"/>
              <w:rPr>
                <w:sz w:val="17"/>
                <w:szCs w:val="17"/>
                <w:color w:val="auto"/>
              </w:rPr>
            </w:pPr>
          </w:p>
        </w:tc>
        <w:tc>
          <w:tcPr>
            <w:tcW w:w="880" w:type="dxa"/>
            <w:vAlign w:val="bottom"/>
            <w:tcBorders>
              <w:bottom w:val="single" w:sz="8" w:color="0E3C23"/>
            </w:tcBorders>
          </w:tcPr>
          <w:p>
            <w:pPr>
              <w:spacing w:after="0"/>
              <w:rPr>
                <w:sz w:val="17"/>
                <w:szCs w:val="17"/>
                <w:color w:val="auto"/>
              </w:rPr>
            </w:pPr>
          </w:p>
        </w:tc>
        <w:tc>
          <w:tcPr>
            <w:tcW w:w="1000" w:type="dxa"/>
            <w:vAlign w:val="bottom"/>
            <w:tcBorders>
              <w:bottom w:val="single" w:sz="8" w:color="0E3C23"/>
            </w:tcBorders>
          </w:tcPr>
          <w:p>
            <w:pPr>
              <w:spacing w:after="0"/>
              <w:rPr>
                <w:sz w:val="17"/>
                <w:szCs w:val="17"/>
                <w:color w:val="auto"/>
              </w:rPr>
            </w:pPr>
          </w:p>
        </w:tc>
        <w:tc>
          <w:tcPr>
            <w:tcW w:w="880" w:type="dxa"/>
            <w:vAlign w:val="bottom"/>
            <w:tcBorders>
              <w:bottom w:val="single" w:sz="8" w:color="0E3C23"/>
            </w:tcBorders>
          </w:tcPr>
          <w:p>
            <w:pPr>
              <w:spacing w:after="0"/>
              <w:rPr>
                <w:sz w:val="17"/>
                <w:szCs w:val="17"/>
                <w:color w:val="auto"/>
              </w:rPr>
            </w:pPr>
          </w:p>
        </w:tc>
        <w:tc>
          <w:tcPr>
            <w:tcW w:w="720" w:type="dxa"/>
            <w:vAlign w:val="bottom"/>
            <w:tcBorders>
              <w:bottom w:val="single" w:sz="8" w:color="0E3C23"/>
            </w:tcBorders>
          </w:tcPr>
          <w:p>
            <w:pPr>
              <w:spacing w:after="0"/>
              <w:rPr>
                <w:sz w:val="17"/>
                <w:szCs w:val="17"/>
                <w:color w:val="auto"/>
              </w:rPr>
            </w:pPr>
          </w:p>
        </w:tc>
        <w:tc>
          <w:tcPr>
            <w:tcW w:w="980" w:type="dxa"/>
            <w:vAlign w:val="bottom"/>
            <w:tcBorders>
              <w:bottom w:val="single" w:sz="8" w:color="0E3C23"/>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340" w:type="dxa"/>
            <w:vAlign w:val="bottom"/>
            <w:tcBorders>
              <w:bottom w:val="single" w:sz="8" w:color="0E3C23"/>
            </w:tcBorders>
          </w:tcPr>
          <w:p>
            <w:pPr>
              <w:ind w:left="260"/>
              <w:spacing w:after="0" w:line="206" w:lineRule="exact"/>
              <w:rPr>
                <w:sz w:val="20"/>
                <w:szCs w:val="20"/>
                <w:color w:val="auto"/>
              </w:rPr>
            </w:pPr>
            <w:r>
              <w:rPr>
                <w:rFonts w:ascii="Arial" w:cs="Arial" w:eastAsia="Arial" w:hAnsi="Arial"/>
                <w:sz w:val="18"/>
                <w:szCs w:val="18"/>
                <w:color w:val="auto"/>
              </w:rPr>
              <w:t>3/1/24</w:t>
            </w:r>
          </w:p>
        </w:tc>
        <w:tc>
          <w:tcPr>
            <w:tcW w:w="760" w:type="dxa"/>
            <w:vAlign w:val="bottom"/>
            <w:tcBorders>
              <w:bottom w:val="single" w:sz="8" w:color="0E3C23"/>
            </w:tcBorders>
          </w:tcPr>
          <w:p>
            <w:pPr>
              <w:spacing w:after="0"/>
              <w:rPr>
                <w:sz w:val="18"/>
                <w:szCs w:val="18"/>
                <w:color w:val="auto"/>
              </w:rPr>
            </w:pPr>
          </w:p>
        </w:tc>
        <w:tc>
          <w:tcPr>
            <w:tcW w:w="1040" w:type="dxa"/>
            <w:vAlign w:val="bottom"/>
            <w:tcBorders>
              <w:bottom w:val="single" w:sz="8" w:color="0E3C23"/>
            </w:tcBorders>
          </w:tcPr>
          <w:p>
            <w:pPr>
              <w:spacing w:after="0"/>
              <w:rPr>
                <w:sz w:val="18"/>
                <w:szCs w:val="18"/>
                <w:color w:val="auto"/>
              </w:rPr>
            </w:pPr>
          </w:p>
        </w:tc>
        <w:tc>
          <w:tcPr>
            <w:tcW w:w="760" w:type="dxa"/>
            <w:vAlign w:val="bottom"/>
            <w:tcBorders>
              <w:bottom w:val="single" w:sz="8" w:color="0E3C23"/>
            </w:tcBorders>
          </w:tcPr>
          <w:p>
            <w:pPr>
              <w:spacing w:after="0"/>
              <w:rPr>
                <w:sz w:val="18"/>
                <w:szCs w:val="18"/>
                <w:color w:val="auto"/>
              </w:rPr>
            </w:pPr>
          </w:p>
        </w:tc>
        <w:tc>
          <w:tcPr>
            <w:tcW w:w="80" w:type="dxa"/>
            <w:vAlign w:val="bottom"/>
            <w:tcBorders>
              <w:bottom w:val="single" w:sz="8" w:color="0E3C23"/>
            </w:tcBorders>
          </w:tcPr>
          <w:p>
            <w:pPr>
              <w:spacing w:after="0"/>
              <w:rPr>
                <w:sz w:val="18"/>
                <w:szCs w:val="18"/>
                <w:color w:val="auto"/>
              </w:rPr>
            </w:pPr>
          </w:p>
        </w:tc>
        <w:tc>
          <w:tcPr>
            <w:tcW w:w="860" w:type="dxa"/>
            <w:vAlign w:val="bottom"/>
            <w:tcBorders>
              <w:bottom w:val="single" w:sz="8" w:color="0E3C23"/>
            </w:tcBorders>
            <w:gridSpan w:val="2"/>
          </w:tcPr>
          <w:p>
            <w:pPr>
              <w:jc w:val="right"/>
              <w:ind w:right="80"/>
              <w:spacing w:after="0" w:line="206" w:lineRule="exact"/>
              <w:rPr>
                <w:sz w:val="20"/>
                <w:szCs w:val="20"/>
                <w:color w:val="auto"/>
              </w:rPr>
            </w:pPr>
            <w:r>
              <w:rPr>
                <w:rFonts w:ascii="Arial" w:cs="Arial" w:eastAsia="Arial" w:hAnsi="Arial"/>
                <w:sz w:val="18"/>
                <w:szCs w:val="18"/>
                <w:color w:val="auto"/>
              </w:rPr>
              <w:t>20,103</w:t>
            </w:r>
          </w:p>
        </w:tc>
        <w:tc>
          <w:tcPr>
            <w:tcW w:w="660" w:type="dxa"/>
            <w:vAlign w:val="bottom"/>
            <w:tcBorders>
              <w:bottom w:val="single" w:sz="8" w:color="0E3C23"/>
            </w:tcBorders>
          </w:tcPr>
          <w:p>
            <w:pPr>
              <w:jc w:val="right"/>
              <w:spacing w:after="0" w:line="206" w:lineRule="exact"/>
              <w:rPr>
                <w:sz w:val="20"/>
                <w:szCs w:val="20"/>
                <w:color w:val="auto"/>
              </w:rPr>
            </w:pPr>
            <w:r>
              <w:rPr>
                <w:rFonts w:ascii="Arial" w:cs="Arial" w:eastAsia="Arial" w:hAnsi="Arial"/>
                <w:sz w:val="18"/>
                <w:szCs w:val="18"/>
                <w:color w:val="auto"/>
              </w:rPr>
              <w:t>40,206</w:t>
            </w:r>
          </w:p>
        </w:tc>
        <w:tc>
          <w:tcPr>
            <w:tcW w:w="760" w:type="dxa"/>
            <w:vAlign w:val="bottom"/>
            <w:tcBorders>
              <w:bottom w:val="single" w:sz="8" w:color="0E3C23"/>
            </w:tcBorders>
          </w:tcPr>
          <w:p>
            <w:pPr>
              <w:jc w:val="center"/>
              <w:spacing w:after="0" w:line="206" w:lineRule="exact"/>
              <w:rPr>
                <w:sz w:val="20"/>
                <w:szCs w:val="20"/>
                <w:color w:val="auto"/>
              </w:rPr>
            </w:pPr>
            <w:r>
              <w:rPr>
                <w:rFonts w:ascii="Arial" w:cs="Arial" w:eastAsia="Arial" w:hAnsi="Arial"/>
                <w:sz w:val="18"/>
                <w:szCs w:val="18"/>
                <w:color w:val="auto"/>
                <w:w w:val="94"/>
              </w:rPr>
              <w:t>80,412</w:t>
            </w:r>
          </w:p>
        </w:tc>
        <w:tc>
          <w:tcPr>
            <w:tcW w:w="80" w:type="dxa"/>
            <w:vAlign w:val="bottom"/>
            <w:tcBorders>
              <w:bottom w:val="single" w:sz="8" w:color="0E3C23"/>
            </w:tcBorders>
          </w:tcPr>
          <w:p>
            <w:pPr>
              <w:spacing w:after="0"/>
              <w:rPr>
                <w:sz w:val="18"/>
                <w:szCs w:val="18"/>
                <w:color w:val="auto"/>
              </w:rPr>
            </w:pPr>
          </w:p>
        </w:tc>
        <w:tc>
          <w:tcPr>
            <w:tcW w:w="880" w:type="dxa"/>
            <w:vAlign w:val="bottom"/>
            <w:tcBorders>
              <w:bottom w:val="single" w:sz="8" w:color="0E3C23"/>
            </w:tcBorders>
          </w:tcPr>
          <w:p>
            <w:pPr>
              <w:spacing w:after="0"/>
              <w:rPr>
                <w:sz w:val="18"/>
                <w:szCs w:val="18"/>
                <w:color w:val="auto"/>
              </w:rPr>
            </w:pPr>
          </w:p>
        </w:tc>
        <w:tc>
          <w:tcPr>
            <w:tcW w:w="1000" w:type="dxa"/>
            <w:vAlign w:val="bottom"/>
            <w:tcBorders>
              <w:bottom w:val="single" w:sz="8" w:color="0E3C23"/>
            </w:tcBorders>
          </w:tcPr>
          <w:p>
            <w:pPr>
              <w:spacing w:after="0"/>
              <w:rPr>
                <w:sz w:val="18"/>
                <w:szCs w:val="18"/>
                <w:color w:val="auto"/>
              </w:rPr>
            </w:pPr>
          </w:p>
        </w:tc>
        <w:tc>
          <w:tcPr>
            <w:tcW w:w="880" w:type="dxa"/>
            <w:vAlign w:val="bottom"/>
            <w:tcBorders>
              <w:bottom w:val="single" w:sz="8" w:color="0E3C23"/>
            </w:tcBorders>
          </w:tcPr>
          <w:p>
            <w:pPr>
              <w:spacing w:after="0"/>
              <w:rPr>
                <w:sz w:val="18"/>
                <w:szCs w:val="18"/>
                <w:color w:val="auto"/>
              </w:rPr>
            </w:pPr>
          </w:p>
        </w:tc>
        <w:tc>
          <w:tcPr>
            <w:tcW w:w="720" w:type="dxa"/>
            <w:vAlign w:val="bottom"/>
            <w:tcBorders>
              <w:bottom w:val="single" w:sz="8" w:color="0E3C23"/>
            </w:tcBorders>
          </w:tcPr>
          <w:p>
            <w:pPr>
              <w:spacing w:after="0"/>
              <w:rPr>
                <w:sz w:val="18"/>
                <w:szCs w:val="18"/>
                <w:color w:val="auto"/>
              </w:rPr>
            </w:pPr>
          </w:p>
        </w:tc>
        <w:tc>
          <w:tcPr>
            <w:tcW w:w="980" w:type="dxa"/>
            <w:vAlign w:val="bottom"/>
            <w:tcBorders>
              <w:bottom w:val="single" w:sz="8" w:color="0E3C23"/>
            </w:tcBorders>
          </w:tcPr>
          <w:p>
            <w:pPr>
              <w:jc w:val="right"/>
              <w:spacing w:after="0" w:line="206" w:lineRule="exact"/>
              <w:rPr>
                <w:sz w:val="20"/>
                <w:szCs w:val="20"/>
                <w:color w:val="auto"/>
              </w:rPr>
            </w:pPr>
            <w:r>
              <w:rPr>
                <w:rFonts w:ascii="Arial" w:cs="Arial" w:eastAsia="Arial" w:hAnsi="Arial"/>
                <w:sz w:val="18"/>
                <w:szCs w:val="18"/>
                <w:color w:val="auto"/>
                <w:w w:val="99"/>
              </w:rPr>
              <w:t>10,292,103</w:t>
            </w:r>
          </w:p>
        </w:tc>
        <w:tc>
          <w:tcPr>
            <w:tcW w:w="0" w:type="dxa"/>
            <w:vAlign w:val="bottom"/>
          </w:tcPr>
          <w:p>
            <w:pPr>
              <w:spacing w:after="0"/>
              <w:rPr>
                <w:sz w:val="1"/>
                <w:szCs w:val="1"/>
                <w:color w:val="auto"/>
              </w:rPr>
            </w:pPr>
          </w:p>
        </w:tc>
      </w:tr>
      <w:tr>
        <w:trPr>
          <w:trHeight w:val="208"/>
        </w:trPr>
        <w:tc>
          <w:tcPr>
            <w:tcW w:w="1340" w:type="dxa"/>
            <w:vAlign w:val="bottom"/>
            <w:tcBorders>
              <w:bottom w:val="single" w:sz="8" w:color="0E3C23"/>
            </w:tcBorders>
          </w:tcPr>
          <w:p>
            <w:pPr>
              <w:ind w:left="260"/>
              <w:spacing w:after="0" w:line="206" w:lineRule="exact"/>
              <w:rPr>
                <w:sz w:val="20"/>
                <w:szCs w:val="20"/>
                <w:color w:val="auto"/>
              </w:rPr>
            </w:pPr>
            <w:r>
              <w:rPr>
                <w:rFonts w:ascii="Arial" w:cs="Arial" w:eastAsia="Arial" w:hAnsi="Arial"/>
                <w:sz w:val="18"/>
                <w:szCs w:val="18"/>
                <w:color w:val="auto"/>
              </w:rPr>
              <w:t>3/1/24</w:t>
            </w:r>
          </w:p>
        </w:tc>
        <w:tc>
          <w:tcPr>
            <w:tcW w:w="760" w:type="dxa"/>
            <w:vAlign w:val="bottom"/>
            <w:tcBorders>
              <w:bottom w:val="single" w:sz="8" w:color="0E3C23"/>
            </w:tcBorders>
          </w:tcPr>
          <w:p>
            <w:pPr>
              <w:spacing w:after="0"/>
              <w:rPr>
                <w:sz w:val="18"/>
                <w:szCs w:val="18"/>
                <w:color w:val="auto"/>
              </w:rPr>
            </w:pPr>
          </w:p>
        </w:tc>
        <w:tc>
          <w:tcPr>
            <w:tcW w:w="1040" w:type="dxa"/>
            <w:vAlign w:val="bottom"/>
            <w:tcBorders>
              <w:bottom w:val="single" w:sz="8" w:color="0E3C23"/>
            </w:tcBorders>
          </w:tcPr>
          <w:p>
            <w:pPr>
              <w:spacing w:after="0"/>
              <w:rPr>
                <w:sz w:val="18"/>
                <w:szCs w:val="18"/>
                <w:color w:val="auto"/>
              </w:rPr>
            </w:pPr>
          </w:p>
        </w:tc>
        <w:tc>
          <w:tcPr>
            <w:tcW w:w="760" w:type="dxa"/>
            <w:vAlign w:val="bottom"/>
            <w:tcBorders>
              <w:bottom w:val="single" w:sz="8" w:color="0E3C23"/>
            </w:tcBorders>
          </w:tcPr>
          <w:p>
            <w:pPr>
              <w:spacing w:after="0"/>
              <w:rPr>
                <w:sz w:val="18"/>
                <w:szCs w:val="18"/>
                <w:color w:val="auto"/>
              </w:rPr>
            </w:pPr>
          </w:p>
        </w:tc>
        <w:tc>
          <w:tcPr>
            <w:tcW w:w="80" w:type="dxa"/>
            <w:vAlign w:val="bottom"/>
            <w:tcBorders>
              <w:bottom w:val="single" w:sz="8" w:color="0E3C23"/>
            </w:tcBorders>
          </w:tcPr>
          <w:p>
            <w:pPr>
              <w:spacing w:after="0"/>
              <w:rPr>
                <w:sz w:val="18"/>
                <w:szCs w:val="18"/>
                <w:color w:val="auto"/>
              </w:rPr>
            </w:pPr>
          </w:p>
        </w:tc>
        <w:tc>
          <w:tcPr>
            <w:tcW w:w="60" w:type="dxa"/>
            <w:vAlign w:val="bottom"/>
            <w:tcBorders>
              <w:bottom w:val="single" w:sz="8" w:color="0E3C23"/>
            </w:tcBorders>
          </w:tcPr>
          <w:p>
            <w:pPr>
              <w:spacing w:after="0"/>
              <w:rPr>
                <w:sz w:val="18"/>
                <w:szCs w:val="18"/>
                <w:color w:val="auto"/>
              </w:rPr>
            </w:pPr>
          </w:p>
        </w:tc>
        <w:tc>
          <w:tcPr>
            <w:tcW w:w="800" w:type="dxa"/>
            <w:vAlign w:val="bottom"/>
            <w:tcBorders>
              <w:bottom w:val="single" w:sz="8" w:color="0E3C23"/>
            </w:tcBorders>
          </w:tcPr>
          <w:p>
            <w:pPr>
              <w:spacing w:after="0"/>
              <w:rPr>
                <w:sz w:val="18"/>
                <w:szCs w:val="18"/>
                <w:color w:val="auto"/>
              </w:rPr>
            </w:pPr>
          </w:p>
        </w:tc>
        <w:tc>
          <w:tcPr>
            <w:tcW w:w="660" w:type="dxa"/>
            <w:vAlign w:val="bottom"/>
            <w:tcBorders>
              <w:bottom w:val="single" w:sz="8" w:color="0E3C23"/>
            </w:tcBorders>
          </w:tcPr>
          <w:p>
            <w:pPr>
              <w:spacing w:after="0"/>
              <w:rPr>
                <w:sz w:val="18"/>
                <w:szCs w:val="18"/>
                <w:color w:val="auto"/>
              </w:rPr>
            </w:pPr>
          </w:p>
        </w:tc>
        <w:tc>
          <w:tcPr>
            <w:tcW w:w="760" w:type="dxa"/>
            <w:vAlign w:val="bottom"/>
            <w:tcBorders>
              <w:bottom w:val="single" w:sz="8" w:color="0E3C23"/>
            </w:tcBorders>
          </w:tcPr>
          <w:p>
            <w:pPr>
              <w:spacing w:after="0"/>
              <w:rPr>
                <w:sz w:val="18"/>
                <w:szCs w:val="18"/>
                <w:color w:val="auto"/>
              </w:rPr>
            </w:pPr>
          </w:p>
        </w:tc>
        <w:tc>
          <w:tcPr>
            <w:tcW w:w="80" w:type="dxa"/>
            <w:vAlign w:val="bottom"/>
            <w:tcBorders>
              <w:bottom w:val="single" w:sz="8" w:color="0E3C23"/>
            </w:tcBorders>
          </w:tcPr>
          <w:p>
            <w:pPr>
              <w:spacing w:after="0"/>
              <w:rPr>
                <w:sz w:val="18"/>
                <w:szCs w:val="18"/>
                <w:color w:val="auto"/>
              </w:rPr>
            </w:pPr>
          </w:p>
        </w:tc>
        <w:tc>
          <w:tcPr>
            <w:tcW w:w="880" w:type="dxa"/>
            <w:vAlign w:val="bottom"/>
            <w:tcBorders>
              <w:bottom w:val="single" w:sz="8" w:color="0E3C23"/>
            </w:tcBorders>
          </w:tcPr>
          <w:p>
            <w:pPr>
              <w:spacing w:after="0"/>
              <w:rPr>
                <w:sz w:val="18"/>
                <w:szCs w:val="18"/>
                <w:color w:val="auto"/>
              </w:rPr>
            </w:pPr>
          </w:p>
        </w:tc>
        <w:tc>
          <w:tcPr>
            <w:tcW w:w="1000" w:type="dxa"/>
            <w:vAlign w:val="bottom"/>
            <w:tcBorders>
              <w:bottom w:val="single" w:sz="8" w:color="0E3C23"/>
            </w:tcBorders>
          </w:tcPr>
          <w:p>
            <w:pPr>
              <w:jc w:val="right"/>
              <w:ind w:right="135"/>
              <w:spacing w:after="0" w:line="206" w:lineRule="exact"/>
              <w:rPr>
                <w:sz w:val="20"/>
                <w:szCs w:val="20"/>
                <w:color w:val="auto"/>
              </w:rPr>
            </w:pPr>
            <w:r>
              <w:rPr>
                <w:rFonts w:ascii="Arial" w:cs="Arial" w:eastAsia="Arial" w:hAnsi="Arial"/>
                <w:sz w:val="18"/>
                <w:szCs w:val="18"/>
                <w:color w:val="auto"/>
              </w:rPr>
              <w:t>45,349</w:t>
            </w:r>
          </w:p>
        </w:tc>
        <w:tc>
          <w:tcPr>
            <w:tcW w:w="880" w:type="dxa"/>
            <w:vAlign w:val="bottom"/>
            <w:tcBorders>
              <w:bottom w:val="single" w:sz="8" w:color="0E3C23"/>
            </w:tcBorders>
          </w:tcPr>
          <w:p>
            <w:pPr>
              <w:jc w:val="right"/>
              <w:spacing w:after="0" w:line="206" w:lineRule="exact"/>
              <w:rPr>
                <w:sz w:val="20"/>
                <w:szCs w:val="20"/>
                <w:color w:val="auto"/>
              </w:rPr>
            </w:pPr>
            <w:r>
              <w:rPr>
                <w:rFonts w:ascii="Arial" w:cs="Arial" w:eastAsia="Arial" w:hAnsi="Arial"/>
                <w:sz w:val="18"/>
                <w:szCs w:val="18"/>
                <w:color w:val="auto"/>
              </w:rPr>
              <w:t>204.7585</w:t>
            </w:r>
          </w:p>
        </w:tc>
        <w:tc>
          <w:tcPr>
            <w:tcW w:w="720" w:type="dxa"/>
            <w:vAlign w:val="bottom"/>
            <w:tcBorders>
              <w:bottom w:val="single" w:sz="8" w:color="0E3C23"/>
            </w:tcBorders>
          </w:tcPr>
          <w:p>
            <w:pPr>
              <w:jc w:val="right"/>
              <w:ind w:right="15"/>
              <w:spacing w:after="0" w:line="206" w:lineRule="exact"/>
              <w:rPr>
                <w:sz w:val="20"/>
                <w:szCs w:val="20"/>
                <w:color w:val="auto"/>
              </w:rPr>
            </w:pPr>
            <w:r>
              <w:rPr>
                <w:rFonts w:ascii="Arial" w:cs="Arial" w:eastAsia="Arial" w:hAnsi="Arial"/>
                <w:sz w:val="18"/>
                <w:szCs w:val="18"/>
                <w:color w:val="auto"/>
              </w:rPr>
              <w:t>205.79</w:t>
            </w:r>
          </w:p>
        </w:tc>
        <w:tc>
          <w:tcPr>
            <w:tcW w:w="980" w:type="dxa"/>
            <w:vAlign w:val="bottom"/>
            <w:tcBorders>
              <w:bottom w:val="single" w:sz="8" w:color="0E3C23"/>
            </w:tcBorders>
          </w:tcPr>
          <w:p>
            <w:pPr>
              <w:jc w:val="right"/>
              <w:spacing w:after="0" w:line="206" w:lineRule="exact"/>
              <w:rPr>
                <w:sz w:val="20"/>
                <w:szCs w:val="20"/>
                <w:color w:val="auto"/>
              </w:rPr>
            </w:pPr>
            <w:r>
              <w:rPr>
                <w:rFonts w:ascii="Arial" w:cs="Arial" w:eastAsia="Arial" w:hAnsi="Arial"/>
                <w:sz w:val="18"/>
                <w:szCs w:val="18"/>
                <w:color w:val="auto"/>
              </w:rPr>
              <w:t>1,950,007</w:t>
            </w:r>
          </w:p>
        </w:tc>
        <w:tc>
          <w:tcPr>
            <w:tcW w:w="0" w:type="dxa"/>
            <w:vAlign w:val="bottom"/>
          </w:tcPr>
          <w:p>
            <w:pPr>
              <w:spacing w:after="0"/>
              <w:rPr>
                <w:sz w:val="1"/>
                <w:szCs w:val="1"/>
                <w:color w:val="auto"/>
              </w:rPr>
            </w:pPr>
          </w:p>
        </w:tc>
      </w:tr>
      <w:tr>
        <w:trPr>
          <w:trHeight w:val="210"/>
        </w:trPr>
        <w:tc>
          <w:tcPr>
            <w:tcW w:w="2100" w:type="dxa"/>
            <w:vAlign w:val="bottom"/>
            <w:tcBorders>
              <w:bottom w:val="single" w:sz="8" w:color="0E3C23"/>
            </w:tcBorders>
            <w:gridSpan w:val="2"/>
          </w:tcPr>
          <w:p>
            <w:pPr>
              <w:ind w:left="60"/>
              <w:spacing w:after="0"/>
              <w:rPr>
                <w:sz w:val="20"/>
                <w:szCs w:val="20"/>
                <w:color w:val="auto"/>
              </w:rPr>
            </w:pPr>
            <w:r>
              <w:rPr>
                <w:rFonts w:ascii="Arial" w:cs="Arial" w:eastAsia="Arial" w:hAnsi="Arial"/>
                <w:sz w:val="18"/>
                <w:szCs w:val="18"/>
                <w:b w:val="1"/>
                <w:bCs w:val="1"/>
                <w:color w:val="auto"/>
              </w:rPr>
              <w:t>Devina A. Rankin</w:t>
            </w:r>
          </w:p>
        </w:tc>
        <w:tc>
          <w:tcPr>
            <w:tcW w:w="1040" w:type="dxa"/>
            <w:vAlign w:val="bottom"/>
            <w:tcBorders>
              <w:bottom w:val="single" w:sz="8" w:color="0E3C23"/>
            </w:tcBorders>
          </w:tcPr>
          <w:p>
            <w:pPr>
              <w:spacing w:after="0"/>
              <w:rPr>
                <w:sz w:val="18"/>
                <w:szCs w:val="18"/>
                <w:color w:val="auto"/>
              </w:rPr>
            </w:pPr>
          </w:p>
        </w:tc>
        <w:tc>
          <w:tcPr>
            <w:tcW w:w="760" w:type="dxa"/>
            <w:vAlign w:val="bottom"/>
            <w:tcBorders>
              <w:bottom w:val="single" w:sz="8" w:color="0E3C23"/>
            </w:tcBorders>
          </w:tcPr>
          <w:p>
            <w:pPr>
              <w:spacing w:after="0"/>
              <w:rPr>
                <w:sz w:val="18"/>
                <w:szCs w:val="18"/>
                <w:color w:val="auto"/>
              </w:rPr>
            </w:pPr>
          </w:p>
        </w:tc>
        <w:tc>
          <w:tcPr>
            <w:tcW w:w="80" w:type="dxa"/>
            <w:vAlign w:val="bottom"/>
            <w:tcBorders>
              <w:bottom w:val="single" w:sz="8" w:color="0E3C23"/>
            </w:tcBorders>
          </w:tcPr>
          <w:p>
            <w:pPr>
              <w:spacing w:after="0"/>
              <w:rPr>
                <w:sz w:val="18"/>
                <w:szCs w:val="18"/>
                <w:color w:val="auto"/>
              </w:rPr>
            </w:pPr>
          </w:p>
        </w:tc>
        <w:tc>
          <w:tcPr>
            <w:tcW w:w="60" w:type="dxa"/>
            <w:vAlign w:val="bottom"/>
            <w:tcBorders>
              <w:bottom w:val="single" w:sz="8" w:color="0E3C23"/>
            </w:tcBorders>
          </w:tcPr>
          <w:p>
            <w:pPr>
              <w:spacing w:after="0"/>
              <w:rPr>
                <w:sz w:val="18"/>
                <w:szCs w:val="18"/>
                <w:color w:val="auto"/>
              </w:rPr>
            </w:pPr>
          </w:p>
        </w:tc>
        <w:tc>
          <w:tcPr>
            <w:tcW w:w="800" w:type="dxa"/>
            <w:vAlign w:val="bottom"/>
            <w:tcBorders>
              <w:bottom w:val="single" w:sz="8" w:color="0E3C23"/>
            </w:tcBorders>
          </w:tcPr>
          <w:p>
            <w:pPr>
              <w:spacing w:after="0"/>
              <w:rPr>
                <w:sz w:val="18"/>
                <w:szCs w:val="18"/>
                <w:color w:val="auto"/>
              </w:rPr>
            </w:pPr>
          </w:p>
        </w:tc>
        <w:tc>
          <w:tcPr>
            <w:tcW w:w="660" w:type="dxa"/>
            <w:vAlign w:val="bottom"/>
            <w:tcBorders>
              <w:bottom w:val="single" w:sz="8" w:color="0E3C23"/>
            </w:tcBorders>
          </w:tcPr>
          <w:p>
            <w:pPr>
              <w:spacing w:after="0"/>
              <w:rPr>
                <w:sz w:val="18"/>
                <w:szCs w:val="18"/>
                <w:color w:val="auto"/>
              </w:rPr>
            </w:pPr>
          </w:p>
        </w:tc>
        <w:tc>
          <w:tcPr>
            <w:tcW w:w="760" w:type="dxa"/>
            <w:vAlign w:val="bottom"/>
            <w:tcBorders>
              <w:bottom w:val="single" w:sz="8" w:color="0E3C23"/>
            </w:tcBorders>
          </w:tcPr>
          <w:p>
            <w:pPr>
              <w:spacing w:after="0"/>
              <w:rPr>
                <w:sz w:val="18"/>
                <w:szCs w:val="18"/>
                <w:color w:val="auto"/>
              </w:rPr>
            </w:pPr>
          </w:p>
        </w:tc>
        <w:tc>
          <w:tcPr>
            <w:tcW w:w="80" w:type="dxa"/>
            <w:vAlign w:val="bottom"/>
            <w:tcBorders>
              <w:bottom w:val="single" w:sz="8" w:color="0E3C23"/>
            </w:tcBorders>
          </w:tcPr>
          <w:p>
            <w:pPr>
              <w:spacing w:after="0"/>
              <w:rPr>
                <w:sz w:val="18"/>
                <w:szCs w:val="18"/>
                <w:color w:val="auto"/>
              </w:rPr>
            </w:pPr>
          </w:p>
        </w:tc>
        <w:tc>
          <w:tcPr>
            <w:tcW w:w="880" w:type="dxa"/>
            <w:vAlign w:val="bottom"/>
            <w:tcBorders>
              <w:bottom w:val="single" w:sz="8" w:color="0E3C23"/>
            </w:tcBorders>
          </w:tcPr>
          <w:p>
            <w:pPr>
              <w:spacing w:after="0"/>
              <w:rPr>
                <w:sz w:val="18"/>
                <w:szCs w:val="18"/>
                <w:color w:val="auto"/>
              </w:rPr>
            </w:pPr>
          </w:p>
        </w:tc>
        <w:tc>
          <w:tcPr>
            <w:tcW w:w="1000" w:type="dxa"/>
            <w:vAlign w:val="bottom"/>
            <w:tcBorders>
              <w:bottom w:val="single" w:sz="8" w:color="0E3C23"/>
            </w:tcBorders>
          </w:tcPr>
          <w:p>
            <w:pPr>
              <w:spacing w:after="0"/>
              <w:rPr>
                <w:sz w:val="18"/>
                <w:szCs w:val="18"/>
                <w:color w:val="auto"/>
              </w:rPr>
            </w:pPr>
          </w:p>
        </w:tc>
        <w:tc>
          <w:tcPr>
            <w:tcW w:w="880" w:type="dxa"/>
            <w:vAlign w:val="bottom"/>
            <w:tcBorders>
              <w:bottom w:val="single" w:sz="8" w:color="0E3C23"/>
            </w:tcBorders>
          </w:tcPr>
          <w:p>
            <w:pPr>
              <w:spacing w:after="0"/>
              <w:rPr>
                <w:sz w:val="18"/>
                <w:szCs w:val="18"/>
                <w:color w:val="auto"/>
              </w:rPr>
            </w:pPr>
          </w:p>
        </w:tc>
        <w:tc>
          <w:tcPr>
            <w:tcW w:w="720" w:type="dxa"/>
            <w:vAlign w:val="bottom"/>
            <w:tcBorders>
              <w:bottom w:val="single" w:sz="8" w:color="0E3C23"/>
            </w:tcBorders>
          </w:tcPr>
          <w:p>
            <w:pPr>
              <w:spacing w:after="0"/>
              <w:rPr>
                <w:sz w:val="18"/>
                <w:szCs w:val="18"/>
                <w:color w:val="auto"/>
              </w:rPr>
            </w:pPr>
          </w:p>
        </w:tc>
        <w:tc>
          <w:tcPr>
            <w:tcW w:w="980" w:type="dxa"/>
            <w:vAlign w:val="bottom"/>
            <w:tcBorders>
              <w:bottom w:val="single" w:sz="8" w:color="0E3C23"/>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40" w:type="dxa"/>
            <w:vAlign w:val="bottom"/>
            <w:tcBorders>
              <w:bottom w:val="single" w:sz="8" w:color="0E3C23"/>
            </w:tcBorders>
          </w:tcPr>
          <w:p>
            <w:pPr>
              <w:ind w:left="60"/>
              <w:spacing w:after="0" w:line="206" w:lineRule="exact"/>
              <w:rPr>
                <w:sz w:val="20"/>
                <w:szCs w:val="20"/>
                <w:color w:val="auto"/>
              </w:rPr>
            </w:pPr>
            <w:r>
              <w:rPr>
                <w:rFonts w:ascii="Arial" w:cs="Arial" w:eastAsia="Arial" w:hAnsi="Arial"/>
                <w:sz w:val="18"/>
                <w:szCs w:val="18"/>
                <w:color w:val="auto"/>
              </w:rPr>
              <w:t>Cash Incentive</w:t>
            </w:r>
          </w:p>
        </w:tc>
        <w:tc>
          <w:tcPr>
            <w:tcW w:w="760" w:type="dxa"/>
            <w:vAlign w:val="bottom"/>
            <w:tcBorders>
              <w:bottom w:val="single" w:sz="8" w:color="0E3C23"/>
            </w:tcBorders>
          </w:tcPr>
          <w:p>
            <w:pPr>
              <w:jc w:val="right"/>
              <w:spacing w:after="0" w:line="206" w:lineRule="exact"/>
              <w:rPr>
                <w:sz w:val="20"/>
                <w:szCs w:val="20"/>
                <w:color w:val="auto"/>
              </w:rPr>
            </w:pPr>
            <w:r>
              <w:rPr>
                <w:rFonts w:ascii="Arial" w:cs="Arial" w:eastAsia="Arial" w:hAnsi="Arial"/>
                <w:sz w:val="18"/>
                <w:szCs w:val="18"/>
                <w:color w:val="auto"/>
              </w:rPr>
              <w:t>478,980</w:t>
            </w:r>
          </w:p>
        </w:tc>
        <w:tc>
          <w:tcPr>
            <w:tcW w:w="1040" w:type="dxa"/>
            <w:vAlign w:val="bottom"/>
            <w:tcBorders>
              <w:bottom w:val="single" w:sz="8" w:color="0E3C23"/>
            </w:tcBorders>
          </w:tcPr>
          <w:p>
            <w:pPr>
              <w:jc w:val="right"/>
              <w:ind w:right="53"/>
              <w:spacing w:after="0" w:line="206" w:lineRule="exact"/>
              <w:rPr>
                <w:sz w:val="20"/>
                <w:szCs w:val="20"/>
                <w:color w:val="auto"/>
              </w:rPr>
            </w:pPr>
            <w:r>
              <w:rPr>
                <w:rFonts w:ascii="Arial" w:cs="Arial" w:eastAsia="Arial" w:hAnsi="Arial"/>
                <w:sz w:val="18"/>
                <w:szCs w:val="18"/>
                <w:color w:val="auto"/>
              </w:rPr>
              <w:t>798,300</w:t>
            </w:r>
          </w:p>
        </w:tc>
        <w:tc>
          <w:tcPr>
            <w:tcW w:w="840" w:type="dxa"/>
            <w:vAlign w:val="bottom"/>
            <w:tcBorders>
              <w:bottom w:val="single" w:sz="8" w:color="0E3C23"/>
            </w:tcBorders>
            <w:gridSpan w:val="2"/>
          </w:tcPr>
          <w:p>
            <w:pPr>
              <w:jc w:val="right"/>
              <w:ind w:right="80"/>
              <w:spacing w:after="0" w:line="206" w:lineRule="exact"/>
              <w:rPr>
                <w:sz w:val="20"/>
                <w:szCs w:val="20"/>
                <w:color w:val="auto"/>
              </w:rPr>
            </w:pPr>
            <w:r>
              <w:rPr>
                <w:rFonts w:ascii="Arial" w:cs="Arial" w:eastAsia="Arial" w:hAnsi="Arial"/>
                <w:sz w:val="18"/>
                <w:szCs w:val="18"/>
                <w:color w:val="auto"/>
                <w:w w:val="92"/>
              </w:rPr>
              <w:t>1,596,600</w:t>
            </w:r>
          </w:p>
        </w:tc>
        <w:tc>
          <w:tcPr>
            <w:tcW w:w="60" w:type="dxa"/>
            <w:vAlign w:val="bottom"/>
            <w:tcBorders>
              <w:bottom w:val="single" w:sz="8" w:color="0E3C23"/>
            </w:tcBorders>
          </w:tcPr>
          <w:p>
            <w:pPr>
              <w:spacing w:after="0"/>
              <w:rPr>
                <w:sz w:val="17"/>
                <w:szCs w:val="17"/>
                <w:color w:val="auto"/>
              </w:rPr>
            </w:pPr>
          </w:p>
        </w:tc>
        <w:tc>
          <w:tcPr>
            <w:tcW w:w="800" w:type="dxa"/>
            <w:vAlign w:val="bottom"/>
            <w:tcBorders>
              <w:bottom w:val="single" w:sz="8" w:color="0E3C23"/>
            </w:tcBorders>
          </w:tcPr>
          <w:p>
            <w:pPr>
              <w:spacing w:after="0"/>
              <w:rPr>
                <w:sz w:val="17"/>
                <w:szCs w:val="17"/>
                <w:color w:val="auto"/>
              </w:rPr>
            </w:pPr>
          </w:p>
        </w:tc>
        <w:tc>
          <w:tcPr>
            <w:tcW w:w="660" w:type="dxa"/>
            <w:vAlign w:val="bottom"/>
            <w:tcBorders>
              <w:bottom w:val="single" w:sz="8" w:color="0E3C23"/>
            </w:tcBorders>
          </w:tcPr>
          <w:p>
            <w:pPr>
              <w:spacing w:after="0"/>
              <w:rPr>
                <w:sz w:val="17"/>
                <w:szCs w:val="17"/>
                <w:color w:val="auto"/>
              </w:rPr>
            </w:pPr>
          </w:p>
        </w:tc>
        <w:tc>
          <w:tcPr>
            <w:tcW w:w="760" w:type="dxa"/>
            <w:vAlign w:val="bottom"/>
            <w:tcBorders>
              <w:bottom w:val="single" w:sz="8" w:color="0E3C23"/>
            </w:tcBorders>
          </w:tcPr>
          <w:p>
            <w:pPr>
              <w:spacing w:after="0"/>
              <w:rPr>
                <w:sz w:val="17"/>
                <w:szCs w:val="17"/>
                <w:color w:val="auto"/>
              </w:rPr>
            </w:pPr>
          </w:p>
        </w:tc>
        <w:tc>
          <w:tcPr>
            <w:tcW w:w="80" w:type="dxa"/>
            <w:vAlign w:val="bottom"/>
            <w:tcBorders>
              <w:bottom w:val="single" w:sz="8" w:color="0E3C23"/>
            </w:tcBorders>
          </w:tcPr>
          <w:p>
            <w:pPr>
              <w:spacing w:after="0"/>
              <w:rPr>
                <w:sz w:val="17"/>
                <w:szCs w:val="17"/>
                <w:color w:val="auto"/>
              </w:rPr>
            </w:pPr>
          </w:p>
        </w:tc>
        <w:tc>
          <w:tcPr>
            <w:tcW w:w="880" w:type="dxa"/>
            <w:vAlign w:val="bottom"/>
            <w:tcBorders>
              <w:bottom w:val="single" w:sz="8" w:color="0E3C23"/>
            </w:tcBorders>
          </w:tcPr>
          <w:p>
            <w:pPr>
              <w:spacing w:after="0"/>
              <w:rPr>
                <w:sz w:val="17"/>
                <w:szCs w:val="17"/>
                <w:color w:val="auto"/>
              </w:rPr>
            </w:pPr>
          </w:p>
        </w:tc>
        <w:tc>
          <w:tcPr>
            <w:tcW w:w="1000" w:type="dxa"/>
            <w:vAlign w:val="bottom"/>
            <w:tcBorders>
              <w:bottom w:val="single" w:sz="8" w:color="0E3C23"/>
            </w:tcBorders>
          </w:tcPr>
          <w:p>
            <w:pPr>
              <w:spacing w:after="0"/>
              <w:rPr>
                <w:sz w:val="17"/>
                <w:szCs w:val="17"/>
                <w:color w:val="auto"/>
              </w:rPr>
            </w:pPr>
          </w:p>
        </w:tc>
        <w:tc>
          <w:tcPr>
            <w:tcW w:w="880" w:type="dxa"/>
            <w:vAlign w:val="bottom"/>
            <w:tcBorders>
              <w:bottom w:val="single" w:sz="8" w:color="0E3C23"/>
            </w:tcBorders>
          </w:tcPr>
          <w:p>
            <w:pPr>
              <w:spacing w:after="0"/>
              <w:rPr>
                <w:sz w:val="17"/>
                <w:szCs w:val="17"/>
                <w:color w:val="auto"/>
              </w:rPr>
            </w:pPr>
          </w:p>
        </w:tc>
        <w:tc>
          <w:tcPr>
            <w:tcW w:w="720" w:type="dxa"/>
            <w:vAlign w:val="bottom"/>
            <w:tcBorders>
              <w:bottom w:val="single" w:sz="8" w:color="0E3C23"/>
            </w:tcBorders>
          </w:tcPr>
          <w:p>
            <w:pPr>
              <w:spacing w:after="0"/>
              <w:rPr>
                <w:sz w:val="17"/>
                <w:szCs w:val="17"/>
                <w:color w:val="auto"/>
              </w:rPr>
            </w:pPr>
          </w:p>
        </w:tc>
        <w:tc>
          <w:tcPr>
            <w:tcW w:w="980" w:type="dxa"/>
            <w:vAlign w:val="bottom"/>
            <w:tcBorders>
              <w:bottom w:val="single" w:sz="8" w:color="0E3C23"/>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340" w:type="dxa"/>
            <w:vAlign w:val="bottom"/>
            <w:tcBorders>
              <w:bottom w:val="single" w:sz="8" w:color="0E3C23"/>
            </w:tcBorders>
          </w:tcPr>
          <w:p>
            <w:pPr>
              <w:ind w:left="260"/>
              <w:spacing w:after="0" w:line="206" w:lineRule="exact"/>
              <w:rPr>
                <w:sz w:val="20"/>
                <w:szCs w:val="20"/>
                <w:color w:val="auto"/>
              </w:rPr>
            </w:pPr>
            <w:r>
              <w:rPr>
                <w:rFonts w:ascii="Arial" w:cs="Arial" w:eastAsia="Arial" w:hAnsi="Arial"/>
                <w:sz w:val="18"/>
                <w:szCs w:val="18"/>
                <w:color w:val="auto"/>
              </w:rPr>
              <w:t>3/1/24</w:t>
            </w:r>
          </w:p>
        </w:tc>
        <w:tc>
          <w:tcPr>
            <w:tcW w:w="760" w:type="dxa"/>
            <w:vAlign w:val="bottom"/>
            <w:tcBorders>
              <w:bottom w:val="single" w:sz="8" w:color="0E3C23"/>
            </w:tcBorders>
          </w:tcPr>
          <w:p>
            <w:pPr>
              <w:spacing w:after="0"/>
              <w:rPr>
                <w:sz w:val="18"/>
                <w:szCs w:val="18"/>
                <w:color w:val="auto"/>
              </w:rPr>
            </w:pPr>
          </w:p>
        </w:tc>
        <w:tc>
          <w:tcPr>
            <w:tcW w:w="1040" w:type="dxa"/>
            <w:vAlign w:val="bottom"/>
            <w:tcBorders>
              <w:bottom w:val="single" w:sz="8" w:color="0E3C23"/>
            </w:tcBorders>
          </w:tcPr>
          <w:p>
            <w:pPr>
              <w:spacing w:after="0"/>
              <w:rPr>
                <w:sz w:val="18"/>
                <w:szCs w:val="18"/>
                <w:color w:val="auto"/>
              </w:rPr>
            </w:pPr>
          </w:p>
        </w:tc>
        <w:tc>
          <w:tcPr>
            <w:tcW w:w="760" w:type="dxa"/>
            <w:vAlign w:val="bottom"/>
            <w:tcBorders>
              <w:bottom w:val="single" w:sz="8" w:color="0E3C23"/>
            </w:tcBorders>
          </w:tcPr>
          <w:p>
            <w:pPr>
              <w:spacing w:after="0"/>
              <w:rPr>
                <w:sz w:val="18"/>
                <w:szCs w:val="18"/>
                <w:color w:val="auto"/>
              </w:rPr>
            </w:pPr>
          </w:p>
        </w:tc>
        <w:tc>
          <w:tcPr>
            <w:tcW w:w="80" w:type="dxa"/>
            <w:vAlign w:val="bottom"/>
            <w:tcBorders>
              <w:bottom w:val="single" w:sz="8" w:color="0E3C23"/>
            </w:tcBorders>
          </w:tcPr>
          <w:p>
            <w:pPr>
              <w:spacing w:after="0"/>
              <w:rPr>
                <w:sz w:val="18"/>
                <w:szCs w:val="18"/>
                <w:color w:val="auto"/>
              </w:rPr>
            </w:pPr>
          </w:p>
        </w:tc>
        <w:tc>
          <w:tcPr>
            <w:tcW w:w="860" w:type="dxa"/>
            <w:vAlign w:val="bottom"/>
            <w:tcBorders>
              <w:bottom w:val="single" w:sz="8" w:color="0E3C23"/>
            </w:tcBorders>
            <w:gridSpan w:val="2"/>
          </w:tcPr>
          <w:p>
            <w:pPr>
              <w:jc w:val="right"/>
              <w:ind w:right="80"/>
              <w:spacing w:after="0" w:line="206" w:lineRule="exact"/>
              <w:rPr>
                <w:sz w:val="20"/>
                <w:szCs w:val="20"/>
                <w:color w:val="auto"/>
              </w:rPr>
            </w:pPr>
            <w:r>
              <w:rPr>
                <w:rFonts w:ascii="Arial" w:cs="Arial" w:eastAsia="Arial" w:hAnsi="Arial"/>
                <w:sz w:val="18"/>
                <w:szCs w:val="18"/>
                <w:color w:val="auto"/>
              </w:rPr>
              <w:t>4,742</w:t>
            </w:r>
          </w:p>
        </w:tc>
        <w:tc>
          <w:tcPr>
            <w:tcW w:w="660" w:type="dxa"/>
            <w:vAlign w:val="bottom"/>
            <w:tcBorders>
              <w:bottom w:val="single" w:sz="8" w:color="0E3C23"/>
            </w:tcBorders>
          </w:tcPr>
          <w:p>
            <w:pPr>
              <w:jc w:val="right"/>
              <w:spacing w:after="0" w:line="206" w:lineRule="exact"/>
              <w:rPr>
                <w:sz w:val="20"/>
                <w:szCs w:val="20"/>
                <w:color w:val="auto"/>
              </w:rPr>
            </w:pPr>
            <w:r>
              <w:rPr>
                <w:rFonts w:ascii="Arial" w:cs="Arial" w:eastAsia="Arial" w:hAnsi="Arial"/>
                <w:sz w:val="18"/>
                <w:szCs w:val="18"/>
                <w:color w:val="auto"/>
              </w:rPr>
              <w:t>9,484</w:t>
            </w:r>
          </w:p>
        </w:tc>
        <w:tc>
          <w:tcPr>
            <w:tcW w:w="760" w:type="dxa"/>
            <w:vAlign w:val="bottom"/>
            <w:tcBorders>
              <w:bottom w:val="single" w:sz="8" w:color="0E3C23"/>
            </w:tcBorders>
          </w:tcPr>
          <w:p>
            <w:pPr>
              <w:jc w:val="center"/>
              <w:spacing w:after="0" w:line="206" w:lineRule="exact"/>
              <w:rPr>
                <w:sz w:val="20"/>
                <w:szCs w:val="20"/>
                <w:color w:val="auto"/>
              </w:rPr>
            </w:pPr>
            <w:r>
              <w:rPr>
                <w:rFonts w:ascii="Arial" w:cs="Arial" w:eastAsia="Arial" w:hAnsi="Arial"/>
                <w:sz w:val="18"/>
                <w:szCs w:val="18"/>
                <w:color w:val="auto"/>
                <w:w w:val="94"/>
              </w:rPr>
              <w:t>18,968</w:t>
            </w:r>
          </w:p>
        </w:tc>
        <w:tc>
          <w:tcPr>
            <w:tcW w:w="80" w:type="dxa"/>
            <w:vAlign w:val="bottom"/>
            <w:tcBorders>
              <w:bottom w:val="single" w:sz="8" w:color="0E3C23"/>
            </w:tcBorders>
          </w:tcPr>
          <w:p>
            <w:pPr>
              <w:spacing w:after="0"/>
              <w:rPr>
                <w:sz w:val="18"/>
                <w:szCs w:val="18"/>
                <w:color w:val="auto"/>
              </w:rPr>
            </w:pPr>
          </w:p>
        </w:tc>
        <w:tc>
          <w:tcPr>
            <w:tcW w:w="880" w:type="dxa"/>
            <w:vAlign w:val="bottom"/>
            <w:tcBorders>
              <w:bottom w:val="single" w:sz="8" w:color="0E3C23"/>
            </w:tcBorders>
          </w:tcPr>
          <w:p>
            <w:pPr>
              <w:spacing w:after="0"/>
              <w:rPr>
                <w:sz w:val="18"/>
                <w:szCs w:val="18"/>
                <w:color w:val="auto"/>
              </w:rPr>
            </w:pPr>
          </w:p>
        </w:tc>
        <w:tc>
          <w:tcPr>
            <w:tcW w:w="1000" w:type="dxa"/>
            <w:vAlign w:val="bottom"/>
            <w:tcBorders>
              <w:bottom w:val="single" w:sz="8" w:color="0E3C23"/>
            </w:tcBorders>
          </w:tcPr>
          <w:p>
            <w:pPr>
              <w:spacing w:after="0"/>
              <w:rPr>
                <w:sz w:val="18"/>
                <w:szCs w:val="18"/>
                <w:color w:val="auto"/>
              </w:rPr>
            </w:pPr>
          </w:p>
        </w:tc>
        <w:tc>
          <w:tcPr>
            <w:tcW w:w="880" w:type="dxa"/>
            <w:vAlign w:val="bottom"/>
            <w:tcBorders>
              <w:bottom w:val="single" w:sz="8" w:color="0E3C23"/>
            </w:tcBorders>
          </w:tcPr>
          <w:p>
            <w:pPr>
              <w:spacing w:after="0"/>
              <w:rPr>
                <w:sz w:val="18"/>
                <w:szCs w:val="18"/>
                <w:color w:val="auto"/>
              </w:rPr>
            </w:pPr>
          </w:p>
        </w:tc>
        <w:tc>
          <w:tcPr>
            <w:tcW w:w="720" w:type="dxa"/>
            <w:vAlign w:val="bottom"/>
            <w:tcBorders>
              <w:bottom w:val="single" w:sz="8" w:color="0E3C23"/>
            </w:tcBorders>
          </w:tcPr>
          <w:p>
            <w:pPr>
              <w:spacing w:after="0"/>
              <w:rPr>
                <w:sz w:val="18"/>
                <w:szCs w:val="18"/>
                <w:color w:val="auto"/>
              </w:rPr>
            </w:pPr>
          </w:p>
        </w:tc>
        <w:tc>
          <w:tcPr>
            <w:tcW w:w="980" w:type="dxa"/>
            <w:vAlign w:val="bottom"/>
            <w:tcBorders>
              <w:bottom w:val="single" w:sz="8" w:color="0E3C23"/>
            </w:tcBorders>
          </w:tcPr>
          <w:p>
            <w:pPr>
              <w:jc w:val="right"/>
              <w:spacing w:after="0" w:line="206" w:lineRule="exact"/>
              <w:rPr>
                <w:sz w:val="20"/>
                <w:szCs w:val="20"/>
                <w:color w:val="auto"/>
              </w:rPr>
            </w:pPr>
            <w:r>
              <w:rPr>
                <w:rFonts w:ascii="Arial" w:cs="Arial" w:eastAsia="Arial" w:hAnsi="Arial"/>
                <w:sz w:val="18"/>
                <w:szCs w:val="18"/>
                <w:color w:val="auto"/>
              </w:rPr>
              <w:t>2,427,755</w:t>
            </w:r>
          </w:p>
        </w:tc>
        <w:tc>
          <w:tcPr>
            <w:tcW w:w="0" w:type="dxa"/>
            <w:vAlign w:val="bottom"/>
          </w:tcPr>
          <w:p>
            <w:pPr>
              <w:spacing w:after="0"/>
              <w:rPr>
                <w:sz w:val="1"/>
                <w:szCs w:val="1"/>
                <w:color w:val="auto"/>
              </w:rPr>
            </w:pPr>
          </w:p>
        </w:tc>
      </w:tr>
      <w:tr>
        <w:trPr>
          <w:trHeight w:val="208"/>
        </w:trPr>
        <w:tc>
          <w:tcPr>
            <w:tcW w:w="1340" w:type="dxa"/>
            <w:vAlign w:val="bottom"/>
            <w:tcBorders>
              <w:bottom w:val="single" w:sz="8" w:color="0E3C23"/>
            </w:tcBorders>
          </w:tcPr>
          <w:p>
            <w:pPr>
              <w:ind w:left="260"/>
              <w:spacing w:after="0" w:line="206" w:lineRule="exact"/>
              <w:rPr>
                <w:sz w:val="20"/>
                <w:szCs w:val="20"/>
                <w:color w:val="auto"/>
              </w:rPr>
            </w:pPr>
            <w:r>
              <w:rPr>
                <w:rFonts w:ascii="Arial" w:cs="Arial" w:eastAsia="Arial" w:hAnsi="Arial"/>
                <w:sz w:val="18"/>
                <w:szCs w:val="18"/>
                <w:color w:val="auto"/>
              </w:rPr>
              <w:t>3/1/24</w:t>
            </w:r>
          </w:p>
        </w:tc>
        <w:tc>
          <w:tcPr>
            <w:tcW w:w="760" w:type="dxa"/>
            <w:vAlign w:val="bottom"/>
            <w:tcBorders>
              <w:bottom w:val="single" w:sz="8" w:color="0E3C23"/>
            </w:tcBorders>
          </w:tcPr>
          <w:p>
            <w:pPr>
              <w:spacing w:after="0"/>
              <w:rPr>
                <w:sz w:val="18"/>
                <w:szCs w:val="18"/>
                <w:color w:val="auto"/>
              </w:rPr>
            </w:pPr>
          </w:p>
        </w:tc>
        <w:tc>
          <w:tcPr>
            <w:tcW w:w="1040" w:type="dxa"/>
            <w:vAlign w:val="bottom"/>
            <w:tcBorders>
              <w:bottom w:val="single" w:sz="8" w:color="0E3C23"/>
            </w:tcBorders>
          </w:tcPr>
          <w:p>
            <w:pPr>
              <w:spacing w:after="0"/>
              <w:rPr>
                <w:sz w:val="18"/>
                <w:szCs w:val="18"/>
                <w:color w:val="auto"/>
              </w:rPr>
            </w:pPr>
          </w:p>
        </w:tc>
        <w:tc>
          <w:tcPr>
            <w:tcW w:w="760" w:type="dxa"/>
            <w:vAlign w:val="bottom"/>
            <w:tcBorders>
              <w:bottom w:val="single" w:sz="8" w:color="0E3C23"/>
            </w:tcBorders>
          </w:tcPr>
          <w:p>
            <w:pPr>
              <w:spacing w:after="0"/>
              <w:rPr>
                <w:sz w:val="18"/>
                <w:szCs w:val="18"/>
                <w:color w:val="auto"/>
              </w:rPr>
            </w:pPr>
          </w:p>
        </w:tc>
        <w:tc>
          <w:tcPr>
            <w:tcW w:w="80" w:type="dxa"/>
            <w:vAlign w:val="bottom"/>
            <w:tcBorders>
              <w:bottom w:val="single" w:sz="8" w:color="0E3C23"/>
            </w:tcBorders>
          </w:tcPr>
          <w:p>
            <w:pPr>
              <w:spacing w:after="0"/>
              <w:rPr>
                <w:sz w:val="18"/>
                <w:szCs w:val="18"/>
                <w:color w:val="auto"/>
              </w:rPr>
            </w:pPr>
          </w:p>
        </w:tc>
        <w:tc>
          <w:tcPr>
            <w:tcW w:w="60" w:type="dxa"/>
            <w:vAlign w:val="bottom"/>
            <w:tcBorders>
              <w:bottom w:val="single" w:sz="8" w:color="0E3C23"/>
            </w:tcBorders>
          </w:tcPr>
          <w:p>
            <w:pPr>
              <w:spacing w:after="0"/>
              <w:rPr>
                <w:sz w:val="18"/>
                <w:szCs w:val="18"/>
                <w:color w:val="auto"/>
              </w:rPr>
            </w:pPr>
          </w:p>
        </w:tc>
        <w:tc>
          <w:tcPr>
            <w:tcW w:w="800" w:type="dxa"/>
            <w:vAlign w:val="bottom"/>
            <w:tcBorders>
              <w:bottom w:val="single" w:sz="8" w:color="0E3C23"/>
            </w:tcBorders>
          </w:tcPr>
          <w:p>
            <w:pPr>
              <w:spacing w:after="0"/>
              <w:rPr>
                <w:sz w:val="18"/>
                <w:szCs w:val="18"/>
                <w:color w:val="auto"/>
              </w:rPr>
            </w:pPr>
          </w:p>
        </w:tc>
        <w:tc>
          <w:tcPr>
            <w:tcW w:w="660" w:type="dxa"/>
            <w:vAlign w:val="bottom"/>
            <w:tcBorders>
              <w:bottom w:val="single" w:sz="8" w:color="0E3C23"/>
            </w:tcBorders>
          </w:tcPr>
          <w:p>
            <w:pPr>
              <w:spacing w:after="0"/>
              <w:rPr>
                <w:sz w:val="18"/>
                <w:szCs w:val="18"/>
                <w:color w:val="auto"/>
              </w:rPr>
            </w:pPr>
          </w:p>
        </w:tc>
        <w:tc>
          <w:tcPr>
            <w:tcW w:w="760" w:type="dxa"/>
            <w:vAlign w:val="bottom"/>
            <w:tcBorders>
              <w:bottom w:val="single" w:sz="8" w:color="0E3C23"/>
            </w:tcBorders>
          </w:tcPr>
          <w:p>
            <w:pPr>
              <w:spacing w:after="0"/>
              <w:rPr>
                <w:sz w:val="18"/>
                <w:szCs w:val="18"/>
                <w:color w:val="auto"/>
              </w:rPr>
            </w:pPr>
          </w:p>
        </w:tc>
        <w:tc>
          <w:tcPr>
            <w:tcW w:w="80" w:type="dxa"/>
            <w:vAlign w:val="bottom"/>
            <w:tcBorders>
              <w:bottom w:val="single" w:sz="8" w:color="0E3C23"/>
            </w:tcBorders>
          </w:tcPr>
          <w:p>
            <w:pPr>
              <w:spacing w:after="0"/>
              <w:rPr>
                <w:sz w:val="18"/>
                <w:szCs w:val="18"/>
                <w:color w:val="auto"/>
              </w:rPr>
            </w:pPr>
          </w:p>
        </w:tc>
        <w:tc>
          <w:tcPr>
            <w:tcW w:w="880" w:type="dxa"/>
            <w:vAlign w:val="bottom"/>
            <w:tcBorders>
              <w:bottom w:val="single" w:sz="8" w:color="0E3C23"/>
            </w:tcBorders>
          </w:tcPr>
          <w:p>
            <w:pPr>
              <w:spacing w:after="0"/>
              <w:rPr>
                <w:sz w:val="18"/>
                <w:szCs w:val="18"/>
                <w:color w:val="auto"/>
              </w:rPr>
            </w:pPr>
          </w:p>
        </w:tc>
        <w:tc>
          <w:tcPr>
            <w:tcW w:w="1000" w:type="dxa"/>
            <w:vAlign w:val="bottom"/>
            <w:tcBorders>
              <w:bottom w:val="single" w:sz="8" w:color="0E3C23"/>
            </w:tcBorders>
          </w:tcPr>
          <w:p>
            <w:pPr>
              <w:jc w:val="right"/>
              <w:ind w:right="135"/>
              <w:spacing w:after="0" w:line="206" w:lineRule="exact"/>
              <w:rPr>
                <w:sz w:val="20"/>
                <w:szCs w:val="20"/>
                <w:color w:val="auto"/>
              </w:rPr>
            </w:pPr>
            <w:r>
              <w:rPr>
                <w:rFonts w:ascii="Arial" w:cs="Arial" w:eastAsia="Arial" w:hAnsi="Arial"/>
                <w:sz w:val="18"/>
                <w:szCs w:val="18"/>
                <w:color w:val="auto"/>
              </w:rPr>
              <w:t>10,698</w:t>
            </w:r>
          </w:p>
        </w:tc>
        <w:tc>
          <w:tcPr>
            <w:tcW w:w="880" w:type="dxa"/>
            <w:vAlign w:val="bottom"/>
            <w:tcBorders>
              <w:bottom w:val="single" w:sz="8" w:color="0E3C23"/>
            </w:tcBorders>
          </w:tcPr>
          <w:p>
            <w:pPr>
              <w:jc w:val="right"/>
              <w:spacing w:after="0" w:line="206" w:lineRule="exact"/>
              <w:rPr>
                <w:sz w:val="20"/>
                <w:szCs w:val="20"/>
                <w:color w:val="auto"/>
              </w:rPr>
            </w:pPr>
            <w:r>
              <w:rPr>
                <w:rFonts w:ascii="Arial" w:cs="Arial" w:eastAsia="Arial" w:hAnsi="Arial"/>
                <w:sz w:val="18"/>
                <w:szCs w:val="18"/>
                <w:color w:val="auto"/>
              </w:rPr>
              <w:t>204.7585</w:t>
            </w:r>
          </w:p>
        </w:tc>
        <w:tc>
          <w:tcPr>
            <w:tcW w:w="720" w:type="dxa"/>
            <w:vAlign w:val="bottom"/>
            <w:tcBorders>
              <w:bottom w:val="single" w:sz="8" w:color="0E3C23"/>
            </w:tcBorders>
          </w:tcPr>
          <w:p>
            <w:pPr>
              <w:jc w:val="right"/>
              <w:ind w:right="15"/>
              <w:spacing w:after="0" w:line="206" w:lineRule="exact"/>
              <w:rPr>
                <w:sz w:val="20"/>
                <w:szCs w:val="20"/>
                <w:color w:val="auto"/>
              </w:rPr>
            </w:pPr>
            <w:r>
              <w:rPr>
                <w:rFonts w:ascii="Arial" w:cs="Arial" w:eastAsia="Arial" w:hAnsi="Arial"/>
                <w:sz w:val="18"/>
                <w:szCs w:val="18"/>
                <w:color w:val="auto"/>
              </w:rPr>
              <w:t>205.79</w:t>
            </w:r>
          </w:p>
        </w:tc>
        <w:tc>
          <w:tcPr>
            <w:tcW w:w="980" w:type="dxa"/>
            <w:vAlign w:val="bottom"/>
            <w:tcBorders>
              <w:bottom w:val="single" w:sz="8" w:color="0E3C23"/>
            </w:tcBorders>
          </w:tcPr>
          <w:p>
            <w:pPr>
              <w:jc w:val="right"/>
              <w:spacing w:after="0" w:line="206" w:lineRule="exact"/>
              <w:rPr>
                <w:sz w:val="20"/>
                <w:szCs w:val="20"/>
                <w:color w:val="auto"/>
              </w:rPr>
            </w:pPr>
            <w:r>
              <w:rPr>
                <w:rFonts w:ascii="Arial" w:cs="Arial" w:eastAsia="Arial" w:hAnsi="Arial"/>
                <w:sz w:val="18"/>
                <w:szCs w:val="18"/>
                <w:color w:val="auto"/>
              </w:rPr>
              <w:t>460,014</w:t>
            </w:r>
          </w:p>
        </w:tc>
        <w:tc>
          <w:tcPr>
            <w:tcW w:w="0" w:type="dxa"/>
            <w:vAlign w:val="bottom"/>
          </w:tcPr>
          <w:p>
            <w:pPr>
              <w:spacing w:after="0"/>
              <w:rPr>
                <w:sz w:val="1"/>
                <w:szCs w:val="1"/>
                <w:color w:val="auto"/>
              </w:rPr>
            </w:pPr>
          </w:p>
        </w:tc>
      </w:tr>
      <w:tr>
        <w:trPr>
          <w:trHeight w:val="210"/>
        </w:trPr>
        <w:tc>
          <w:tcPr>
            <w:tcW w:w="2100" w:type="dxa"/>
            <w:vAlign w:val="bottom"/>
            <w:tcBorders>
              <w:bottom w:val="single" w:sz="8" w:color="0E3C23"/>
            </w:tcBorders>
            <w:gridSpan w:val="2"/>
          </w:tcPr>
          <w:p>
            <w:pPr>
              <w:ind w:left="60"/>
              <w:spacing w:after="0"/>
              <w:rPr>
                <w:sz w:val="20"/>
                <w:szCs w:val="20"/>
                <w:color w:val="auto"/>
              </w:rPr>
            </w:pPr>
            <w:r>
              <w:rPr>
                <w:rFonts w:ascii="Arial" w:cs="Arial" w:eastAsia="Arial" w:hAnsi="Arial"/>
                <w:sz w:val="18"/>
                <w:szCs w:val="18"/>
                <w:b w:val="1"/>
                <w:bCs w:val="1"/>
                <w:color w:val="auto"/>
              </w:rPr>
              <w:t>John J. Morris, Jr.</w:t>
            </w:r>
          </w:p>
        </w:tc>
        <w:tc>
          <w:tcPr>
            <w:tcW w:w="1040" w:type="dxa"/>
            <w:vAlign w:val="bottom"/>
            <w:tcBorders>
              <w:bottom w:val="single" w:sz="8" w:color="0E3C23"/>
            </w:tcBorders>
          </w:tcPr>
          <w:p>
            <w:pPr>
              <w:spacing w:after="0"/>
              <w:rPr>
                <w:sz w:val="18"/>
                <w:szCs w:val="18"/>
                <w:color w:val="auto"/>
              </w:rPr>
            </w:pPr>
          </w:p>
        </w:tc>
        <w:tc>
          <w:tcPr>
            <w:tcW w:w="760" w:type="dxa"/>
            <w:vAlign w:val="bottom"/>
            <w:tcBorders>
              <w:bottom w:val="single" w:sz="8" w:color="0E3C23"/>
            </w:tcBorders>
          </w:tcPr>
          <w:p>
            <w:pPr>
              <w:spacing w:after="0"/>
              <w:rPr>
                <w:sz w:val="18"/>
                <w:szCs w:val="18"/>
                <w:color w:val="auto"/>
              </w:rPr>
            </w:pPr>
          </w:p>
        </w:tc>
        <w:tc>
          <w:tcPr>
            <w:tcW w:w="80" w:type="dxa"/>
            <w:vAlign w:val="bottom"/>
            <w:tcBorders>
              <w:bottom w:val="single" w:sz="8" w:color="0E3C23"/>
            </w:tcBorders>
          </w:tcPr>
          <w:p>
            <w:pPr>
              <w:spacing w:after="0"/>
              <w:rPr>
                <w:sz w:val="18"/>
                <w:szCs w:val="18"/>
                <w:color w:val="auto"/>
              </w:rPr>
            </w:pPr>
          </w:p>
        </w:tc>
        <w:tc>
          <w:tcPr>
            <w:tcW w:w="60" w:type="dxa"/>
            <w:vAlign w:val="bottom"/>
            <w:tcBorders>
              <w:bottom w:val="single" w:sz="8" w:color="0E3C23"/>
            </w:tcBorders>
          </w:tcPr>
          <w:p>
            <w:pPr>
              <w:spacing w:after="0"/>
              <w:rPr>
                <w:sz w:val="18"/>
                <w:szCs w:val="18"/>
                <w:color w:val="auto"/>
              </w:rPr>
            </w:pPr>
          </w:p>
        </w:tc>
        <w:tc>
          <w:tcPr>
            <w:tcW w:w="800" w:type="dxa"/>
            <w:vAlign w:val="bottom"/>
            <w:tcBorders>
              <w:bottom w:val="single" w:sz="8" w:color="0E3C23"/>
            </w:tcBorders>
          </w:tcPr>
          <w:p>
            <w:pPr>
              <w:spacing w:after="0"/>
              <w:rPr>
                <w:sz w:val="18"/>
                <w:szCs w:val="18"/>
                <w:color w:val="auto"/>
              </w:rPr>
            </w:pPr>
          </w:p>
        </w:tc>
        <w:tc>
          <w:tcPr>
            <w:tcW w:w="660" w:type="dxa"/>
            <w:vAlign w:val="bottom"/>
            <w:tcBorders>
              <w:bottom w:val="single" w:sz="8" w:color="0E3C23"/>
            </w:tcBorders>
          </w:tcPr>
          <w:p>
            <w:pPr>
              <w:spacing w:after="0"/>
              <w:rPr>
                <w:sz w:val="18"/>
                <w:szCs w:val="18"/>
                <w:color w:val="auto"/>
              </w:rPr>
            </w:pPr>
          </w:p>
        </w:tc>
        <w:tc>
          <w:tcPr>
            <w:tcW w:w="760" w:type="dxa"/>
            <w:vAlign w:val="bottom"/>
            <w:tcBorders>
              <w:bottom w:val="single" w:sz="8" w:color="0E3C23"/>
            </w:tcBorders>
          </w:tcPr>
          <w:p>
            <w:pPr>
              <w:spacing w:after="0"/>
              <w:rPr>
                <w:sz w:val="18"/>
                <w:szCs w:val="18"/>
                <w:color w:val="auto"/>
              </w:rPr>
            </w:pPr>
          </w:p>
        </w:tc>
        <w:tc>
          <w:tcPr>
            <w:tcW w:w="80" w:type="dxa"/>
            <w:vAlign w:val="bottom"/>
            <w:tcBorders>
              <w:bottom w:val="single" w:sz="8" w:color="0E3C23"/>
            </w:tcBorders>
          </w:tcPr>
          <w:p>
            <w:pPr>
              <w:spacing w:after="0"/>
              <w:rPr>
                <w:sz w:val="18"/>
                <w:szCs w:val="18"/>
                <w:color w:val="auto"/>
              </w:rPr>
            </w:pPr>
          </w:p>
        </w:tc>
        <w:tc>
          <w:tcPr>
            <w:tcW w:w="880" w:type="dxa"/>
            <w:vAlign w:val="bottom"/>
            <w:tcBorders>
              <w:bottom w:val="single" w:sz="8" w:color="0E3C23"/>
            </w:tcBorders>
          </w:tcPr>
          <w:p>
            <w:pPr>
              <w:spacing w:after="0"/>
              <w:rPr>
                <w:sz w:val="18"/>
                <w:szCs w:val="18"/>
                <w:color w:val="auto"/>
              </w:rPr>
            </w:pPr>
          </w:p>
        </w:tc>
        <w:tc>
          <w:tcPr>
            <w:tcW w:w="1000" w:type="dxa"/>
            <w:vAlign w:val="bottom"/>
            <w:tcBorders>
              <w:bottom w:val="single" w:sz="8" w:color="0E3C23"/>
            </w:tcBorders>
          </w:tcPr>
          <w:p>
            <w:pPr>
              <w:spacing w:after="0"/>
              <w:rPr>
                <w:sz w:val="18"/>
                <w:szCs w:val="18"/>
                <w:color w:val="auto"/>
              </w:rPr>
            </w:pPr>
          </w:p>
        </w:tc>
        <w:tc>
          <w:tcPr>
            <w:tcW w:w="880" w:type="dxa"/>
            <w:vAlign w:val="bottom"/>
            <w:tcBorders>
              <w:bottom w:val="single" w:sz="8" w:color="0E3C23"/>
            </w:tcBorders>
          </w:tcPr>
          <w:p>
            <w:pPr>
              <w:spacing w:after="0"/>
              <w:rPr>
                <w:sz w:val="18"/>
                <w:szCs w:val="18"/>
                <w:color w:val="auto"/>
              </w:rPr>
            </w:pPr>
          </w:p>
        </w:tc>
        <w:tc>
          <w:tcPr>
            <w:tcW w:w="720" w:type="dxa"/>
            <w:vAlign w:val="bottom"/>
            <w:tcBorders>
              <w:bottom w:val="single" w:sz="8" w:color="0E3C23"/>
            </w:tcBorders>
          </w:tcPr>
          <w:p>
            <w:pPr>
              <w:spacing w:after="0"/>
              <w:rPr>
                <w:sz w:val="18"/>
                <w:szCs w:val="18"/>
                <w:color w:val="auto"/>
              </w:rPr>
            </w:pPr>
          </w:p>
        </w:tc>
        <w:tc>
          <w:tcPr>
            <w:tcW w:w="980" w:type="dxa"/>
            <w:vAlign w:val="bottom"/>
            <w:tcBorders>
              <w:bottom w:val="single" w:sz="8" w:color="0E3C23"/>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40" w:type="dxa"/>
            <w:vAlign w:val="bottom"/>
            <w:tcBorders>
              <w:bottom w:val="single" w:sz="8" w:color="0E3C23"/>
            </w:tcBorders>
          </w:tcPr>
          <w:p>
            <w:pPr>
              <w:ind w:left="60"/>
              <w:spacing w:after="0" w:line="206" w:lineRule="exact"/>
              <w:rPr>
                <w:sz w:val="20"/>
                <w:szCs w:val="20"/>
                <w:color w:val="auto"/>
              </w:rPr>
            </w:pPr>
            <w:r>
              <w:rPr>
                <w:rFonts w:ascii="Arial" w:cs="Arial" w:eastAsia="Arial" w:hAnsi="Arial"/>
                <w:sz w:val="18"/>
                <w:szCs w:val="18"/>
                <w:color w:val="auto"/>
              </w:rPr>
              <w:t>Cash Incentive</w:t>
            </w:r>
          </w:p>
        </w:tc>
        <w:tc>
          <w:tcPr>
            <w:tcW w:w="760" w:type="dxa"/>
            <w:vAlign w:val="bottom"/>
            <w:tcBorders>
              <w:bottom w:val="single" w:sz="8" w:color="0E3C23"/>
            </w:tcBorders>
          </w:tcPr>
          <w:p>
            <w:pPr>
              <w:jc w:val="right"/>
              <w:spacing w:after="0" w:line="206" w:lineRule="exact"/>
              <w:rPr>
                <w:sz w:val="20"/>
                <w:szCs w:val="20"/>
                <w:color w:val="auto"/>
              </w:rPr>
            </w:pPr>
            <w:r>
              <w:rPr>
                <w:rFonts w:ascii="Arial" w:cs="Arial" w:eastAsia="Arial" w:hAnsi="Arial"/>
                <w:sz w:val="18"/>
                <w:szCs w:val="18"/>
                <w:color w:val="auto"/>
              </w:rPr>
              <w:t>538,164</w:t>
            </w:r>
          </w:p>
        </w:tc>
        <w:tc>
          <w:tcPr>
            <w:tcW w:w="1040" w:type="dxa"/>
            <w:vAlign w:val="bottom"/>
            <w:tcBorders>
              <w:bottom w:val="single" w:sz="8" w:color="0E3C23"/>
            </w:tcBorders>
          </w:tcPr>
          <w:p>
            <w:pPr>
              <w:jc w:val="right"/>
              <w:ind w:right="53"/>
              <w:spacing w:after="0" w:line="206" w:lineRule="exact"/>
              <w:rPr>
                <w:sz w:val="20"/>
                <w:szCs w:val="20"/>
                <w:color w:val="auto"/>
              </w:rPr>
            </w:pPr>
            <w:r>
              <w:rPr>
                <w:rFonts w:ascii="Arial" w:cs="Arial" w:eastAsia="Arial" w:hAnsi="Arial"/>
                <w:sz w:val="18"/>
                <w:szCs w:val="18"/>
                <w:color w:val="auto"/>
              </w:rPr>
              <w:t>896,940</w:t>
            </w:r>
          </w:p>
        </w:tc>
        <w:tc>
          <w:tcPr>
            <w:tcW w:w="840" w:type="dxa"/>
            <w:vAlign w:val="bottom"/>
            <w:tcBorders>
              <w:bottom w:val="single" w:sz="8" w:color="0E3C23"/>
            </w:tcBorders>
            <w:gridSpan w:val="2"/>
          </w:tcPr>
          <w:p>
            <w:pPr>
              <w:jc w:val="right"/>
              <w:ind w:right="80"/>
              <w:spacing w:after="0" w:line="206" w:lineRule="exact"/>
              <w:rPr>
                <w:sz w:val="20"/>
                <w:szCs w:val="20"/>
                <w:color w:val="auto"/>
              </w:rPr>
            </w:pPr>
            <w:r>
              <w:rPr>
                <w:rFonts w:ascii="Arial" w:cs="Arial" w:eastAsia="Arial" w:hAnsi="Arial"/>
                <w:sz w:val="18"/>
                <w:szCs w:val="18"/>
                <w:color w:val="auto"/>
                <w:w w:val="92"/>
              </w:rPr>
              <w:t>1,793,880</w:t>
            </w:r>
          </w:p>
        </w:tc>
        <w:tc>
          <w:tcPr>
            <w:tcW w:w="60" w:type="dxa"/>
            <w:vAlign w:val="bottom"/>
            <w:tcBorders>
              <w:bottom w:val="single" w:sz="8" w:color="0E3C23"/>
            </w:tcBorders>
          </w:tcPr>
          <w:p>
            <w:pPr>
              <w:spacing w:after="0"/>
              <w:rPr>
                <w:sz w:val="17"/>
                <w:szCs w:val="17"/>
                <w:color w:val="auto"/>
              </w:rPr>
            </w:pPr>
          </w:p>
        </w:tc>
        <w:tc>
          <w:tcPr>
            <w:tcW w:w="800" w:type="dxa"/>
            <w:vAlign w:val="bottom"/>
            <w:tcBorders>
              <w:bottom w:val="single" w:sz="8" w:color="0E3C23"/>
            </w:tcBorders>
          </w:tcPr>
          <w:p>
            <w:pPr>
              <w:spacing w:after="0"/>
              <w:rPr>
                <w:sz w:val="17"/>
                <w:szCs w:val="17"/>
                <w:color w:val="auto"/>
              </w:rPr>
            </w:pPr>
          </w:p>
        </w:tc>
        <w:tc>
          <w:tcPr>
            <w:tcW w:w="660" w:type="dxa"/>
            <w:vAlign w:val="bottom"/>
            <w:tcBorders>
              <w:bottom w:val="single" w:sz="8" w:color="0E3C23"/>
            </w:tcBorders>
          </w:tcPr>
          <w:p>
            <w:pPr>
              <w:spacing w:after="0"/>
              <w:rPr>
                <w:sz w:val="17"/>
                <w:szCs w:val="17"/>
                <w:color w:val="auto"/>
              </w:rPr>
            </w:pPr>
          </w:p>
        </w:tc>
        <w:tc>
          <w:tcPr>
            <w:tcW w:w="760" w:type="dxa"/>
            <w:vAlign w:val="bottom"/>
            <w:tcBorders>
              <w:bottom w:val="single" w:sz="8" w:color="0E3C23"/>
            </w:tcBorders>
          </w:tcPr>
          <w:p>
            <w:pPr>
              <w:spacing w:after="0"/>
              <w:rPr>
                <w:sz w:val="17"/>
                <w:szCs w:val="17"/>
                <w:color w:val="auto"/>
              </w:rPr>
            </w:pPr>
          </w:p>
        </w:tc>
        <w:tc>
          <w:tcPr>
            <w:tcW w:w="80" w:type="dxa"/>
            <w:vAlign w:val="bottom"/>
            <w:tcBorders>
              <w:bottom w:val="single" w:sz="8" w:color="0E3C23"/>
            </w:tcBorders>
          </w:tcPr>
          <w:p>
            <w:pPr>
              <w:spacing w:after="0"/>
              <w:rPr>
                <w:sz w:val="17"/>
                <w:szCs w:val="17"/>
                <w:color w:val="auto"/>
              </w:rPr>
            </w:pPr>
          </w:p>
        </w:tc>
        <w:tc>
          <w:tcPr>
            <w:tcW w:w="880" w:type="dxa"/>
            <w:vAlign w:val="bottom"/>
            <w:tcBorders>
              <w:bottom w:val="single" w:sz="8" w:color="0E3C23"/>
            </w:tcBorders>
          </w:tcPr>
          <w:p>
            <w:pPr>
              <w:spacing w:after="0"/>
              <w:rPr>
                <w:sz w:val="17"/>
                <w:szCs w:val="17"/>
                <w:color w:val="auto"/>
              </w:rPr>
            </w:pPr>
          </w:p>
        </w:tc>
        <w:tc>
          <w:tcPr>
            <w:tcW w:w="1000" w:type="dxa"/>
            <w:vAlign w:val="bottom"/>
            <w:tcBorders>
              <w:bottom w:val="single" w:sz="8" w:color="0E3C23"/>
            </w:tcBorders>
          </w:tcPr>
          <w:p>
            <w:pPr>
              <w:spacing w:after="0"/>
              <w:rPr>
                <w:sz w:val="17"/>
                <w:szCs w:val="17"/>
                <w:color w:val="auto"/>
              </w:rPr>
            </w:pPr>
          </w:p>
        </w:tc>
        <w:tc>
          <w:tcPr>
            <w:tcW w:w="880" w:type="dxa"/>
            <w:vAlign w:val="bottom"/>
            <w:tcBorders>
              <w:bottom w:val="single" w:sz="8" w:color="0E3C23"/>
            </w:tcBorders>
          </w:tcPr>
          <w:p>
            <w:pPr>
              <w:spacing w:after="0"/>
              <w:rPr>
                <w:sz w:val="17"/>
                <w:szCs w:val="17"/>
                <w:color w:val="auto"/>
              </w:rPr>
            </w:pPr>
          </w:p>
        </w:tc>
        <w:tc>
          <w:tcPr>
            <w:tcW w:w="720" w:type="dxa"/>
            <w:vAlign w:val="bottom"/>
            <w:tcBorders>
              <w:bottom w:val="single" w:sz="8" w:color="0E3C23"/>
            </w:tcBorders>
          </w:tcPr>
          <w:p>
            <w:pPr>
              <w:spacing w:after="0"/>
              <w:rPr>
                <w:sz w:val="17"/>
                <w:szCs w:val="17"/>
                <w:color w:val="auto"/>
              </w:rPr>
            </w:pPr>
          </w:p>
        </w:tc>
        <w:tc>
          <w:tcPr>
            <w:tcW w:w="980" w:type="dxa"/>
            <w:vAlign w:val="bottom"/>
            <w:tcBorders>
              <w:bottom w:val="single" w:sz="8" w:color="0E3C23"/>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340" w:type="dxa"/>
            <w:vAlign w:val="bottom"/>
            <w:tcBorders>
              <w:bottom w:val="single" w:sz="8" w:color="0E3C23"/>
            </w:tcBorders>
          </w:tcPr>
          <w:p>
            <w:pPr>
              <w:ind w:left="260"/>
              <w:spacing w:after="0" w:line="206" w:lineRule="exact"/>
              <w:rPr>
                <w:sz w:val="20"/>
                <w:szCs w:val="20"/>
                <w:color w:val="auto"/>
              </w:rPr>
            </w:pPr>
            <w:r>
              <w:rPr>
                <w:rFonts w:ascii="Arial" w:cs="Arial" w:eastAsia="Arial" w:hAnsi="Arial"/>
                <w:sz w:val="18"/>
                <w:szCs w:val="18"/>
                <w:color w:val="auto"/>
              </w:rPr>
              <w:t>3/1/24</w:t>
            </w:r>
          </w:p>
        </w:tc>
        <w:tc>
          <w:tcPr>
            <w:tcW w:w="760" w:type="dxa"/>
            <w:vAlign w:val="bottom"/>
            <w:tcBorders>
              <w:bottom w:val="single" w:sz="8" w:color="0E3C23"/>
            </w:tcBorders>
          </w:tcPr>
          <w:p>
            <w:pPr>
              <w:spacing w:after="0"/>
              <w:rPr>
                <w:sz w:val="18"/>
                <w:szCs w:val="18"/>
                <w:color w:val="auto"/>
              </w:rPr>
            </w:pPr>
          </w:p>
        </w:tc>
        <w:tc>
          <w:tcPr>
            <w:tcW w:w="1040" w:type="dxa"/>
            <w:vAlign w:val="bottom"/>
            <w:tcBorders>
              <w:bottom w:val="single" w:sz="8" w:color="0E3C23"/>
            </w:tcBorders>
          </w:tcPr>
          <w:p>
            <w:pPr>
              <w:spacing w:after="0"/>
              <w:rPr>
                <w:sz w:val="18"/>
                <w:szCs w:val="18"/>
                <w:color w:val="auto"/>
              </w:rPr>
            </w:pPr>
          </w:p>
        </w:tc>
        <w:tc>
          <w:tcPr>
            <w:tcW w:w="760" w:type="dxa"/>
            <w:vAlign w:val="bottom"/>
            <w:tcBorders>
              <w:bottom w:val="single" w:sz="8" w:color="0E3C23"/>
            </w:tcBorders>
          </w:tcPr>
          <w:p>
            <w:pPr>
              <w:spacing w:after="0"/>
              <w:rPr>
                <w:sz w:val="18"/>
                <w:szCs w:val="18"/>
                <w:color w:val="auto"/>
              </w:rPr>
            </w:pPr>
          </w:p>
        </w:tc>
        <w:tc>
          <w:tcPr>
            <w:tcW w:w="80" w:type="dxa"/>
            <w:vAlign w:val="bottom"/>
            <w:tcBorders>
              <w:bottom w:val="single" w:sz="8" w:color="0E3C23"/>
            </w:tcBorders>
          </w:tcPr>
          <w:p>
            <w:pPr>
              <w:spacing w:after="0"/>
              <w:rPr>
                <w:sz w:val="18"/>
                <w:szCs w:val="18"/>
                <w:color w:val="auto"/>
              </w:rPr>
            </w:pPr>
          </w:p>
        </w:tc>
        <w:tc>
          <w:tcPr>
            <w:tcW w:w="860" w:type="dxa"/>
            <w:vAlign w:val="bottom"/>
            <w:tcBorders>
              <w:bottom w:val="single" w:sz="8" w:color="0E3C23"/>
            </w:tcBorders>
            <w:gridSpan w:val="2"/>
          </w:tcPr>
          <w:p>
            <w:pPr>
              <w:jc w:val="right"/>
              <w:ind w:right="80"/>
              <w:spacing w:after="0" w:line="206" w:lineRule="exact"/>
              <w:rPr>
                <w:sz w:val="20"/>
                <w:szCs w:val="20"/>
                <w:color w:val="auto"/>
              </w:rPr>
            </w:pPr>
            <w:r>
              <w:rPr>
                <w:rFonts w:ascii="Arial" w:cs="Arial" w:eastAsia="Arial" w:hAnsi="Arial"/>
                <w:sz w:val="18"/>
                <w:szCs w:val="18"/>
                <w:color w:val="auto"/>
              </w:rPr>
              <w:t>6,082</w:t>
            </w:r>
          </w:p>
        </w:tc>
        <w:tc>
          <w:tcPr>
            <w:tcW w:w="660" w:type="dxa"/>
            <w:vAlign w:val="bottom"/>
            <w:tcBorders>
              <w:bottom w:val="single" w:sz="8" w:color="0E3C23"/>
            </w:tcBorders>
          </w:tcPr>
          <w:p>
            <w:pPr>
              <w:jc w:val="right"/>
              <w:spacing w:after="0" w:line="206" w:lineRule="exact"/>
              <w:rPr>
                <w:sz w:val="20"/>
                <w:szCs w:val="20"/>
                <w:color w:val="auto"/>
              </w:rPr>
            </w:pPr>
            <w:r>
              <w:rPr>
                <w:rFonts w:ascii="Arial" w:cs="Arial" w:eastAsia="Arial" w:hAnsi="Arial"/>
                <w:sz w:val="18"/>
                <w:szCs w:val="18"/>
                <w:color w:val="auto"/>
              </w:rPr>
              <w:t>12,164</w:t>
            </w:r>
          </w:p>
        </w:tc>
        <w:tc>
          <w:tcPr>
            <w:tcW w:w="760" w:type="dxa"/>
            <w:vAlign w:val="bottom"/>
            <w:tcBorders>
              <w:bottom w:val="single" w:sz="8" w:color="0E3C23"/>
            </w:tcBorders>
          </w:tcPr>
          <w:p>
            <w:pPr>
              <w:jc w:val="center"/>
              <w:spacing w:after="0" w:line="206" w:lineRule="exact"/>
              <w:rPr>
                <w:sz w:val="20"/>
                <w:szCs w:val="20"/>
                <w:color w:val="auto"/>
              </w:rPr>
            </w:pPr>
            <w:r>
              <w:rPr>
                <w:rFonts w:ascii="Arial" w:cs="Arial" w:eastAsia="Arial" w:hAnsi="Arial"/>
                <w:sz w:val="18"/>
                <w:szCs w:val="18"/>
                <w:color w:val="auto"/>
                <w:w w:val="94"/>
              </w:rPr>
              <w:t>24,328</w:t>
            </w:r>
          </w:p>
        </w:tc>
        <w:tc>
          <w:tcPr>
            <w:tcW w:w="80" w:type="dxa"/>
            <w:vAlign w:val="bottom"/>
            <w:tcBorders>
              <w:bottom w:val="single" w:sz="8" w:color="0E3C23"/>
            </w:tcBorders>
          </w:tcPr>
          <w:p>
            <w:pPr>
              <w:spacing w:after="0"/>
              <w:rPr>
                <w:sz w:val="18"/>
                <w:szCs w:val="18"/>
                <w:color w:val="auto"/>
              </w:rPr>
            </w:pPr>
          </w:p>
        </w:tc>
        <w:tc>
          <w:tcPr>
            <w:tcW w:w="880" w:type="dxa"/>
            <w:vAlign w:val="bottom"/>
            <w:tcBorders>
              <w:bottom w:val="single" w:sz="8" w:color="0E3C23"/>
            </w:tcBorders>
          </w:tcPr>
          <w:p>
            <w:pPr>
              <w:spacing w:after="0"/>
              <w:rPr>
                <w:sz w:val="18"/>
                <w:szCs w:val="18"/>
                <w:color w:val="auto"/>
              </w:rPr>
            </w:pPr>
          </w:p>
        </w:tc>
        <w:tc>
          <w:tcPr>
            <w:tcW w:w="1000" w:type="dxa"/>
            <w:vAlign w:val="bottom"/>
            <w:tcBorders>
              <w:bottom w:val="single" w:sz="8" w:color="0E3C23"/>
            </w:tcBorders>
          </w:tcPr>
          <w:p>
            <w:pPr>
              <w:spacing w:after="0"/>
              <w:rPr>
                <w:sz w:val="18"/>
                <w:szCs w:val="18"/>
                <w:color w:val="auto"/>
              </w:rPr>
            </w:pPr>
          </w:p>
        </w:tc>
        <w:tc>
          <w:tcPr>
            <w:tcW w:w="880" w:type="dxa"/>
            <w:vAlign w:val="bottom"/>
            <w:tcBorders>
              <w:bottom w:val="single" w:sz="8" w:color="0E3C23"/>
            </w:tcBorders>
          </w:tcPr>
          <w:p>
            <w:pPr>
              <w:spacing w:after="0"/>
              <w:rPr>
                <w:sz w:val="18"/>
                <w:szCs w:val="18"/>
                <w:color w:val="auto"/>
              </w:rPr>
            </w:pPr>
          </w:p>
        </w:tc>
        <w:tc>
          <w:tcPr>
            <w:tcW w:w="720" w:type="dxa"/>
            <w:vAlign w:val="bottom"/>
            <w:tcBorders>
              <w:bottom w:val="single" w:sz="8" w:color="0E3C23"/>
            </w:tcBorders>
          </w:tcPr>
          <w:p>
            <w:pPr>
              <w:spacing w:after="0"/>
              <w:rPr>
                <w:sz w:val="18"/>
                <w:szCs w:val="18"/>
                <w:color w:val="auto"/>
              </w:rPr>
            </w:pPr>
          </w:p>
        </w:tc>
        <w:tc>
          <w:tcPr>
            <w:tcW w:w="980" w:type="dxa"/>
            <w:vAlign w:val="bottom"/>
            <w:tcBorders>
              <w:bottom w:val="single" w:sz="8" w:color="0E3C23"/>
            </w:tcBorders>
          </w:tcPr>
          <w:p>
            <w:pPr>
              <w:jc w:val="right"/>
              <w:spacing w:after="0" w:line="206" w:lineRule="exact"/>
              <w:rPr>
                <w:sz w:val="20"/>
                <w:szCs w:val="20"/>
                <w:color w:val="auto"/>
              </w:rPr>
            </w:pPr>
            <w:r>
              <w:rPr>
                <w:rFonts w:ascii="Arial" w:cs="Arial" w:eastAsia="Arial" w:hAnsi="Arial"/>
                <w:sz w:val="18"/>
                <w:szCs w:val="18"/>
                <w:color w:val="auto"/>
              </w:rPr>
              <w:t>3,113,792</w:t>
            </w:r>
          </w:p>
        </w:tc>
        <w:tc>
          <w:tcPr>
            <w:tcW w:w="0" w:type="dxa"/>
            <w:vAlign w:val="bottom"/>
          </w:tcPr>
          <w:p>
            <w:pPr>
              <w:spacing w:after="0"/>
              <w:rPr>
                <w:sz w:val="1"/>
                <w:szCs w:val="1"/>
                <w:color w:val="auto"/>
              </w:rPr>
            </w:pPr>
          </w:p>
        </w:tc>
      </w:tr>
      <w:tr>
        <w:trPr>
          <w:trHeight w:val="208"/>
        </w:trPr>
        <w:tc>
          <w:tcPr>
            <w:tcW w:w="1340" w:type="dxa"/>
            <w:vAlign w:val="bottom"/>
            <w:tcBorders>
              <w:bottom w:val="single" w:sz="8" w:color="0E3C23"/>
            </w:tcBorders>
          </w:tcPr>
          <w:p>
            <w:pPr>
              <w:ind w:left="260"/>
              <w:spacing w:after="0" w:line="206" w:lineRule="exact"/>
              <w:rPr>
                <w:sz w:val="20"/>
                <w:szCs w:val="20"/>
                <w:color w:val="auto"/>
              </w:rPr>
            </w:pPr>
            <w:r>
              <w:rPr>
                <w:rFonts w:ascii="Arial" w:cs="Arial" w:eastAsia="Arial" w:hAnsi="Arial"/>
                <w:sz w:val="18"/>
                <w:szCs w:val="18"/>
                <w:color w:val="auto"/>
              </w:rPr>
              <w:t>3/1/24</w:t>
            </w:r>
          </w:p>
        </w:tc>
        <w:tc>
          <w:tcPr>
            <w:tcW w:w="760" w:type="dxa"/>
            <w:vAlign w:val="bottom"/>
            <w:tcBorders>
              <w:bottom w:val="single" w:sz="8" w:color="0E3C23"/>
            </w:tcBorders>
          </w:tcPr>
          <w:p>
            <w:pPr>
              <w:spacing w:after="0"/>
              <w:rPr>
                <w:sz w:val="18"/>
                <w:szCs w:val="18"/>
                <w:color w:val="auto"/>
              </w:rPr>
            </w:pPr>
          </w:p>
        </w:tc>
        <w:tc>
          <w:tcPr>
            <w:tcW w:w="1040" w:type="dxa"/>
            <w:vAlign w:val="bottom"/>
            <w:tcBorders>
              <w:bottom w:val="single" w:sz="8" w:color="0E3C23"/>
            </w:tcBorders>
          </w:tcPr>
          <w:p>
            <w:pPr>
              <w:spacing w:after="0"/>
              <w:rPr>
                <w:sz w:val="18"/>
                <w:szCs w:val="18"/>
                <w:color w:val="auto"/>
              </w:rPr>
            </w:pPr>
          </w:p>
        </w:tc>
        <w:tc>
          <w:tcPr>
            <w:tcW w:w="760" w:type="dxa"/>
            <w:vAlign w:val="bottom"/>
            <w:tcBorders>
              <w:bottom w:val="single" w:sz="8" w:color="0E3C23"/>
            </w:tcBorders>
          </w:tcPr>
          <w:p>
            <w:pPr>
              <w:spacing w:after="0"/>
              <w:rPr>
                <w:sz w:val="18"/>
                <w:szCs w:val="18"/>
                <w:color w:val="auto"/>
              </w:rPr>
            </w:pPr>
          </w:p>
        </w:tc>
        <w:tc>
          <w:tcPr>
            <w:tcW w:w="80" w:type="dxa"/>
            <w:vAlign w:val="bottom"/>
            <w:tcBorders>
              <w:bottom w:val="single" w:sz="8" w:color="0E3C23"/>
            </w:tcBorders>
          </w:tcPr>
          <w:p>
            <w:pPr>
              <w:spacing w:after="0"/>
              <w:rPr>
                <w:sz w:val="18"/>
                <w:szCs w:val="18"/>
                <w:color w:val="auto"/>
              </w:rPr>
            </w:pPr>
          </w:p>
        </w:tc>
        <w:tc>
          <w:tcPr>
            <w:tcW w:w="60" w:type="dxa"/>
            <w:vAlign w:val="bottom"/>
            <w:tcBorders>
              <w:bottom w:val="single" w:sz="8" w:color="0E3C23"/>
            </w:tcBorders>
          </w:tcPr>
          <w:p>
            <w:pPr>
              <w:spacing w:after="0"/>
              <w:rPr>
                <w:sz w:val="18"/>
                <w:szCs w:val="18"/>
                <w:color w:val="auto"/>
              </w:rPr>
            </w:pPr>
          </w:p>
        </w:tc>
        <w:tc>
          <w:tcPr>
            <w:tcW w:w="800" w:type="dxa"/>
            <w:vAlign w:val="bottom"/>
            <w:tcBorders>
              <w:bottom w:val="single" w:sz="8" w:color="0E3C23"/>
            </w:tcBorders>
          </w:tcPr>
          <w:p>
            <w:pPr>
              <w:spacing w:after="0"/>
              <w:rPr>
                <w:sz w:val="18"/>
                <w:szCs w:val="18"/>
                <w:color w:val="auto"/>
              </w:rPr>
            </w:pPr>
          </w:p>
        </w:tc>
        <w:tc>
          <w:tcPr>
            <w:tcW w:w="660" w:type="dxa"/>
            <w:vAlign w:val="bottom"/>
            <w:tcBorders>
              <w:bottom w:val="single" w:sz="8" w:color="0E3C23"/>
            </w:tcBorders>
          </w:tcPr>
          <w:p>
            <w:pPr>
              <w:spacing w:after="0"/>
              <w:rPr>
                <w:sz w:val="18"/>
                <w:szCs w:val="18"/>
                <w:color w:val="auto"/>
              </w:rPr>
            </w:pPr>
          </w:p>
        </w:tc>
        <w:tc>
          <w:tcPr>
            <w:tcW w:w="760" w:type="dxa"/>
            <w:vAlign w:val="bottom"/>
            <w:tcBorders>
              <w:bottom w:val="single" w:sz="8" w:color="0E3C23"/>
            </w:tcBorders>
          </w:tcPr>
          <w:p>
            <w:pPr>
              <w:spacing w:after="0"/>
              <w:rPr>
                <w:sz w:val="18"/>
                <w:szCs w:val="18"/>
                <w:color w:val="auto"/>
              </w:rPr>
            </w:pPr>
          </w:p>
        </w:tc>
        <w:tc>
          <w:tcPr>
            <w:tcW w:w="80" w:type="dxa"/>
            <w:vAlign w:val="bottom"/>
            <w:tcBorders>
              <w:bottom w:val="single" w:sz="8" w:color="0E3C23"/>
            </w:tcBorders>
          </w:tcPr>
          <w:p>
            <w:pPr>
              <w:spacing w:after="0"/>
              <w:rPr>
                <w:sz w:val="18"/>
                <w:szCs w:val="18"/>
                <w:color w:val="auto"/>
              </w:rPr>
            </w:pPr>
          </w:p>
        </w:tc>
        <w:tc>
          <w:tcPr>
            <w:tcW w:w="880" w:type="dxa"/>
            <w:vAlign w:val="bottom"/>
            <w:tcBorders>
              <w:bottom w:val="single" w:sz="8" w:color="0E3C23"/>
            </w:tcBorders>
          </w:tcPr>
          <w:p>
            <w:pPr>
              <w:spacing w:after="0"/>
              <w:rPr>
                <w:sz w:val="18"/>
                <w:szCs w:val="18"/>
                <w:color w:val="auto"/>
              </w:rPr>
            </w:pPr>
          </w:p>
        </w:tc>
        <w:tc>
          <w:tcPr>
            <w:tcW w:w="1000" w:type="dxa"/>
            <w:vAlign w:val="bottom"/>
            <w:tcBorders>
              <w:bottom w:val="single" w:sz="8" w:color="0E3C23"/>
            </w:tcBorders>
          </w:tcPr>
          <w:p>
            <w:pPr>
              <w:jc w:val="right"/>
              <w:ind w:right="135"/>
              <w:spacing w:after="0" w:line="206" w:lineRule="exact"/>
              <w:rPr>
                <w:sz w:val="20"/>
                <w:szCs w:val="20"/>
                <w:color w:val="auto"/>
              </w:rPr>
            </w:pPr>
            <w:r>
              <w:rPr>
                <w:rFonts w:ascii="Arial" w:cs="Arial" w:eastAsia="Arial" w:hAnsi="Arial"/>
                <w:sz w:val="18"/>
                <w:szCs w:val="18"/>
                <w:color w:val="auto"/>
              </w:rPr>
              <w:t>13,721</w:t>
            </w:r>
          </w:p>
        </w:tc>
        <w:tc>
          <w:tcPr>
            <w:tcW w:w="880" w:type="dxa"/>
            <w:vAlign w:val="bottom"/>
            <w:tcBorders>
              <w:bottom w:val="single" w:sz="8" w:color="0E3C23"/>
            </w:tcBorders>
          </w:tcPr>
          <w:p>
            <w:pPr>
              <w:jc w:val="right"/>
              <w:spacing w:after="0" w:line="206" w:lineRule="exact"/>
              <w:rPr>
                <w:sz w:val="20"/>
                <w:szCs w:val="20"/>
                <w:color w:val="auto"/>
              </w:rPr>
            </w:pPr>
            <w:r>
              <w:rPr>
                <w:rFonts w:ascii="Arial" w:cs="Arial" w:eastAsia="Arial" w:hAnsi="Arial"/>
                <w:sz w:val="18"/>
                <w:szCs w:val="18"/>
                <w:color w:val="auto"/>
              </w:rPr>
              <w:t>204.7585</w:t>
            </w:r>
          </w:p>
        </w:tc>
        <w:tc>
          <w:tcPr>
            <w:tcW w:w="720" w:type="dxa"/>
            <w:vAlign w:val="bottom"/>
            <w:tcBorders>
              <w:bottom w:val="single" w:sz="8" w:color="0E3C23"/>
            </w:tcBorders>
          </w:tcPr>
          <w:p>
            <w:pPr>
              <w:jc w:val="right"/>
              <w:ind w:right="15"/>
              <w:spacing w:after="0" w:line="206" w:lineRule="exact"/>
              <w:rPr>
                <w:sz w:val="20"/>
                <w:szCs w:val="20"/>
                <w:color w:val="auto"/>
              </w:rPr>
            </w:pPr>
            <w:r>
              <w:rPr>
                <w:rFonts w:ascii="Arial" w:cs="Arial" w:eastAsia="Arial" w:hAnsi="Arial"/>
                <w:sz w:val="18"/>
                <w:szCs w:val="18"/>
                <w:color w:val="auto"/>
              </w:rPr>
              <w:t>205.79</w:t>
            </w:r>
          </w:p>
        </w:tc>
        <w:tc>
          <w:tcPr>
            <w:tcW w:w="980" w:type="dxa"/>
            <w:vAlign w:val="bottom"/>
            <w:tcBorders>
              <w:bottom w:val="single" w:sz="8" w:color="0E3C23"/>
            </w:tcBorders>
          </w:tcPr>
          <w:p>
            <w:pPr>
              <w:jc w:val="right"/>
              <w:spacing w:after="0" w:line="206" w:lineRule="exact"/>
              <w:rPr>
                <w:sz w:val="20"/>
                <w:szCs w:val="20"/>
                <w:color w:val="auto"/>
              </w:rPr>
            </w:pPr>
            <w:r>
              <w:rPr>
                <w:rFonts w:ascii="Arial" w:cs="Arial" w:eastAsia="Arial" w:hAnsi="Arial"/>
                <w:sz w:val="18"/>
                <w:szCs w:val="18"/>
                <w:color w:val="auto"/>
              </w:rPr>
              <w:t>590,003</w:t>
            </w:r>
          </w:p>
        </w:tc>
        <w:tc>
          <w:tcPr>
            <w:tcW w:w="0" w:type="dxa"/>
            <w:vAlign w:val="bottom"/>
          </w:tcPr>
          <w:p>
            <w:pPr>
              <w:spacing w:after="0"/>
              <w:rPr>
                <w:sz w:val="1"/>
                <w:szCs w:val="1"/>
                <w:color w:val="auto"/>
              </w:rPr>
            </w:pPr>
          </w:p>
        </w:tc>
      </w:tr>
      <w:tr>
        <w:trPr>
          <w:trHeight w:val="210"/>
        </w:trPr>
        <w:tc>
          <w:tcPr>
            <w:tcW w:w="2100" w:type="dxa"/>
            <w:vAlign w:val="bottom"/>
            <w:tcBorders>
              <w:bottom w:val="single" w:sz="8" w:color="0E3C23"/>
            </w:tcBorders>
            <w:gridSpan w:val="2"/>
          </w:tcPr>
          <w:p>
            <w:pPr>
              <w:ind w:left="60"/>
              <w:spacing w:after="0"/>
              <w:rPr>
                <w:sz w:val="20"/>
                <w:szCs w:val="20"/>
                <w:color w:val="auto"/>
              </w:rPr>
            </w:pPr>
            <w:r>
              <w:rPr>
                <w:rFonts w:ascii="Arial" w:cs="Arial" w:eastAsia="Arial" w:hAnsi="Arial"/>
                <w:sz w:val="18"/>
                <w:szCs w:val="18"/>
                <w:b w:val="1"/>
                <w:bCs w:val="1"/>
                <w:color w:val="auto"/>
              </w:rPr>
              <w:t>Tara J. Hemmer</w:t>
            </w:r>
          </w:p>
        </w:tc>
        <w:tc>
          <w:tcPr>
            <w:tcW w:w="1040" w:type="dxa"/>
            <w:vAlign w:val="bottom"/>
            <w:tcBorders>
              <w:bottom w:val="single" w:sz="8" w:color="0E3C23"/>
            </w:tcBorders>
          </w:tcPr>
          <w:p>
            <w:pPr>
              <w:spacing w:after="0"/>
              <w:rPr>
                <w:sz w:val="18"/>
                <w:szCs w:val="18"/>
                <w:color w:val="auto"/>
              </w:rPr>
            </w:pPr>
          </w:p>
        </w:tc>
        <w:tc>
          <w:tcPr>
            <w:tcW w:w="760" w:type="dxa"/>
            <w:vAlign w:val="bottom"/>
            <w:tcBorders>
              <w:bottom w:val="single" w:sz="8" w:color="0E3C23"/>
            </w:tcBorders>
          </w:tcPr>
          <w:p>
            <w:pPr>
              <w:spacing w:after="0"/>
              <w:rPr>
                <w:sz w:val="18"/>
                <w:szCs w:val="18"/>
                <w:color w:val="auto"/>
              </w:rPr>
            </w:pPr>
          </w:p>
        </w:tc>
        <w:tc>
          <w:tcPr>
            <w:tcW w:w="80" w:type="dxa"/>
            <w:vAlign w:val="bottom"/>
            <w:tcBorders>
              <w:bottom w:val="single" w:sz="8" w:color="0E3C23"/>
            </w:tcBorders>
          </w:tcPr>
          <w:p>
            <w:pPr>
              <w:spacing w:after="0"/>
              <w:rPr>
                <w:sz w:val="18"/>
                <w:szCs w:val="18"/>
                <w:color w:val="auto"/>
              </w:rPr>
            </w:pPr>
          </w:p>
        </w:tc>
        <w:tc>
          <w:tcPr>
            <w:tcW w:w="60" w:type="dxa"/>
            <w:vAlign w:val="bottom"/>
            <w:tcBorders>
              <w:bottom w:val="single" w:sz="8" w:color="0E3C23"/>
            </w:tcBorders>
          </w:tcPr>
          <w:p>
            <w:pPr>
              <w:spacing w:after="0"/>
              <w:rPr>
                <w:sz w:val="18"/>
                <w:szCs w:val="18"/>
                <w:color w:val="auto"/>
              </w:rPr>
            </w:pPr>
          </w:p>
        </w:tc>
        <w:tc>
          <w:tcPr>
            <w:tcW w:w="800" w:type="dxa"/>
            <w:vAlign w:val="bottom"/>
            <w:tcBorders>
              <w:bottom w:val="single" w:sz="8" w:color="0E3C23"/>
            </w:tcBorders>
          </w:tcPr>
          <w:p>
            <w:pPr>
              <w:spacing w:after="0"/>
              <w:rPr>
                <w:sz w:val="18"/>
                <w:szCs w:val="18"/>
                <w:color w:val="auto"/>
              </w:rPr>
            </w:pPr>
          </w:p>
        </w:tc>
        <w:tc>
          <w:tcPr>
            <w:tcW w:w="660" w:type="dxa"/>
            <w:vAlign w:val="bottom"/>
            <w:tcBorders>
              <w:bottom w:val="single" w:sz="8" w:color="0E3C23"/>
            </w:tcBorders>
          </w:tcPr>
          <w:p>
            <w:pPr>
              <w:spacing w:after="0"/>
              <w:rPr>
                <w:sz w:val="18"/>
                <w:szCs w:val="18"/>
                <w:color w:val="auto"/>
              </w:rPr>
            </w:pPr>
          </w:p>
        </w:tc>
        <w:tc>
          <w:tcPr>
            <w:tcW w:w="760" w:type="dxa"/>
            <w:vAlign w:val="bottom"/>
            <w:tcBorders>
              <w:bottom w:val="single" w:sz="8" w:color="0E3C23"/>
            </w:tcBorders>
          </w:tcPr>
          <w:p>
            <w:pPr>
              <w:spacing w:after="0"/>
              <w:rPr>
                <w:sz w:val="18"/>
                <w:szCs w:val="18"/>
                <w:color w:val="auto"/>
              </w:rPr>
            </w:pPr>
          </w:p>
        </w:tc>
        <w:tc>
          <w:tcPr>
            <w:tcW w:w="80" w:type="dxa"/>
            <w:vAlign w:val="bottom"/>
            <w:tcBorders>
              <w:bottom w:val="single" w:sz="8" w:color="0E3C23"/>
            </w:tcBorders>
          </w:tcPr>
          <w:p>
            <w:pPr>
              <w:spacing w:after="0"/>
              <w:rPr>
                <w:sz w:val="18"/>
                <w:szCs w:val="18"/>
                <w:color w:val="auto"/>
              </w:rPr>
            </w:pPr>
          </w:p>
        </w:tc>
        <w:tc>
          <w:tcPr>
            <w:tcW w:w="880" w:type="dxa"/>
            <w:vAlign w:val="bottom"/>
            <w:tcBorders>
              <w:bottom w:val="single" w:sz="8" w:color="0E3C23"/>
            </w:tcBorders>
          </w:tcPr>
          <w:p>
            <w:pPr>
              <w:spacing w:after="0"/>
              <w:rPr>
                <w:sz w:val="18"/>
                <w:szCs w:val="18"/>
                <w:color w:val="auto"/>
              </w:rPr>
            </w:pPr>
          </w:p>
        </w:tc>
        <w:tc>
          <w:tcPr>
            <w:tcW w:w="1000" w:type="dxa"/>
            <w:vAlign w:val="bottom"/>
            <w:tcBorders>
              <w:bottom w:val="single" w:sz="8" w:color="0E3C23"/>
            </w:tcBorders>
          </w:tcPr>
          <w:p>
            <w:pPr>
              <w:spacing w:after="0"/>
              <w:rPr>
                <w:sz w:val="18"/>
                <w:szCs w:val="18"/>
                <w:color w:val="auto"/>
              </w:rPr>
            </w:pPr>
          </w:p>
        </w:tc>
        <w:tc>
          <w:tcPr>
            <w:tcW w:w="880" w:type="dxa"/>
            <w:vAlign w:val="bottom"/>
            <w:tcBorders>
              <w:bottom w:val="single" w:sz="8" w:color="0E3C23"/>
            </w:tcBorders>
          </w:tcPr>
          <w:p>
            <w:pPr>
              <w:spacing w:after="0"/>
              <w:rPr>
                <w:sz w:val="18"/>
                <w:szCs w:val="18"/>
                <w:color w:val="auto"/>
              </w:rPr>
            </w:pPr>
          </w:p>
        </w:tc>
        <w:tc>
          <w:tcPr>
            <w:tcW w:w="720" w:type="dxa"/>
            <w:vAlign w:val="bottom"/>
            <w:tcBorders>
              <w:bottom w:val="single" w:sz="8" w:color="0E3C23"/>
            </w:tcBorders>
          </w:tcPr>
          <w:p>
            <w:pPr>
              <w:spacing w:after="0"/>
              <w:rPr>
                <w:sz w:val="18"/>
                <w:szCs w:val="18"/>
                <w:color w:val="auto"/>
              </w:rPr>
            </w:pPr>
          </w:p>
        </w:tc>
        <w:tc>
          <w:tcPr>
            <w:tcW w:w="980" w:type="dxa"/>
            <w:vAlign w:val="bottom"/>
            <w:tcBorders>
              <w:bottom w:val="single" w:sz="8" w:color="0E3C23"/>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40" w:type="dxa"/>
            <w:vAlign w:val="bottom"/>
            <w:tcBorders>
              <w:bottom w:val="single" w:sz="8" w:color="0E3C23"/>
            </w:tcBorders>
          </w:tcPr>
          <w:p>
            <w:pPr>
              <w:ind w:left="60"/>
              <w:spacing w:after="0" w:line="206" w:lineRule="exact"/>
              <w:rPr>
                <w:sz w:val="20"/>
                <w:szCs w:val="20"/>
                <w:color w:val="auto"/>
              </w:rPr>
            </w:pPr>
            <w:r>
              <w:rPr>
                <w:rFonts w:ascii="Arial" w:cs="Arial" w:eastAsia="Arial" w:hAnsi="Arial"/>
                <w:sz w:val="18"/>
                <w:szCs w:val="18"/>
                <w:color w:val="auto"/>
              </w:rPr>
              <w:t>Cash Incentive</w:t>
            </w:r>
          </w:p>
        </w:tc>
        <w:tc>
          <w:tcPr>
            <w:tcW w:w="760" w:type="dxa"/>
            <w:vAlign w:val="bottom"/>
            <w:tcBorders>
              <w:bottom w:val="single" w:sz="8" w:color="0E3C23"/>
            </w:tcBorders>
          </w:tcPr>
          <w:p>
            <w:pPr>
              <w:jc w:val="right"/>
              <w:spacing w:after="0" w:line="206" w:lineRule="exact"/>
              <w:rPr>
                <w:sz w:val="20"/>
                <w:szCs w:val="20"/>
                <w:color w:val="auto"/>
              </w:rPr>
            </w:pPr>
            <w:r>
              <w:rPr>
                <w:rFonts w:ascii="Arial" w:cs="Arial" w:eastAsia="Arial" w:hAnsi="Arial"/>
                <w:sz w:val="18"/>
                <w:szCs w:val="18"/>
                <w:color w:val="auto"/>
              </w:rPr>
              <w:t>393,750</w:t>
            </w:r>
          </w:p>
        </w:tc>
        <w:tc>
          <w:tcPr>
            <w:tcW w:w="1040" w:type="dxa"/>
            <w:vAlign w:val="bottom"/>
            <w:tcBorders>
              <w:bottom w:val="single" w:sz="8" w:color="0E3C23"/>
            </w:tcBorders>
          </w:tcPr>
          <w:p>
            <w:pPr>
              <w:jc w:val="right"/>
              <w:ind w:right="53"/>
              <w:spacing w:after="0" w:line="206" w:lineRule="exact"/>
              <w:rPr>
                <w:sz w:val="20"/>
                <w:szCs w:val="20"/>
                <w:color w:val="auto"/>
              </w:rPr>
            </w:pPr>
            <w:r>
              <w:rPr>
                <w:rFonts w:ascii="Arial" w:cs="Arial" w:eastAsia="Arial" w:hAnsi="Arial"/>
                <w:sz w:val="18"/>
                <w:szCs w:val="18"/>
                <w:color w:val="auto"/>
              </w:rPr>
              <w:t>656,250</w:t>
            </w:r>
          </w:p>
        </w:tc>
        <w:tc>
          <w:tcPr>
            <w:tcW w:w="840" w:type="dxa"/>
            <w:vAlign w:val="bottom"/>
            <w:tcBorders>
              <w:bottom w:val="single" w:sz="8" w:color="0E3C23"/>
            </w:tcBorders>
            <w:gridSpan w:val="2"/>
          </w:tcPr>
          <w:p>
            <w:pPr>
              <w:jc w:val="right"/>
              <w:ind w:right="80"/>
              <w:spacing w:after="0" w:line="206" w:lineRule="exact"/>
              <w:rPr>
                <w:sz w:val="20"/>
                <w:szCs w:val="20"/>
                <w:color w:val="auto"/>
              </w:rPr>
            </w:pPr>
            <w:r>
              <w:rPr>
                <w:rFonts w:ascii="Arial" w:cs="Arial" w:eastAsia="Arial" w:hAnsi="Arial"/>
                <w:sz w:val="18"/>
                <w:szCs w:val="18"/>
                <w:color w:val="auto"/>
                <w:w w:val="92"/>
              </w:rPr>
              <w:t>1,312,500</w:t>
            </w:r>
          </w:p>
        </w:tc>
        <w:tc>
          <w:tcPr>
            <w:tcW w:w="60" w:type="dxa"/>
            <w:vAlign w:val="bottom"/>
            <w:tcBorders>
              <w:bottom w:val="single" w:sz="8" w:color="0E3C23"/>
            </w:tcBorders>
          </w:tcPr>
          <w:p>
            <w:pPr>
              <w:spacing w:after="0"/>
              <w:rPr>
                <w:sz w:val="17"/>
                <w:szCs w:val="17"/>
                <w:color w:val="auto"/>
              </w:rPr>
            </w:pPr>
          </w:p>
        </w:tc>
        <w:tc>
          <w:tcPr>
            <w:tcW w:w="800" w:type="dxa"/>
            <w:vAlign w:val="bottom"/>
            <w:tcBorders>
              <w:bottom w:val="single" w:sz="8" w:color="0E3C23"/>
            </w:tcBorders>
          </w:tcPr>
          <w:p>
            <w:pPr>
              <w:spacing w:after="0"/>
              <w:rPr>
                <w:sz w:val="17"/>
                <w:szCs w:val="17"/>
                <w:color w:val="auto"/>
              </w:rPr>
            </w:pPr>
          </w:p>
        </w:tc>
        <w:tc>
          <w:tcPr>
            <w:tcW w:w="660" w:type="dxa"/>
            <w:vAlign w:val="bottom"/>
            <w:tcBorders>
              <w:bottom w:val="single" w:sz="8" w:color="0E3C23"/>
            </w:tcBorders>
          </w:tcPr>
          <w:p>
            <w:pPr>
              <w:spacing w:after="0"/>
              <w:rPr>
                <w:sz w:val="17"/>
                <w:szCs w:val="17"/>
                <w:color w:val="auto"/>
              </w:rPr>
            </w:pPr>
          </w:p>
        </w:tc>
        <w:tc>
          <w:tcPr>
            <w:tcW w:w="760" w:type="dxa"/>
            <w:vAlign w:val="bottom"/>
            <w:tcBorders>
              <w:bottom w:val="single" w:sz="8" w:color="0E3C23"/>
            </w:tcBorders>
          </w:tcPr>
          <w:p>
            <w:pPr>
              <w:spacing w:after="0"/>
              <w:rPr>
                <w:sz w:val="17"/>
                <w:szCs w:val="17"/>
                <w:color w:val="auto"/>
              </w:rPr>
            </w:pPr>
          </w:p>
        </w:tc>
        <w:tc>
          <w:tcPr>
            <w:tcW w:w="80" w:type="dxa"/>
            <w:vAlign w:val="bottom"/>
            <w:tcBorders>
              <w:bottom w:val="single" w:sz="8" w:color="0E3C23"/>
            </w:tcBorders>
          </w:tcPr>
          <w:p>
            <w:pPr>
              <w:spacing w:after="0"/>
              <w:rPr>
                <w:sz w:val="17"/>
                <w:szCs w:val="17"/>
                <w:color w:val="auto"/>
              </w:rPr>
            </w:pPr>
          </w:p>
        </w:tc>
        <w:tc>
          <w:tcPr>
            <w:tcW w:w="880" w:type="dxa"/>
            <w:vAlign w:val="bottom"/>
            <w:tcBorders>
              <w:bottom w:val="single" w:sz="8" w:color="0E3C23"/>
            </w:tcBorders>
          </w:tcPr>
          <w:p>
            <w:pPr>
              <w:spacing w:after="0"/>
              <w:rPr>
                <w:sz w:val="17"/>
                <w:szCs w:val="17"/>
                <w:color w:val="auto"/>
              </w:rPr>
            </w:pPr>
          </w:p>
        </w:tc>
        <w:tc>
          <w:tcPr>
            <w:tcW w:w="1000" w:type="dxa"/>
            <w:vAlign w:val="bottom"/>
            <w:tcBorders>
              <w:bottom w:val="single" w:sz="8" w:color="0E3C23"/>
            </w:tcBorders>
          </w:tcPr>
          <w:p>
            <w:pPr>
              <w:spacing w:after="0"/>
              <w:rPr>
                <w:sz w:val="17"/>
                <w:szCs w:val="17"/>
                <w:color w:val="auto"/>
              </w:rPr>
            </w:pPr>
          </w:p>
        </w:tc>
        <w:tc>
          <w:tcPr>
            <w:tcW w:w="880" w:type="dxa"/>
            <w:vAlign w:val="bottom"/>
            <w:tcBorders>
              <w:bottom w:val="single" w:sz="8" w:color="0E3C23"/>
            </w:tcBorders>
          </w:tcPr>
          <w:p>
            <w:pPr>
              <w:spacing w:after="0"/>
              <w:rPr>
                <w:sz w:val="17"/>
                <w:szCs w:val="17"/>
                <w:color w:val="auto"/>
              </w:rPr>
            </w:pPr>
          </w:p>
        </w:tc>
        <w:tc>
          <w:tcPr>
            <w:tcW w:w="720" w:type="dxa"/>
            <w:vAlign w:val="bottom"/>
            <w:tcBorders>
              <w:bottom w:val="single" w:sz="8" w:color="0E3C23"/>
            </w:tcBorders>
          </w:tcPr>
          <w:p>
            <w:pPr>
              <w:spacing w:after="0"/>
              <w:rPr>
                <w:sz w:val="17"/>
                <w:szCs w:val="17"/>
                <w:color w:val="auto"/>
              </w:rPr>
            </w:pPr>
          </w:p>
        </w:tc>
        <w:tc>
          <w:tcPr>
            <w:tcW w:w="980" w:type="dxa"/>
            <w:vAlign w:val="bottom"/>
            <w:tcBorders>
              <w:bottom w:val="single" w:sz="8" w:color="0E3C23"/>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340" w:type="dxa"/>
            <w:vAlign w:val="bottom"/>
            <w:tcBorders>
              <w:bottom w:val="single" w:sz="8" w:color="0E3C23"/>
            </w:tcBorders>
          </w:tcPr>
          <w:p>
            <w:pPr>
              <w:ind w:left="260"/>
              <w:spacing w:after="0" w:line="206" w:lineRule="exact"/>
              <w:rPr>
                <w:sz w:val="20"/>
                <w:szCs w:val="20"/>
                <w:color w:val="auto"/>
              </w:rPr>
            </w:pPr>
            <w:r>
              <w:rPr>
                <w:rFonts w:ascii="Arial" w:cs="Arial" w:eastAsia="Arial" w:hAnsi="Arial"/>
                <w:sz w:val="18"/>
                <w:szCs w:val="18"/>
                <w:color w:val="auto"/>
              </w:rPr>
              <w:t>3/1/24</w:t>
            </w:r>
          </w:p>
        </w:tc>
        <w:tc>
          <w:tcPr>
            <w:tcW w:w="760" w:type="dxa"/>
            <w:vAlign w:val="bottom"/>
            <w:tcBorders>
              <w:bottom w:val="single" w:sz="8" w:color="0E3C23"/>
            </w:tcBorders>
          </w:tcPr>
          <w:p>
            <w:pPr>
              <w:spacing w:after="0"/>
              <w:rPr>
                <w:sz w:val="18"/>
                <w:szCs w:val="18"/>
                <w:color w:val="auto"/>
              </w:rPr>
            </w:pPr>
          </w:p>
        </w:tc>
        <w:tc>
          <w:tcPr>
            <w:tcW w:w="1040" w:type="dxa"/>
            <w:vAlign w:val="bottom"/>
            <w:tcBorders>
              <w:bottom w:val="single" w:sz="8" w:color="0E3C23"/>
            </w:tcBorders>
          </w:tcPr>
          <w:p>
            <w:pPr>
              <w:spacing w:after="0"/>
              <w:rPr>
                <w:sz w:val="18"/>
                <w:szCs w:val="18"/>
                <w:color w:val="auto"/>
              </w:rPr>
            </w:pPr>
          </w:p>
        </w:tc>
        <w:tc>
          <w:tcPr>
            <w:tcW w:w="760" w:type="dxa"/>
            <w:vAlign w:val="bottom"/>
            <w:tcBorders>
              <w:bottom w:val="single" w:sz="8" w:color="0E3C23"/>
            </w:tcBorders>
          </w:tcPr>
          <w:p>
            <w:pPr>
              <w:spacing w:after="0"/>
              <w:rPr>
                <w:sz w:val="18"/>
                <w:szCs w:val="18"/>
                <w:color w:val="auto"/>
              </w:rPr>
            </w:pPr>
          </w:p>
        </w:tc>
        <w:tc>
          <w:tcPr>
            <w:tcW w:w="80" w:type="dxa"/>
            <w:vAlign w:val="bottom"/>
            <w:tcBorders>
              <w:bottom w:val="single" w:sz="8" w:color="0E3C23"/>
            </w:tcBorders>
          </w:tcPr>
          <w:p>
            <w:pPr>
              <w:spacing w:after="0"/>
              <w:rPr>
                <w:sz w:val="18"/>
                <w:szCs w:val="18"/>
                <w:color w:val="auto"/>
              </w:rPr>
            </w:pPr>
          </w:p>
        </w:tc>
        <w:tc>
          <w:tcPr>
            <w:tcW w:w="860" w:type="dxa"/>
            <w:vAlign w:val="bottom"/>
            <w:tcBorders>
              <w:bottom w:val="single" w:sz="8" w:color="0E3C23"/>
            </w:tcBorders>
            <w:gridSpan w:val="2"/>
          </w:tcPr>
          <w:p>
            <w:pPr>
              <w:jc w:val="right"/>
              <w:ind w:right="80"/>
              <w:spacing w:after="0" w:line="206" w:lineRule="exact"/>
              <w:rPr>
                <w:sz w:val="20"/>
                <w:szCs w:val="20"/>
                <w:color w:val="auto"/>
              </w:rPr>
            </w:pPr>
            <w:r>
              <w:rPr>
                <w:rFonts w:ascii="Arial" w:cs="Arial" w:eastAsia="Arial" w:hAnsi="Arial"/>
                <w:sz w:val="18"/>
                <w:szCs w:val="18"/>
                <w:color w:val="auto"/>
              </w:rPr>
              <w:t>4,124</w:t>
            </w:r>
          </w:p>
        </w:tc>
        <w:tc>
          <w:tcPr>
            <w:tcW w:w="660" w:type="dxa"/>
            <w:vAlign w:val="bottom"/>
            <w:tcBorders>
              <w:bottom w:val="single" w:sz="8" w:color="0E3C23"/>
            </w:tcBorders>
          </w:tcPr>
          <w:p>
            <w:pPr>
              <w:jc w:val="right"/>
              <w:spacing w:after="0" w:line="206" w:lineRule="exact"/>
              <w:rPr>
                <w:sz w:val="20"/>
                <w:szCs w:val="20"/>
                <w:color w:val="auto"/>
              </w:rPr>
            </w:pPr>
            <w:r>
              <w:rPr>
                <w:rFonts w:ascii="Arial" w:cs="Arial" w:eastAsia="Arial" w:hAnsi="Arial"/>
                <w:sz w:val="18"/>
                <w:szCs w:val="18"/>
                <w:color w:val="auto"/>
              </w:rPr>
              <w:t>8,248</w:t>
            </w:r>
          </w:p>
        </w:tc>
        <w:tc>
          <w:tcPr>
            <w:tcW w:w="760" w:type="dxa"/>
            <w:vAlign w:val="bottom"/>
            <w:tcBorders>
              <w:bottom w:val="single" w:sz="8" w:color="0E3C23"/>
            </w:tcBorders>
          </w:tcPr>
          <w:p>
            <w:pPr>
              <w:jc w:val="center"/>
              <w:spacing w:after="0" w:line="206" w:lineRule="exact"/>
              <w:rPr>
                <w:sz w:val="20"/>
                <w:szCs w:val="20"/>
                <w:color w:val="auto"/>
              </w:rPr>
            </w:pPr>
            <w:r>
              <w:rPr>
                <w:rFonts w:ascii="Arial" w:cs="Arial" w:eastAsia="Arial" w:hAnsi="Arial"/>
                <w:sz w:val="18"/>
                <w:szCs w:val="18"/>
                <w:color w:val="auto"/>
                <w:w w:val="94"/>
              </w:rPr>
              <w:t>16,496</w:t>
            </w:r>
          </w:p>
        </w:tc>
        <w:tc>
          <w:tcPr>
            <w:tcW w:w="80" w:type="dxa"/>
            <w:vAlign w:val="bottom"/>
            <w:tcBorders>
              <w:bottom w:val="single" w:sz="8" w:color="0E3C23"/>
            </w:tcBorders>
          </w:tcPr>
          <w:p>
            <w:pPr>
              <w:spacing w:after="0"/>
              <w:rPr>
                <w:sz w:val="18"/>
                <w:szCs w:val="18"/>
                <w:color w:val="auto"/>
              </w:rPr>
            </w:pPr>
          </w:p>
        </w:tc>
        <w:tc>
          <w:tcPr>
            <w:tcW w:w="880" w:type="dxa"/>
            <w:vAlign w:val="bottom"/>
            <w:tcBorders>
              <w:bottom w:val="single" w:sz="8" w:color="0E3C23"/>
            </w:tcBorders>
          </w:tcPr>
          <w:p>
            <w:pPr>
              <w:spacing w:after="0"/>
              <w:rPr>
                <w:sz w:val="18"/>
                <w:szCs w:val="18"/>
                <w:color w:val="auto"/>
              </w:rPr>
            </w:pPr>
          </w:p>
        </w:tc>
        <w:tc>
          <w:tcPr>
            <w:tcW w:w="1000" w:type="dxa"/>
            <w:vAlign w:val="bottom"/>
            <w:tcBorders>
              <w:bottom w:val="single" w:sz="8" w:color="0E3C23"/>
            </w:tcBorders>
          </w:tcPr>
          <w:p>
            <w:pPr>
              <w:spacing w:after="0"/>
              <w:rPr>
                <w:sz w:val="18"/>
                <w:szCs w:val="18"/>
                <w:color w:val="auto"/>
              </w:rPr>
            </w:pPr>
          </w:p>
        </w:tc>
        <w:tc>
          <w:tcPr>
            <w:tcW w:w="880" w:type="dxa"/>
            <w:vAlign w:val="bottom"/>
            <w:tcBorders>
              <w:bottom w:val="single" w:sz="8" w:color="0E3C23"/>
            </w:tcBorders>
          </w:tcPr>
          <w:p>
            <w:pPr>
              <w:spacing w:after="0"/>
              <w:rPr>
                <w:sz w:val="18"/>
                <w:szCs w:val="18"/>
                <w:color w:val="auto"/>
              </w:rPr>
            </w:pPr>
          </w:p>
        </w:tc>
        <w:tc>
          <w:tcPr>
            <w:tcW w:w="720" w:type="dxa"/>
            <w:vAlign w:val="bottom"/>
            <w:tcBorders>
              <w:bottom w:val="single" w:sz="8" w:color="0E3C23"/>
            </w:tcBorders>
          </w:tcPr>
          <w:p>
            <w:pPr>
              <w:spacing w:after="0"/>
              <w:rPr>
                <w:sz w:val="18"/>
                <w:szCs w:val="18"/>
                <w:color w:val="auto"/>
              </w:rPr>
            </w:pPr>
          </w:p>
        </w:tc>
        <w:tc>
          <w:tcPr>
            <w:tcW w:w="980" w:type="dxa"/>
            <w:vAlign w:val="bottom"/>
            <w:tcBorders>
              <w:bottom w:val="single" w:sz="8" w:color="0E3C23"/>
            </w:tcBorders>
          </w:tcPr>
          <w:p>
            <w:pPr>
              <w:jc w:val="right"/>
              <w:spacing w:after="0" w:line="206" w:lineRule="exact"/>
              <w:rPr>
                <w:sz w:val="20"/>
                <w:szCs w:val="20"/>
                <w:color w:val="auto"/>
              </w:rPr>
            </w:pPr>
            <w:r>
              <w:rPr>
                <w:rFonts w:ascii="Arial" w:cs="Arial" w:eastAsia="Arial" w:hAnsi="Arial"/>
                <w:sz w:val="18"/>
                <w:szCs w:val="18"/>
                <w:color w:val="auto"/>
              </w:rPr>
              <w:t>2,111,358</w:t>
            </w:r>
          </w:p>
        </w:tc>
        <w:tc>
          <w:tcPr>
            <w:tcW w:w="0" w:type="dxa"/>
            <w:vAlign w:val="bottom"/>
          </w:tcPr>
          <w:p>
            <w:pPr>
              <w:spacing w:after="0"/>
              <w:rPr>
                <w:sz w:val="1"/>
                <w:szCs w:val="1"/>
                <w:color w:val="auto"/>
              </w:rPr>
            </w:pPr>
          </w:p>
        </w:tc>
      </w:tr>
      <w:tr>
        <w:trPr>
          <w:trHeight w:val="208"/>
        </w:trPr>
        <w:tc>
          <w:tcPr>
            <w:tcW w:w="1340" w:type="dxa"/>
            <w:vAlign w:val="bottom"/>
            <w:tcBorders>
              <w:bottom w:val="single" w:sz="8" w:color="0E3C23"/>
            </w:tcBorders>
          </w:tcPr>
          <w:p>
            <w:pPr>
              <w:ind w:left="260"/>
              <w:spacing w:after="0" w:line="206" w:lineRule="exact"/>
              <w:rPr>
                <w:sz w:val="20"/>
                <w:szCs w:val="20"/>
                <w:color w:val="auto"/>
              </w:rPr>
            </w:pPr>
            <w:r>
              <w:rPr>
                <w:rFonts w:ascii="Arial" w:cs="Arial" w:eastAsia="Arial" w:hAnsi="Arial"/>
                <w:sz w:val="18"/>
                <w:szCs w:val="18"/>
                <w:color w:val="auto"/>
              </w:rPr>
              <w:t>3/1/24</w:t>
            </w:r>
          </w:p>
        </w:tc>
        <w:tc>
          <w:tcPr>
            <w:tcW w:w="760" w:type="dxa"/>
            <w:vAlign w:val="bottom"/>
            <w:tcBorders>
              <w:bottom w:val="single" w:sz="8" w:color="0E3C23"/>
            </w:tcBorders>
          </w:tcPr>
          <w:p>
            <w:pPr>
              <w:spacing w:after="0"/>
              <w:rPr>
                <w:sz w:val="18"/>
                <w:szCs w:val="18"/>
                <w:color w:val="auto"/>
              </w:rPr>
            </w:pPr>
          </w:p>
        </w:tc>
        <w:tc>
          <w:tcPr>
            <w:tcW w:w="1040" w:type="dxa"/>
            <w:vAlign w:val="bottom"/>
            <w:tcBorders>
              <w:bottom w:val="single" w:sz="8" w:color="0E3C23"/>
            </w:tcBorders>
          </w:tcPr>
          <w:p>
            <w:pPr>
              <w:spacing w:after="0"/>
              <w:rPr>
                <w:sz w:val="18"/>
                <w:szCs w:val="18"/>
                <w:color w:val="auto"/>
              </w:rPr>
            </w:pPr>
          </w:p>
        </w:tc>
        <w:tc>
          <w:tcPr>
            <w:tcW w:w="760" w:type="dxa"/>
            <w:vAlign w:val="bottom"/>
            <w:tcBorders>
              <w:bottom w:val="single" w:sz="8" w:color="0E3C23"/>
            </w:tcBorders>
          </w:tcPr>
          <w:p>
            <w:pPr>
              <w:spacing w:after="0"/>
              <w:rPr>
                <w:sz w:val="18"/>
                <w:szCs w:val="18"/>
                <w:color w:val="auto"/>
              </w:rPr>
            </w:pPr>
          </w:p>
        </w:tc>
        <w:tc>
          <w:tcPr>
            <w:tcW w:w="80" w:type="dxa"/>
            <w:vAlign w:val="bottom"/>
            <w:tcBorders>
              <w:bottom w:val="single" w:sz="8" w:color="0E3C23"/>
            </w:tcBorders>
          </w:tcPr>
          <w:p>
            <w:pPr>
              <w:spacing w:after="0"/>
              <w:rPr>
                <w:sz w:val="18"/>
                <w:szCs w:val="18"/>
                <w:color w:val="auto"/>
              </w:rPr>
            </w:pPr>
          </w:p>
        </w:tc>
        <w:tc>
          <w:tcPr>
            <w:tcW w:w="60" w:type="dxa"/>
            <w:vAlign w:val="bottom"/>
            <w:tcBorders>
              <w:bottom w:val="single" w:sz="8" w:color="0E3C23"/>
            </w:tcBorders>
          </w:tcPr>
          <w:p>
            <w:pPr>
              <w:spacing w:after="0"/>
              <w:rPr>
                <w:sz w:val="18"/>
                <w:szCs w:val="18"/>
                <w:color w:val="auto"/>
              </w:rPr>
            </w:pPr>
          </w:p>
        </w:tc>
        <w:tc>
          <w:tcPr>
            <w:tcW w:w="800" w:type="dxa"/>
            <w:vAlign w:val="bottom"/>
            <w:tcBorders>
              <w:bottom w:val="single" w:sz="8" w:color="0E3C23"/>
            </w:tcBorders>
          </w:tcPr>
          <w:p>
            <w:pPr>
              <w:spacing w:after="0"/>
              <w:rPr>
                <w:sz w:val="18"/>
                <w:szCs w:val="18"/>
                <w:color w:val="auto"/>
              </w:rPr>
            </w:pPr>
          </w:p>
        </w:tc>
        <w:tc>
          <w:tcPr>
            <w:tcW w:w="660" w:type="dxa"/>
            <w:vAlign w:val="bottom"/>
            <w:tcBorders>
              <w:bottom w:val="single" w:sz="8" w:color="0E3C23"/>
            </w:tcBorders>
          </w:tcPr>
          <w:p>
            <w:pPr>
              <w:spacing w:after="0"/>
              <w:rPr>
                <w:sz w:val="18"/>
                <w:szCs w:val="18"/>
                <w:color w:val="auto"/>
              </w:rPr>
            </w:pPr>
          </w:p>
        </w:tc>
        <w:tc>
          <w:tcPr>
            <w:tcW w:w="760" w:type="dxa"/>
            <w:vAlign w:val="bottom"/>
            <w:tcBorders>
              <w:bottom w:val="single" w:sz="8" w:color="0E3C23"/>
            </w:tcBorders>
          </w:tcPr>
          <w:p>
            <w:pPr>
              <w:spacing w:after="0"/>
              <w:rPr>
                <w:sz w:val="18"/>
                <w:szCs w:val="18"/>
                <w:color w:val="auto"/>
              </w:rPr>
            </w:pPr>
          </w:p>
        </w:tc>
        <w:tc>
          <w:tcPr>
            <w:tcW w:w="80" w:type="dxa"/>
            <w:vAlign w:val="bottom"/>
            <w:tcBorders>
              <w:bottom w:val="single" w:sz="8" w:color="0E3C23"/>
            </w:tcBorders>
          </w:tcPr>
          <w:p>
            <w:pPr>
              <w:spacing w:after="0"/>
              <w:rPr>
                <w:sz w:val="18"/>
                <w:szCs w:val="18"/>
                <w:color w:val="auto"/>
              </w:rPr>
            </w:pPr>
          </w:p>
        </w:tc>
        <w:tc>
          <w:tcPr>
            <w:tcW w:w="880" w:type="dxa"/>
            <w:vAlign w:val="bottom"/>
            <w:tcBorders>
              <w:bottom w:val="single" w:sz="8" w:color="0E3C23"/>
            </w:tcBorders>
          </w:tcPr>
          <w:p>
            <w:pPr>
              <w:spacing w:after="0"/>
              <w:rPr>
                <w:sz w:val="18"/>
                <w:szCs w:val="18"/>
                <w:color w:val="auto"/>
              </w:rPr>
            </w:pPr>
          </w:p>
        </w:tc>
        <w:tc>
          <w:tcPr>
            <w:tcW w:w="1000" w:type="dxa"/>
            <w:vAlign w:val="bottom"/>
            <w:tcBorders>
              <w:bottom w:val="single" w:sz="8" w:color="0E3C23"/>
            </w:tcBorders>
          </w:tcPr>
          <w:p>
            <w:pPr>
              <w:jc w:val="right"/>
              <w:ind w:right="135"/>
              <w:spacing w:after="0" w:line="206" w:lineRule="exact"/>
              <w:rPr>
                <w:sz w:val="20"/>
                <w:szCs w:val="20"/>
                <w:color w:val="auto"/>
              </w:rPr>
            </w:pPr>
            <w:r>
              <w:rPr>
                <w:rFonts w:ascii="Arial" w:cs="Arial" w:eastAsia="Arial" w:hAnsi="Arial"/>
                <w:sz w:val="18"/>
                <w:szCs w:val="18"/>
                <w:color w:val="auto"/>
              </w:rPr>
              <w:t>9,302</w:t>
            </w:r>
          </w:p>
        </w:tc>
        <w:tc>
          <w:tcPr>
            <w:tcW w:w="880" w:type="dxa"/>
            <w:vAlign w:val="bottom"/>
            <w:tcBorders>
              <w:bottom w:val="single" w:sz="8" w:color="0E3C23"/>
            </w:tcBorders>
          </w:tcPr>
          <w:p>
            <w:pPr>
              <w:jc w:val="right"/>
              <w:spacing w:after="0" w:line="206" w:lineRule="exact"/>
              <w:rPr>
                <w:sz w:val="20"/>
                <w:szCs w:val="20"/>
                <w:color w:val="auto"/>
              </w:rPr>
            </w:pPr>
            <w:r>
              <w:rPr>
                <w:rFonts w:ascii="Arial" w:cs="Arial" w:eastAsia="Arial" w:hAnsi="Arial"/>
                <w:sz w:val="18"/>
                <w:szCs w:val="18"/>
                <w:color w:val="auto"/>
              </w:rPr>
              <w:t>204.7585</w:t>
            </w:r>
          </w:p>
        </w:tc>
        <w:tc>
          <w:tcPr>
            <w:tcW w:w="720" w:type="dxa"/>
            <w:vAlign w:val="bottom"/>
            <w:tcBorders>
              <w:bottom w:val="single" w:sz="8" w:color="0E3C23"/>
            </w:tcBorders>
          </w:tcPr>
          <w:p>
            <w:pPr>
              <w:jc w:val="right"/>
              <w:ind w:right="15"/>
              <w:spacing w:after="0" w:line="206" w:lineRule="exact"/>
              <w:rPr>
                <w:sz w:val="20"/>
                <w:szCs w:val="20"/>
                <w:color w:val="auto"/>
              </w:rPr>
            </w:pPr>
            <w:r>
              <w:rPr>
                <w:rFonts w:ascii="Arial" w:cs="Arial" w:eastAsia="Arial" w:hAnsi="Arial"/>
                <w:sz w:val="18"/>
                <w:szCs w:val="18"/>
                <w:color w:val="auto"/>
              </w:rPr>
              <w:t>205.79</w:t>
            </w:r>
          </w:p>
        </w:tc>
        <w:tc>
          <w:tcPr>
            <w:tcW w:w="980" w:type="dxa"/>
            <w:vAlign w:val="bottom"/>
            <w:tcBorders>
              <w:bottom w:val="single" w:sz="8" w:color="0E3C23"/>
            </w:tcBorders>
          </w:tcPr>
          <w:p>
            <w:pPr>
              <w:jc w:val="right"/>
              <w:spacing w:after="0" w:line="206" w:lineRule="exact"/>
              <w:rPr>
                <w:sz w:val="20"/>
                <w:szCs w:val="20"/>
                <w:color w:val="auto"/>
              </w:rPr>
            </w:pPr>
            <w:r>
              <w:rPr>
                <w:rFonts w:ascii="Arial" w:cs="Arial" w:eastAsia="Arial" w:hAnsi="Arial"/>
                <w:sz w:val="18"/>
                <w:szCs w:val="18"/>
                <w:color w:val="auto"/>
              </w:rPr>
              <w:t>399,986</w:t>
            </w:r>
          </w:p>
        </w:tc>
        <w:tc>
          <w:tcPr>
            <w:tcW w:w="0" w:type="dxa"/>
            <w:vAlign w:val="bottom"/>
          </w:tcPr>
          <w:p>
            <w:pPr>
              <w:spacing w:after="0"/>
              <w:rPr>
                <w:sz w:val="1"/>
                <w:szCs w:val="1"/>
                <w:color w:val="auto"/>
              </w:rPr>
            </w:pPr>
          </w:p>
        </w:tc>
      </w:tr>
      <w:tr>
        <w:trPr>
          <w:trHeight w:val="210"/>
        </w:trPr>
        <w:tc>
          <w:tcPr>
            <w:tcW w:w="2100" w:type="dxa"/>
            <w:vAlign w:val="bottom"/>
            <w:tcBorders>
              <w:bottom w:val="single" w:sz="8" w:color="0E3C23"/>
            </w:tcBorders>
            <w:gridSpan w:val="2"/>
          </w:tcPr>
          <w:p>
            <w:pPr>
              <w:ind w:left="60"/>
              <w:spacing w:after="0"/>
              <w:rPr>
                <w:sz w:val="20"/>
                <w:szCs w:val="20"/>
                <w:color w:val="auto"/>
              </w:rPr>
            </w:pPr>
            <w:r>
              <w:rPr>
                <w:rFonts w:ascii="Arial" w:cs="Arial" w:eastAsia="Arial" w:hAnsi="Arial"/>
                <w:sz w:val="18"/>
                <w:szCs w:val="18"/>
                <w:b w:val="1"/>
                <w:bCs w:val="1"/>
                <w:color w:val="auto"/>
              </w:rPr>
              <w:t>Rafael E. Carrasco</w:t>
            </w:r>
          </w:p>
        </w:tc>
        <w:tc>
          <w:tcPr>
            <w:tcW w:w="1040" w:type="dxa"/>
            <w:vAlign w:val="bottom"/>
            <w:tcBorders>
              <w:bottom w:val="single" w:sz="8" w:color="0E3C23"/>
            </w:tcBorders>
          </w:tcPr>
          <w:p>
            <w:pPr>
              <w:spacing w:after="0"/>
              <w:rPr>
                <w:sz w:val="18"/>
                <w:szCs w:val="18"/>
                <w:color w:val="auto"/>
              </w:rPr>
            </w:pPr>
          </w:p>
        </w:tc>
        <w:tc>
          <w:tcPr>
            <w:tcW w:w="760" w:type="dxa"/>
            <w:vAlign w:val="bottom"/>
            <w:tcBorders>
              <w:bottom w:val="single" w:sz="8" w:color="0E3C23"/>
            </w:tcBorders>
          </w:tcPr>
          <w:p>
            <w:pPr>
              <w:spacing w:after="0"/>
              <w:rPr>
                <w:sz w:val="18"/>
                <w:szCs w:val="18"/>
                <w:color w:val="auto"/>
              </w:rPr>
            </w:pPr>
          </w:p>
        </w:tc>
        <w:tc>
          <w:tcPr>
            <w:tcW w:w="80" w:type="dxa"/>
            <w:vAlign w:val="bottom"/>
            <w:tcBorders>
              <w:bottom w:val="single" w:sz="8" w:color="0E3C23"/>
            </w:tcBorders>
          </w:tcPr>
          <w:p>
            <w:pPr>
              <w:spacing w:after="0"/>
              <w:rPr>
                <w:sz w:val="18"/>
                <w:szCs w:val="18"/>
                <w:color w:val="auto"/>
              </w:rPr>
            </w:pPr>
          </w:p>
        </w:tc>
        <w:tc>
          <w:tcPr>
            <w:tcW w:w="60" w:type="dxa"/>
            <w:vAlign w:val="bottom"/>
            <w:tcBorders>
              <w:bottom w:val="single" w:sz="8" w:color="0E3C23"/>
            </w:tcBorders>
          </w:tcPr>
          <w:p>
            <w:pPr>
              <w:spacing w:after="0"/>
              <w:rPr>
                <w:sz w:val="18"/>
                <w:szCs w:val="18"/>
                <w:color w:val="auto"/>
              </w:rPr>
            </w:pPr>
          </w:p>
        </w:tc>
        <w:tc>
          <w:tcPr>
            <w:tcW w:w="800" w:type="dxa"/>
            <w:vAlign w:val="bottom"/>
            <w:tcBorders>
              <w:bottom w:val="single" w:sz="8" w:color="0E3C23"/>
            </w:tcBorders>
          </w:tcPr>
          <w:p>
            <w:pPr>
              <w:spacing w:after="0"/>
              <w:rPr>
                <w:sz w:val="18"/>
                <w:szCs w:val="18"/>
                <w:color w:val="auto"/>
              </w:rPr>
            </w:pPr>
          </w:p>
        </w:tc>
        <w:tc>
          <w:tcPr>
            <w:tcW w:w="660" w:type="dxa"/>
            <w:vAlign w:val="bottom"/>
            <w:tcBorders>
              <w:bottom w:val="single" w:sz="8" w:color="0E3C23"/>
            </w:tcBorders>
          </w:tcPr>
          <w:p>
            <w:pPr>
              <w:spacing w:after="0"/>
              <w:rPr>
                <w:sz w:val="18"/>
                <w:szCs w:val="18"/>
                <w:color w:val="auto"/>
              </w:rPr>
            </w:pPr>
          </w:p>
        </w:tc>
        <w:tc>
          <w:tcPr>
            <w:tcW w:w="760" w:type="dxa"/>
            <w:vAlign w:val="bottom"/>
            <w:tcBorders>
              <w:bottom w:val="single" w:sz="8" w:color="0E3C23"/>
            </w:tcBorders>
          </w:tcPr>
          <w:p>
            <w:pPr>
              <w:spacing w:after="0"/>
              <w:rPr>
                <w:sz w:val="18"/>
                <w:szCs w:val="18"/>
                <w:color w:val="auto"/>
              </w:rPr>
            </w:pPr>
          </w:p>
        </w:tc>
        <w:tc>
          <w:tcPr>
            <w:tcW w:w="80" w:type="dxa"/>
            <w:vAlign w:val="bottom"/>
            <w:tcBorders>
              <w:bottom w:val="single" w:sz="8" w:color="0E3C23"/>
            </w:tcBorders>
          </w:tcPr>
          <w:p>
            <w:pPr>
              <w:spacing w:after="0"/>
              <w:rPr>
                <w:sz w:val="18"/>
                <w:szCs w:val="18"/>
                <w:color w:val="auto"/>
              </w:rPr>
            </w:pPr>
          </w:p>
        </w:tc>
        <w:tc>
          <w:tcPr>
            <w:tcW w:w="880" w:type="dxa"/>
            <w:vAlign w:val="bottom"/>
            <w:tcBorders>
              <w:bottom w:val="single" w:sz="8" w:color="0E3C23"/>
            </w:tcBorders>
          </w:tcPr>
          <w:p>
            <w:pPr>
              <w:spacing w:after="0"/>
              <w:rPr>
                <w:sz w:val="18"/>
                <w:szCs w:val="18"/>
                <w:color w:val="auto"/>
              </w:rPr>
            </w:pPr>
          </w:p>
        </w:tc>
        <w:tc>
          <w:tcPr>
            <w:tcW w:w="1000" w:type="dxa"/>
            <w:vAlign w:val="bottom"/>
            <w:tcBorders>
              <w:bottom w:val="single" w:sz="8" w:color="0E3C23"/>
            </w:tcBorders>
          </w:tcPr>
          <w:p>
            <w:pPr>
              <w:spacing w:after="0"/>
              <w:rPr>
                <w:sz w:val="18"/>
                <w:szCs w:val="18"/>
                <w:color w:val="auto"/>
              </w:rPr>
            </w:pPr>
          </w:p>
        </w:tc>
        <w:tc>
          <w:tcPr>
            <w:tcW w:w="880" w:type="dxa"/>
            <w:vAlign w:val="bottom"/>
            <w:tcBorders>
              <w:bottom w:val="single" w:sz="8" w:color="0E3C23"/>
            </w:tcBorders>
          </w:tcPr>
          <w:p>
            <w:pPr>
              <w:spacing w:after="0"/>
              <w:rPr>
                <w:sz w:val="18"/>
                <w:szCs w:val="18"/>
                <w:color w:val="auto"/>
              </w:rPr>
            </w:pPr>
          </w:p>
        </w:tc>
        <w:tc>
          <w:tcPr>
            <w:tcW w:w="720" w:type="dxa"/>
            <w:vAlign w:val="bottom"/>
            <w:tcBorders>
              <w:bottom w:val="single" w:sz="8" w:color="0E3C23"/>
            </w:tcBorders>
          </w:tcPr>
          <w:p>
            <w:pPr>
              <w:spacing w:after="0"/>
              <w:rPr>
                <w:sz w:val="18"/>
                <w:szCs w:val="18"/>
                <w:color w:val="auto"/>
              </w:rPr>
            </w:pPr>
          </w:p>
        </w:tc>
        <w:tc>
          <w:tcPr>
            <w:tcW w:w="980" w:type="dxa"/>
            <w:vAlign w:val="bottom"/>
            <w:tcBorders>
              <w:bottom w:val="single" w:sz="8" w:color="0E3C23"/>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40" w:type="dxa"/>
            <w:vAlign w:val="bottom"/>
            <w:tcBorders>
              <w:bottom w:val="single" w:sz="8" w:color="0E3C23"/>
            </w:tcBorders>
          </w:tcPr>
          <w:p>
            <w:pPr>
              <w:ind w:left="60"/>
              <w:spacing w:after="0" w:line="206" w:lineRule="exact"/>
              <w:rPr>
                <w:sz w:val="20"/>
                <w:szCs w:val="20"/>
                <w:color w:val="auto"/>
              </w:rPr>
            </w:pPr>
            <w:r>
              <w:rPr>
                <w:rFonts w:ascii="Arial" w:cs="Arial" w:eastAsia="Arial" w:hAnsi="Arial"/>
                <w:sz w:val="18"/>
                <w:szCs w:val="18"/>
                <w:color w:val="auto"/>
              </w:rPr>
              <w:t>Cash Incentive</w:t>
            </w:r>
          </w:p>
        </w:tc>
        <w:tc>
          <w:tcPr>
            <w:tcW w:w="760" w:type="dxa"/>
            <w:vAlign w:val="bottom"/>
            <w:tcBorders>
              <w:bottom w:val="single" w:sz="8" w:color="0E3C23"/>
            </w:tcBorders>
          </w:tcPr>
          <w:p>
            <w:pPr>
              <w:jc w:val="right"/>
              <w:spacing w:after="0" w:line="206" w:lineRule="exact"/>
              <w:rPr>
                <w:sz w:val="20"/>
                <w:szCs w:val="20"/>
                <w:color w:val="auto"/>
              </w:rPr>
            </w:pPr>
            <w:r>
              <w:rPr>
                <w:rFonts w:ascii="Arial" w:cs="Arial" w:eastAsia="Arial" w:hAnsi="Arial"/>
                <w:sz w:val="18"/>
                <w:szCs w:val="18"/>
                <w:color w:val="auto"/>
              </w:rPr>
              <w:t>365,040</w:t>
            </w:r>
          </w:p>
        </w:tc>
        <w:tc>
          <w:tcPr>
            <w:tcW w:w="1040" w:type="dxa"/>
            <w:vAlign w:val="bottom"/>
            <w:tcBorders>
              <w:bottom w:val="single" w:sz="8" w:color="0E3C23"/>
            </w:tcBorders>
          </w:tcPr>
          <w:p>
            <w:pPr>
              <w:jc w:val="right"/>
              <w:ind w:right="53"/>
              <w:spacing w:after="0" w:line="206" w:lineRule="exact"/>
              <w:rPr>
                <w:sz w:val="20"/>
                <w:szCs w:val="20"/>
                <w:color w:val="auto"/>
              </w:rPr>
            </w:pPr>
            <w:r>
              <w:rPr>
                <w:rFonts w:ascii="Arial" w:cs="Arial" w:eastAsia="Arial" w:hAnsi="Arial"/>
                <w:sz w:val="18"/>
                <w:szCs w:val="18"/>
                <w:color w:val="auto"/>
              </w:rPr>
              <w:t>608,400</w:t>
            </w:r>
          </w:p>
        </w:tc>
        <w:tc>
          <w:tcPr>
            <w:tcW w:w="840" w:type="dxa"/>
            <w:vAlign w:val="bottom"/>
            <w:tcBorders>
              <w:bottom w:val="single" w:sz="8" w:color="0E3C23"/>
            </w:tcBorders>
            <w:gridSpan w:val="2"/>
          </w:tcPr>
          <w:p>
            <w:pPr>
              <w:jc w:val="right"/>
              <w:ind w:right="80"/>
              <w:spacing w:after="0" w:line="206" w:lineRule="exact"/>
              <w:rPr>
                <w:sz w:val="20"/>
                <w:szCs w:val="20"/>
                <w:color w:val="auto"/>
              </w:rPr>
            </w:pPr>
            <w:r>
              <w:rPr>
                <w:rFonts w:ascii="Arial" w:cs="Arial" w:eastAsia="Arial" w:hAnsi="Arial"/>
                <w:sz w:val="18"/>
                <w:szCs w:val="18"/>
                <w:color w:val="auto"/>
                <w:w w:val="92"/>
              </w:rPr>
              <w:t>1,216,800</w:t>
            </w:r>
          </w:p>
        </w:tc>
        <w:tc>
          <w:tcPr>
            <w:tcW w:w="60" w:type="dxa"/>
            <w:vAlign w:val="bottom"/>
            <w:tcBorders>
              <w:bottom w:val="single" w:sz="8" w:color="0E3C23"/>
            </w:tcBorders>
          </w:tcPr>
          <w:p>
            <w:pPr>
              <w:spacing w:after="0"/>
              <w:rPr>
                <w:sz w:val="17"/>
                <w:szCs w:val="17"/>
                <w:color w:val="auto"/>
              </w:rPr>
            </w:pPr>
          </w:p>
        </w:tc>
        <w:tc>
          <w:tcPr>
            <w:tcW w:w="800" w:type="dxa"/>
            <w:vAlign w:val="bottom"/>
            <w:tcBorders>
              <w:bottom w:val="single" w:sz="8" w:color="0E3C23"/>
            </w:tcBorders>
          </w:tcPr>
          <w:p>
            <w:pPr>
              <w:spacing w:after="0"/>
              <w:rPr>
                <w:sz w:val="17"/>
                <w:szCs w:val="17"/>
                <w:color w:val="auto"/>
              </w:rPr>
            </w:pPr>
          </w:p>
        </w:tc>
        <w:tc>
          <w:tcPr>
            <w:tcW w:w="660" w:type="dxa"/>
            <w:vAlign w:val="bottom"/>
            <w:tcBorders>
              <w:bottom w:val="single" w:sz="8" w:color="0E3C23"/>
            </w:tcBorders>
          </w:tcPr>
          <w:p>
            <w:pPr>
              <w:spacing w:after="0"/>
              <w:rPr>
                <w:sz w:val="17"/>
                <w:szCs w:val="17"/>
                <w:color w:val="auto"/>
              </w:rPr>
            </w:pPr>
          </w:p>
        </w:tc>
        <w:tc>
          <w:tcPr>
            <w:tcW w:w="760" w:type="dxa"/>
            <w:vAlign w:val="bottom"/>
            <w:tcBorders>
              <w:bottom w:val="single" w:sz="8" w:color="0E3C23"/>
            </w:tcBorders>
          </w:tcPr>
          <w:p>
            <w:pPr>
              <w:spacing w:after="0"/>
              <w:rPr>
                <w:sz w:val="17"/>
                <w:szCs w:val="17"/>
                <w:color w:val="auto"/>
              </w:rPr>
            </w:pPr>
          </w:p>
        </w:tc>
        <w:tc>
          <w:tcPr>
            <w:tcW w:w="80" w:type="dxa"/>
            <w:vAlign w:val="bottom"/>
            <w:tcBorders>
              <w:bottom w:val="single" w:sz="8" w:color="0E3C23"/>
            </w:tcBorders>
          </w:tcPr>
          <w:p>
            <w:pPr>
              <w:spacing w:after="0"/>
              <w:rPr>
                <w:sz w:val="17"/>
                <w:szCs w:val="17"/>
                <w:color w:val="auto"/>
              </w:rPr>
            </w:pPr>
          </w:p>
        </w:tc>
        <w:tc>
          <w:tcPr>
            <w:tcW w:w="880" w:type="dxa"/>
            <w:vAlign w:val="bottom"/>
            <w:tcBorders>
              <w:bottom w:val="single" w:sz="8" w:color="0E3C23"/>
            </w:tcBorders>
          </w:tcPr>
          <w:p>
            <w:pPr>
              <w:spacing w:after="0"/>
              <w:rPr>
                <w:sz w:val="17"/>
                <w:szCs w:val="17"/>
                <w:color w:val="auto"/>
              </w:rPr>
            </w:pPr>
          </w:p>
        </w:tc>
        <w:tc>
          <w:tcPr>
            <w:tcW w:w="1000" w:type="dxa"/>
            <w:vAlign w:val="bottom"/>
            <w:tcBorders>
              <w:bottom w:val="single" w:sz="8" w:color="0E3C23"/>
            </w:tcBorders>
          </w:tcPr>
          <w:p>
            <w:pPr>
              <w:spacing w:after="0"/>
              <w:rPr>
                <w:sz w:val="17"/>
                <w:szCs w:val="17"/>
                <w:color w:val="auto"/>
              </w:rPr>
            </w:pPr>
          </w:p>
        </w:tc>
        <w:tc>
          <w:tcPr>
            <w:tcW w:w="880" w:type="dxa"/>
            <w:vAlign w:val="bottom"/>
            <w:tcBorders>
              <w:bottom w:val="single" w:sz="8" w:color="0E3C23"/>
            </w:tcBorders>
          </w:tcPr>
          <w:p>
            <w:pPr>
              <w:spacing w:after="0"/>
              <w:rPr>
                <w:sz w:val="17"/>
                <w:szCs w:val="17"/>
                <w:color w:val="auto"/>
              </w:rPr>
            </w:pPr>
          </w:p>
        </w:tc>
        <w:tc>
          <w:tcPr>
            <w:tcW w:w="720" w:type="dxa"/>
            <w:vAlign w:val="bottom"/>
            <w:tcBorders>
              <w:bottom w:val="single" w:sz="8" w:color="0E3C23"/>
            </w:tcBorders>
          </w:tcPr>
          <w:p>
            <w:pPr>
              <w:spacing w:after="0"/>
              <w:rPr>
                <w:sz w:val="17"/>
                <w:szCs w:val="17"/>
                <w:color w:val="auto"/>
              </w:rPr>
            </w:pPr>
          </w:p>
        </w:tc>
        <w:tc>
          <w:tcPr>
            <w:tcW w:w="980" w:type="dxa"/>
            <w:vAlign w:val="bottom"/>
            <w:tcBorders>
              <w:bottom w:val="single" w:sz="8" w:color="0E3C23"/>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340" w:type="dxa"/>
            <w:vAlign w:val="bottom"/>
            <w:tcBorders>
              <w:bottom w:val="single" w:sz="8" w:color="0E3C23"/>
            </w:tcBorders>
          </w:tcPr>
          <w:p>
            <w:pPr>
              <w:ind w:left="260"/>
              <w:spacing w:after="0" w:line="206" w:lineRule="exact"/>
              <w:rPr>
                <w:sz w:val="20"/>
                <w:szCs w:val="20"/>
                <w:color w:val="auto"/>
              </w:rPr>
            </w:pPr>
            <w:r>
              <w:rPr>
                <w:rFonts w:ascii="Arial" w:cs="Arial" w:eastAsia="Arial" w:hAnsi="Arial"/>
                <w:sz w:val="18"/>
                <w:szCs w:val="18"/>
                <w:color w:val="auto"/>
              </w:rPr>
              <w:t>3/1/24</w:t>
            </w:r>
          </w:p>
        </w:tc>
        <w:tc>
          <w:tcPr>
            <w:tcW w:w="760" w:type="dxa"/>
            <w:vAlign w:val="bottom"/>
            <w:tcBorders>
              <w:bottom w:val="single" w:sz="8" w:color="0E3C23"/>
            </w:tcBorders>
          </w:tcPr>
          <w:p>
            <w:pPr>
              <w:spacing w:after="0"/>
              <w:rPr>
                <w:sz w:val="18"/>
                <w:szCs w:val="18"/>
                <w:color w:val="auto"/>
              </w:rPr>
            </w:pPr>
          </w:p>
        </w:tc>
        <w:tc>
          <w:tcPr>
            <w:tcW w:w="1040" w:type="dxa"/>
            <w:vAlign w:val="bottom"/>
            <w:tcBorders>
              <w:bottom w:val="single" w:sz="8" w:color="0E3C23"/>
            </w:tcBorders>
          </w:tcPr>
          <w:p>
            <w:pPr>
              <w:spacing w:after="0"/>
              <w:rPr>
                <w:sz w:val="18"/>
                <w:szCs w:val="18"/>
                <w:color w:val="auto"/>
              </w:rPr>
            </w:pPr>
          </w:p>
        </w:tc>
        <w:tc>
          <w:tcPr>
            <w:tcW w:w="760" w:type="dxa"/>
            <w:vAlign w:val="bottom"/>
            <w:tcBorders>
              <w:bottom w:val="single" w:sz="8" w:color="0E3C23"/>
            </w:tcBorders>
          </w:tcPr>
          <w:p>
            <w:pPr>
              <w:spacing w:after="0"/>
              <w:rPr>
                <w:sz w:val="18"/>
                <w:szCs w:val="18"/>
                <w:color w:val="auto"/>
              </w:rPr>
            </w:pPr>
          </w:p>
        </w:tc>
        <w:tc>
          <w:tcPr>
            <w:tcW w:w="80" w:type="dxa"/>
            <w:vAlign w:val="bottom"/>
            <w:tcBorders>
              <w:bottom w:val="single" w:sz="8" w:color="0E3C23"/>
            </w:tcBorders>
          </w:tcPr>
          <w:p>
            <w:pPr>
              <w:spacing w:after="0"/>
              <w:rPr>
                <w:sz w:val="18"/>
                <w:szCs w:val="18"/>
                <w:color w:val="auto"/>
              </w:rPr>
            </w:pPr>
          </w:p>
        </w:tc>
        <w:tc>
          <w:tcPr>
            <w:tcW w:w="860" w:type="dxa"/>
            <w:vAlign w:val="bottom"/>
            <w:tcBorders>
              <w:bottom w:val="single" w:sz="8" w:color="0E3C23"/>
            </w:tcBorders>
            <w:gridSpan w:val="2"/>
          </w:tcPr>
          <w:p>
            <w:pPr>
              <w:jc w:val="right"/>
              <w:ind w:right="80"/>
              <w:spacing w:after="0" w:line="206" w:lineRule="exact"/>
              <w:rPr>
                <w:sz w:val="20"/>
                <w:szCs w:val="20"/>
                <w:color w:val="auto"/>
              </w:rPr>
            </w:pPr>
            <w:r>
              <w:rPr>
                <w:rFonts w:ascii="Arial" w:cs="Arial" w:eastAsia="Arial" w:hAnsi="Arial"/>
                <w:sz w:val="18"/>
                <w:szCs w:val="18"/>
                <w:color w:val="auto"/>
              </w:rPr>
              <w:t>4,124</w:t>
            </w:r>
          </w:p>
        </w:tc>
        <w:tc>
          <w:tcPr>
            <w:tcW w:w="660" w:type="dxa"/>
            <w:vAlign w:val="bottom"/>
            <w:tcBorders>
              <w:bottom w:val="single" w:sz="8" w:color="0E3C23"/>
            </w:tcBorders>
          </w:tcPr>
          <w:p>
            <w:pPr>
              <w:jc w:val="right"/>
              <w:spacing w:after="0" w:line="206" w:lineRule="exact"/>
              <w:rPr>
                <w:sz w:val="20"/>
                <w:szCs w:val="20"/>
                <w:color w:val="auto"/>
              </w:rPr>
            </w:pPr>
            <w:r>
              <w:rPr>
                <w:rFonts w:ascii="Arial" w:cs="Arial" w:eastAsia="Arial" w:hAnsi="Arial"/>
                <w:sz w:val="18"/>
                <w:szCs w:val="18"/>
                <w:color w:val="auto"/>
              </w:rPr>
              <w:t>8,248</w:t>
            </w:r>
          </w:p>
        </w:tc>
        <w:tc>
          <w:tcPr>
            <w:tcW w:w="760" w:type="dxa"/>
            <w:vAlign w:val="bottom"/>
            <w:tcBorders>
              <w:bottom w:val="single" w:sz="8" w:color="0E3C23"/>
            </w:tcBorders>
          </w:tcPr>
          <w:p>
            <w:pPr>
              <w:jc w:val="center"/>
              <w:spacing w:after="0" w:line="206" w:lineRule="exact"/>
              <w:rPr>
                <w:sz w:val="20"/>
                <w:szCs w:val="20"/>
                <w:color w:val="auto"/>
              </w:rPr>
            </w:pPr>
            <w:r>
              <w:rPr>
                <w:rFonts w:ascii="Arial" w:cs="Arial" w:eastAsia="Arial" w:hAnsi="Arial"/>
                <w:sz w:val="18"/>
                <w:szCs w:val="18"/>
                <w:color w:val="auto"/>
                <w:w w:val="94"/>
              </w:rPr>
              <w:t>16,496</w:t>
            </w:r>
          </w:p>
        </w:tc>
        <w:tc>
          <w:tcPr>
            <w:tcW w:w="80" w:type="dxa"/>
            <w:vAlign w:val="bottom"/>
            <w:tcBorders>
              <w:bottom w:val="single" w:sz="8" w:color="0E3C23"/>
            </w:tcBorders>
          </w:tcPr>
          <w:p>
            <w:pPr>
              <w:spacing w:after="0"/>
              <w:rPr>
                <w:sz w:val="18"/>
                <w:szCs w:val="18"/>
                <w:color w:val="auto"/>
              </w:rPr>
            </w:pPr>
          </w:p>
        </w:tc>
        <w:tc>
          <w:tcPr>
            <w:tcW w:w="880" w:type="dxa"/>
            <w:vAlign w:val="bottom"/>
            <w:tcBorders>
              <w:bottom w:val="single" w:sz="8" w:color="0E3C23"/>
            </w:tcBorders>
          </w:tcPr>
          <w:p>
            <w:pPr>
              <w:spacing w:after="0"/>
              <w:rPr>
                <w:sz w:val="18"/>
                <w:szCs w:val="18"/>
                <w:color w:val="auto"/>
              </w:rPr>
            </w:pPr>
          </w:p>
        </w:tc>
        <w:tc>
          <w:tcPr>
            <w:tcW w:w="1000" w:type="dxa"/>
            <w:vAlign w:val="bottom"/>
            <w:tcBorders>
              <w:bottom w:val="single" w:sz="8" w:color="0E3C23"/>
            </w:tcBorders>
          </w:tcPr>
          <w:p>
            <w:pPr>
              <w:spacing w:after="0"/>
              <w:rPr>
                <w:sz w:val="18"/>
                <w:szCs w:val="18"/>
                <w:color w:val="auto"/>
              </w:rPr>
            </w:pPr>
          </w:p>
        </w:tc>
        <w:tc>
          <w:tcPr>
            <w:tcW w:w="880" w:type="dxa"/>
            <w:vAlign w:val="bottom"/>
            <w:tcBorders>
              <w:bottom w:val="single" w:sz="8" w:color="0E3C23"/>
            </w:tcBorders>
          </w:tcPr>
          <w:p>
            <w:pPr>
              <w:spacing w:after="0"/>
              <w:rPr>
                <w:sz w:val="18"/>
                <w:szCs w:val="18"/>
                <w:color w:val="auto"/>
              </w:rPr>
            </w:pPr>
          </w:p>
        </w:tc>
        <w:tc>
          <w:tcPr>
            <w:tcW w:w="720" w:type="dxa"/>
            <w:vAlign w:val="bottom"/>
            <w:tcBorders>
              <w:bottom w:val="single" w:sz="8" w:color="0E3C23"/>
            </w:tcBorders>
          </w:tcPr>
          <w:p>
            <w:pPr>
              <w:spacing w:after="0"/>
              <w:rPr>
                <w:sz w:val="18"/>
                <w:szCs w:val="18"/>
                <w:color w:val="auto"/>
              </w:rPr>
            </w:pPr>
          </w:p>
        </w:tc>
        <w:tc>
          <w:tcPr>
            <w:tcW w:w="980" w:type="dxa"/>
            <w:vAlign w:val="bottom"/>
            <w:tcBorders>
              <w:bottom w:val="single" w:sz="8" w:color="0E3C23"/>
            </w:tcBorders>
          </w:tcPr>
          <w:p>
            <w:pPr>
              <w:jc w:val="right"/>
              <w:spacing w:after="0" w:line="206" w:lineRule="exact"/>
              <w:rPr>
                <w:sz w:val="20"/>
                <w:szCs w:val="20"/>
                <w:color w:val="auto"/>
              </w:rPr>
            </w:pPr>
            <w:r>
              <w:rPr>
                <w:rFonts w:ascii="Arial" w:cs="Arial" w:eastAsia="Arial" w:hAnsi="Arial"/>
                <w:sz w:val="18"/>
                <w:szCs w:val="18"/>
                <w:color w:val="auto"/>
              </w:rPr>
              <w:t>2,111,358</w:t>
            </w:r>
          </w:p>
        </w:tc>
        <w:tc>
          <w:tcPr>
            <w:tcW w:w="0" w:type="dxa"/>
            <w:vAlign w:val="bottom"/>
          </w:tcPr>
          <w:p>
            <w:pPr>
              <w:spacing w:after="0"/>
              <w:rPr>
                <w:sz w:val="1"/>
                <w:szCs w:val="1"/>
                <w:color w:val="auto"/>
              </w:rPr>
            </w:pPr>
          </w:p>
        </w:tc>
      </w:tr>
      <w:tr>
        <w:trPr>
          <w:trHeight w:val="205"/>
        </w:trPr>
        <w:tc>
          <w:tcPr>
            <w:tcW w:w="1340" w:type="dxa"/>
            <w:vAlign w:val="bottom"/>
          </w:tcPr>
          <w:p>
            <w:pPr>
              <w:ind w:left="260"/>
              <w:spacing w:after="0" w:line="205" w:lineRule="exact"/>
              <w:rPr>
                <w:sz w:val="20"/>
                <w:szCs w:val="20"/>
                <w:color w:val="auto"/>
              </w:rPr>
            </w:pPr>
            <w:r>
              <w:rPr>
                <w:rFonts w:ascii="Arial" w:cs="Arial" w:eastAsia="Arial" w:hAnsi="Arial"/>
                <w:sz w:val="18"/>
                <w:szCs w:val="18"/>
                <w:color w:val="auto"/>
              </w:rPr>
              <w:t>3/1/24</w:t>
            </w: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jc w:val="right"/>
              <w:ind w:right="135"/>
              <w:spacing w:after="0" w:line="205" w:lineRule="exact"/>
              <w:rPr>
                <w:sz w:val="20"/>
                <w:szCs w:val="20"/>
                <w:color w:val="auto"/>
              </w:rPr>
            </w:pPr>
            <w:r>
              <w:rPr>
                <w:rFonts w:ascii="Arial" w:cs="Arial" w:eastAsia="Arial" w:hAnsi="Arial"/>
                <w:sz w:val="18"/>
                <w:szCs w:val="18"/>
                <w:color w:val="auto"/>
              </w:rPr>
              <w:t>9,302</w:t>
            </w:r>
          </w:p>
        </w:tc>
        <w:tc>
          <w:tcPr>
            <w:tcW w:w="880" w:type="dxa"/>
            <w:vAlign w:val="bottom"/>
          </w:tcPr>
          <w:p>
            <w:pPr>
              <w:jc w:val="right"/>
              <w:spacing w:after="0" w:line="205" w:lineRule="exact"/>
              <w:rPr>
                <w:sz w:val="20"/>
                <w:szCs w:val="20"/>
                <w:color w:val="auto"/>
              </w:rPr>
            </w:pPr>
            <w:r>
              <w:rPr>
                <w:rFonts w:ascii="Arial" w:cs="Arial" w:eastAsia="Arial" w:hAnsi="Arial"/>
                <w:sz w:val="18"/>
                <w:szCs w:val="18"/>
                <w:color w:val="auto"/>
              </w:rPr>
              <w:t>204.7585</w:t>
            </w:r>
          </w:p>
        </w:tc>
        <w:tc>
          <w:tcPr>
            <w:tcW w:w="720" w:type="dxa"/>
            <w:vAlign w:val="bottom"/>
          </w:tcPr>
          <w:p>
            <w:pPr>
              <w:jc w:val="right"/>
              <w:ind w:right="15"/>
              <w:spacing w:after="0" w:line="205" w:lineRule="exact"/>
              <w:rPr>
                <w:sz w:val="20"/>
                <w:szCs w:val="20"/>
                <w:color w:val="auto"/>
              </w:rPr>
            </w:pPr>
            <w:r>
              <w:rPr>
                <w:rFonts w:ascii="Arial" w:cs="Arial" w:eastAsia="Arial" w:hAnsi="Arial"/>
                <w:sz w:val="18"/>
                <w:szCs w:val="18"/>
                <w:color w:val="auto"/>
              </w:rPr>
              <w:t>205.79</w:t>
            </w:r>
          </w:p>
        </w:tc>
        <w:tc>
          <w:tcPr>
            <w:tcW w:w="980" w:type="dxa"/>
            <w:vAlign w:val="bottom"/>
          </w:tcPr>
          <w:p>
            <w:pPr>
              <w:jc w:val="right"/>
              <w:spacing w:after="0" w:line="205" w:lineRule="exact"/>
              <w:rPr>
                <w:sz w:val="20"/>
                <w:szCs w:val="20"/>
                <w:color w:val="auto"/>
              </w:rPr>
            </w:pPr>
            <w:r>
              <w:rPr>
                <w:rFonts w:ascii="Arial" w:cs="Arial" w:eastAsia="Arial" w:hAnsi="Arial"/>
                <w:sz w:val="18"/>
                <w:szCs w:val="18"/>
                <w:color w:val="auto"/>
              </w:rPr>
              <w:t>399,986</w:t>
            </w:r>
          </w:p>
        </w:tc>
        <w:tc>
          <w:tcPr>
            <w:tcW w:w="0" w:type="dxa"/>
            <w:vAlign w:val="bottom"/>
          </w:tcPr>
          <w:p>
            <w:pPr>
              <w:spacing w:after="0"/>
              <w:rPr>
                <w:sz w:val="1"/>
                <w:szCs w:val="1"/>
                <w:color w:val="auto"/>
              </w:rPr>
            </w:pPr>
          </w:p>
        </w:tc>
      </w:tr>
      <w:tr>
        <w:trPr>
          <w:trHeight w:val="41"/>
        </w:trPr>
        <w:tc>
          <w:tcPr>
            <w:tcW w:w="1340" w:type="dxa"/>
            <w:vAlign w:val="bottom"/>
            <w:tcBorders>
              <w:bottom w:val="single" w:sz="8" w:color="0E3C23"/>
            </w:tcBorders>
          </w:tcPr>
          <w:p>
            <w:pPr>
              <w:spacing w:after="0"/>
              <w:rPr>
                <w:sz w:val="3"/>
                <w:szCs w:val="3"/>
                <w:color w:val="auto"/>
              </w:rPr>
            </w:pPr>
          </w:p>
        </w:tc>
        <w:tc>
          <w:tcPr>
            <w:tcW w:w="760" w:type="dxa"/>
            <w:vAlign w:val="bottom"/>
            <w:tcBorders>
              <w:bottom w:val="single" w:sz="8" w:color="0E3C23"/>
            </w:tcBorders>
          </w:tcPr>
          <w:p>
            <w:pPr>
              <w:spacing w:after="0"/>
              <w:rPr>
                <w:sz w:val="3"/>
                <w:szCs w:val="3"/>
                <w:color w:val="auto"/>
              </w:rPr>
            </w:pPr>
          </w:p>
        </w:tc>
        <w:tc>
          <w:tcPr>
            <w:tcW w:w="1040" w:type="dxa"/>
            <w:vAlign w:val="bottom"/>
            <w:tcBorders>
              <w:bottom w:val="single" w:sz="8" w:color="0E3C23"/>
            </w:tcBorders>
          </w:tcPr>
          <w:p>
            <w:pPr>
              <w:spacing w:after="0"/>
              <w:rPr>
                <w:sz w:val="3"/>
                <w:szCs w:val="3"/>
                <w:color w:val="auto"/>
              </w:rPr>
            </w:pPr>
          </w:p>
        </w:tc>
        <w:tc>
          <w:tcPr>
            <w:tcW w:w="760" w:type="dxa"/>
            <w:vAlign w:val="bottom"/>
            <w:tcBorders>
              <w:bottom w:val="single" w:sz="8" w:color="0E3C23"/>
            </w:tcBorders>
          </w:tcPr>
          <w:p>
            <w:pPr>
              <w:spacing w:after="0"/>
              <w:rPr>
                <w:sz w:val="3"/>
                <w:szCs w:val="3"/>
                <w:color w:val="auto"/>
              </w:rPr>
            </w:pPr>
          </w:p>
        </w:tc>
        <w:tc>
          <w:tcPr>
            <w:tcW w:w="80" w:type="dxa"/>
            <w:vAlign w:val="bottom"/>
            <w:tcBorders>
              <w:bottom w:val="single" w:sz="8" w:color="0E3C23"/>
            </w:tcBorders>
          </w:tcPr>
          <w:p>
            <w:pPr>
              <w:spacing w:after="0"/>
              <w:rPr>
                <w:sz w:val="3"/>
                <w:szCs w:val="3"/>
                <w:color w:val="auto"/>
              </w:rPr>
            </w:pPr>
          </w:p>
        </w:tc>
        <w:tc>
          <w:tcPr>
            <w:tcW w:w="60" w:type="dxa"/>
            <w:vAlign w:val="bottom"/>
            <w:tcBorders>
              <w:bottom w:val="single" w:sz="8" w:color="0E3C23"/>
            </w:tcBorders>
          </w:tcPr>
          <w:p>
            <w:pPr>
              <w:spacing w:after="0"/>
              <w:rPr>
                <w:sz w:val="3"/>
                <w:szCs w:val="3"/>
                <w:color w:val="auto"/>
              </w:rPr>
            </w:pPr>
          </w:p>
        </w:tc>
        <w:tc>
          <w:tcPr>
            <w:tcW w:w="800" w:type="dxa"/>
            <w:vAlign w:val="bottom"/>
            <w:tcBorders>
              <w:bottom w:val="single" w:sz="8" w:color="0E3C23"/>
            </w:tcBorders>
          </w:tcPr>
          <w:p>
            <w:pPr>
              <w:spacing w:after="0"/>
              <w:rPr>
                <w:sz w:val="3"/>
                <w:szCs w:val="3"/>
                <w:color w:val="auto"/>
              </w:rPr>
            </w:pPr>
          </w:p>
        </w:tc>
        <w:tc>
          <w:tcPr>
            <w:tcW w:w="660" w:type="dxa"/>
            <w:vAlign w:val="bottom"/>
            <w:tcBorders>
              <w:bottom w:val="single" w:sz="8" w:color="0E3C23"/>
            </w:tcBorders>
          </w:tcPr>
          <w:p>
            <w:pPr>
              <w:spacing w:after="0"/>
              <w:rPr>
                <w:sz w:val="3"/>
                <w:szCs w:val="3"/>
                <w:color w:val="auto"/>
              </w:rPr>
            </w:pPr>
          </w:p>
        </w:tc>
        <w:tc>
          <w:tcPr>
            <w:tcW w:w="760" w:type="dxa"/>
            <w:vAlign w:val="bottom"/>
            <w:tcBorders>
              <w:bottom w:val="single" w:sz="8" w:color="0E3C23"/>
            </w:tcBorders>
          </w:tcPr>
          <w:p>
            <w:pPr>
              <w:spacing w:after="0"/>
              <w:rPr>
                <w:sz w:val="3"/>
                <w:szCs w:val="3"/>
                <w:color w:val="auto"/>
              </w:rPr>
            </w:pPr>
          </w:p>
        </w:tc>
        <w:tc>
          <w:tcPr>
            <w:tcW w:w="80" w:type="dxa"/>
            <w:vAlign w:val="bottom"/>
            <w:tcBorders>
              <w:bottom w:val="single" w:sz="8" w:color="0E3C23"/>
            </w:tcBorders>
          </w:tcPr>
          <w:p>
            <w:pPr>
              <w:spacing w:after="0"/>
              <w:rPr>
                <w:sz w:val="3"/>
                <w:szCs w:val="3"/>
                <w:color w:val="auto"/>
              </w:rPr>
            </w:pPr>
          </w:p>
        </w:tc>
        <w:tc>
          <w:tcPr>
            <w:tcW w:w="880" w:type="dxa"/>
            <w:vAlign w:val="bottom"/>
            <w:tcBorders>
              <w:bottom w:val="single" w:sz="8" w:color="0E3C23"/>
            </w:tcBorders>
          </w:tcPr>
          <w:p>
            <w:pPr>
              <w:spacing w:after="0"/>
              <w:rPr>
                <w:sz w:val="3"/>
                <w:szCs w:val="3"/>
                <w:color w:val="auto"/>
              </w:rPr>
            </w:pPr>
          </w:p>
        </w:tc>
        <w:tc>
          <w:tcPr>
            <w:tcW w:w="1000" w:type="dxa"/>
            <w:vAlign w:val="bottom"/>
            <w:tcBorders>
              <w:bottom w:val="single" w:sz="8" w:color="0E3C23"/>
            </w:tcBorders>
          </w:tcPr>
          <w:p>
            <w:pPr>
              <w:spacing w:after="0"/>
              <w:rPr>
                <w:sz w:val="3"/>
                <w:szCs w:val="3"/>
                <w:color w:val="auto"/>
              </w:rPr>
            </w:pPr>
          </w:p>
        </w:tc>
        <w:tc>
          <w:tcPr>
            <w:tcW w:w="880" w:type="dxa"/>
            <w:vAlign w:val="bottom"/>
            <w:tcBorders>
              <w:bottom w:val="single" w:sz="8" w:color="0E3C23"/>
            </w:tcBorders>
          </w:tcPr>
          <w:p>
            <w:pPr>
              <w:spacing w:after="0"/>
              <w:rPr>
                <w:sz w:val="3"/>
                <w:szCs w:val="3"/>
                <w:color w:val="auto"/>
              </w:rPr>
            </w:pPr>
          </w:p>
        </w:tc>
        <w:tc>
          <w:tcPr>
            <w:tcW w:w="720" w:type="dxa"/>
            <w:vAlign w:val="bottom"/>
            <w:tcBorders>
              <w:bottom w:val="single" w:sz="8" w:color="0E3C23"/>
            </w:tcBorders>
          </w:tcPr>
          <w:p>
            <w:pPr>
              <w:spacing w:after="0"/>
              <w:rPr>
                <w:sz w:val="3"/>
                <w:szCs w:val="3"/>
                <w:color w:val="auto"/>
              </w:rPr>
            </w:pPr>
          </w:p>
        </w:tc>
        <w:tc>
          <w:tcPr>
            <w:tcW w:w="98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780" w:right="360" w:hanging="402"/>
        <w:spacing w:after="0" w:line="261" w:lineRule="auto"/>
        <w:tabs>
          <w:tab w:leader="none" w:pos="7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Actual payouts of cash incentive awards for 2024 performance are shown in the Summary Compensation Table under “Non-Equity Incentive Plan Compensation.” The named executives’ possible annual cash incentive payouts are calculated using a percentage of base salary approved by the MD&amp;C Committee. The threshold levels represent the amounts that would have been payable if the minimum performance criteria were met for each of the three financial performance measures. The range of possible payouts does not incorporate any individual performance modification or the potential impact of the sustainability modifier, pursuant to which cash incentive payouts were eligible to be increased, or decreased, up to 10% depending on achievement calculated using a sustainability scorecard. See “Compensation Discussion and Analysis — Named Executive’s 2024 Compensation Program and Results — Annual Cash Incentive” for additional information.</w:t>
      </w:r>
    </w:p>
    <w:p>
      <w:pPr>
        <w:spacing w:after="0" w:line="118" w:lineRule="exact"/>
        <w:rPr>
          <w:rFonts w:ascii="Arial" w:cs="Arial" w:eastAsia="Arial" w:hAnsi="Arial"/>
          <w:sz w:val="19"/>
          <w:szCs w:val="19"/>
          <w:color w:val="auto"/>
        </w:rPr>
      </w:pPr>
    </w:p>
    <w:p>
      <w:pPr>
        <w:jc w:val="both"/>
        <w:ind w:left="780" w:right="360" w:hanging="402"/>
        <w:spacing w:after="0" w:line="246" w:lineRule="auto"/>
        <w:tabs>
          <w:tab w:leader="none" w:pos="7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Consists of the number of shares of Common Stock potentially issuable based on the achievement of performance criteria under PSU awards granted under our 2023 Stock Incentive Plan. See “Compensation Discussion and Analysis — Named Executive’s 2024 Compensation Program and Results — Long-Term Equity Incentives — PSUs Granted in 2024” for additional information. The performance period for these awards ends December 31, 2026. PSUs earn dividend equivalents, which are paid out based on the number of shares earned at the end of the performance period.</w:t>
      </w:r>
    </w:p>
    <w:p>
      <w:pPr>
        <w:spacing w:after="0" w:line="130" w:lineRule="exact"/>
        <w:rPr>
          <w:rFonts w:ascii="Arial" w:cs="Arial" w:eastAsia="Arial" w:hAnsi="Arial"/>
          <w:sz w:val="20"/>
          <w:szCs w:val="20"/>
          <w:color w:val="auto"/>
        </w:rPr>
      </w:pPr>
    </w:p>
    <w:p>
      <w:pPr>
        <w:jc w:val="both"/>
        <w:ind w:left="780" w:right="360" w:hanging="402"/>
        <w:spacing w:after="0" w:line="246" w:lineRule="auto"/>
        <w:tabs>
          <w:tab w:leader="none" w:pos="7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Consists of the number of shares of Common Stock potentially issuable upon the exercise of options granted under our 2023 Stock Incentive Plan. See “Compensation Discussion and Analysis — Named Executive’s 2024 Compensation Program and Results — Long-Term Equity Incentives — Stock Options” for additional information. Stock options vest ratably in three annual increments, beginning on the first anniversary of the date of grant. Although we consider stock options to be a form of incentive compensation, only awards with performance criteria are included as “Equity Incentive Plan Awards” in our compensation tables.</w:t>
      </w:r>
    </w:p>
    <w:p>
      <w:pPr>
        <w:spacing w:after="0" w:line="132" w:lineRule="exact"/>
        <w:rPr>
          <w:rFonts w:ascii="Arial" w:cs="Arial" w:eastAsia="Arial" w:hAnsi="Arial"/>
          <w:sz w:val="20"/>
          <w:szCs w:val="20"/>
          <w:color w:val="auto"/>
        </w:rPr>
      </w:pPr>
    </w:p>
    <w:p>
      <w:pPr>
        <w:ind w:left="780" w:right="360" w:hanging="402"/>
        <w:spacing w:after="0" w:line="244" w:lineRule="auto"/>
        <w:tabs>
          <w:tab w:leader="none" w:pos="7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exercise price represents the average of the high and low market price of our Common Stock on the date of the grant, in accordance with our 2023 Stock Incentive Plan.</w:t>
      </w:r>
    </w:p>
    <w:p>
      <w:pPr>
        <w:spacing w:after="0" w:line="131" w:lineRule="exact"/>
        <w:rPr>
          <w:rFonts w:ascii="Arial" w:cs="Arial" w:eastAsia="Arial" w:hAnsi="Arial"/>
          <w:sz w:val="20"/>
          <w:szCs w:val="20"/>
          <w:color w:val="auto"/>
        </w:rPr>
      </w:pPr>
    </w:p>
    <w:p>
      <w:pPr>
        <w:ind w:left="780" w:right="360" w:hanging="402"/>
        <w:spacing w:after="0" w:line="244" w:lineRule="auto"/>
        <w:tabs>
          <w:tab w:leader="none" w:pos="7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These amounts are grant date fair values of the awards as calculated under ASC Topic 718 and as further described in notes (1) and (2) to the Summary Compensation Table.</w:t>
      </w:r>
    </w:p>
    <w:p>
      <w:pPr>
        <w:spacing w:after="0" w:line="200" w:lineRule="exact"/>
        <w:rPr>
          <w:sz w:val="20"/>
          <w:szCs w:val="20"/>
          <w:color w:val="auto"/>
        </w:rPr>
      </w:pPr>
    </w:p>
    <w:p>
      <w:pPr>
        <w:spacing w:after="0" w:line="223" w:lineRule="exact"/>
        <w:rPr>
          <w:sz w:val="20"/>
          <w:szCs w:val="20"/>
          <w:color w:val="auto"/>
        </w:rPr>
      </w:pPr>
    </w:p>
    <w:p>
      <w:pPr>
        <w:ind w:left="7880"/>
        <w:spacing w:after="0"/>
        <w:tabs>
          <w:tab w:leader="none" w:pos="99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4367530</wp:posOffset>
            </wp:positionH>
            <wp:positionV relativeFrom="paragraph">
              <wp:posOffset>-207010</wp:posOffset>
            </wp:positionV>
            <wp:extent cx="538480" cy="1619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42">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800"/>
          </w:cols>
          <w:pgMar w:left="1240" w:top="1232" w:right="1280" w:bottom="1036" w:gutter="0" w:footer="0" w:header="0"/>
        </w:sectPr>
      </w:pPr>
    </w:p>
    <w:bookmarkStart w:id="57" w:name="page58"/>
    <w:bookmarkEnd w:id="57"/>
    <w:p>
      <w:pPr>
        <w:ind w:left="180"/>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Outstanding Equity Awards as of December 31, 2024</w:t>
      </w:r>
    </w:p>
    <w:p>
      <w:pPr>
        <w:spacing w:after="0" w:line="128" w:lineRule="exact"/>
        <w:rPr>
          <w:sz w:val="20"/>
          <w:szCs w:val="20"/>
          <w:color w:val="auto"/>
        </w:rPr>
      </w:pPr>
    </w:p>
    <w:tbl>
      <w:tblPr>
        <w:tblLayout w:type="fixed"/>
        <w:tblInd w:w="180" w:type="dxa"/>
        <w:tblCellMar>
          <w:top w:w="0" w:type="dxa"/>
          <w:left w:w="0" w:type="dxa"/>
          <w:bottom w:w="0" w:type="dxa"/>
          <w:right w:w="0" w:type="dxa"/>
        </w:tblCellMar>
      </w:tblPr>
      <w:tr>
        <w:trPr>
          <w:trHeight w:val="231"/>
        </w:trPr>
        <w:tc>
          <w:tcPr>
            <w:tcW w:w="1440" w:type="dxa"/>
            <w:vAlign w:val="bottom"/>
          </w:tcPr>
          <w:p>
            <w:pPr>
              <w:spacing w:after="0"/>
              <w:rPr>
                <w:sz w:val="20"/>
                <w:szCs w:val="20"/>
                <w:color w:val="auto"/>
              </w:rPr>
            </w:pPr>
          </w:p>
        </w:tc>
        <w:tc>
          <w:tcPr>
            <w:tcW w:w="1000" w:type="dxa"/>
            <w:vAlign w:val="bottom"/>
            <w:tcBorders>
              <w:bottom w:val="single" w:sz="8" w:color="0E3C23"/>
            </w:tcBorders>
          </w:tcPr>
          <w:p>
            <w:pPr>
              <w:spacing w:after="0"/>
              <w:rPr>
                <w:sz w:val="20"/>
                <w:szCs w:val="20"/>
                <w:color w:val="auto"/>
              </w:rPr>
            </w:pPr>
          </w:p>
        </w:tc>
        <w:tc>
          <w:tcPr>
            <w:tcW w:w="2280" w:type="dxa"/>
            <w:vAlign w:val="bottom"/>
            <w:tcBorders>
              <w:bottom w:val="single" w:sz="8" w:color="0E3C23"/>
            </w:tcBorders>
            <w:gridSpan w:val="2"/>
          </w:tcPr>
          <w:p>
            <w:pPr>
              <w:jc w:val="right"/>
              <w:ind w:right="503"/>
              <w:spacing w:after="0"/>
              <w:rPr>
                <w:sz w:val="20"/>
                <w:szCs w:val="20"/>
                <w:color w:val="auto"/>
              </w:rPr>
            </w:pPr>
            <w:r>
              <w:rPr>
                <w:rFonts w:ascii="Arial" w:cs="Arial" w:eastAsia="Arial" w:hAnsi="Arial"/>
                <w:sz w:val="16"/>
                <w:szCs w:val="16"/>
                <w:b w:val="1"/>
                <w:bCs w:val="1"/>
                <w:color w:val="0E3C23"/>
              </w:rPr>
              <w:t>Option Awards</w:t>
            </w:r>
          </w:p>
        </w:tc>
        <w:tc>
          <w:tcPr>
            <w:tcW w:w="1020" w:type="dxa"/>
            <w:vAlign w:val="bottom"/>
            <w:tcBorders>
              <w:bottom w:val="single" w:sz="8" w:color="0E3C23"/>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0E3C23"/>
            </w:tcBorders>
          </w:tcPr>
          <w:p>
            <w:pPr>
              <w:spacing w:after="0"/>
              <w:rPr>
                <w:sz w:val="20"/>
                <w:szCs w:val="20"/>
                <w:color w:val="auto"/>
              </w:rPr>
            </w:pPr>
          </w:p>
        </w:tc>
        <w:tc>
          <w:tcPr>
            <w:tcW w:w="2060" w:type="dxa"/>
            <w:vAlign w:val="bottom"/>
            <w:tcBorders>
              <w:bottom w:val="single" w:sz="8" w:color="0E3C23"/>
            </w:tcBorders>
            <w:gridSpan w:val="2"/>
          </w:tcPr>
          <w:p>
            <w:pPr>
              <w:jc w:val="right"/>
              <w:ind w:right="288"/>
              <w:spacing w:after="0"/>
              <w:rPr>
                <w:sz w:val="20"/>
                <w:szCs w:val="20"/>
                <w:color w:val="auto"/>
              </w:rPr>
            </w:pPr>
            <w:r>
              <w:rPr>
                <w:rFonts w:ascii="Arial" w:cs="Arial" w:eastAsia="Arial" w:hAnsi="Arial"/>
                <w:sz w:val="16"/>
                <w:szCs w:val="16"/>
                <w:b w:val="1"/>
                <w:bCs w:val="1"/>
                <w:color w:val="0E3C23"/>
              </w:rPr>
              <w:t>Stock Awards</w:t>
            </w:r>
            <w:r>
              <w:rPr>
                <w:rFonts w:ascii="Arial" w:cs="Arial" w:eastAsia="Arial" w:hAnsi="Arial"/>
                <w:sz w:val="19"/>
                <w:szCs w:val="19"/>
                <w:b w:val="1"/>
                <w:bCs w:val="1"/>
                <w:color w:val="0E3C23"/>
                <w:vertAlign w:val="superscript"/>
              </w:rPr>
              <w:t>(1)</w:t>
            </w:r>
          </w:p>
        </w:tc>
        <w:tc>
          <w:tcPr>
            <w:tcW w:w="1060" w:type="dxa"/>
            <w:vAlign w:val="bottom"/>
            <w:tcBorders>
              <w:bottom w:val="single" w:sz="8" w:color="0E3C23"/>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gridSpan w:val="2"/>
          </w:tcPr>
          <w:p>
            <w:pPr>
              <w:jc w:val="right"/>
              <w:ind w:right="60"/>
              <w:spacing w:after="0" w:line="174" w:lineRule="exact"/>
              <w:rPr>
                <w:sz w:val="20"/>
                <w:szCs w:val="20"/>
                <w:color w:val="auto"/>
              </w:rPr>
            </w:pPr>
            <w:r>
              <w:rPr>
                <w:rFonts w:ascii="Arial" w:cs="Arial" w:eastAsia="Arial" w:hAnsi="Arial"/>
                <w:sz w:val="16"/>
                <w:szCs w:val="16"/>
                <w:b w:val="1"/>
                <w:bCs w:val="1"/>
                <w:color w:val="0E3C23"/>
              </w:rPr>
              <w:t>Equity</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E3C23"/>
              </w:rPr>
              <w:t>Incentive</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E3C23"/>
              </w:rPr>
              <w:t>Equity</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E3C23"/>
              </w:rPr>
              <w:t>Plan</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E3C23"/>
              </w:rPr>
              <w:t>Incentive</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E3C23"/>
              </w:rPr>
              <w:t>Awards:</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E3C23"/>
              </w:rPr>
              <w:t>Plan</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E3C23"/>
              </w:rPr>
              <w:t>Market or</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E3C23"/>
              </w:rPr>
              <w:t>Awards:</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E3C23"/>
              </w:rPr>
              <w:t>Payout</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vMerge w:val="restart"/>
          </w:tcPr>
          <w:p>
            <w:pPr>
              <w:jc w:val="right"/>
              <w:ind w:right="27"/>
              <w:spacing w:after="0"/>
              <w:rPr>
                <w:sz w:val="20"/>
                <w:szCs w:val="20"/>
                <w:color w:val="auto"/>
              </w:rPr>
            </w:pPr>
            <w:r>
              <w:rPr>
                <w:rFonts w:ascii="Arial" w:cs="Arial" w:eastAsia="Arial" w:hAnsi="Arial"/>
                <w:sz w:val="16"/>
                <w:szCs w:val="16"/>
                <w:b w:val="1"/>
                <w:bCs w:val="1"/>
                <w:color w:val="0E3C23"/>
              </w:rPr>
              <w:t>Market</w:t>
            </w: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E3C23"/>
              </w:rPr>
              <w:t>Number of</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E3C23"/>
              </w:rPr>
              <w:t>Value of</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000" w:type="dxa"/>
            <w:vAlign w:val="bottom"/>
            <w:vMerge w:val="restart"/>
          </w:tcPr>
          <w:p>
            <w:pPr>
              <w:jc w:val="right"/>
              <w:ind w:right="25"/>
              <w:spacing w:after="0"/>
              <w:rPr>
                <w:sz w:val="20"/>
                <w:szCs w:val="20"/>
                <w:color w:val="auto"/>
              </w:rPr>
            </w:pPr>
            <w:r>
              <w:rPr>
                <w:rFonts w:ascii="Arial" w:cs="Arial" w:eastAsia="Arial" w:hAnsi="Arial"/>
                <w:sz w:val="16"/>
                <w:szCs w:val="16"/>
                <w:b w:val="1"/>
                <w:bCs w:val="1"/>
                <w:color w:val="0E3C23"/>
              </w:rPr>
              <w:t>Number of</w:t>
            </w:r>
          </w:p>
        </w:tc>
        <w:tc>
          <w:tcPr>
            <w:tcW w:w="1260" w:type="dxa"/>
            <w:vAlign w:val="bottom"/>
            <w:vMerge w:val="restart"/>
          </w:tcPr>
          <w:p>
            <w:pPr>
              <w:jc w:val="right"/>
              <w:ind w:right="26"/>
              <w:spacing w:after="0"/>
              <w:rPr>
                <w:sz w:val="20"/>
                <w:szCs w:val="20"/>
                <w:color w:val="auto"/>
              </w:rPr>
            </w:pPr>
            <w:r>
              <w:rPr>
                <w:rFonts w:ascii="Arial" w:cs="Arial" w:eastAsia="Arial" w:hAnsi="Arial"/>
                <w:sz w:val="16"/>
                <w:szCs w:val="16"/>
                <w:b w:val="1"/>
                <w:bCs w:val="1"/>
                <w:color w:val="0E3C23"/>
              </w:rPr>
              <w:t>Number of</w:t>
            </w: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25"/>
              <w:spacing w:after="0"/>
              <w:rPr>
                <w:sz w:val="20"/>
                <w:szCs w:val="20"/>
                <w:color w:val="auto"/>
              </w:rPr>
            </w:pPr>
            <w:r>
              <w:rPr>
                <w:rFonts w:ascii="Arial" w:cs="Arial" w:eastAsia="Arial" w:hAnsi="Arial"/>
                <w:sz w:val="16"/>
                <w:szCs w:val="16"/>
                <w:b w:val="1"/>
                <w:bCs w:val="1"/>
                <w:color w:val="0E3C23"/>
                <w:w w:val="94"/>
              </w:rPr>
              <w:t>Number of</w:t>
            </w:r>
          </w:p>
        </w:tc>
        <w:tc>
          <w:tcPr>
            <w:tcW w:w="1060" w:type="dxa"/>
            <w:vAlign w:val="bottom"/>
            <w:vMerge w:val="continue"/>
          </w:tcPr>
          <w:p>
            <w:pPr>
              <w:spacing w:after="0"/>
              <w:rPr>
                <w:sz w:val="13"/>
                <w:szCs w:val="13"/>
                <w:color w:val="auto"/>
              </w:rPr>
            </w:pP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E3C23"/>
              </w:rPr>
              <w:t>Unearned</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E3C23"/>
              </w:rPr>
              <w:t>Unearned</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6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E3C23"/>
              </w:rPr>
              <w:t>Value of</w:t>
            </w: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E3C23"/>
              </w:rPr>
              <w:t>Shares,</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E3C23"/>
              </w:rPr>
              <w:t>Shares,</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00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E3C23"/>
              </w:rPr>
              <w:t>Securities</w:t>
            </w:r>
          </w:p>
        </w:tc>
        <w:tc>
          <w:tcPr>
            <w:tcW w:w="1260" w:type="dxa"/>
            <w:vAlign w:val="bottom"/>
          </w:tcPr>
          <w:p>
            <w:pPr>
              <w:jc w:val="right"/>
              <w:ind w:right="26"/>
              <w:spacing w:after="0" w:line="160" w:lineRule="exact"/>
              <w:rPr>
                <w:sz w:val="20"/>
                <w:szCs w:val="20"/>
                <w:color w:val="auto"/>
              </w:rPr>
            </w:pPr>
            <w:r>
              <w:rPr>
                <w:rFonts w:ascii="Arial" w:cs="Arial" w:eastAsia="Arial" w:hAnsi="Arial"/>
                <w:sz w:val="16"/>
                <w:szCs w:val="16"/>
                <w:b w:val="1"/>
                <w:bCs w:val="1"/>
                <w:color w:val="0E3C23"/>
              </w:rPr>
              <w:t>Securities</w:t>
            </w: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E3C23"/>
              </w:rPr>
              <w:t>Shares or</w:t>
            </w:r>
          </w:p>
        </w:tc>
        <w:tc>
          <w:tcPr>
            <w:tcW w:w="106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E3C23"/>
              </w:rPr>
              <w:t>Shares or</w:t>
            </w: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E3C23"/>
              </w:rPr>
              <w:t>Units or</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E3C23"/>
              </w:rPr>
              <w:t>Units or</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00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E3C23"/>
              </w:rPr>
              <w:t>Underlying</w:t>
            </w:r>
          </w:p>
        </w:tc>
        <w:tc>
          <w:tcPr>
            <w:tcW w:w="1260" w:type="dxa"/>
            <w:vAlign w:val="bottom"/>
          </w:tcPr>
          <w:p>
            <w:pPr>
              <w:jc w:val="right"/>
              <w:ind w:right="26"/>
              <w:spacing w:after="0" w:line="160" w:lineRule="exact"/>
              <w:rPr>
                <w:sz w:val="20"/>
                <w:szCs w:val="20"/>
                <w:color w:val="auto"/>
              </w:rPr>
            </w:pPr>
            <w:r>
              <w:rPr>
                <w:rFonts w:ascii="Arial" w:cs="Arial" w:eastAsia="Arial" w:hAnsi="Arial"/>
                <w:sz w:val="16"/>
                <w:szCs w:val="16"/>
                <w:b w:val="1"/>
                <w:bCs w:val="1"/>
                <w:color w:val="0E3C23"/>
              </w:rPr>
              <w:t>Underlying</w:t>
            </w: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E3C23"/>
              </w:rPr>
              <w:t>Units of</w:t>
            </w:r>
          </w:p>
        </w:tc>
        <w:tc>
          <w:tcPr>
            <w:tcW w:w="106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E3C23"/>
              </w:rPr>
              <w:t>Units of</w:t>
            </w: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E3C23"/>
              </w:rPr>
              <w:t>Other</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E3C23"/>
              </w:rPr>
              <w:t>Other</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00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E3C23"/>
                <w:w w:val="90"/>
              </w:rPr>
              <w:t>Unexercised</w:t>
            </w:r>
          </w:p>
        </w:tc>
        <w:tc>
          <w:tcPr>
            <w:tcW w:w="1260" w:type="dxa"/>
            <w:vAlign w:val="bottom"/>
          </w:tcPr>
          <w:p>
            <w:pPr>
              <w:jc w:val="right"/>
              <w:ind w:right="26"/>
              <w:spacing w:after="0" w:line="160" w:lineRule="exact"/>
              <w:rPr>
                <w:sz w:val="20"/>
                <w:szCs w:val="20"/>
                <w:color w:val="auto"/>
              </w:rPr>
            </w:pPr>
            <w:r>
              <w:rPr>
                <w:rFonts w:ascii="Arial" w:cs="Arial" w:eastAsia="Arial" w:hAnsi="Arial"/>
                <w:sz w:val="16"/>
                <w:szCs w:val="16"/>
                <w:b w:val="1"/>
                <w:bCs w:val="1"/>
                <w:color w:val="0E3C23"/>
              </w:rPr>
              <w:t>Unexercised</w:t>
            </w:r>
          </w:p>
        </w:tc>
        <w:tc>
          <w:tcPr>
            <w:tcW w:w="1020" w:type="dxa"/>
            <w:vAlign w:val="bottom"/>
          </w:tcPr>
          <w:p>
            <w:pPr>
              <w:jc w:val="right"/>
              <w:ind w:right="23"/>
              <w:spacing w:after="0" w:line="160" w:lineRule="exact"/>
              <w:rPr>
                <w:sz w:val="20"/>
                <w:szCs w:val="20"/>
                <w:color w:val="auto"/>
              </w:rPr>
            </w:pPr>
            <w:r>
              <w:rPr>
                <w:rFonts w:ascii="Arial" w:cs="Arial" w:eastAsia="Arial" w:hAnsi="Arial"/>
                <w:sz w:val="16"/>
                <w:szCs w:val="16"/>
                <w:b w:val="1"/>
                <w:bCs w:val="1"/>
                <w:color w:val="0E3C23"/>
              </w:rPr>
              <w:t>Option</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E3C23"/>
              </w:rPr>
              <w:t>Stock</w:t>
            </w:r>
          </w:p>
        </w:tc>
        <w:tc>
          <w:tcPr>
            <w:tcW w:w="106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E3C23"/>
              </w:rPr>
              <w:t>Stock</w:t>
            </w: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E3C23"/>
              </w:rPr>
              <w:t>Rights</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E3C23"/>
              </w:rPr>
              <w:t>Rights</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00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E3C23"/>
              </w:rPr>
              <w:t>Options</w:t>
            </w:r>
          </w:p>
        </w:tc>
        <w:tc>
          <w:tcPr>
            <w:tcW w:w="1260" w:type="dxa"/>
            <w:vAlign w:val="bottom"/>
          </w:tcPr>
          <w:p>
            <w:pPr>
              <w:jc w:val="right"/>
              <w:ind w:right="26"/>
              <w:spacing w:after="0" w:line="160" w:lineRule="exact"/>
              <w:rPr>
                <w:sz w:val="20"/>
                <w:szCs w:val="20"/>
                <w:color w:val="auto"/>
              </w:rPr>
            </w:pPr>
            <w:r>
              <w:rPr>
                <w:rFonts w:ascii="Arial" w:cs="Arial" w:eastAsia="Arial" w:hAnsi="Arial"/>
                <w:sz w:val="16"/>
                <w:szCs w:val="16"/>
                <w:b w:val="1"/>
                <w:bCs w:val="1"/>
                <w:color w:val="0E3C23"/>
              </w:rPr>
              <w:t>Options</w:t>
            </w:r>
          </w:p>
        </w:tc>
        <w:tc>
          <w:tcPr>
            <w:tcW w:w="1020" w:type="dxa"/>
            <w:vAlign w:val="bottom"/>
          </w:tcPr>
          <w:p>
            <w:pPr>
              <w:jc w:val="right"/>
              <w:ind w:right="23"/>
              <w:spacing w:after="0" w:line="160" w:lineRule="exact"/>
              <w:rPr>
                <w:sz w:val="20"/>
                <w:szCs w:val="20"/>
                <w:color w:val="auto"/>
              </w:rPr>
            </w:pPr>
            <w:r>
              <w:rPr>
                <w:rFonts w:ascii="Arial" w:cs="Arial" w:eastAsia="Arial" w:hAnsi="Arial"/>
                <w:sz w:val="16"/>
                <w:szCs w:val="16"/>
                <w:b w:val="1"/>
                <w:bCs w:val="1"/>
                <w:color w:val="0E3C23"/>
              </w:rPr>
              <w:t>Exercise</w:t>
            </w:r>
          </w:p>
        </w:tc>
        <w:tc>
          <w:tcPr>
            <w:tcW w:w="1140" w:type="dxa"/>
            <w:vAlign w:val="bottom"/>
            <w:gridSpan w:val="2"/>
          </w:tcPr>
          <w:p>
            <w:pPr>
              <w:jc w:val="right"/>
              <w:ind w:right="120"/>
              <w:spacing w:after="0" w:line="160" w:lineRule="exact"/>
              <w:rPr>
                <w:sz w:val="20"/>
                <w:szCs w:val="20"/>
                <w:color w:val="auto"/>
              </w:rPr>
            </w:pPr>
            <w:r>
              <w:rPr>
                <w:rFonts w:ascii="Arial" w:cs="Arial" w:eastAsia="Arial" w:hAnsi="Arial"/>
                <w:sz w:val="16"/>
                <w:szCs w:val="16"/>
                <w:b w:val="1"/>
                <w:bCs w:val="1"/>
                <w:color w:val="0E3C23"/>
              </w:rPr>
              <w:t>Option</w:t>
            </w:r>
          </w:p>
        </w:tc>
        <w:tc>
          <w:tcPr>
            <w:tcW w:w="120" w:type="dxa"/>
            <w:vAlign w:val="bottom"/>
          </w:tcPr>
          <w:p>
            <w:pPr>
              <w:spacing w:after="0"/>
              <w:rPr>
                <w:sz w:val="13"/>
                <w:szCs w:val="13"/>
                <w:color w:val="auto"/>
              </w:rPr>
            </w:pPr>
          </w:p>
        </w:tc>
        <w:tc>
          <w:tcPr>
            <w:tcW w:w="900" w:type="dxa"/>
            <w:vAlign w:val="bottom"/>
          </w:tcPr>
          <w:p>
            <w:pPr>
              <w:jc w:val="right"/>
              <w:ind w:right="25"/>
              <w:spacing w:after="0" w:line="160" w:lineRule="exact"/>
              <w:rPr>
                <w:sz w:val="20"/>
                <w:szCs w:val="20"/>
                <w:color w:val="auto"/>
              </w:rPr>
            </w:pPr>
            <w:r>
              <w:rPr>
                <w:rFonts w:ascii="Arial" w:cs="Arial" w:eastAsia="Arial" w:hAnsi="Arial"/>
                <w:sz w:val="16"/>
                <w:szCs w:val="16"/>
                <w:b w:val="1"/>
                <w:bCs w:val="1"/>
                <w:color w:val="0E3C23"/>
                <w:w w:val="99"/>
              </w:rPr>
              <w:t>That Have</w:t>
            </w:r>
          </w:p>
        </w:tc>
        <w:tc>
          <w:tcPr>
            <w:tcW w:w="106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E3C23"/>
              </w:rPr>
              <w:t>That Have</w:t>
            </w:r>
          </w:p>
        </w:tc>
        <w:tc>
          <w:tcPr>
            <w:tcW w:w="100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E3C23"/>
              </w:rPr>
              <w:t>That Have</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E3C23"/>
              </w:rPr>
              <w:t>That Have</w:t>
            </w:r>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1000" w:type="dxa"/>
            <w:vAlign w:val="bottom"/>
          </w:tcPr>
          <w:p>
            <w:pPr>
              <w:jc w:val="right"/>
              <w:ind w:right="25"/>
              <w:spacing w:after="0" w:line="150" w:lineRule="exact"/>
              <w:rPr>
                <w:sz w:val="20"/>
                <w:szCs w:val="20"/>
                <w:color w:val="auto"/>
              </w:rPr>
            </w:pPr>
            <w:r>
              <w:rPr>
                <w:rFonts w:ascii="Arial" w:cs="Arial" w:eastAsia="Arial" w:hAnsi="Arial"/>
                <w:sz w:val="16"/>
                <w:szCs w:val="16"/>
                <w:b w:val="1"/>
                <w:bCs w:val="1"/>
                <w:color w:val="0E3C23"/>
                <w:w w:val="96"/>
              </w:rPr>
              <w:t>Exercisable</w:t>
            </w:r>
          </w:p>
        </w:tc>
        <w:tc>
          <w:tcPr>
            <w:tcW w:w="1260" w:type="dxa"/>
            <w:vAlign w:val="bottom"/>
          </w:tcPr>
          <w:p>
            <w:pPr>
              <w:jc w:val="right"/>
              <w:ind w:right="26"/>
              <w:spacing w:after="0" w:line="150" w:lineRule="exact"/>
              <w:rPr>
                <w:sz w:val="20"/>
                <w:szCs w:val="20"/>
                <w:color w:val="auto"/>
              </w:rPr>
            </w:pPr>
            <w:r>
              <w:rPr>
                <w:rFonts w:ascii="Arial" w:cs="Arial" w:eastAsia="Arial" w:hAnsi="Arial"/>
                <w:sz w:val="16"/>
                <w:szCs w:val="16"/>
                <w:b w:val="1"/>
                <w:bCs w:val="1"/>
                <w:color w:val="0E3C23"/>
              </w:rPr>
              <w:t>Unexercisable</w:t>
            </w:r>
          </w:p>
        </w:tc>
        <w:tc>
          <w:tcPr>
            <w:tcW w:w="1020" w:type="dxa"/>
            <w:vAlign w:val="bottom"/>
          </w:tcPr>
          <w:p>
            <w:pPr>
              <w:jc w:val="right"/>
              <w:ind w:right="23"/>
              <w:spacing w:after="0" w:line="150" w:lineRule="exact"/>
              <w:rPr>
                <w:sz w:val="20"/>
                <w:szCs w:val="20"/>
                <w:color w:val="auto"/>
              </w:rPr>
            </w:pPr>
            <w:r>
              <w:rPr>
                <w:rFonts w:ascii="Arial" w:cs="Arial" w:eastAsia="Arial" w:hAnsi="Arial"/>
                <w:sz w:val="16"/>
                <w:szCs w:val="16"/>
                <w:b w:val="1"/>
                <w:bCs w:val="1"/>
                <w:color w:val="0E3C23"/>
              </w:rPr>
              <w:t>Price</w:t>
            </w:r>
          </w:p>
        </w:tc>
        <w:tc>
          <w:tcPr>
            <w:tcW w:w="1140" w:type="dxa"/>
            <w:vAlign w:val="bottom"/>
            <w:gridSpan w:val="2"/>
          </w:tcPr>
          <w:p>
            <w:pPr>
              <w:jc w:val="right"/>
              <w:ind w:right="120"/>
              <w:spacing w:after="0" w:line="150" w:lineRule="exact"/>
              <w:rPr>
                <w:sz w:val="20"/>
                <w:szCs w:val="20"/>
                <w:color w:val="auto"/>
              </w:rPr>
            </w:pPr>
            <w:r>
              <w:rPr>
                <w:rFonts w:ascii="Arial" w:cs="Arial" w:eastAsia="Arial" w:hAnsi="Arial"/>
                <w:sz w:val="16"/>
                <w:szCs w:val="16"/>
                <w:b w:val="1"/>
                <w:bCs w:val="1"/>
                <w:color w:val="0E3C23"/>
              </w:rPr>
              <w:t>Expiration</w:t>
            </w:r>
          </w:p>
        </w:tc>
        <w:tc>
          <w:tcPr>
            <w:tcW w:w="1020" w:type="dxa"/>
            <w:vAlign w:val="bottom"/>
            <w:gridSpan w:val="2"/>
          </w:tcPr>
          <w:p>
            <w:pPr>
              <w:jc w:val="right"/>
              <w:ind w:right="25"/>
              <w:spacing w:after="0" w:line="150" w:lineRule="exact"/>
              <w:rPr>
                <w:sz w:val="20"/>
                <w:szCs w:val="20"/>
                <w:color w:val="auto"/>
              </w:rPr>
            </w:pPr>
            <w:r>
              <w:rPr>
                <w:rFonts w:ascii="Arial" w:cs="Arial" w:eastAsia="Arial" w:hAnsi="Arial"/>
                <w:sz w:val="16"/>
                <w:szCs w:val="16"/>
                <w:b w:val="1"/>
                <w:bCs w:val="1"/>
                <w:color w:val="0E3C23"/>
              </w:rPr>
              <w:t>Not Vested</w:t>
            </w:r>
          </w:p>
        </w:tc>
        <w:tc>
          <w:tcPr>
            <w:tcW w:w="1060" w:type="dxa"/>
            <w:vAlign w:val="bottom"/>
          </w:tcPr>
          <w:p>
            <w:pPr>
              <w:jc w:val="right"/>
              <w:ind w:right="27"/>
              <w:spacing w:after="0" w:line="150" w:lineRule="exact"/>
              <w:rPr>
                <w:sz w:val="20"/>
                <w:szCs w:val="20"/>
                <w:color w:val="auto"/>
              </w:rPr>
            </w:pPr>
            <w:r>
              <w:rPr>
                <w:rFonts w:ascii="Arial" w:cs="Arial" w:eastAsia="Arial" w:hAnsi="Arial"/>
                <w:sz w:val="16"/>
                <w:szCs w:val="16"/>
                <w:b w:val="1"/>
                <w:bCs w:val="1"/>
                <w:color w:val="0E3C23"/>
              </w:rPr>
              <w:t>Not Vested</w:t>
            </w:r>
          </w:p>
        </w:tc>
        <w:tc>
          <w:tcPr>
            <w:tcW w:w="1000" w:type="dxa"/>
            <w:vAlign w:val="bottom"/>
          </w:tcPr>
          <w:p>
            <w:pPr>
              <w:jc w:val="right"/>
              <w:ind w:right="28"/>
              <w:spacing w:after="0" w:line="150" w:lineRule="exact"/>
              <w:rPr>
                <w:sz w:val="20"/>
                <w:szCs w:val="20"/>
                <w:color w:val="auto"/>
              </w:rPr>
            </w:pPr>
            <w:r>
              <w:rPr>
                <w:rFonts w:ascii="Arial" w:cs="Arial" w:eastAsia="Arial" w:hAnsi="Arial"/>
                <w:sz w:val="16"/>
                <w:szCs w:val="16"/>
                <w:b w:val="1"/>
                <w:bCs w:val="1"/>
                <w:color w:val="0E3C23"/>
              </w:rPr>
              <w:t>Not Vested</w:t>
            </w:r>
          </w:p>
        </w:tc>
        <w:tc>
          <w:tcPr>
            <w:tcW w:w="1120" w:type="dxa"/>
            <w:vAlign w:val="bottom"/>
            <w:gridSpan w:val="2"/>
          </w:tcPr>
          <w:p>
            <w:pPr>
              <w:jc w:val="right"/>
              <w:ind w:right="60"/>
              <w:spacing w:after="0" w:line="150" w:lineRule="exact"/>
              <w:rPr>
                <w:sz w:val="20"/>
                <w:szCs w:val="20"/>
                <w:color w:val="auto"/>
              </w:rPr>
            </w:pPr>
            <w:r>
              <w:rPr>
                <w:rFonts w:ascii="Arial" w:cs="Arial" w:eastAsia="Arial" w:hAnsi="Arial"/>
                <w:sz w:val="16"/>
                <w:szCs w:val="16"/>
                <w:b w:val="1"/>
                <w:bCs w:val="1"/>
                <w:color w:val="0E3C23"/>
              </w:rPr>
              <w:t>Not Vested</w:t>
            </w:r>
          </w:p>
        </w:tc>
        <w:tc>
          <w:tcPr>
            <w:tcW w:w="0" w:type="dxa"/>
            <w:vAlign w:val="bottom"/>
          </w:tcPr>
          <w:p>
            <w:pPr>
              <w:spacing w:after="0"/>
              <w:rPr>
                <w:sz w:val="1"/>
                <w:szCs w:val="1"/>
                <w:color w:val="auto"/>
              </w:rPr>
            </w:pPr>
          </w:p>
        </w:tc>
      </w:tr>
      <w:tr>
        <w:trPr>
          <w:trHeight w:val="227"/>
        </w:trPr>
        <w:tc>
          <w:tcPr>
            <w:tcW w:w="1440" w:type="dxa"/>
            <w:vAlign w:val="bottom"/>
            <w:tcBorders>
              <w:bottom w:val="single" w:sz="8" w:color="0E3C23"/>
            </w:tcBorders>
          </w:tcPr>
          <w:p>
            <w:pPr>
              <w:ind w:left="60"/>
              <w:spacing w:after="0"/>
              <w:rPr>
                <w:sz w:val="20"/>
                <w:szCs w:val="20"/>
                <w:color w:val="auto"/>
              </w:rPr>
            </w:pPr>
            <w:r>
              <w:rPr>
                <w:rFonts w:ascii="Arial" w:cs="Arial" w:eastAsia="Arial" w:hAnsi="Arial"/>
                <w:sz w:val="16"/>
                <w:szCs w:val="16"/>
                <w:b w:val="1"/>
                <w:bCs w:val="1"/>
                <w:color w:val="0E3C23"/>
              </w:rPr>
              <w:t>Name</w:t>
            </w:r>
          </w:p>
        </w:tc>
        <w:tc>
          <w:tcPr>
            <w:tcW w:w="1000" w:type="dxa"/>
            <w:vAlign w:val="bottom"/>
            <w:tcBorders>
              <w:bottom w:val="single" w:sz="8" w:color="0E3C23"/>
            </w:tcBorders>
          </w:tcPr>
          <w:p>
            <w:pPr>
              <w:jc w:val="right"/>
              <w:ind w:right="25"/>
              <w:spacing w:after="0"/>
              <w:rPr>
                <w:sz w:val="20"/>
                <w:szCs w:val="20"/>
                <w:color w:val="auto"/>
              </w:rPr>
            </w:pPr>
            <w:r>
              <w:rPr>
                <w:rFonts w:ascii="Arial" w:cs="Arial" w:eastAsia="Arial" w:hAnsi="Arial"/>
                <w:sz w:val="16"/>
                <w:szCs w:val="16"/>
                <w:b w:val="1"/>
                <w:bCs w:val="1"/>
                <w:color w:val="0E3C23"/>
              </w:rPr>
              <w:t>(#)</w:t>
            </w:r>
            <w:r>
              <w:rPr>
                <w:rFonts w:ascii="Arial" w:cs="Arial" w:eastAsia="Arial" w:hAnsi="Arial"/>
                <w:sz w:val="19"/>
                <w:szCs w:val="19"/>
                <w:b w:val="1"/>
                <w:bCs w:val="1"/>
                <w:color w:val="0E3C23"/>
                <w:vertAlign w:val="superscript"/>
              </w:rPr>
              <w:t>(2)</w:t>
            </w:r>
          </w:p>
        </w:tc>
        <w:tc>
          <w:tcPr>
            <w:tcW w:w="1260" w:type="dxa"/>
            <w:vAlign w:val="bottom"/>
            <w:tcBorders>
              <w:bottom w:val="single" w:sz="8" w:color="0E3C23"/>
            </w:tcBorders>
          </w:tcPr>
          <w:p>
            <w:pPr>
              <w:jc w:val="right"/>
              <w:ind w:right="26"/>
              <w:spacing w:after="0"/>
              <w:rPr>
                <w:sz w:val="20"/>
                <w:szCs w:val="20"/>
                <w:color w:val="auto"/>
              </w:rPr>
            </w:pPr>
            <w:r>
              <w:rPr>
                <w:rFonts w:ascii="Arial" w:cs="Arial" w:eastAsia="Arial" w:hAnsi="Arial"/>
                <w:sz w:val="16"/>
                <w:szCs w:val="16"/>
                <w:b w:val="1"/>
                <w:bCs w:val="1"/>
                <w:color w:val="0E3C23"/>
              </w:rPr>
              <w:t>(#)</w:t>
            </w:r>
          </w:p>
        </w:tc>
        <w:tc>
          <w:tcPr>
            <w:tcW w:w="1020" w:type="dxa"/>
            <w:vAlign w:val="bottom"/>
            <w:tcBorders>
              <w:bottom w:val="single" w:sz="8" w:color="0E3C23"/>
            </w:tcBorders>
          </w:tcPr>
          <w:p>
            <w:pPr>
              <w:jc w:val="right"/>
              <w:ind w:right="23"/>
              <w:spacing w:after="0"/>
              <w:rPr>
                <w:sz w:val="20"/>
                <w:szCs w:val="20"/>
                <w:color w:val="auto"/>
              </w:rPr>
            </w:pPr>
            <w:r>
              <w:rPr>
                <w:rFonts w:ascii="Arial" w:cs="Arial" w:eastAsia="Arial" w:hAnsi="Arial"/>
                <w:sz w:val="16"/>
                <w:szCs w:val="16"/>
                <w:b w:val="1"/>
                <w:bCs w:val="1"/>
                <w:color w:val="0E3C23"/>
              </w:rPr>
              <w:t>($)</w:t>
            </w:r>
          </w:p>
        </w:tc>
        <w:tc>
          <w:tcPr>
            <w:tcW w:w="1140" w:type="dxa"/>
            <w:vAlign w:val="bottom"/>
            <w:tcBorders>
              <w:bottom w:val="single" w:sz="8" w:color="0E3C23"/>
            </w:tcBorders>
            <w:gridSpan w:val="2"/>
          </w:tcPr>
          <w:p>
            <w:pPr>
              <w:jc w:val="right"/>
              <w:ind w:right="120"/>
              <w:spacing w:after="0"/>
              <w:rPr>
                <w:sz w:val="20"/>
                <w:szCs w:val="20"/>
                <w:color w:val="auto"/>
              </w:rPr>
            </w:pPr>
            <w:r>
              <w:rPr>
                <w:rFonts w:ascii="Arial" w:cs="Arial" w:eastAsia="Arial" w:hAnsi="Arial"/>
                <w:sz w:val="16"/>
                <w:szCs w:val="16"/>
                <w:b w:val="1"/>
                <w:bCs w:val="1"/>
                <w:color w:val="0E3C23"/>
              </w:rPr>
              <w:t>Date</w:t>
            </w:r>
          </w:p>
        </w:tc>
        <w:tc>
          <w:tcPr>
            <w:tcW w:w="1020" w:type="dxa"/>
            <w:vAlign w:val="bottom"/>
            <w:tcBorders>
              <w:bottom w:val="single" w:sz="8" w:color="0E3C23"/>
            </w:tcBorders>
            <w:gridSpan w:val="2"/>
          </w:tcPr>
          <w:p>
            <w:pPr>
              <w:jc w:val="right"/>
              <w:ind w:right="25"/>
              <w:spacing w:after="0"/>
              <w:rPr>
                <w:sz w:val="20"/>
                <w:szCs w:val="20"/>
                <w:color w:val="auto"/>
              </w:rPr>
            </w:pPr>
            <w:r>
              <w:rPr>
                <w:rFonts w:ascii="Arial" w:cs="Arial" w:eastAsia="Arial" w:hAnsi="Arial"/>
                <w:sz w:val="16"/>
                <w:szCs w:val="16"/>
                <w:b w:val="1"/>
                <w:bCs w:val="1"/>
                <w:color w:val="0E3C23"/>
              </w:rPr>
              <w:t>(#)</w:t>
            </w:r>
            <w:r>
              <w:rPr>
                <w:rFonts w:ascii="Arial" w:cs="Arial" w:eastAsia="Arial" w:hAnsi="Arial"/>
                <w:sz w:val="19"/>
                <w:szCs w:val="19"/>
                <w:b w:val="1"/>
                <w:bCs w:val="1"/>
                <w:color w:val="0E3C23"/>
                <w:vertAlign w:val="superscript"/>
              </w:rPr>
              <w:t>(6)</w:t>
            </w:r>
          </w:p>
        </w:tc>
        <w:tc>
          <w:tcPr>
            <w:tcW w:w="1060" w:type="dxa"/>
            <w:vAlign w:val="bottom"/>
            <w:tcBorders>
              <w:bottom w:val="single" w:sz="8" w:color="0E3C23"/>
            </w:tcBorders>
          </w:tcPr>
          <w:p>
            <w:pPr>
              <w:jc w:val="right"/>
              <w:ind w:right="27"/>
              <w:spacing w:after="0" w:line="227" w:lineRule="exact"/>
              <w:rPr>
                <w:sz w:val="20"/>
                <w:szCs w:val="20"/>
                <w:color w:val="auto"/>
              </w:rPr>
            </w:pPr>
            <w:r>
              <w:rPr>
                <w:rFonts w:ascii="Arial" w:cs="Arial" w:eastAsia="Arial" w:hAnsi="Arial"/>
                <w:sz w:val="26"/>
                <w:szCs w:val="26"/>
                <w:b w:val="1"/>
                <w:bCs w:val="1"/>
                <w:color w:val="0E3C23"/>
                <w:vertAlign w:val="subscript"/>
              </w:rPr>
              <w:t>($)</w:t>
            </w:r>
            <w:r>
              <w:rPr>
                <w:rFonts w:ascii="Arial" w:cs="Arial" w:eastAsia="Arial" w:hAnsi="Arial"/>
                <w:sz w:val="9"/>
                <w:szCs w:val="9"/>
                <w:b w:val="1"/>
                <w:bCs w:val="1"/>
                <w:color w:val="0E3C23"/>
              </w:rPr>
              <w:t>(6)</w:t>
            </w:r>
          </w:p>
        </w:tc>
        <w:tc>
          <w:tcPr>
            <w:tcW w:w="1000" w:type="dxa"/>
            <w:vAlign w:val="bottom"/>
            <w:tcBorders>
              <w:bottom w:val="single" w:sz="8" w:color="0E3C23"/>
            </w:tcBorders>
          </w:tcPr>
          <w:p>
            <w:pPr>
              <w:jc w:val="right"/>
              <w:ind w:right="28"/>
              <w:spacing w:after="0"/>
              <w:rPr>
                <w:sz w:val="20"/>
                <w:szCs w:val="20"/>
                <w:color w:val="auto"/>
              </w:rPr>
            </w:pPr>
            <w:r>
              <w:rPr>
                <w:rFonts w:ascii="Arial" w:cs="Arial" w:eastAsia="Arial" w:hAnsi="Arial"/>
                <w:sz w:val="16"/>
                <w:szCs w:val="16"/>
                <w:b w:val="1"/>
                <w:bCs w:val="1"/>
                <w:color w:val="0E3C23"/>
              </w:rPr>
              <w:t>(#)</w:t>
            </w:r>
            <w:r>
              <w:rPr>
                <w:rFonts w:ascii="Arial" w:cs="Arial" w:eastAsia="Arial" w:hAnsi="Arial"/>
                <w:sz w:val="19"/>
                <w:szCs w:val="19"/>
                <w:b w:val="1"/>
                <w:bCs w:val="1"/>
                <w:color w:val="0E3C23"/>
                <w:vertAlign w:val="superscript"/>
              </w:rPr>
              <w:t>(7)</w:t>
            </w:r>
          </w:p>
        </w:tc>
        <w:tc>
          <w:tcPr>
            <w:tcW w:w="1120" w:type="dxa"/>
            <w:vAlign w:val="bottom"/>
            <w:tcBorders>
              <w:bottom w:val="single" w:sz="8" w:color="0E3C23"/>
            </w:tcBorders>
            <w:gridSpan w:val="2"/>
          </w:tcPr>
          <w:p>
            <w:pPr>
              <w:jc w:val="right"/>
              <w:ind w:right="60"/>
              <w:spacing w:after="0"/>
              <w:rPr>
                <w:sz w:val="20"/>
                <w:szCs w:val="20"/>
                <w:color w:val="auto"/>
              </w:rPr>
            </w:pPr>
            <w:r>
              <w:rPr>
                <w:rFonts w:ascii="Arial" w:cs="Arial" w:eastAsia="Arial" w:hAnsi="Arial"/>
                <w:sz w:val="16"/>
                <w:szCs w:val="16"/>
                <w:b w:val="1"/>
                <w:bCs w:val="1"/>
                <w:color w:val="0E3C23"/>
              </w:rPr>
              <w:t>($)</w:t>
            </w:r>
            <w:r>
              <w:rPr>
                <w:rFonts w:ascii="Arial" w:cs="Arial" w:eastAsia="Arial" w:hAnsi="Arial"/>
                <w:sz w:val="19"/>
                <w:szCs w:val="19"/>
                <w:b w:val="1"/>
                <w:bCs w:val="1"/>
                <w:color w:val="0E3C23"/>
                <w:vertAlign w:val="superscript"/>
              </w:rPr>
              <w:t>(7)</w:t>
            </w:r>
          </w:p>
        </w:tc>
        <w:tc>
          <w:tcPr>
            <w:tcW w:w="0" w:type="dxa"/>
            <w:vAlign w:val="bottom"/>
          </w:tcPr>
          <w:p>
            <w:pPr>
              <w:spacing w:after="0"/>
              <w:rPr>
                <w:sz w:val="1"/>
                <w:szCs w:val="1"/>
                <w:color w:val="auto"/>
              </w:rPr>
            </w:pPr>
          </w:p>
        </w:tc>
      </w:tr>
      <w:tr>
        <w:trPr>
          <w:trHeight w:val="261"/>
        </w:trPr>
        <w:tc>
          <w:tcPr>
            <w:tcW w:w="2440" w:type="dxa"/>
            <w:vAlign w:val="bottom"/>
            <w:tcBorders>
              <w:bottom w:val="single" w:sz="8" w:color="0E3C23"/>
            </w:tcBorders>
            <w:gridSpan w:val="2"/>
          </w:tcPr>
          <w:p>
            <w:pPr>
              <w:ind w:left="60"/>
              <w:spacing w:after="0"/>
              <w:rPr>
                <w:sz w:val="20"/>
                <w:szCs w:val="20"/>
                <w:color w:val="auto"/>
              </w:rPr>
            </w:pPr>
            <w:r>
              <w:rPr>
                <w:rFonts w:ascii="Arial" w:cs="Arial" w:eastAsia="Arial" w:hAnsi="Arial"/>
                <w:sz w:val="20"/>
                <w:szCs w:val="20"/>
                <w:b w:val="1"/>
                <w:bCs w:val="1"/>
                <w:color w:val="auto"/>
              </w:rPr>
              <w:t>James C. Fish, Jr.</w:t>
            </w:r>
          </w:p>
        </w:tc>
        <w:tc>
          <w:tcPr>
            <w:tcW w:w="1260" w:type="dxa"/>
            <w:vAlign w:val="bottom"/>
            <w:tcBorders>
              <w:bottom w:val="single" w:sz="8" w:color="0E3C23"/>
            </w:tcBorders>
          </w:tcPr>
          <w:p>
            <w:pPr>
              <w:spacing w:after="0"/>
              <w:rPr>
                <w:sz w:val="22"/>
                <w:szCs w:val="22"/>
                <w:color w:val="auto"/>
              </w:rPr>
            </w:pPr>
          </w:p>
        </w:tc>
        <w:tc>
          <w:tcPr>
            <w:tcW w:w="1020" w:type="dxa"/>
            <w:vAlign w:val="bottom"/>
            <w:tcBorders>
              <w:bottom w:val="single" w:sz="8" w:color="0E3C23"/>
            </w:tcBorders>
          </w:tcPr>
          <w:p>
            <w:pPr>
              <w:spacing w:after="0"/>
              <w:rPr>
                <w:sz w:val="22"/>
                <w:szCs w:val="22"/>
                <w:color w:val="auto"/>
              </w:rPr>
            </w:pPr>
          </w:p>
        </w:tc>
        <w:tc>
          <w:tcPr>
            <w:tcW w:w="1020" w:type="dxa"/>
            <w:vAlign w:val="bottom"/>
            <w:tcBorders>
              <w:bottom w:val="single" w:sz="8" w:color="0E3C23"/>
            </w:tcBorders>
          </w:tcPr>
          <w:p>
            <w:pPr>
              <w:spacing w:after="0"/>
              <w:rPr>
                <w:sz w:val="22"/>
                <w:szCs w:val="22"/>
                <w:color w:val="auto"/>
              </w:rPr>
            </w:pPr>
          </w:p>
        </w:tc>
        <w:tc>
          <w:tcPr>
            <w:tcW w:w="120" w:type="dxa"/>
            <w:vAlign w:val="bottom"/>
            <w:tcBorders>
              <w:bottom w:val="single" w:sz="8" w:color="0E3C23"/>
            </w:tcBorders>
          </w:tcPr>
          <w:p>
            <w:pPr>
              <w:spacing w:after="0"/>
              <w:rPr>
                <w:sz w:val="22"/>
                <w:szCs w:val="22"/>
                <w:color w:val="auto"/>
              </w:rPr>
            </w:pPr>
          </w:p>
        </w:tc>
        <w:tc>
          <w:tcPr>
            <w:tcW w:w="120" w:type="dxa"/>
            <w:vAlign w:val="bottom"/>
            <w:tcBorders>
              <w:bottom w:val="single" w:sz="8" w:color="0E3C23"/>
            </w:tcBorders>
          </w:tcPr>
          <w:p>
            <w:pPr>
              <w:spacing w:after="0"/>
              <w:rPr>
                <w:sz w:val="22"/>
                <w:szCs w:val="22"/>
                <w:color w:val="auto"/>
              </w:rPr>
            </w:pPr>
          </w:p>
        </w:tc>
        <w:tc>
          <w:tcPr>
            <w:tcW w:w="900" w:type="dxa"/>
            <w:vAlign w:val="bottom"/>
            <w:tcBorders>
              <w:bottom w:val="single" w:sz="8" w:color="0E3C23"/>
            </w:tcBorders>
          </w:tcPr>
          <w:p>
            <w:pPr>
              <w:spacing w:after="0"/>
              <w:rPr>
                <w:sz w:val="22"/>
                <w:szCs w:val="22"/>
                <w:color w:val="auto"/>
              </w:rPr>
            </w:pPr>
          </w:p>
        </w:tc>
        <w:tc>
          <w:tcPr>
            <w:tcW w:w="1060" w:type="dxa"/>
            <w:vAlign w:val="bottom"/>
            <w:tcBorders>
              <w:bottom w:val="single" w:sz="8" w:color="0E3C23"/>
            </w:tcBorders>
          </w:tcPr>
          <w:p>
            <w:pPr>
              <w:spacing w:after="0"/>
              <w:rPr>
                <w:sz w:val="22"/>
                <w:szCs w:val="22"/>
                <w:color w:val="auto"/>
              </w:rPr>
            </w:pPr>
          </w:p>
        </w:tc>
        <w:tc>
          <w:tcPr>
            <w:tcW w:w="1000" w:type="dxa"/>
            <w:vAlign w:val="bottom"/>
            <w:tcBorders>
              <w:bottom w:val="single" w:sz="8" w:color="0E3C23"/>
            </w:tcBorders>
          </w:tcPr>
          <w:p>
            <w:pPr>
              <w:spacing w:after="0"/>
              <w:rPr>
                <w:sz w:val="22"/>
                <w:szCs w:val="22"/>
                <w:color w:val="auto"/>
              </w:rPr>
            </w:pPr>
          </w:p>
        </w:tc>
        <w:tc>
          <w:tcPr>
            <w:tcW w:w="1060" w:type="dxa"/>
            <w:vAlign w:val="bottom"/>
            <w:tcBorders>
              <w:bottom w:val="single" w:sz="8" w:color="0E3C23"/>
            </w:tcBorders>
          </w:tcPr>
          <w:p>
            <w:pPr>
              <w:spacing w:after="0"/>
              <w:rPr>
                <w:sz w:val="22"/>
                <w:szCs w:val="22"/>
                <w:color w:val="auto"/>
              </w:rPr>
            </w:pPr>
          </w:p>
        </w:tc>
        <w:tc>
          <w:tcPr>
            <w:tcW w:w="60" w:type="dxa"/>
            <w:vAlign w:val="bottom"/>
            <w:tcBorders>
              <w:bottom w:val="single" w:sz="8" w:color="0E3C23"/>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1440" w:type="dxa"/>
            <w:vAlign w:val="bottom"/>
            <w:tcBorders>
              <w:bottom w:val="single" w:sz="8" w:color="0E3C23"/>
            </w:tcBorders>
          </w:tcPr>
          <w:p>
            <w:pPr>
              <w:spacing w:after="0"/>
              <w:rPr>
                <w:sz w:val="23"/>
                <w:szCs w:val="23"/>
                <w:color w:val="auto"/>
              </w:rPr>
            </w:pPr>
          </w:p>
        </w:tc>
        <w:tc>
          <w:tcPr>
            <w:tcW w:w="1000" w:type="dxa"/>
            <w:vAlign w:val="bottom"/>
            <w:tcBorders>
              <w:bottom w:val="single" w:sz="8" w:color="0E3C23"/>
            </w:tcBorders>
          </w:tcPr>
          <w:p>
            <w:pPr>
              <w:jc w:val="right"/>
              <w:ind w:right="185"/>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0E3C23"/>
            </w:tcBorders>
          </w:tcPr>
          <w:p>
            <w:pPr>
              <w:jc w:val="right"/>
              <w:ind w:right="86"/>
              <w:spacing w:after="0" w:line="269" w:lineRule="exact"/>
              <w:rPr>
                <w:sz w:val="20"/>
                <w:szCs w:val="20"/>
                <w:color w:val="auto"/>
              </w:rPr>
            </w:pPr>
            <w:r>
              <w:rPr>
                <w:rFonts w:ascii="Arial" w:cs="Arial" w:eastAsia="Arial" w:hAnsi="Arial"/>
                <w:sz w:val="20"/>
                <w:szCs w:val="20"/>
                <w:color w:val="auto"/>
              </w:rPr>
              <w:t>45,349</w:t>
            </w:r>
            <w:r>
              <w:rPr>
                <w:rFonts w:ascii="Arial" w:cs="Arial" w:eastAsia="Arial" w:hAnsi="Arial"/>
                <w:sz w:val="25"/>
                <w:szCs w:val="25"/>
                <w:color w:val="auto"/>
                <w:vertAlign w:val="superscript"/>
              </w:rPr>
              <w:t>(3)</w:t>
            </w:r>
          </w:p>
        </w:tc>
        <w:tc>
          <w:tcPr>
            <w:tcW w:w="1020" w:type="dxa"/>
            <w:vAlign w:val="bottom"/>
            <w:tcBorders>
              <w:bottom w:val="single" w:sz="8" w:color="0E3C23"/>
            </w:tcBorders>
          </w:tcPr>
          <w:p>
            <w:pPr>
              <w:jc w:val="right"/>
              <w:ind w:right="23"/>
              <w:spacing w:after="0"/>
              <w:rPr>
                <w:sz w:val="20"/>
                <w:szCs w:val="20"/>
                <w:color w:val="auto"/>
              </w:rPr>
            </w:pPr>
            <w:r>
              <w:rPr>
                <w:rFonts w:ascii="Arial" w:cs="Arial" w:eastAsia="Arial" w:hAnsi="Arial"/>
                <w:sz w:val="20"/>
                <w:szCs w:val="20"/>
                <w:color w:val="auto"/>
              </w:rPr>
              <w:t>204.7585</w:t>
            </w:r>
          </w:p>
        </w:tc>
        <w:tc>
          <w:tcPr>
            <w:tcW w:w="1140" w:type="dxa"/>
            <w:vAlign w:val="bottom"/>
            <w:tcBorders>
              <w:bottom w:val="single" w:sz="8" w:color="0E3C23"/>
            </w:tcBorders>
            <w:gridSpan w:val="2"/>
          </w:tcPr>
          <w:p>
            <w:pPr>
              <w:jc w:val="right"/>
              <w:ind w:right="120"/>
              <w:spacing w:after="0"/>
              <w:rPr>
                <w:sz w:val="20"/>
                <w:szCs w:val="20"/>
                <w:color w:val="auto"/>
              </w:rPr>
            </w:pPr>
            <w:r>
              <w:rPr>
                <w:rFonts w:ascii="Arial" w:cs="Arial" w:eastAsia="Arial" w:hAnsi="Arial"/>
                <w:sz w:val="20"/>
                <w:szCs w:val="20"/>
                <w:color w:val="auto"/>
              </w:rPr>
              <w:t>3/1/2034</w:t>
            </w:r>
          </w:p>
        </w:tc>
        <w:tc>
          <w:tcPr>
            <w:tcW w:w="120" w:type="dxa"/>
            <w:vAlign w:val="bottom"/>
            <w:tcBorders>
              <w:bottom w:val="single" w:sz="8" w:color="0E3C23"/>
            </w:tcBorders>
          </w:tcPr>
          <w:p>
            <w:pPr>
              <w:spacing w:after="0"/>
              <w:rPr>
                <w:sz w:val="23"/>
                <w:szCs w:val="23"/>
                <w:color w:val="auto"/>
              </w:rPr>
            </w:pPr>
          </w:p>
        </w:tc>
        <w:tc>
          <w:tcPr>
            <w:tcW w:w="900" w:type="dxa"/>
            <w:vAlign w:val="bottom"/>
            <w:tcBorders>
              <w:bottom w:val="single" w:sz="8" w:color="0E3C23"/>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E3C23"/>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E3C23"/>
            </w:tcBorders>
          </w:tcPr>
          <w:p>
            <w:pPr>
              <w:jc w:val="right"/>
              <w:ind w:right="128"/>
              <w:spacing w:after="0"/>
              <w:rPr>
                <w:sz w:val="20"/>
                <w:szCs w:val="20"/>
                <w:color w:val="auto"/>
              </w:rPr>
            </w:pPr>
            <w:r>
              <w:rPr>
                <w:rFonts w:ascii="Arial" w:cs="Arial" w:eastAsia="Arial" w:hAnsi="Arial"/>
                <w:sz w:val="20"/>
                <w:szCs w:val="20"/>
                <w:color w:val="auto"/>
              </w:rPr>
              <w:t>91,522</w:t>
            </w:r>
          </w:p>
        </w:tc>
        <w:tc>
          <w:tcPr>
            <w:tcW w:w="1120" w:type="dxa"/>
            <w:vAlign w:val="bottom"/>
            <w:tcBorders>
              <w:bottom w:val="single" w:sz="8" w:color="0E3C23"/>
            </w:tcBorders>
            <w:gridSpan w:val="2"/>
          </w:tcPr>
          <w:p>
            <w:pPr>
              <w:jc w:val="right"/>
              <w:ind w:right="60"/>
              <w:spacing w:after="0"/>
              <w:rPr>
                <w:sz w:val="20"/>
                <w:szCs w:val="20"/>
                <w:color w:val="auto"/>
              </w:rPr>
            </w:pPr>
            <w:r>
              <w:rPr>
                <w:rFonts w:ascii="Arial" w:cs="Arial" w:eastAsia="Arial" w:hAnsi="Arial"/>
                <w:sz w:val="20"/>
                <w:szCs w:val="20"/>
                <w:color w:val="auto"/>
              </w:rPr>
              <w:t>36,936,449</w:t>
            </w:r>
          </w:p>
        </w:tc>
        <w:tc>
          <w:tcPr>
            <w:tcW w:w="0" w:type="dxa"/>
            <w:vAlign w:val="bottom"/>
          </w:tcPr>
          <w:p>
            <w:pPr>
              <w:spacing w:after="0"/>
              <w:rPr>
                <w:sz w:val="1"/>
                <w:szCs w:val="1"/>
                <w:color w:val="auto"/>
              </w:rPr>
            </w:pPr>
          </w:p>
        </w:tc>
      </w:tr>
      <w:tr>
        <w:trPr>
          <w:trHeight w:val="259"/>
        </w:trPr>
        <w:tc>
          <w:tcPr>
            <w:tcW w:w="1440" w:type="dxa"/>
            <w:vAlign w:val="bottom"/>
            <w:tcBorders>
              <w:bottom w:val="single" w:sz="8" w:color="0E3C23"/>
            </w:tcBorders>
          </w:tcPr>
          <w:p>
            <w:pPr>
              <w:spacing w:after="0"/>
              <w:rPr>
                <w:sz w:val="22"/>
                <w:szCs w:val="22"/>
                <w:color w:val="auto"/>
              </w:rPr>
            </w:pPr>
          </w:p>
        </w:tc>
        <w:tc>
          <w:tcPr>
            <w:tcW w:w="1000" w:type="dxa"/>
            <w:vAlign w:val="bottom"/>
            <w:tcBorders>
              <w:bottom w:val="single" w:sz="8" w:color="0E3C23"/>
            </w:tcBorders>
          </w:tcPr>
          <w:p>
            <w:pPr>
              <w:jc w:val="right"/>
              <w:ind w:right="185"/>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0E3C23"/>
            </w:tcBorders>
          </w:tcPr>
          <w:p>
            <w:pPr>
              <w:jc w:val="right"/>
              <w:ind w:right="86"/>
              <w:spacing w:after="0" w:line="259" w:lineRule="exact"/>
              <w:rPr>
                <w:sz w:val="20"/>
                <w:szCs w:val="20"/>
                <w:color w:val="auto"/>
              </w:rPr>
            </w:pPr>
            <w:r>
              <w:rPr>
                <w:rFonts w:ascii="Arial" w:cs="Arial" w:eastAsia="Arial" w:hAnsi="Arial"/>
                <w:sz w:val="20"/>
                <w:szCs w:val="20"/>
                <w:color w:val="auto"/>
              </w:rPr>
              <w:t>39,610</w:t>
            </w:r>
            <w:r>
              <w:rPr>
                <w:rFonts w:ascii="Arial" w:cs="Arial" w:eastAsia="Arial" w:hAnsi="Arial"/>
                <w:sz w:val="25"/>
                <w:szCs w:val="25"/>
                <w:color w:val="auto"/>
                <w:vertAlign w:val="superscript"/>
              </w:rPr>
              <w:t>(4)</w:t>
            </w:r>
          </w:p>
        </w:tc>
        <w:tc>
          <w:tcPr>
            <w:tcW w:w="1020" w:type="dxa"/>
            <w:vAlign w:val="bottom"/>
            <w:tcBorders>
              <w:bottom w:val="single" w:sz="8" w:color="0E3C23"/>
            </w:tcBorders>
          </w:tcPr>
          <w:p>
            <w:pPr>
              <w:jc w:val="right"/>
              <w:ind w:right="23"/>
              <w:spacing w:after="0"/>
              <w:rPr>
                <w:sz w:val="20"/>
                <w:szCs w:val="20"/>
                <w:color w:val="auto"/>
              </w:rPr>
            </w:pPr>
            <w:r>
              <w:rPr>
                <w:rFonts w:ascii="Arial" w:cs="Arial" w:eastAsia="Arial" w:hAnsi="Arial"/>
                <w:sz w:val="20"/>
                <w:szCs w:val="20"/>
                <w:color w:val="auto"/>
              </w:rPr>
              <w:t>150.115</w:t>
            </w:r>
          </w:p>
        </w:tc>
        <w:tc>
          <w:tcPr>
            <w:tcW w:w="1140" w:type="dxa"/>
            <w:vAlign w:val="bottom"/>
            <w:tcBorders>
              <w:bottom w:val="single" w:sz="8" w:color="0E3C23"/>
            </w:tcBorders>
            <w:gridSpan w:val="2"/>
          </w:tcPr>
          <w:p>
            <w:pPr>
              <w:jc w:val="right"/>
              <w:ind w:right="120"/>
              <w:spacing w:after="0"/>
              <w:rPr>
                <w:sz w:val="20"/>
                <w:szCs w:val="20"/>
                <w:color w:val="auto"/>
              </w:rPr>
            </w:pPr>
            <w:r>
              <w:rPr>
                <w:rFonts w:ascii="Arial" w:cs="Arial" w:eastAsia="Arial" w:hAnsi="Arial"/>
                <w:sz w:val="20"/>
                <w:szCs w:val="20"/>
                <w:color w:val="auto"/>
              </w:rPr>
              <w:t>3/7/2033</w:t>
            </w:r>
          </w:p>
        </w:tc>
        <w:tc>
          <w:tcPr>
            <w:tcW w:w="120" w:type="dxa"/>
            <w:vAlign w:val="bottom"/>
            <w:tcBorders>
              <w:bottom w:val="single" w:sz="8" w:color="0E3C23"/>
            </w:tcBorders>
          </w:tcPr>
          <w:p>
            <w:pPr>
              <w:spacing w:after="0"/>
              <w:rPr>
                <w:sz w:val="22"/>
                <w:szCs w:val="22"/>
                <w:color w:val="auto"/>
              </w:rPr>
            </w:pPr>
          </w:p>
        </w:tc>
        <w:tc>
          <w:tcPr>
            <w:tcW w:w="900" w:type="dxa"/>
            <w:vAlign w:val="bottom"/>
            <w:tcBorders>
              <w:bottom w:val="single" w:sz="8" w:color="0E3C23"/>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E3C23"/>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E3C23"/>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E3C23"/>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1440" w:type="dxa"/>
            <w:vAlign w:val="bottom"/>
            <w:tcBorders>
              <w:bottom w:val="single" w:sz="8" w:color="0E3C23"/>
            </w:tcBorders>
          </w:tcPr>
          <w:p>
            <w:pPr>
              <w:spacing w:after="0"/>
              <w:rPr>
                <w:sz w:val="22"/>
                <w:szCs w:val="22"/>
                <w:color w:val="auto"/>
              </w:rPr>
            </w:pPr>
          </w:p>
        </w:tc>
        <w:tc>
          <w:tcPr>
            <w:tcW w:w="1000" w:type="dxa"/>
            <w:vAlign w:val="bottom"/>
            <w:tcBorders>
              <w:bottom w:val="single" w:sz="8" w:color="0E3C23"/>
            </w:tcBorders>
          </w:tcPr>
          <w:p>
            <w:pPr>
              <w:jc w:val="right"/>
              <w:ind w:right="185"/>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0E3C23"/>
            </w:tcBorders>
          </w:tcPr>
          <w:p>
            <w:pPr>
              <w:jc w:val="right"/>
              <w:ind w:right="86"/>
              <w:spacing w:after="0" w:line="259" w:lineRule="exact"/>
              <w:rPr>
                <w:sz w:val="20"/>
                <w:szCs w:val="20"/>
                <w:color w:val="auto"/>
              </w:rPr>
            </w:pPr>
            <w:r>
              <w:rPr>
                <w:rFonts w:ascii="Arial" w:cs="Arial" w:eastAsia="Arial" w:hAnsi="Arial"/>
                <w:sz w:val="20"/>
                <w:szCs w:val="20"/>
                <w:color w:val="auto"/>
              </w:rPr>
              <w:t>22,063</w:t>
            </w:r>
            <w:r>
              <w:rPr>
                <w:rFonts w:ascii="Arial" w:cs="Arial" w:eastAsia="Arial" w:hAnsi="Arial"/>
                <w:sz w:val="25"/>
                <w:szCs w:val="25"/>
                <w:color w:val="auto"/>
                <w:vertAlign w:val="superscript"/>
              </w:rPr>
              <w:t>(5)</w:t>
            </w:r>
          </w:p>
        </w:tc>
        <w:tc>
          <w:tcPr>
            <w:tcW w:w="1020" w:type="dxa"/>
            <w:vAlign w:val="bottom"/>
            <w:tcBorders>
              <w:bottom w:val="single" w:sz="8" w:color="0E3C23"/>
            </w:tcBorders>
          </w:tcPr>
          <w:p>
            <w:pPr>
              <w:jc w:val="right"/>
              <w:ind w:right="23"/>
              <w:spacing w:after="0"/>
              <w:rPr>
                <w:sz w:val="20"/>
                <w:szCs w:val="20"/>
                <w:color w:val="auto"/>
              </w:rPr>
            </w:pPr>
            <w:r>
              <w:rPr>
                <w:rFonts w:ascii="Arial" w:cs="Arial" w:eastAsia="Arial" w:hAnsi="Arial"/>
                <w:sz w:val="20"/>
                <w:szCs w:val="20"/>
                <w:color w:val="auto"/>
              </w:rPr>
              <w:t>145.67</w:t>
            </w:r>
          </w:p>
        </w:tc>
        <w:tc>
          <w:tcPr>
            <w:tcW w:w="1140" w:type="dxa"/>
            <w:vAlign w:val="bottom"/>
            <w:tcBorders>
              <w:bottom w:val="single" w:sz="8" w:color="0E3C23"/>
            </w:tcBorders>
            <w:gridSpan w:val="2"/>
          </w:tcPr>
          <w:p>
            <w:pPr>
              <w:jc w:val="right"/>
              <w:ind w:right="120"/>
              <w:spacing w:after="0"/>
              <w:rPr>
                <w:sz w:val="20"/>
                <w:szCs w:val="20"/>
                <w:color w:val="auto"/>
              </w:rPr>
            </w:pPr>
            <w:r>
              <w:rPr>
                <w:rFonts w:ascii="Arial" w:cs="Arial" w:eastAsia="Arial" w:hAnsi="Arial"/>
                <w:sz w:val="20"/>
                <w:szCs w:val="20"/>
                <w:color w:val="auto"/>
              </w:rPr>
              <w:t>3/1/2032</w:t>
            </w:r>
          </w:p>
        </w:tc>
        <w:tc>
          <w:tcPr>
            <w:tcW w:w="120" w:type="dxa"/>
            <w:vAlign w:val="bottom"/>
            <w:tcBorders>
              <w:bottom w:val="single" w:sz="8" w:color="0E3C23"/>
            </w:tcBorders>
          </w:tcPr>
          <w:p>
            <w:pPr>
              <w:spacing w:after="0"/>
              <w:rPr>
                <w:sz w:val="22"/>
                <w:szCs w:val="22"/>
                <w:color w:val="auto"/>
              </w:rPr>
            </w:pPr>
          </w:p>
        </w:tc>
        <w:tc>
          <w:tcPr>
            <w:tcW w:w="900" w:type="dxa"/>
            <w:vAlign w:val="bottom"/>
            <w:tcBorders>
              <w:bottom w:val="single" w:sz="8" w:color="0E3C23"/>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E3C23"/>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E3C23"/>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E3C23"/>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2440" w:type="dxa"/>
            <w:vAlign w:val="bottom"/>
            <w:tcBorders>
              <w:bottom w:val="single" w:sz="8" w:color="0E3C23"/>
            </w:tcBorders>
            <w:gridSpan w:val="2"/>
          </w:tcPr>
          <w:p>
            <w:pPr>
              <w:ind w:left="60"/>
              <w:spacing w:after="0"/>
              <w:rPr>
                <w:sz w:val="20"/>
                <w:szCs w:val="20"/>
                <w:color w:val="auto"/>
              </w:rPr>
            </w:pPr>
            <w:r>
              <w:rPr>
                <w:rFonts w:ascii="Arial" w:cs="Arial" w:eastAsia="Arial" w:hAnsi="Arial"/>
                <w:sz w:val="20"/>
                <w:szCs w:val="20"/>
                <w:b w:val="1"/>
                <w:bCs w:val="1"/>
                <w:color w:val="auto"/>
              </w:rPr>
              <w:t>Devina A. Rankin</w:t>
            </w:r>
          </w:p>
        </w:tc>
        <w:tc>
          <w:tcPr>
            <w:tcW w:w="1260" w:type="dxa"/>
            <w:vAlign w:val="bottom"/>
            <w:tcBorders>
              <w:bottom w:val="single" w:sz="8" w:color="0E3C23"/>
            </w:tcBorders>
          </w:tcPr>
          <w:p>
            <w:pPr>
              <w:spacing w:after="0"/>
              <w:rPr>
                <w:sz w:val="21"/>
                <w:szCs w:val="21"/>
                <w:color w:val="auto"/>
              </w:rPr>
            </w:pPr>
          </w:p>
        </w:tc>
        <w:tc>
          <w:tcPr>
            <w:tcW w:w="1020" w:type="dxa"/>
            <w:vAlign w:val="bottom"/>
            <w:tcBorders>
              <w:bottom w:val="single" w:sz="8" w:color="0E3C23"/>
            </w:tcBorders>
          </w:tcPr>
          <w:p>
            <w:pPr>
              <w:spacing w:after="0"/>
              <w:rPr>
                <w:sz w:val="21"/>
                <w:szCs w:val="21"/>
                <w:color w:val="auto"/>
              </w:rPr>
            </w:pPr>
          </w:p>
        </w:tc>
        <w:tc>
          <w:tcPr>
            <w:tcW w:w="1020" w:type="dxa"/>
            <w:vAlign w:val="bottom"/>
            <w:tcBorders>
              <w:bottom w:val="single" w:sz="8" w:color="0E3C23"/>
            </w:tcBorders>
          </w:tcPr>
          <w:p>
            <w:pPr>
              <w:spacing w:after="0"/>
              <w:rPr>
                <w:sz w:val="21"/>
                <w:szCs w:val="21"/>
                <w:color w:val="auto"/>
              </w:rPr>
            </w:pPr>
          </w:p>
        </w:tc>
        <w:tc>
          <w:tcPr>
            <w:tcW w:w="120" w:type="dxa"/>
            <w:vAlign w:val="bottom"/>
            <w:tcBorders>
              <w:bottom w:val="single" w:sz="8" w:color="0E3C23"/>
            </w:tcBorders>
          </w:tcPr>
          <w:p>
            <w:pPr>
              <w:spacing w:after="0"/>
              <w:rPr>
                <w:sz w:val="21"/>
                <w:szCs w:val="21"/>
                <w:color w:val="auto"/>
              </w:rPr>
            </w:pPr>
          </w:p>
        </w:tc>
        <w:tc>
          <w:tcPr>
            <w:tcW w:w="120" w:type="dxa"/>
            <w:vAlign w:val="bottom"/>
            <w:tcBorders>
              <w:bottom w:val="single" w:sz="8" w:color="0E3C23"/>
            </w:tcBorders>
          </w:tcPr>
          <w:p>
            <w:pPr>
              <w:spacing w:after="0"/>
              <w:rPr>
                <w:sz w:val="21"/>
                <w:szCs w:val="21"/>
                <w:color w:val="auto"/>
              </w:rPr>
            </w:pPr>
          </w:p>
        </w:tc>
        <w:tc>
          <w:tcPr>
            <w:tcW w:w="900" w:type="dxa"/>
            <w:vAlign w:val="bottom"/>
            <w:tcBorders>
              <w:bottom w:val="single" w:sz="8" w:color="0E3C23"/>
            </w:tcBorders>
          </w:tcPr>
          <w:p>
            <w:pPr>
              <w:spacing w:after="0"/>
              <w:rPr>
                <w:sz w:val="21"/>
                <w:szCs w:val="21"/>
                <w:color w:val="auto"/>
              </w:rPr>
            </w:pPr>
          </w:p>
        </w:tc>
        <w:tc>
          <w:tcPr>
            <w:tcW w:w="1060" w:type="dxa"/>
            <w:vAlign w:val="bottom"/>
            <w:tcBorders>
              <w:bottom w:val="single" w:sz="8" w:color="0E3C23"/>
            </w:tcBorders>
          </w:tcPr>
          <w:p>
            <w:pPr>
              <w:spacing w:after="0"/>
              <w:rPr>
                <w:sz w:val="21"/>
                <w:szCs w:val="21"/>
                <w:color w:val="auto"/>
              </w:rPr>
            </w:pPr>
          </w:p>
        </w:tc>
        <w:tc>
          <w:tcPr>
            <w:tcW w:w="1000" w:type="dxa"/>
            <w:vAlign w:val="bottom"/>
            <w:tcBorders>
              <w:bottom w:val="single" w:sz="8" w:color="0E3C23"/>
            </w:tcBorders>
          </w:tcPr>
          <w:p>
            <w:pPr>
              <w:spacing w:after="0"/>
              <w:rPr>
                <w:sz w:val="21"/>
                <w:szCs w:val="21"/>
                <w:color w:val="auto"/>
              </w:rPr>
            </w:pPr>
          </w:p>
        </w:tc>
        <w:tc>
          <w:tcPr>
            <w:tcW w:w="1060" w:type="dxa"/>
            <w:vAlign w:val="bottom"/>
            <w:tcBorders>
              <w:bottom w:val="single" w:sz="8" w:color="0E3C23"/>
            </w:tcBorders>
          </w:tcPr>
          <w:p>
            <w:pPr>
              <w:spacing w:after="0"/>
              <w:rPr>
                <w:sz w:val="21"/>
                <w:szCs w:val="21"/>
                <w:color w:val="auto"/>
              </w:rPr>
            </w:pPr>
          </w:p>
        </w:tc>
        <w:tc>
          <w:tcPr>
            <w:tcW w:w="60" w:type="dxa"/>
            <w:vAlign w:val="bottom"/>
            <w:tcBorders>
              <w:bottom w:val="single" w:sz="8" w:color="0E3C23"/>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440" w:type="dxa"/>
            <w:vAlign w:val="bottom"/>
            <w:tcBorders>
              <w:bottom w:val="single" w:sz="8" w:color="0E3C23"/>
            </w:tcBorders>
          </w:tcPr>
          <w:p>
            <w:pPr>
              <w:spacing w:after="0"/>
              <w:rPr>
                <w:sz w:val="23"/>
                <w:szCs w:val="23"/>
                <w:color w:val="auto"/>
              </w:rPr>
            </w:pPr>
          </w:p>
        </w:tc>
        <w:tc>
          <w:tcPr>
            <w:tcW w:w="1000" w:type="dxa"/>
            <w:vAlign w:val="bottom"/>
            <w:tcBorders>
              <w:bottom w:val="single" w:sz="8" w:color="0E3C23"/>
            </w:tcBorders>
          </w:tcPr>
          <w:p>
            <w:pPr>
              <w:jc w:val="right"/>
              <w:ind w:right="185"/>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0E3C23"/>
            </w:tcBorders>
          </w:tcPr>
          <w:p>
            <w:pPr>
              <w:jc w:val="right"/>
              <w:ind w:right="86"/>
              <w:spacing w:after="0" w:line="269" w:lineRule="exact"/>
              <w:rPr>
                <w:sz w:val="20"/>
                <w:szCs w:val="20"/>
                <w:color w:val="auto"/>
              </w:rPr>
            </w:pPr>
            <w:r>
              <w:rPr>
                <w:rFonts w:ascii="Arial" w:cs="Arial" w:eastAsia="Arial" w:hAnsi="Arial"/>
                <w:sz w:val="20"/>
                <w:szCs w:val="20"/>
                <w:color w:val="auto"/>
              </w:rPr>
              <w:t>10,698</w:t>
            </w:r>
            <w:r>
              <w:rPr>
                <w:rFonts w:ascii="Arial" w:cs="Arial" w:eastAsia="Arial" w:hAnsi="Arial"/>
                <w:sz w:val="25"/>
                <w:szCs w:val="25"/>
                <w:color w:val="auto"/>
                <w:vertAlign w:val="superscript"/>
              </w:rPr>
              <w:t>(3)</w:t>
            </w:r>
          </w:p>
        </w:tc>
        <w:tc>
          <w:tcPr>
            <w:tcW w:w="1020" w:type="dxa"/>
            <w:vAlign w:val="bottom"/>
            <w:tcBorders>
              <w:bottom w:val="single" w:sz="8" w:color="0E3C23"/>
            </w:tcBorders>
          </w:tcPr>
          <w:p>
            <w:pPr>
              <w:jc w:val="right"/>
              <w:ind w:right="23"/>
              <w:spacing w:after="0"/>
              <w:rPr>
                <w:sz w:val="20"/>
                <w:szCs w:val="20"/>
                <w:color w:val="auto"/>
              </w:rPr>
            </w:pPr>
            <w:r>
              <w:rPr>
                <w:rFonts w:ascii="Arial" w:cs="Arial" w:eastAsia="Arial" w:hAnsi="Arial"/>
                <w:sz w:val="20"/>
                <w:szCs w:val="20"/>
                <w:color w:val="auto"/>
              </w:rPr>
              <w:t>204.7585</w:t>
            </w:r>
          </w:p>
        </w:tc>
        <w:tc>
          <w:tcPr>
            <w:tcW w:w="1140" w:type="dxa"/>
            <w:vAlign w:val="bottom"/>
            <w:tcBorders>
              <w:bottom w:val="single" w:sz="8" w:color="0E3C23"/>
            </w:tcBorders>
            <w:gridSpan w:val="2"/>
          </w:tcPr>
          <w:p>
            <w:pPr>
              <w:jc w:val="right"/>
              <w:ind w:right="120"/>
              <w:spacing w:after="0"/>
              <w:rPr>
                <w:sz w:val="20"/>
                <w:szCs w:val="20"/>
                <w:color w:val="auto"/>
              </w:rPr>
            </w:pPr>
            <w:r>
              <w:rPr>
                <w:rFonts w:ascii="Arial" w:cs="Arial" w:eastAsia="Arial" w:hAnsi="Arial"/>
                <w:sz w:val="20"/>
                <w:szCs w:val="20"/>
                <w:color w:val="auto"/>
              </w:rPr>
              <w:t>3/1/2034</w:t>
            </w:r>
          </w:p>
        </w:tc>
        <w:tc>
          <w:tcPr>
            <w:tcW w:w="1020" w:type="dxa"/>
            <w:vAlign w:val="bottom"/>
            <w:tcBorders>
              <w:bottom w:val="single" w:sz="8" w:color="0E3C23"/>
            </w:tcBorders>
            <w:gridSpan w:val="2"/>
          </w:tcPr>
          <w:p>
            <w:pPr>
              <w:jc w:val="right"/>
              <w:ind w:right="125"/>
              <w:spacing w:after="0"/>
              <w:rPr>
                <w:sz w:val="20"/>
                <w:szCs w:val="20"/>
                <w:color w:val="auto"/>
              </w:rPr>
            </w:pPr>
            <w:r>
              <w:rPr>
                <w:rFonts w:ascii="Arial" w:cs="Arial" w:eastAsia="Arial" w:hAnsi="Arial"/>
                <w:sz w:val="20"/>
                <w:szCs w:val="20"/>
                <w:color w:val="auto"/>
              </w:rPr>
              <w:t>6,803</w:t>
            </w:r>
          </w:p>
        </w:tc>
        <w:tc>
          <w:tcPr>
            <w:tcW w:w="1060" w:type="dxa"/>
            <w:vAlign w:val="bottom"/>
            <w:tcBorders>
              <w:bottom w:val="single" w:sz="8" w:color="0E3C23"/>
            </w:tcBorders>
          </w:tcPr>
          <w:p>
            <w:pPr>
              <w:jc w:val="right"/>
              <w:ind w:right="27"/>
              <w:spacing w:after="0"/>
              <w:rPr>
                <w:sz w:val="20"/>
                <w:szCs w:val="20"/>
                <w:color w:val="auto"/>
              </w:rPr>
            </w:pPr>
            <w:r>
              <w:rPr>
                <w:rFonts w:ascii="Arial" w:cs="Arial" w:eastAsia="Arial" w:hAnsi="Arial"/>
                <w:sz w:val="20"/>
                <w:szCs w:val="20"/>
                <w:color w:val="auto"/>
              </w:rPr>
              <w:t>1,372,777</w:t>
            </w:r>
          </w:p>
        </w:tc>
        <w:tc>
          <w:tcPr>
            <w:tcW w:w="1000" w:type="dxa"/>
            <w:vAlign w:val="bottom"/>
            <w:tcBorders>
              <w:bottom w:val="single" w:sz="8" w:color="0E3C23"/>
            </w:tcBorders>
          </w:tcPr>
          <w:p>
            <w:pPr>
              <w:jc w:val="right"/>
              <w:ind w:right="128"/>
              <w:spacing w:after="0"/>
              <w:rPr>
                <w:sz w:val="20"/>
                <w:szCs w:val="20"/>
                <w:color w:val="auto"/>
              </w:rPr>
            </w:pPr>
            <w:r>
              <w:rPr>
                <w:rFonts w:ascii="Arial" w:cs="Arial" w:eastAsia="Arial" w:hAnsi="Arial"/>
                <w:sz w:val="20"/>
                <w:szCs w:val="20"/>
                <w:color w:val="auto"/>
              </w:rPr>
              <w:t>21,590</w:t>
            </w:r>
          </w:p>
        </w:tc>
        <w:tc>
          <w:tcPr>
            <w:tcW w:w="1120" w:type="dxa"/>
            <w:vAlign w:val="bottom"/>
            <w:tcBorders>
              <w:bottom w:val="single" w:sz="8" w:color="0E3C23"/>
            </w:tcBorders>
            <w:gridSpan w:val="2"/>
          </w:tcPr>
          <w:p>
            <w:pPr>
              <w:jc w:val="right"/>
              <w:ind w:right="60"/>
              <w:spacing w:after="0"/>
              <w:rPr>
                <w:sz w:val="20"/>
                <w:szCs w:val="20"/>
                <w:color w:val="auto"/>
              </w:rPr>
            </w:pPr>
            <w:r>
              <w:rPr>
                <w:rFonts w:ascii="Arial" w:cs="Arial" w:eastAsia="Arial" w:hAnsi="Arial"/>
                <w:sz w:val="20"/>
                <w:szCs w:val="20"/>
                <w:color w:val="auto"/>
              </w:rPr>
              <w:t>8,713,292</w:t>
            </w:r>
          </w:p>
        </w:tc>
        <w:tc>
          <w:tcPr>
            <w:tcW w:w="0" w:type="dxa"/>
            <w:vAlign w:val="bottom"/>
          </w:tcPr>
          <w:p>
            <w:pPr>
              <w:spacing w:after="0"/>
              <w:rPr>
                <w:sz w:val="1"/>
                <w:szCs w:val="1"/>
                <w:color w:val="auto"/>
              </w:rPr>
            </w:pPr>
          </w:p>
        </w:tc>
      </w:tr>
      <w:tr>
        <w:trPr>
          <w:trHeight w:val="259"/>
        </w:trPr>
        <w:tc>
          <w:tcPr>
            <w:tcW w:w="1440" w:type="dxa"/>
            <w:vAlign w:val="bottom"/>
            <w:tcBorders>
              <w:bottom w:val="single" w:sz="8" w:color="0E3C23"/>
            </w:tcBorders>
          </w:tcPr>
          <w:p>
            <w:pPr>
              <w:spacing w:after="0"/>
              <w:rPr>
                <w:sz w:val="22"/>
                <w:szCs w:val="22"/>
                <w:color w:val="auto"/>
              </w:rPr>
            </w:pPr>
          </w:p>
        </w:tc>
        <w:tc>
          <w:tcPr>
            <w:tcW w:w="1000" w:type="dxa"/>
            <w:vAlign w:val="bottom"/>
            <w:tcBorders>
              <w:bottom w:val="single" w:sz="8" w:color="0E3C23"/>
            </w:tcBorders>
          </w:tcPr>
          <w:p>
            <w:pPr>
              <w:jc w:val="right"/>
              <w:ind w:right="185"/>
              <w:spacing w:after="0"/>
              <w:rPr>
                <w:sz w:val="20"/>
                <w:szCs w:val="20"/>
                <w:color w:val="auto"/>
              </w:rPr>
            </w:pPr>
            <w:r>
              <w:rPr>
                <w:rFonts w:ascii="Arial" w:cs="Arial" w:eastAsia="Arial" w:hAnsi="Arial"/>
                <w:sz w:val="20"/>
                <w:szCs w:val="20"/>
                <w:color w:val="auto"/>
              </w:rPr>
              <w:t>4,672</w:t>
            </w:r>
          </w:p>
        </w:tc>
        <w:tc>
          <w:tcPr>
            <w:tcW w:w="1260" w:type="dxa"/>
            <w:vAlign w:val="bottom"/>
            <w:tcBorders>
              <w:bottom w:val="single" w:sz="8" w:color="0E3C23"/>
            </w:tcBorders>
          </w:tcPr>
          <w:p>
            <w:pPr>
              <w:jc w:val="right"/>
              <w:ind w:right="86"/>
              <w:spacing w:after="0" w:line="259" w:lineRule="exact"/>
              <w:rPr>
                <w:sz w:val="20"/>
                <w:szCs w:val="20"/>
                <w:color w:val="auto"/>
              </w:rPr>
            </w:pPr>
            <w:r>
              <w:rPr>
                <w:rFonts w:ascii="Arial" w:cs="Arial" w:eastAsia="Arial" w:hAnsi="Arial"/>
                <w:sz w:val="20"/>
                <w:szCs w:val="20"/>
                <w:color w:val="auto"/>
              </w:rPr>
              <w:t>9,344</w:t>
            </w:r>
            <w:r>
              <w:rPr>
                <w:rFonts w:ascii="Arial" w:cs="Arial" w:eastAsia="Arial" w:hAnsi="Arial"/>
                <w:sz w:val="25"/>
                <w:szCs w:val="25"/>
                <w:color w:val="auto"/>
                <w:vertAlign w:val="superscript"/>
              </w:rPr>
              <w:t>(4)</w:t>
            </w:r>
          </w:p>
        </w:tc>
        <w:tc>
          <w:tcPr>
            <w:tcW w:w="1020" w:type="dxa"/>
            <w:vAlign w:val="bottom"/>
            <w:tcBorders>
              <w:bottom w:val="single" w:sz="8" w:color="0E3C23"/>
            </w:tcBorders>
          </w:tcPr>
          <w:p>
            <w:pPr>
              <w:jc w:val="right"/>
              <w:ind w:right="23"/>
              <w:spacing w:after="0"/>
              <w:rPr>
                <w:sz w:val="20"/>
                <w:szCs w:val="20"/>
                <w:color w:val="auto"/>
              </w:rPr>
            </w:pPr>
            <w:r>
              <w:rPr>
                <w:rFonts w:ascii="Arial" w:cs="Arial" w:eastAsia="Arial" w:hAnsi="Arial"/>
                <w:sz w:val="20"/>
                <w:szCs w:val="20"/>
                <w:color w:val="auto"/>
              </w:rPr>
              <w:t>150.115</w:t>
            </w:r>
          </w:p>
        </w:tc>
        <w:tc>
          <w:tcPr>
            <w:tcW w:w="1140" w:type="dxa"/>
            <w:vAlign w:val="bottom"/>
            <w:tcBorders>
              <w:bottom w:val="single" w:sz="8" w:color="0E3C23"/>
            </w:tcBorders>
            <w:gridSpan w:val="2"/>
          </w:tcPr>
          <w:p>
            <w:pPr>
              <w:jc w:val="right"/>
              <w:ind w:right="120"/>
              <w:spacing w:after="0"/>
              <w:rPr>
                <w:sz w:val="20"/>
                <w:szCs w:val="20"/>
                <w:color w:val="auto"/>
              </w:rPr>
            </w:pPr>
            <w:r>
              <w:rPr>
                <w:rFonts w:ascii="Arial" w:cs="Arial" w:eastAsia="Arial" w:hAnsi="Arial"/>
                <w:sz w:val="20"/>
                <w:szCs w:val="20"/>
                <w:color w:val="auto"/>
              </w:rPr>
              <w:t>3/7/2033</w:t>
            </w:r>
          </w:p>
        </w:tc>
        <w:tc>
          <w:tcPr>
            <w:tcW w:w="120" w:type="dxa"/>
            <w:vAlign w:val="bottom"/>
            <w:tcBorders>
              <w:bottom w:val="single" w:sz="8" w:color="0E3C23"/>
            </w:tcBorders>
          </w:tcPr>
          <w:p>
            <w:pPr>
              <w:spacing w:after="0"/>
              <w:rPr>
                <w:sz w:val="22"/>
                <w:szCs w:val="22"/>
                <w:color w:val="auto"/>
              </w:rPr>
            </w:pPr>
          </w:p>
        </w:tc>
        <w:tc>
          <w:tcPr>
            <w:tcW w:w="900" w:type="dxa"/>
            <w:vAlign w:val="bottom"/>
            <w:tcBorders>
              <w:bottom w:val="single" w:sz="8" w:color="0E3C23"/>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E3C23"/>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E3C23"/>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E3C23"/>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1440" w:type="dxa"/>
            <w:vAlign w:val="bottom"/>
            <w:tcBorders>
              <w:bottom w:val="single" w:sz="8" w:color="0E3C23"/>
            </w:tcBorders>
          </w:tcPr>
          <w:p>
            <w:pPr>
              <w:spacing w:after="0"/>
              <w:rPr>
                <w:sz w:val="22"/>
                <w:szCs w:val="22"/>
                <w:color w:val="auto"/>
              </w:rPr>
            </w:pPr>
          </w:p>
        </w:tc>
        <w:tc>
          <w:tcPr>
            <w:tcW w:w="1000" w:type="dxa"/>
            <w:vAlign w:val="bottom"/>
            <w:tcBorders>
              <w:bottom w:val="single" w:sz="8" w:color="0E3C23"/>
            </w:tcBorders>
          </w:tcPr>
          <w:p>
            <w:pPr>
              <w:jc w:val="right"/>
              <w:ind w:right="185"/>
              <w:spacing w:after="0"/>
              <w:rPr>
                <w:sz w:val="20"/>
                <w:szCs w:val="20"/>
                <w:color w:val="auto"/>
              </w:rPr>
            </w:pPr>
            <w:r>
              <w:rPr>
                <w:rFonts w:ascii="Arial" w:cs="Arial" w:eastAsia="Arial" w:hAnsi="Arial"/>
                <w:sz w:val="20"/>
                <w:szCs w:val="20"/>
                <w:color w:val="auto"/>
              </w:rPr>
              <w:t>11,094</w:t>
            </w:r>
          </w:p>
        </w:tc>
        <w:tc>
          <w:tcPr>
            <w:tcW w:w="1260" w:type="dxa"/>
            <w:vAlign w:val="bottom"/>
            <w:tcBorders>
              <w:bottom w:val="single" w:sz="8" w:color="0E3C23"/>
            </w:tcBorders>
          </w:tcPr>
          <w:p>
            <w:pPr>
              <w:jc w:val="right"/>
              <w:ind w:right="86"/>
              <w:spacing w:after="0" w:line="259" w:lineRule="exact"/>
              <w:rPr>
                <w:sz w:val="20"/>
                <w:szCs w:val="20"/>
                <w:color w:val="auto"/>
              </w:rPr>
            </w:pPr>
            <w:r>
              <w:rPr>
                <w:rFonts w:ascii="Arial" w:cs="Arial" w:eastAsia="Arial" w:hAnsi="Arial"/>
                <w:sz w:val="20"/>
                <w:szCs w:val="20"/>
                <w:color w:val="auto"/>
              </w:rPr>
              <w:t>5,547</w:t>
            </w:r>
            <w:r>
              <w:rPr>
                <w:rFonts w:ascii="Arial" w:cs="Arial" w:eastAsia="Arial" w:hAnsi="Arial"/>
                <w:sz w:val="25"/>
                <w:szCs w:val="25"/>
                <w:color w:val="auto"/>
                <w:vertAlign w:val="superscript"/>
              </w:rPr>
              <w:t>(5)</w:t>
            </w:r>
          </w:p>
        </w:tc>
        <w:tc>
          <w:tcPr>
            <w:tcW w:w="1020" w:type="dxa"/>
            <w:vAlign w:val="bottom"/>
            <w:tcBorders>
              <w:bottom w:val="single" w:sz="8" w:color="0E3C23"/>
            </w:tcBorders>
          </w:tcPr>
          <w:p>
            <w:pPr>
              <w:jc w:val="right"/>
              <w:ind w:right="23"/>
              <w:spacing w:after="0"/>
              <w:rPr>
                <w:sz w:val="20"/>
                <w:szCs w:val="20"/>
                <w:color w:val="auto"/>
              </w:rPr>
            </w:pPr>
            <w:r>
              <w:rPr>
                <w:rFonts w:ascii="Arial" w:cs="Arial" w:eastAsia="Arial" w:hAnsi="Arial"/>
                <w:sz w:val="20"/>
                <w:szCs w:val="20"/>
                <w:color w:val="auto"/>
              </w:rPr>
              <w:t>145.67</w:t>
            </w:r>
          </w:p>
        </w:tc>
        <w:tc>
          <w:tcPr>
            <w:tcW w:w="1140" w:type="dxa"/>
            <w:vAlign w:val="bottom"/>
            <w:tcBorders>
              <w:bottom w:val="single" w:sz="8" w:color="0E3C23"/>
            </w:tcBorders>
            <w:gridSpan w:val="2"/>
          </w:tcPr>
          <w:p>
            <w:pPr>
              <w:jc w:val="right"/>
              <w:ind w:right="120"/>
              <w:spacing w:after="0"/>
              <w:rPr>
                <w:sz w:val="20"/>
                <w:szCs w:val="20"/>
                <w:color w:val="auto"/>
              </w:rPr>
            </w:pPr>
            <w:r>
              <w:rPr>
                <w:rFonts w:ascii="Arial" w:cs="Arial" w:eastAsia="Arial" w:hAnsi="Arial"/>
                <w:sz w:val="20"/>
                <w:szCs w:val="20"/>
                <w:color w:val="auto"/>
              </w:rPr>
              <w:t>3/1/2032</w:t>
            </w:r>
          </w:p>
        </w:tc>
        <w:tc>
          <w:tcPr>
            <w:tcW w:w="120" w:type="dxa"/>
            <w:vAlign w:val="bottom"/>
            <w:tcBorders>
              <w:bottom w:val="single" w:sz="8" w:color="0E3C23"/>
            </w:tcBorders>
          </w:tcPr>
          <w:p>
            <w:pPr>
              <w:spacing w:after="0"/>
              <w:rPr>
                <w:sz w:val="22"/>
                <w:szCs w:val="22"/>
                <w:color w:val="auto"/>
              </w:rPr>
            </w:pPr>
          </w:p>
        </w:tc>
        <w:tc>
          <w:tcPr>
            <w:tcW w:w="900" w:type="dxa"/>
            <w:vAlign w:val="bottom"/>
            <w:tcBorders>
              <w:bottom w:val="single" w:sz="8" w:color="0E3C23"/>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E3C23"/>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E3C23"/>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E3C23"/>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1000" w:type="dxa"/>
            <w:vAlign w:val="bottom"/>
          </w:tcPr>
          <w:p>
            <w:pPr>
              <w:jc w:val="right"/>
              <w:ind w:right="185"/>
              <w:spacing w:after="0"/>
              <w:rPr>
                <w:sz w:val="20"/>
                <w:szCs w:val="20"/>
                <w:color w:val="auto"/>
              </w:rPr>
            </w:pPr>
            <w:r>
              <w:rPr>
                <w:rFonts w:ascii="Arial" w:cs="Arial" w:eastAsia="Arial" w:hAnsi="Arial"/>
                <w:sz w:val="20"/>
                <w:szCs w:val="20"/>
                <w:color w:val="auto"/>
              </w:rPr>
              <w:t>24,348</w:t>
            </w:r>
          </w:p>
        </w:tc>
        <w:tc>
          <w:tcPr>
            <w:tcW w:w="1260" w:type="dxa"/>
            <w:vAlign w:val="bottom"/>
          </w:tcPr>
          <w:p>
            <w:pPr>
              <w:jc w:val="right"/>
              <w:ind w:right="246"/>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3"/>
              <w:spacing w:after="0"/>
              <w:rPr>
                <w:sz w:val="20"/>
                <w:szCs w:val="20"/>
                <w:color w:val="auto"/>
              </w:rPr>
            </w:pPr>
            <w:r>
              <w:rPr>
                <w:rFonts w:ascii="Arial" w:cs="Arial" w:eastAsia="Arial" w:hAnsi="Arial"/>
                <w:sz w:val="20"/>
                <w:szCs w:val="20"/>
                <w:color w:val="auto"/>
              </w:rPr>
              <w:t>110.81</w:t>
            </w: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2/23/2031</w:t>
            </w:r>
          </w:p>
        </w:tc>
        <w:tc>
          <w:tcPr>
            <w:tcW w:w="120" w:type="dxa"/>
            <w:vAlign w:val="bottom"/>
          </w:tcPr>
          <w:p>
            <w:pPr>
              <w:spacing w:after="0"/>
              <w:rPr>
                <w:sz w:val="20"/>
                <w:szCs w:val="20"/>
                <w:color w:val="auto"/>
              </w:rPr>
            </w:pPr>
          </w:p>
        </w:tc>
        <w:tc>
          <w:tcPr>
            <w:tcW w:w="900" w:type="dxa"/>
            <w:vAlign w:val="bottom"/>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1440" w:type="dxa"/>
            <w:vAlign w:val="bottom"/>
            <w:tcBorders>
              <w:bottom w:val="single" w:sz="8" w:color="0E3C23"/>
            </w:tcBorders>
          </w:tcPr>
          <w:p>
            <w:pPr>
              <w:spacing w:after="0" w:line="20" w:lineRule="exact"/>
              <w:rPr>
                <w:sz w:val="1"/>
                <w:szCs w:val="1"/>
                <w:color w:val="auto"/>
              </w:rPr>
            </w:pPr>
          </w:p>
        </w:tc>
        <w:tc>
          <w:tcPr>
            <w:tcW w:w="1000" w:type="dxa"/>
            <w:vAlign w:val="bottom"/>
            <w:tcBorders>
              <w:bottom w:val="single" w:sz="8" w:color="0E3C23"/>
            </w:tcBorders>
          </w:tcPr>
          <w:p>
            <w:pPr>
              <w:spacing w:after="0" w:line="20" w:lineRule="exact"/>
              <w:rPr>
                <w:sz w:val="1"/>
                <w:szCs w:val="1"/>
                <w:color w:val="auto"/>
              </w:rPr>
            </w:pPr>
          </w:p>
        </w:tc>
        <w:tc>
          <w:tcPr>
            <w:tcW w:w="1260" w:type="dxa"/>
            <w:vAlign w:val="bottom"/>
            <w:tcBorders>
              <w:bottom w:val="single" w:sz="8" w:color="0E3C23"/>
            </w:tcBorders>
          </w:tcPr>
          <w:p>
            <w:pPr>
              <w:spacing w:after="0" w:line="20" w:lineRule="exact"/>
              <w:rPr>
                <w:sz w:val="1"/>
                <w:szCs w:val="1"/>
                <w:color w:val="auto"/>
              </w:rPr>
            </w:pPr>
          </w:p>
        </w:tc>
        <w:tc>
          <w:tcPr>
            <w:tcW w:w="1020" w:type="dxa"/>
            <w:vAlign w:val="bottom"/>
            <w:tcBorders>
              <w:bottom w:val="single" w:sz="8" w:color="0E3C23"/>
            </w:tcBorders>
          </w:tcPr>
          <w:p>
            <w:pPr>
              <w:spacing w:after="0" w:line="20" w:lineRule="exact"/>
              <w:rPr>
                <w:sz w:val="1"/>
                <w:szCs w:val="1"/>
                <w:color w:val="auto"/>
              </w:rPr>
            </w:pPr>
          </w:p>
        </w:tc>
        <w:tc>
          <w:tcPr>
            <w:tcW w:w="1140" w:type="dxa"/>
            <w:vAlign w:val="bottom"/>
            <w:tcBorders>
              <w:bottom w:val="single" w:sz="8" w:color="0E3C23"/>
            </w:tcBorders>
            <w:gridSpan w:val="2"/>
          </w:tcPr>
          <w:p>
            <w:pPr>
              <w:spacing w:after="0" w:line="20" w:lineRule="exact"/>
              <w:rPr>
                <w:sz w:val="1"/>
                <w:szCs w:val="1"/>
                <w:color w:val="auto"/>
              </w:rPr>
            </w:pPr>
          </w:p>
        </w:tc>
        <w:tc>
          <w:tcPr>
            <w:tcW w:w="120" w:type="dxa"/>
            <w:vAlign w:val="bottom"/>
            <w:tcBorders>
              <w:bottom w:val="single" w:sz="8" w:color="0E3C23"/>
            </w:tcBorders>
          </w:tcPr>
          <w:p>
            <w:pPr>
              <w:spacing w:after="0" w:line="20" w:lineRule="exact"/>
              <w:rPr>
                <w:sz w:val="1"/>
                <w:szCs w:val="1"/>
                <w:color w:val="auto"/>
              </w:rPr>
            </w:pPr>
          </w:p>
        </w:tc>
        <w:tc>
          <w:tcPr>
            <w:tcW w:w="900" w:type="dxa"/>
            <w:vAlign w:val="bottom"/>
            <w:tcBorders>
              <w:bottom w:val="single" w:sz="8" w:color="0E3C23"/>
            </w:tcBorders>
          </w:tcPr>
          <w:p>
            <w:pPr>
              <w:spacing w:after="0" w:line="20" w:lineRule="exact"/>
              <w:rPr>
                <w:sz w:val="1"/>
                <w:szCs w:val="1"/>
                <w:color w:val="auto"/>
              </w:rPr>
            </w:pPr>
          </w:p>
        </w:tc>
        <w:tc>
          <w:tcPr>
            <w:tcW w:w="1060" w:type="dxa"/>
            <w:vAlign w:val="bottom"/>
            <w:tcBorders>
              <w:bottom w:val="single" w:sz="8" w:color="0E3C23"/>
            </w:tcBorders>
          </w:tcPr>
          <w:p>
            <w:pPr>
              <w:spacing w:after="0" w:line="20" w:lineRule="exact"/>
              <w:rPr>
                <w:sz w:val="1"/>
                <w:szCs w:val="1"/>
                <w:color w:val="auto"/>
              </w:rPr>
            </w:pPr>
          </w:p>
        </w:tc>
        <w:tc>
          <w:tcPr>
            <w:tcW w:w="1000" w:type="dxa"/>
            <w:vAlign w:val="bottom"/>
            <w:tcBorders>
              <w:bottom w:val="single" w:sz="8" w:color="0E3C23"/>
            </w:tcBorders>
          </w:tcPr>
          <w:p>
            <w:pPr>
              <w:spacing w:after="0" w:line="20" w:lineRule="exact"/>
              <w:rPr>
                <w:sz w:val="1"/>
                <w:szCs w:val="1"/>
                <w:color w:val="auto"/>
              </w:rPr>
            </w:pPr>
          </w:p>
        </w:tc>
        <w:tc>
          <w:tcPr>
            <w:tcW w:w="1120" w:type="dxa"/>
            <w:vAlign w:val="bottom"/>
            <w:tcBorders>
              <w:bottom w:val="single" w:sz="8" w:color="0E3C23"/>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1000" w:type="dxa"/>
            <w:vAlign w:val="bottom"/>
          </w:tcPr>
          <w:p>
            <w:pPr>
              <w:jc w:val="right"/>
              <w:ind w:right="185"/>
              <w:spacing w:after="0"/>
              <w:rPr>
                <w:sz w:val="20"/>
                <w:szCs w:val="20"/>
                <w:color w:val="auto"/>
              </w:rPr>
            </w:pPr>
            <w:r>
              <w:rPr>
                <w:rFonts w:ascii="Arial" w:cs="Arial" w:eastAsia="Arial" w:hAnsi="Arial"/>
                <w:sz w:val="20"/>
                <w:szCs w:val="20"/>
                <w:color w:val="auto"/>
              </w:rPr>
              <w:t>25,284</w:t>
            </w:r>
          </w:p>
        </w:tc>
        <w:tc>
          <w:tcPr>
            <w:tcW w:w="1260" w:type="dxa"/>
            <w:vAlign w:val="bottom"/>
          </w:tcPr>
          <w:p>
            <w:pPr>
              <w:jc w:val="right"/>
              <w:ind w:right="246"/>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3"/>
              <w:spacing w:after="0"/>
              <w:rPr>
                <w:sz w:val="20"/>
                <w:szCs w:val="20"/>
                <w:color w:val="auto"/>
              </w:rPr>
            </w:pPr>
            <w:r>
              <w:rPr>
                <w:rFonts w:ascii="Arial" w:cs="Arial" w:eastAsia="Arial" w:hAnsi="Arial"/>
                <w:sz w:val="20"/>
                <w:szCs w:val="20"/>
                <w:color w:val="auto"/>
              </w:rPr>
              <w:t>126.005</w:t>
            </w: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2/19/2030</w:t>
            </w:r>
          </w:p>
        </w:tc>
        <w:tc>
          <w:tcPr>
            <w:tcW w:w="120" w:type="dxa"/>
            <w:vAlign w:val="bottom"/>
          </w:tcPr>
          <w:p>
            <w:pPr>
              <w:spacing w:after="0"/>
              <w:rPr>
                <w:sz w:val="20"/>
                <w:szCs w:val="20"/>
                <w:color w:val="auto"/>
              </w:rPr>
            </w:pPr>
          </w:p>
        </w:tc>
        <w:tc>
          <w:tcPr>
            <w:tcW w:w="900" w:type="dxa"/>
            <w:vAlign w:val="bottom"/>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2440" w:type="dxa"/>
            <w:vAlign w:val="bottom"/>
            <w:tcBorders>
              <w:bottom w:val="single" w:sz="8" w:color="0E3C23"/>
            </w:tcBorders>
            <w:gridSpan w:val="2"/>
          </w:tcPr>
          <w:p>
            <w:pPr>
              <w:spacing w:after="0" w:line="20" w:lineRule="exact"/>
              <w:rPr>
                <w:sz w:val="1"/>
                <w:szCs w:val="1"/>
                <w:color w:val="auto"/>
              </w:rPr>
            </w:pPr>
          </w:p>
        </w:tc>
        <w:tc>
          <w:tcPr>
            <w:tcW w:w="1260" w:type="dxa"/>
            <w:vAlign w:val="bottom"/>
            <w:tcBorders>
              <w:bottom w:val="single" w:sz="8" w:color="0E3C23"/>
            </w:tcBorders>
          </w:tcPr>
          <w:p>
            <w:pPr>
              <w:spacing w:after="0" w:line="20" w:lineRule="exact"/>
              <w:rPr>
                <w:sz w:val="1"/>
                <w:szCs w:val="1"/>
                <w:color w:val="auto"/>
              </w:rPr>
            </w:pPr>
          </w:p>
        </w:tc>
        <w:tc>
          <w:tcPr>
            <w:tcW w:w="1020" w:type="dxa"/>
            <w:vAlign w:val="bottom"/>
            <w:tcBorders>
              <w:bottom w:val="single" w:sz="8" w:color="0E3C23"/>
            </w:tcBorders>
          </w:tcPr>
          <w:p>
            <w:pPr>
              <w:spacing w:after="0" w:line="20" w:lineRule="exact"/>
              <w:rPr>
                <w:sz w:val="1"/>
                <w:szCs w:val="1"/>
                <w:color w:val="auto"/>
              </w:rPr>
            </w:pPr>
          </w:p>
        </w:tc>
        <w:tc>
          <w:tcPr>
            <w:tcW w:w="1020" w:type="dxa"/>
            <w:vAlign w:val="bottom"/>
            <w:tcBorders>
              <w:bottom w:val="single" w:sz="8" w:color="0E3C23"/>
            </w:tcBorders>
          </w:tcPr>
          <w:p>
            <w:pPr>
              <w:spacing w:after="0" w:line="20" w:lineRule="exact"/>
              <w:rPr>
                <w:sz w:val="1"/>
                <w:szCs w:val="1"/>
                <w:color w:val="auto"/>
              </w:rPr>
            </w:pPr>
          </w:p>
        </w:tc>
        <w:tc>
          <w:tcPr>
            <w:tcW w:w="120" w:type="dxa"/>
            <w:vAlign w:val="bottom"/>
            <w:tcBorders>
              <w:bottom w:val="single" w:sz="8" w:color="0E3C23"/>
            </w:tcBorders>
          </w:tcPr>
          <w:p>
            <w:pPr>
              <w:spacing w:after="0" w:line="20" w:lineRule="exact"/>
              <w:rPr>
                <w:sz w:val="1"/>
                <w:szCs w:val="1"/>
                <w:color w:val="auto"/>
              </w:rPr>
            </w:pPr>
          </w:p>
        </w:tc>
        <w:tc>
          <w:tcPr>
            <w:tcW w:w="120" w:type="dxa"/>
            <w:vAlign w:val="bottom"/>
            <w:tcBorders>
              <w:bottom w:val="single" w:sz="8" w:color="0E3C23"/>
            </w:tcBorders>
          </w:tcPr>
          <w:p>
            <w:pPr>
              <w:spacing w:after="0" w:line="20" w:lineRule="exact"/>
              <w:rPr>
                <w:sz w:val="1"/>
                <w:szCs w:val="1"/>
                <w:color w:val="auto"/>
              </w:rPr>
            </w:pPr>
          </w:p>
        </w:tc>
        <w:tc>
          <w:tcPr>
            <w:tcW w:w="900" w:type="dxa"/>
            <w:vAlign w:val="bottom"/>
            <w:tcBorders>
              <w:bottom w:val="single" w:sz="8" w:color="0E3C23"/>
            </w:tcBorders>
          </w:tcPr>
          <w:p>
            <w:pPr>
              <w:spacing w:after="0" w:line="20" w:lineRule="exact"/>
              <w:rPr>
                <w:sz w:val="1"/>
                <w:szCs w:val="1"/>
                <w:color w:val="auto"/>
              </w:rPr>
            </w:pPr>
          </w:p>
        </w:tc>
        <w:tc>
          <w:tcPr>
            <w:tcW w:w="1060" w:type="dxa"/>
            <w:vAlign w:val="bottom"/>
            <w:tcBorders>
              <w:bottom w:val="single" w:sz="8" w:color="0E3C23"/>
            </w:tcBorders>
          </w:tcPr>
          <w:p>
            <w:pPr>
              <w:spacing w:after="0" w:line="20" w:lineRule="exact"/>
              <w:rPr>
                <w:sz w:val="1"/>
                <w:szCs w:val="1"/>
                <w:color w:val="auto"/>
              </w:rPr>
            </w:pPr>
          </w:p>
        </w:tc>
        <w:tc>
          <w:tcPr>
            <w:tcW w:w="1000" w:type="dxa"/>
            <w:vAlign w:val="bottom"/>
            <w:tcBorders>
              <w:bottom w:val="single" w:sz="8" w:color="0E3C23"/>
            </w:tcBorders>
          </w:tcPr>
          <w:p>
            <w:pPr>
              <w:spacing w:after="0" w:line="20" w:lineRule="exact"/>
              <w:rPr>
                <w:sz w:val="1"/>
                <w:szCs w:val="1"/>
                <w:color w:val="auto"/>
              </w:rPr>
            </w:pPr>
          </w:p>
        </w:tc>
        <w:tc>
          <w:tcPr>
            <w:tcW w:w="1060" w:type="dxa"/>
            <w:vAlign w:val="bottom"/>
            <w:tcBorders>
              <w:bottom w:val="single" w:sz="8" w:color="0E3C23"/>
            </w:tcBorders>
          </w:tcPr>
          <w:p>
            <w:pPr>
              <w:spacing w:after="0" w:line="20" w:lineRule="exact"/>
              <w:rPr>
                <w:sz w:val="1"/>
                <w:szCs w:val="1"/>
                <w:color w:val="auto"/>
              </w:rPr>
            </w:pPr>
          </w:p>
        </w:tc>
        <w:tc>
          <w:tcPr>
            <w:tcW w:w="60" w:type="dxa"/>
            <w:vAlign w:val="bottom"/>
            <w:tcBorders>
              <w:bottom w:val="single" w:sz="8" w:color="0E3C2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440" w:type="dxa"/>
            <w:vAlign w:val="bottom"/>
            <w:tcBorders>
              <w:bottom w:val="single" w:sz="8" w:color="0E3C23"/>
            </w:tcBorders>
            <w:gridSpan w:val="2"/>
          </w:tcPr>
          <w:p>
            <w:pPr>
              <w:ind w:left="60"/>
              <w:spacing w:after="0"/>
              <w:rPr>
                <w:sz w:val="20"/>
                <w:szCs w:val="20"/>
                <w:color w:val="auto"/>
              </w:rPr>
            </w:pPr>
            <w:r>
              <w:rPr>
                <w:rFonts w:ascii="Arial" w:cs="Arial" w:eastAsia="Arial" w:hAnsi="Arial"/>
                <w:sz w:val="20"/>
                <w:szCs w:val="20"/>
                <w:b w:val="1"/>
                <w:bCs w:val="1"/>
                <w:color w:val="auto"/>
              </w:rPr>
              <w:t>John J. Morris, Jr.</w:t>
            </w:r>
          </w:p>
        </w:tc>
        <w:tc>
          <w:tcPr>
            <w:tcW w:w="1260" w:type="dxa"/>
            <w:vAlign w:val="bottom"/>
            <w:tcBorders>
              <w:bottom w:val="single" w:sz="8" w:color="0E3C23"/>
            </w:tcBorders>
          </w:tcPr>
          <w:p>
            <w:pPr>
              <w:spacing w:after="0"/>
              <w:rPr>
                <w:sz w:val="21"/>
                <w:szCs w:val="21"/>
                <w:color w:val="auto"/>
              </w:rPr>
            </w:pPr>
          </w:p>
        </w:tc>
        <w:tc>
          <w:tcPr>
            <w:tcW w:w="1020" w:type="dxa"/>
            <w:vAlign w:val="bottom"/>
            <w:tcBorders>
              <w:bottom w:val="single" w:sz="8" w:color="0E3C23"/>
            </w:tcBorders>
          </w:tcPr>
          <w:p>
            <w:pPr>
              <w:spacing w:after="0"/>
              <w:rPr>
                <w:sz w:val="21"/>
                <w:szCs w:val="21"/>
                <w:color w:val="auto"/>
              </w:rPr>
            </w:pPr>
          </w:p>
        </w:tc>
        <w:tc>
          <w:tcPr>
            <w:tcW w:w="1020" w:type="dxa"/>
            <w:vAlign w:val="bottom"/>
            <w:tcBorders>
              <w:bottom w:val="single" w:sz="8" w:color="0E3C23"/>
            </w:tcBorders>
          </w:tcPr>
          <w:p>
            <w:pPr>
              <w:spacing w:after="0"/>
              <w:rPr>
                <w:sz w:val="21"/>
                <w:szCs w:val="21"/>
                <w:color w:val="auto"/>
              </w:rPr>
            </w:pPr>
          </w:p>
        </w:tc>
        <w:tc>
          <w:tcPr>
            <w:tcW w:w="120" w:type="dxa"/>
            <w:vAlign w:val="bottom"/>
            <w:tcBorders>
              <w:bottom w:val="single" w:sz="8" w:color="0E3C23"/>
            </w:tcBorders>
          </w:tcPr>
          <w:p>
            <w:pPr>
              <w:spacing w:after="0"/>
              <w:rPr>
                <w:sz w:val="21"/>
                <w:szCs w:val="21"/>
                <w:color w:val="auto"/>
              </w:rPr>
            </w:pPr>
          </w:p>
        </w:tc>
        <w:tc>
          <w:tcPr>
            <w:tcW w:w="120" w:type="dxa"/>
            <w:vAlign w:val="bottom"/>
            <w:tcBorders>
              <w:bottom w:val="single" w:sz="8" w:color="0E3C23"/>
            </w:tcBorders>
          </w:tcPr>
          <w:p>
            <w:pPr>
              <w:spacing w:after="0"/>
              <w:rPr>
                <w:sz w:val="21"/>
                <w:szCs w:val="21"/>
                <w:color w:val="auto"/>
              </w:rPr>
            </w:pPr>
          </w:p>
        </w:tc>
        <w:tc>
          <w:tcPr>
            <w:tcW w:w="900" w:type="dxa"/>
            <w:vAlign w:val="bottom"/>
            <w:tcBorders>
              <w:bottom w:val="single" w:sz="8" w:color="0E3C23"/>
            </w:tcBorders>
          </w:tcPr>
          <w:p>
            <w:pPr>
              <w:spacing w:after="0"/>
              <w:rPr>
                <w:sz w:val="21"/>
                <w:szCs w:val="21"/>
                <w:color w:val="auto"/>
              </w:rPr>
            </w:pPr>
          </w:p>
        </w:tc>
        <w:tc>
          <w:tcPr>
            <w:tcW w:w="1060" w:type="dxa"/>
            <w:vAlign w:val="bottom"/>
            <w:tcBorders>
              <w:bottom w:val="single" w:sz="8" w:color="0E3C23"/>
            </w:tcBorders>
          </w:tcPr>
          <w:p>
            <w:pPr>
              <w:spacing w:after="0"/>
              <w:rPr>
                <w:sz w:val="21"/>
                <w:szCs w:val="21"/>
                <w:color w:val="auto"/>
              </w:rPr>
            </w:pPr>
          </w:p>
        </w:tc>
        <w:tc>
          <w:tcPr>
            <w:tcW w:w="1000" w:type="dxa"/>
            <w:vAlign w:val="bottom"/>
            <w:tcBorders>
              <w:bottom w:val="single" w:sz="8" w:color="0E3C23"/>
            </w:tcBorders>
          </w:tcPr>
          <w:p>
            <w:pPr>
              <w:spacing w:after="0"/>
              <w:rPr>
                <w:sz w:val="21"/>
                <w:szCs w:val="21"/>
                <w:color w:val="auto"/>
              </w:rPr>
            </w:pPr>
          </w:p>
        </w:tc>
        <w:tc>
          <w:tcPr>
            <w:tcW w:w="1060" w:type="dxa"/>
            <w:vAlign w:val="bottom"/>
            <w:tcBorders>
              <w:bottom w:val="single" w:sz="8" w:color="0E3C23"/>
            </w:tcBorders>
          </w:tcPr>
          <w:p>
            <w:pPr>
              <w:spacing w:after="0"/>
              <w:rPr>
                <w:sz w:val="21"/>
                <w:szCs w:val="21"/>
                <w:color w:val="auto"/>
              </w:rPr>
            </w:pPr>
          </w:p>
        </w:tc>
        <w:tc>
          <w:tcPr>
            <w:tcW w:w="60" w:type="dxa"/>
            <w:vAlign w:val="bottom"/>
            <w:tcBorders>
              <w:bottom w:val="single" w:sz="8" w:color="0E3C23"/>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440" w:type="dxa"/>
            <w:vAlign w:val="bottom"/>
            <w:tcBorders>
              <w:bottom w:val="single" w:sz="8" w:color="0E3C23"/>
            </w:tcBorders>
          </w:tcPr>
          <w:p>
            <w:pPr>
              <w:spacing w:after="0"/>
              <w:rPr>
                <w:sz w:val="23"/>
                <w:szCs w:val="23"/>
                <w:color w:val="auto"/>
              </w:rPr>
            </w:pPr>
          </w:p>
        </w:tc>
        <w:tc>
          <w:tcPr>
            <w:tcW w:w="1000" w:type="dxa"/>
            <w:vAlign w:val="bottom"/>
            <w:tcBorders>
              <w:bottom w:val="single" w:sz="8" w:color="0E3C23"/>
            </w:tcBorders>
          </w:tcPr>
          <w:p>
            <w:pPr>
              <w:jc w:val="right"/>
              <w:ind w:right="185"/>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0E3C23"/>
            </w:tcBorders>
          </w:tcPr>
          <w:p>
            <w:pPr>
              <w:jc w:val="right"/>
              <w:ind w:right="86"/>
              <w:spacing w:after="0" w:line="269" w:lineRule="exact"/>
              <w:rPr>
                <w:sz w:val="20"/>
                <w:szCs w:val="20"/>
                <w:color w:val="auto"/>
              </w:rPr>
            </w:pPr>
            <w:r>
              <w:rPr>
                <w:rFonts w:ascii="Arial" w:cs="Arial" w:eastAsia="Arial" w:hAnsi="Arial"/>
                <w:sz w:val="20"/>
                <w:szCs w:val="20"/>
                <w:color w:val="auto"/>
              </w:rPr>
              <w:t>13,721</w:t>
            </w:r>
            <w:r>
              <w:rPr>
                <w:rFonts w:ascii="Arial" w:cs="Arial" w:eastAsia="Arial" w:hAnsi="Arial"/>
                <w:sz w:val="25"/>
                <w:szCs w:val="25"/>
                <w:color w:val="auto"/>
                <w:vertAlign w:val="superscript"/>
              </w:rPr>
              <w:t>(3)</w:t>
            </w:r>
          </w:p>
        </w:tc>
        <w:tc>
          <w:tcPr>
            <w:tcW w:w="1020" w:type="dxa"/>
            <w:vAlign w:val="bottom"/>
            <w:tcBorders>
              <w:bottom w:val="single" w:sz="8" w:color="0E3C23"/>
            </w:tcBorders>
          </w:tcPr>
          <w:p>
            <w:pPr>
              <w:jc w:val="right"/>
              <w:ind w:right="23"/>
              <w:spacing w:after="0"/>
              <w:rPr>
                <w:sz w:val="20"/>
                <w:szCs w:val="20"/>
                <w:color w:val="auto"/>
              </w:rPr>
            </w:pPr>
            <w:r>
              <w:rPr>
                <w:rFonts w:ascii="Arial" w:cs="Arial" w:eastAsia="Arial" w:hAnsi="Arial"/>
                <w:sz w:val="20"/>
                <w:szCs w:val="20"/>
                <w:color w:val="auto"/>
              </w:rPr>
              <w:t>204.7585</w:t>
            </w:r>
          </w:p>
        </w:tc>
        <w:tc>
          <w:tcPr>
            <w:tcW w:w="1140" w:type="dxa"/>
            <w:vAlign w:val="bottom"/>
            <w:tcBorders>
              <w:bottom w:val="single" w:sz="8" w:color="0E3C23"/>
            </w:tcBorders>
            <w:gridSpan w:val="2"/>
          </w:tcPr>
          <w:p>
            <w:pPr>
              <w:jc w:val="right"/>
              <w:ind w:right="120"/>
              <w:spacing w:after="0"/>
              <w:rPr>
                <w:sz w:val="20"/>
                <w:szCs w:val="20"/>
                <w:color w:val="auto"/>
              </w:rPr>
            </w:pPr>
            <w:r>
              <w:rPr>
                <w:rFonts w:ascii="Arial" w:cs="Arial" w:eastAsia="Arial" w:hAnsi="Arial"/>
                <w:sz w:val="20"/>
                <w:szCs w:val="20"/>
                <w:color w:val="auto"/>
              </w:rPr>
              <w:t>3/1/2034</w:t>
            </w:r>
          </w:p>
        </w:tc>
        <w:tc>
          <w:tcPr>
            <w:tcW w:w="1020" w:type="dxa"/>
            <w:vAlign w:val="bottom"/>
            <w:tcBorders>
              <w:bottom w:val="single" w:sz="8" w:color="0E3C23"/>
            </w:tcBorders>
            <w:gridSpan w:val="2"/>
          </w:tcPr>
          <w:p>
            <w:pPr>
              <w:jc w:val="right"/>
              <w:ind w:right="125"/>
              <w:spacing w:after="0"/>
              <w:rPr>
                <w:sz w:val="20"/>
                <w:szCs w:val="20"/>
                <w:color w:val="auto"/>
              </w:rPr>
            </w:pPr>
            <w:r>
              <w:rPr>
                <w:rFonts w:ascii="Arial" w:cs="Arial" w:eastAsia="Arial" w:hAnsi="Arial"/>
                <w:sz w:val="20"/>
                <w:szCs w:val="20"/>
                <w:color w:val="auto"/>
              </w:rPr>
              <w:t>10,204</w:t>
            </w:r>
          </w:p>
        </w:tc>
        <w:tc>
          <w:tcPr>
            <w:tcW w:w="1060" w:type="dxa"/>
            <w:vAlign w:val="bottom"/>
            <w:tcBorders>
              <w:bottom w:val="single" w:sz="8" w:color="0E3C23"/>
            </w:tcBorders>
          </w:tcPr>
          <w:p>
            <w:pPr>
              <w:jc w:val="right"/>
              <w:ind w:right="27"/>
              <w:spacing w:after="0"/>
              <w:rPr>
                <w:sz w:val="20"/>
                <w:szCs w:val="20"/>
                <w:color w:val="auto"/>
              </w:rPr>
            </w:pPr>
            <w:r>
              <w:rPr>
                <w:rFonts w:ascii="Arial" w:cs="Arial" w:eastAsia="Arial" w:hAnsi="Arial"/>
                <w:sz w:val="20"/>
                <w:szCs w:val="20"/>
                <w:color w:val="auto"/>
              </w:rPr>
              <w:t>2,059,065</w:t>
            </w:r>
          </w:p>
        </w:tc>
        <w:tc>
          <w:tcPr>
            <w:tcW w:w="1000" w:type="dxa"/>
            <w:vAlign w:val="bottom"/>
            <w:tcBorders>
              <w:bottom w:val="single" w:sz="8" w:color="0E3C23"/>
            </w:tcBorders>
          </w:tcPr>
          <w:p>
            <w:pPr>
              <w:jc w:val="right"/>
              <w:ind w:right="128"/>
              <w:spacing w:after="0"/>
              <w:rPr>
                <w:sz w:val="20"/>
                <w:szCs w:val="20"/>
                <w:color w:val="auto"/>
              </w:rPr>
            </w:pPr>
            <w:r>
              <w:rPr>
                <w:rFonts w:ascii="Arial" w:cs="Arial" w:eastAsia="Arial" w:hAnsi="Arial"/>
                <w:sz w:val="20"/>
                <w:szCs w:val="20"/>
                <w:color w:val="auto"/>
              </w:rPr>
              <w:t>26,374</w:t>
            </w:r>
          </w:p>
        </w:tc>
        <w:tc>
          <w:tcPr>
            <w:tcW w:w="1120" w:type="dxa"/>
            <w:vAlign w:val="bottom"/>
            <w:tcBorders>
              <w:bottom w:val="single" w:sz="8" w:color="0E3C23"/>
            </w:tcBorders>
            <w:gridSpan w:val="2"/>
          </w:tcPr>
          <w:p>
            <w:pPr>
              <w:jc w:val="right"/>
              <w:ind w:right="60"/>
              <w:spacing w:after="0"/>
              <w:rPr>
                <w:sz w:val="20"/>
                <w:szCs w:val="20"/>
                <w:color w:val="auto"/>
              </w:rPr>
            </w:pPr>
            <w:r>
              <w:rPr>
                <w:rFonts w:ascii="Arial" w:cs="Arial" w:eastAsia="Arial" w:hAnsi="Arial"/>
                <w:sz w:val="20"/>
                <w:szCs w:val="20"/>
                <w:color w:val="auto"/>
              </w:rPr>
              <w:t>10,644,019</w:t>
            </w:r>
          </w:p>
        </w:tc>
        <w:tc>
          <w:tcPr>
            <w:tcW w:w="0" w:type="dxa"/>
            <w:vAlign w:val="bottom"/>
          </w:tcPr>
          <w:p>
            <w:pPr>
              <w:spacing w:after="0"/>
              <w:rPr>
                <w:sz w:val="1"/>
                <w:szCs w:val="1"/>
                <w:color w:val="auto"/>
              </w:rPr>
            </w:pPr>
          </w:p>
        </w:tc>
      </w:tr>
      <w:tr>
        <w:trPr>
          <w:trHeight w:val="259"/>
        </w:trPr>
        <w:tc>
          <w:tcPr>
            <w:tcW w:w="1440" w:type="dxa"/>
            <w:vAlign w:val="bottom"/>
            <w:tcBorders>
              <w:bottom w:val="single" w:sz="8" w:color="0E3C23"/>
            </w:tcBorders>
          </w:tcPr>
          <w:p>
            <w:pPr>
              <w:spacing w:after="0"/>
              <w:rPr>
                <w:sz w:val="22"/>
                <w:szCs w:val="22"/>
                <w:color w:val="auto"/>
              </w:rPr>
            </w:pPr>
          </w:p>
        </w:tc>
        <w:tc>
          <w:tcPr>
            <w:tcW w:w="1000" w:type="dxa"/>
            <w:vAlign w:val="bottom"/>
            <w:tcBorders>
              <w:bottom w:val="single" w:sz="8" w:color="0E3C23"/>
            </w:tcBorders>
          </w:tcPr>
          <w:p>
            <w:pPr>
              <w:jc w:val="right"/>
              <w:ind w:right="185"/>
              <w:spacing w:after="0"/>
              <w:rPr>
                <w:sz w:val="20"/>
                <w:szCs w:val="20"/>
                <w:color w:val="auto"/>
              </w:rPr>
            </w:pPr>
            <w:r>
              <w:rPr>
                <w:rFonts w:ascii="Arial" w:cs="Arial" w:eastAsia="Arial" w:hAnsi="Arial"/>
                <w:sz w:val="20"/>
                <w:szCs w:val="20"/>
                <w:color w:val="auto"/>
              </w:rPr>
              <w:t>5,485</w:t>
            </w:r>
          </w:p>
        </w:tc>
        <w:tc>
          <w:tcPr>
            <w:tcW w:w="1260" w:type="dxa"/>
            <w:vAlign w:val="bottom"/>
            <w:tcBorders>
              <w:bottom w:val="single" w:sz="8" w:color="0E3C23"/>
            </w:tcBorders>
          </w:tcPr>
          <w:p>
            <w:pPr>
              <w:jc w:val="right"/>
              <w:ind w:right="86"/>
              <w:spacing w:after="0" w:line="259" w:lineRule="exact"/>
              <w:rPr>
                <w:sz w:val="20"/>
                <w:szCs w:val="20"/>
                <w:color w:val="auto"/>
              </w:rPr>
            </w:pPr>
            <w:r>
              <w:rPr>
                <w:rFonts w:ascii="Arial" w:cs="Arial" w:eastAsia="Arial" w:hAnsi="Arial"/>
                <w:sz w:val="20"/>
                <w:szCs w:val="20"/>
                <w:color w:val="auto"/>
              </w:rPr>
              <w:t>10,968</w:t>
            </w:r>
            <w:r>
              <w:rPr>
                <w:rFonts w:ascii="Arial" w:cs="Arial" w:eastAsia="Arial" w:hAnsi="Arial"/>
                <w:sz w:val="25"/>
                <w:szCs w:val="25"/>
                <w:color w:val="auto"/>
                <w:vertAlign w:val="superscript"/>
              </w:rPr>
              <w:t>(4)</w:t>
            </w:r>
          </w:p>
        </w:tc>
        <w:tc>
          <w:tcPr>
            <w:tcW w:w="1020" w:type="dxa"/>
            <w:vAlign w:val="bottom"/>
            <w:tcBorders>
              <w:bottom w:val="single" w:sz="8" w:color="0E3C23"/>
            </w:tcBorders>
          </w:tcPr>
          <w:p>
            <w:pPr>
              <w:jc w:val="right"/>
              <w:ind w:right="23"/>
              <w:spacing w:after="0"/>
              <w:rPr>
                <w:sz w:val="20"/>
                <w:szCs w:val="20"/>
                <w:color w:val="auto"/>
              </w:rPr>
            </w:pPr>
            <w:r>
              <w:rPr>
                <w:rFonts w:ascii="Arial" w:cs="Arial" w:eastAsia="Arial" w:hAnsi="Arial"/>
                <w:sz w:val="20"/>
                <w:szCs w:val="20"/>
                <w:color w:val="auto"/>
              </w:rPr>
              <w:t>150.115</w:t>
            </w:r>
          </w:p>
        </w:tc>
        <w:tc>
          <w:tcPr>
            <w:tcW w:w="1140" w:type="dxa"/>
            <w:vAlign w:val="bottom"/>
            <w:tcBorders>
              <w:bottom w:val="single" w:sz="8" w:color="0E3C23"/>
            </w:tcBorders>
            <w:gridSpan w:val="2"/>
          </w:tcPr>
          <w:p>
            <w:pPr>
              <w:jc w:val="right"/>
              <w:ind w:right="120"/>
              <w:spacing w:after="0"/>
              <w:rPr>
                <w:sz w:val="20"/>
                <w:szCs w:val="20"/>
                <w:color w:val="auto"/>
              </w:rPr>
            </w:pPr>
            <w:r>
              <w:rPr>
                <w:rFonts w:ascii="Arial" w:cs="Arial" w:eastAsia="Arial" w:hAnsi="Arial"/>
                <w:sz w:val="20"/>
                <w:szCs w:val="20"/>
                <w:color w:val="auto"/>
              </w:rPr>
              <w:t>3/7/2033</w:t>
            </w:r>
          </w:p>
        </w:tc>
        <w:tc>
          <w:tcPr>
            <w:tcW w:w="120" w:type="dxa"/>
            <w:vAlign w:val="bottom"/>
            <w:tcBorders>
              <w:bottom w:val="single" w:sz="8" w:color="0E3C23"/>
            </w:tcBorders>
          </w:tcPr>
          <w:p>
            <w:pPr>
              <w:spacing w:after="0"/>
              <w:rPr>
                <w:sz w:val="22"/>
                <w:szCs w:val="22"/>
                <w:color w:val="auto"/>
              </w:rPr>
            </w:pPr>
          </w:p>
        </w:tc>
        <w:tc>
          <w:tcPr>
            <w:tcW w:w="900" w:type="dxa"/>
            <w:vAlign w:val="bottom"/>
            <w:tcBorders>
              <w:bottom w:val="single" w:sz="8" w:color="0E3C23"/>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E3C23"/>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E3C23"/>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E3C23"/>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1440" w:type="dxa"/>
            <w:vAlign w:val="bottom"/>
            <w:tcBorders>
              <w:bottom w:val="single" w:sz="8" w:color="0E3C23"/>
            </w:tcBorders>
          </w:tcPr>
          <w:p>
            <w:pPr>
              <w:spacing w:after="0"/>
              <w:rPr>
                <w:sz w:val="22"/>
                <w:szCs w:val="22"/>
                <w:color w:val="auto"/>
              </w:rPr>
            </w:pPr>
          </w:p>
        </w:tc>
        <w:tc>
          <w:tcPr>
            <w:tcW w:w="1000" w:type="dxa"/>
            <w:vAlign w:val="bottom"/>
            <w:tcBorders>
              <w:bottom w:val="single" w:sz="8" w:color="0E3C23"/>
            </w:tcBorders>
          </w:tcPr>
          <w:p>
            <w:pPr>
              <w:jc w:val="right"/>
              <w:ind w:right="185"/>
              <w:spacing w:after="0"/>
              <w:rPr>
                <w:sz w:val="20"/>
                <w:szCs w:val="20"/>
                <w:color w:val="auto"/>
              </w:rPr>
            </w:pPr>
            <w:r>
              <w:rPr>
                <w:rFonts w:ascii="Arial" w:cs="Arial" w:eastAsia="Arial" w:hAnsi="Arial"/>
                <w:sz w:val="20"/>
                <w:szCs w:val="20"/>
                <w:color w:val="auto"/>
              </w:rPr>
              <w:t>13,111</w:t>
            </w:r>
          </w:p>
        </w:tc>
        <w:tc>
          <w:tcPr>
            <w:tcW w:w="1260" w:type="dxa"/>
            <w:vAlign w:val="bottom"/>
            <w:tcBorders>
              <w:bottom w:val="single" w:sz="8" w:color="0E3C23"/>
            </w:tcBorders>
          </w:tcPr>
          <w:p>
            <w:pPr>
              <w:jc w:val="right"/>
              <w:ind w:right="86"/>
              <w:spacing w:after="0" w:line="259" w:lineRule="exact"/>
              <w:rPr>
                <w:sz w:val="20"/>
                <w:szCs w:val="20"/>
                <w:color w:val="auto"/>
              </w:rPr>
            </w:pPr>
            <w:r>
              <w:rPr>
                <w:rFonts w:ascii="Arial" w:cs="Arial" w:eastAsia="Arial" w:hAnsi="Arial"/>
                <w:sz w:val="20"/>
                <w:szCs w:val="20"/>
                <w:color w:val="auto"/>
              </w:rPr>
              <w:t>6,556</w:t>
            </w:r>
            <w:r>
              <w:rPr>
                <w:rFonts w:ascii="Arial" w:cs="Arial" w:eastAsia="Arial" w:hAnsi="Arial"/>
                <w:sz w:val="25"/>
                <w:szCs w:val="25"/>
                <w:color w:val="auto"/>
                <w:vertAlign w:val="superscript"/>
              </w:rPr>
              <w:t>(5)</w:t>
            </w:r>
          </w:p>
        </w:tc>
        <w:tc>
          <w:tcPr>
            <w:tcW w:w="1020" w:type="dxa"/>
            <w:vAlign w:val="bottom"/>
            <w:tcBorders>
              <w:bottom w:val="single" w:sz="8" w:color="0E3C23"/>
            </w:tcBorders>
          </w:tcPr>
          <w:p>
            <w:pPr>
              <w:jc w:val="right"/>
              <w:ind w:right="23"/>
              <w:spacing w:after="0"/>
              <w:rPr>
                <w:sz w:val="20"/>
                <w:szCs w:val="20"/>
                <w:color w:val="auto"/>
              </w:rPr>
            </w:pPr>
            <w:r>
              <w:rPr>
                <w:rFonts w:ascii="Arial" w:cs="Arial" w:eastAsia="Arial" w:hAnsi="Arial"/>
                <w:sz w:val="20"/>
                <w:szCs w:val="20"/>
                <w:color w:val="auto"/>
              </w:rPr>
              <w:t>145.67</w:t>
            </w:r>
          </w:p>
        </w:tc>
        <w:tc>
          <w:tcPr>
            <w:tcW w:w="1140" w:type="dxa"/>
            <w:vAlign w:val="bottom"/>
            <w:tcBorders>
              <w:bottom w:val="single" w:sz="8" w:color="0E3C23"/>
            </w:tcBorders>
            <w:gridSpan w:val="2"/>
          </w:tcPr>
          <w:p>
            <w:pPr>
              <w:jc w:val="right"/>
              <w:ind w:right="120"/>
              <w:spacing w:after="0"/>
              <w:rPr>
                <w:sz w:val="20"/>
                <w:szCs w:val="20"/>
                <w:color w:val="auto"/>
              </w:rPr>
            </w:pPr>
            <w:r>
              <w:rPr>
                <w:rFonts w:ascii="Arial" w:cs="Arial" w:eastAsia="Arial" w:hAnsi="Arial"/>
                <w:sz w:val="20"/>
                <w:szCs w:val="20"/>
                <w:color w:val="auto"/>
              </w:rPr>
              <w:t>3/1/2032</w:t>
            </w:r>
          </w:p>
        </w:tc>
        <w:tc>
          <w:tcPr>
            <w:tcW w:w="120" w:type="dxa"/>
            <w:vAlign w:val="bottom"/>
            <w:tcBorders>
              <w:bottom w:val="single" w:sz="8" w:color="0E3C23"/>
            </w:tcBorders>
          </w:tcPr>
          <w:p>
            <w:pPr>
              <w:spacing w:after="0"/>
              <w:rPr>
                <w:sz w:val="22"/>
                <w:szCs w:val="22"/>
                <w:color w:val="auto"/>
              </w:rPr>
            </w:pPr>
          </w:p>
        </w:tc>
        <w:tc>
          <w:tcPr>
            <w:tcW w:w="900" w:type="dxa"/>
            <w:vAlign w:val="bottom"/>
            <w:tcBorders>
              <w:bottom w:val="single" w:sz="8" w:color="0E3C23"/>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E3C23"/>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E3C23"/>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E3C23"/>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2440" w:type="dxa"/>
            <w:vAlign w:val="bottom"/>
            <w:tcBorders>
              <w:bottom w:val="single" w:sz="8" w:color="0E3C23"/>
            </w:tcBorders>
            <w:gridSpan w:val="2"/>
          </w:tcPr>
          <w:p>
            <w:pPr>
              <w:ind w:left="60"/>
              <w:spacing w:after="0"/>
              <w:rPr>
                <w:sz w:val="20"/>
                <w:szCs w:val="20"/>
                <w:color w:val="auto"/>
              </w:rPr>
            </w:pPr>
            <w:r>
              <w:rPr>
                <w:rFonts w:ascii="Arial" w:cs="Arial" w:eastAsia="Arial" w:hAnsi="Arial"/>
                <w:sz w:val="20"/>
                <w:szCs w:val="20"/>
                <w:b w:val="1"/>
                <w:bCs w:val="1"/>
                <w:color w:val="auto"/>
              </w:rPr>
              <w:t>Tara J. Hemmer</w:t>
            </w:r>
          </w:p>
        </w:tc>
        <w:tc>
          <w:tcPr>
            <w:tcW w:w="1260" w:type="dxa"/>
            <w:vAlign w:val="bottom"/>
            <w:tcBorders>
              <w:bottom w:val="single" w:sz="8" w:color="0E3C23"/>
            </w:tcBorders>
          </w:tcPr>
          <w:p>
            <w:pPr>
              <w:spacing w:after="0"/>
              <w:rPr>
                <w:sz w:val="21"/>
                <w:szCs w:val="21"/>
                <w:color w:val="auto"/>
              </w:rPr>
            </w:pPr>
          </w:p>
        </w:tc>
        <w:tc>
          <w:tcPr>
            <w:tcW w:w="1020" w:type="dxa"/>
            <w:vAlign w:val="bottom"/>
            <w:tcBorders>
              <w:bottom w:val="single" w:sz="8" w:color="0E3C23"/>
            </w:tcBorders>
          </w:tcPr>
          <w:p>
            <w:pPr>
              <w:spacing w:after="0"/>
              <w:rPr>
                <w:sz w:val="21"/>
                <w:szCs w:val="21"/>
                <w:color w:val="auto"/>
              </w:rPr>
            </w:pPr>
          </w:p>
        </w:tc>
        <w:tc>
          <w:tcPr>
            <w:tcW w:w="1020" w:type="dxa"/>
            <w:vAlign w:val="bottom"/>
            <w:tcBorders>
              <w:bottom w:val="single" w:sz="8" w:color="0E3C23"/>
            </w:tcBorders>
          </w:tcPr>
          <w:p>
            <w:pPr>
              <w:spacing w:after="0"/>
              <w:rPr>
                <w:sz w:val="21"/>
                <w:szCs w:val="21"/>
                <w:color w:val="auto"/>
              </w:rPr>
            </w:pPr>
          </w:p>
        </w:tc>
        <w:tc>
          <w:tcPr>
            <w:tcW w:w="120" w:type="dxa"/>
            <w:vAlign w:val="bottom"/>
            <w:tcBorders>
              <w:bottom w:val="single" w:sz="8" w:color="0E3C23"/>
            </w:tcBorders>
          </w:tcPr>
          <w:p>
            <w:pPr>
              <w:spacing w:after="0"/>
              <w:rPr>
                <w:sz w:val="21"/>
                <w:szCs w:val="21"/>
                <w:color w:val="auto"/>
              </w:rPr>
            </w:pPr>
          </w:p>
        </w:tc>
        <w:tc>
          <w:tcPr>
            <w:tcW w:w="120" w:type="dxa"/>
            <w:vAlign w:val="bottom"/>
            <w:tcBorders>
              <w:bottom w:val="single" w:sz="8" w:color="0E3C23"/>
            </w:tcBorders>
          </w:tcPr>
          <w:p>
            <w:pPr>
              <w:spacing w:after="0"/>
              <w:rPr>
                <w:sz w:val="21"/>
                <w:szCs w:val="21"/>
                <w:color w:val="auto"/>
              </w:rPr>
            </w:pPr>
          </w:p>
        </w:tc>
        <w:tc>
          <w:tcPr>
            <w:tcW w:w="900" w:type="dxa"/>
            <w:vAlign w:val="bottom"/>
            <w:tcBorders>
              <w:bottom w:val="single" w:sz="8" w:color="0E3C23"/>
            </w:tcBorders>
          </w:tcPr>
          <w:p>
            <w:pPr>
              <w:spacing w:after="0"/>
              <w:rPr>
                <w:sz w:val="21"/>
                <w:szCs w:val="21"/>
                <w:color w:val="auto"/>
              </w:rPr>
            </w:pPr>
          </w:p>
        </w:tc>
        <w:tc>
          <w:tcPr>
            <w:tcW w:w="1060" w:type="dxa"/>
            <w:vAlign w:val="bottom"/>
            <w:tcBorders>
              <w:bottom w:val="single" w:sz="8" w:color="0E3C23"/>
            </w:tcBorders>
          </w:tcPr>
          <w:p>
            <w:pPr>
              <w:spacing w:after="0"/>
              <w:rPr>
                <w:sz w:val="21"/>
                <w:szCs w:val="21"/>
                <w:color w:val="auto"/>
              </w:rPr>
            </w:pPr>
          </w:p>
        </w:tc>
        <w:tc>
          <w:tcPr>
            <w:tcW w:w="1000" w:type="dxa"/>
            <w:vAlign w:val="bottom"/>
            <w:tcBorders>
              <w:bottom w:val="single" w:sz="8" w:color="0E3C23"/>
            </w:tcBorders>
          </w:tcPr>
          <w:p>
            <w:pPr>
              <w:spacing w:after="0"/>
              <w:rPr>
                <w:sz w:val="21"/>
                <w:szCs w:val="21"/>
                <w:color w:val="auto"/>
              </w:rPr>
            </w:pPr>
          </w:p>
        </w:tc>
        <w:tc>
          <w:tcPr>
            <w:tcW w:w="1060" w:type="dxa"/>
            <w:vAlign w:val="bottom"/>
            <w:tcBorders>
              <w:bottom w:val="single" w:sz="8" w:color="0E3C23"/>
            </w:tcBorders>
          </w:tcPr>
          <w:p>
            <w:pPr>
              <w:spacing w:after="0"/>
              <w:rPr>
                <w:sz w:val="21"/>
                <w:szCs w:val="21"/>
                <w:color w:val="auto"/>
              </w:rPr>
            </w:pPr>
          </w:p>
        </w:tc>
        <w:tc>
          <w:tcPr>
            <w:tcW w:w="60" w:type="dxa"/>
            <w:vAlign w:val="bottom"/>
            <w:tcBorders>
              <w:bottom w:val="single" w:sz="8" w:color="0E3C23"/>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440" w:type="dxa"/>
            <w:vAlign w:val="bottom"/>
            <w:tcBorders>
              <w:bottom w:val="single" w:sz="8" w:color="0E3C23"/>
            </w:tcBorders>
          </w:tcPr>
          <w:p>
            <w:pPr>
              <w:spacing w:after="0"/>
              <w:rPr>
                <w:sz w:val="23"/>
                <w:szCs w:val="23"/>
                <w:color w:val="auto"/>
              </w:rPr>
            </w:pPr>
          </w:p>
        </w:tc>
        <w:tc>
          <w:tcPr>
            <w:tcW w:w="1000" w:type="dxa"/>
            <w:vAlign w:val="bottom"/>
            <w:tcBorders>
              <w:bottom w:val="single" w:sz="8" w:color="0E3C23"/>
            </w:tcBorders>
          </w:tcPr>
          <w:p>
            <w:pPr>
              <w:jc w:val="right"/>
              <w:ind w:right="185"/>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0E3C23"/>
            </w:tcBorders>
          </w:tcPr>
          <w:p>
            <w:pPr>
              <w:jc w:val="right"/>
              <w:ind w:right="86"/>
              <w:spacing w:after="0" w:line="269" w:lineRule="exact"/>
              <w:rPr>
                <w:sz w:val="20"/>
                <w:szCs w:val="20"/>
                <w:color w:val="auto"/>
              </w:rPr>
            </w:pPr>
            <w:r>
              <w:rPr>
                <w:rFonts w:ascii="Arial" w:cs="Arial" w:eastAsia="Arial" w:hAnsi="Arial"/>
                <w:sz w:val="20"/>
                <w:szCs w:val="20"/>
                <w:color w:val="auto"/>
              </w:rPr>
              <w:t>9,302</w:t>
            </w:r>
            <w:r>
              <w:rPr>
                <w:rFonts w:ascii="Arial" w:cs="Arial" w:eastAsia="Arial" w:hAnsi="Arial"/>
                <w:sz w:val="25"/>
                <w:szCs w:val="25"/>
                <w:color w:val="auto"/>
                <w:vertAlign w:val="superscript"/>
              </w:rPr>
              <w:t>(3)</w:t>
            </w:r>
          </w:p>
        </w:tc>
        <w:tc>
          <w:tcPr>
            <w:tcW w:w="1020" w:type="dxa"/>
            <w:vAlign w:val="bottom"/>
            <w:tcBorders>
              <w:bottom w:val="single" w:sz="8" w:color="0E3C23"/>
            </w:tcBorders>
          </w:tcPr>
          <w:p>
            <w:pPr>
              <w:jc w:val="right"/>
              <w:ind w:right="23"/>
              <w:spacing w:after="0"/>
              <w:rPr>
                <w:sz w:val="20"/>
                <w:szCs w:val="20"/>
                <w:color w:val="auto"/>
              </w:rPr>
            </w:pPr>
            <w:r>
              <w:rPr>
                <w:rFonts w:ascii="Arial" w:cs="Arial" w:eastAsia="Arial" w:hAnsi="Arial"/>
                <w:sz w:val="20"/>
                <w:szCs w:val="20"/>
                <w:color w:val="auto"/>
              </w:rPr>
              <w:t>204.7585</w:t>
            </w:r>
          </w:p>
        </w:tc>
        <w:tc>
          <w:tcPr>
            <w:tcW w:w="1140" w:type="dxa"/>
            <w:vAlign w:val="bottom"/>
            <w:tcBorders>
              <w:bottom w:val="single" w:sz="8" w:color="0E3C23"/>
            </w:tcBorders>
            <w:gridSpan w:val="2"/>
          </w:tcPr>
          <w:p>
            <w:pPr>
              <w:jc w:val="right"/>
              <w:ind w:right="120"/>
              <w:spacing w:after="0"/>
              <w:rPr>
                <w:sz w:val="20"/>
                <w:szCs w:val="20"/>
                <w:color w:val="auto"/>
              </w:rPr>
            </w:pPr>
            <w:r>
              <w:rPr>
                <w:rFonts w:ascii="Arial" w:cs="Arial" w:eastAsia="Arial" w:hAnsi="Arial"/>
                <w:sz w:val="20"/>
                <w:szCs w:val="20"/>
                <w:color w:val="auto"/>
              </w:rPr>
              <w:t>3/1/2034</w:t>
            </w:r>
          </w:p>
        </w:tc>
        <w:tc>
          <w:tcPr>
            <w:tcW w:w="1020" w:type="dxa"/>
            <w:vAlign w:val="bottom"/>
            <w:tcBorders>
              <w:bottom w:val="single" w:sz="8" w:color="0E3C23"/>
            </w:tcBorders>
            <w:gridSpan w:val="2"/>
          </w:tcPr>
          <w:p>
            <w:pPr>
              <w:jc w:val="right"/>
              <w:ind w:right="125"/>
              <w:spacing w:after="0"/>
              <w:rPr>
                <w:sz w:val="20"/>
                <w:szCs w:val="20"/>
                <w:color w:val="auto"/>
              </w:rPr>
            </w:pPr>
            <w:r>
              <w:rPr>
                <w:rFonts w:ascii="Arial" w:cs="Arial" w:eastAsia="Arial" w:hAnsi="Arial"/>
                <w:sz w:val="20"/>
                <w:szCs w:val="20"/>
                <w:color w:val="auto"/>
              </w:rPr>
              <w:t>5,102</w:t>
            </w:r>
          </w:p>
        </w:tc>
        <w:tc>
          <w:tcPr>
            <w:tcW w:w="1060" w:type="dxa"/>
            <w:vAlign w:val="bottom"/>
            <w:tcBorders>
              <w:bottom w:val="single" w:sz="8" w:color="0E3C23"/>
            </w:tcBorders>
          </w:tcPr>
          <w:p>
            <w:pPr>
              <w:jc w:val="right"/>
              <w:ind w:right="27"/>
              <w:spacing w:after="0"/>
              <w:rPr>
                <w:sz w:val="20"/>
                <w:szCs w:val="20"/>
                <w:color w:val="auto"/>
              </w:rPr>
            </w:pPr>
            <w:r>
              <w:rPr>
                <w:rFonts w:ascii="Arial" w:cs="Arial" w:eastAsia="Arial" w:hAnsi="Arial"/>
                <w:sz w:val="20"/>
                <w:szCs w:val="20"/>
                <w:color w:val="auto"/>
              </w:rPr>
              <w:t>1,029,533</w:t>
            </w:r>
          </w:p>
        </w:tc>
        <w:tc>
          <w:tcPr>
            <w:tcW w:w="1000" w:type="dxa"/>
            <w:vAlign w:val="bottom"/>
            <w:tcBorders>
              <w:bottom w:val="single" w:sz="8" w:color="0E3C23"/>
            </w:tcBorders>
          </w:tcPr>
          <w:p>
            <w:pPr>
              <w:jc w:val="right"/>
              <w:ind w:right="128"/>
              <w:spacing w:after="0"/>
              <w:rPr>
                <w:sz w:val="20"/>
                <w:szCs w:val="20"/>
                <w:color w:val="auto"/>
              </w:rPr>
            </w:pPr>
            <w:r>
              <w:rPr>
                <w:rFonts w:ascii="Arial" w:cs="Arial" w:eastAsia="Arial" w:hAnsi="Arial"/>
                <w:sz w:val="20"/>
                <w:szCs w:val="20"/>
                <w:color w:val="auto"/>
              </w:rPr>
              <w:t>17,722</w:t>
            </w:r>
          </w:p>
        </w:tc>
        <w:tc>
          <w:tcPr>
            <w:tcW w:w="1120" w:type="dxa"/>
            <w:vAlign w:val="bottom"/>
            <w:tcBorders>
              <w:bottom w:val="single" w:sz="8" w:color="0E3C23"/>
            </w:tcBorders>
            <w:gridSpan w:val="2"/>
          </w:tcPr>
          <w:p>
            <w:pPr>
              <w:jc w:val="right"/>
              <w:ind w:right="60"/>
              <w:spacing w:after="0"/>
              <w:rPr>
                <w:sz w:val="20"/>
                <w:szCs w:val="20"/>
                <w:color w:val="auto"/>
              </w:rPr>
            </w:pPr>
            <w:r>
              <w:rPr>
                <w:rFonts w:ascii="Arial" w:cs="Arial" w:eastAsia="Arial" w:hAnsi="Arial"/>
                <w:sz w:val="20"/>
                <w:szCs w:val="20"/>
                <w:color w:val="auto"/>
              </w:rPr>
              <w:t>7,152,245</w:t>
            </w:r>
          </w:p>
        </w:tc>
        <w:tc>
          <w:tcPr>
            <w:tcW w:w="0" w:type="dxa"/>
            <w:vAlign w:val="bottom"/>
          </w:tcPr>
          <w:p>
            <w:pPr>
              <w:spacing w:after="0"/>
              <w:rPr>
                <w:sz w:val="1"/>
                <w:szCs w:val="1"/>
                <w:color w:val="auto"/>
              </w:rPr>
            </w:pPr>
          </w:p>
        </w:tc>
      </w:tr>
      <w:tr>
        <w:trPr>
          <w:trHeight w:val="259"/>
        </w:trPr>
        <w:tc>
          <w:tcPr>
            <w:tcW w:w="1440" w:type="dxa"/>
            <w:vAlign w:val="bottom"/>
            <w:tcBorders>
              <w:bottom w:val="single" w:sz="8" w:color="0E3C23"/>
            </w:tcBorders>
          </w:tcPr>
          <w:p>
            <w:pPr>
              <w:spacing w:after="0"/>
              <w:rPr>
                <w:sz w:val="22"/>
                <w:szCs w:val="22"/>
                <w:color w:val="auto"/>
              </w:rPr>
            </w:pPr>
          </w:p>
        </w:tc>
        <w:tc>
          <w:tcPr>
            <w:tcW w:w="1000" w:type="dxa"/>
            <w:vAlign w:val="bottom"/>
            <w:tcBorders>
              <w:bottom w:val="single" w:sz="8" w:color="0E3C23"/>
            </w:tcBorders>
          </w:tcPr>
          <w:p>
            <w:pPr>
              <w:jc w:val="right"/>
              <w:ind w:right="185"/>
              <w:spacing w:after="0"/>
              <w:rPr>
                <w:sz w:val="20"/>
                <w:szCs w:val="20"/>
                <w:color w:val="auto"/>
              </w:rPr>
            </w:pPr>
            <w:r>
              <w:rPr>
                <w:rFonts w:ascii="Arial" w:cs="Arial" w:eastAsia="Arial" w:hAnsi="Arial"/>
                <w:sz w:val="20"/>
                <w:szCs w:val="20"/>
                <w:color w:val="auto"/>
              </w:rPr>
              <w:t>3,657</w:t>
            </w:r>
          </w:p>
        </w:tc>
        <w:tc>
          <w:tcPr>
            <w:tcW w:w="1260" w:type="dxa"/>
            <w:vAlign w:val="bottom"/>
            <w:tcBorders>
              <w:bottom w:val="single" w:sz="8" w:color="0E3C23"/>
            </w:tcBorders>
          </w:tcPr>
          <w:p>
            <w:pPr>
              <w:jc w:val="right"/>
              <w:ind w:right="86"/>
              <w:spacing w:after="0" w:line="259" w:lineRule="exact"/>
              <w:rPr>
                <w:sz w:val="20"/>
                <w:szCs w:val="20"/>
                <w:color w:val="auto"/>
              </w:rPr>
            </w:pPr>
            <w:r>
              <w:rPr>
                <w:rFonts w:ascii="Arial" w:cs="Arial" w:eastAsia="Arial" w:hAnsi="Arial"/>
                <w:sz w:val="20"/>
                <w:szCs w:val="20"/>
                <w:color w:val="auto"/>
              </w:rPr>
              <w:t>7,312</w:t>
            </w:r>
            <w:r>
              <w:rPr>
                <w:rFonts w:ascii="Arial" w:cs="Arial" w:eastAsia="Arial" w:hAnsi="Arial"/>
                <w:sz w:val="25"/>
                <w:szCs w:val="25"/>
                <w:color w:val="auto"/>
                <w:vertAlign w:val="superscript"/>
              </w:rPr>
              <w:t>(4)</w:t>
            </w:r>
          </w:p>
        </w:tc>
        <w:tc>
          <w:tcPr>
            <w:tcW w:w="1020" w:type="dxa"/>
            <w:vAlign w:val="bottom"/>
            <w:tcBorders>
              <w:bottom w:val="single" w:sz="8" w:color="0E3C23"/>
            </w:tcBorders>
          </w:tcPr>
          <w:p>
            <w:pPr>
              <w:jc w:val="right"/>
              <w:ind w:right="23"/>
              <w:spacing w:after="0"/>
              <w:rPr>
                <w:sz w:val="20"/>
                <w:szCs w:val="20"/>
                <w:color w:val="auto"/>
              </w:rPr>
            </w:pPr>
            <w:r>
              <w:rPr>
                <w:rFonts w:ascii="Arial" w:cs="Arial" w:eastAsia="Arial" w:hAnsi="Arial"/>
                <w:sz w:val="20"/>
                <w:szCs w:val="20"/>
                <w:color w:val="auto"/>
              </w:rPr>
              <w:t>150.115</w:t>
            </w:r>
          </w:p>
        </w:tc>
        <w:tc>
          <w:tcPr>
            <w:tcW w:w="1140" w:type="dxa"/>
            <w:vAlign w:val="bottom"/>
            <w:tcBorders>
              <w:bottom w:val="single" w:sz="8" w:color="0E3C23"/>
            </w:tcBorders>
            <w:gridSpan w:val="2"/>
          </w:tcPr>
          <w:p>
            <w:pPr>
              <w:jc w:val="right"/>
              <w:ind w:right="120"/>
              <w:spacing w:after="0"/>
              <w:rPr>
                <w:sz w:val="20"/>
                <w:szCs w:val="20"/>
                <w:color w:val="auto"/>
              </w:rPr>
            </w:pPr>
            <w:r>
              <w:rPr>
                <w:rFonts w:ascii="Arial" w:cs="Arial" w:eastAsia="Arial" w:hAnsi="Arial"/>
                <w:sz w:val="20"/>
                <w:szCs w:val="20"/>
                <w:color w:val="auto"/>
              </w:rPr>
              <w:t>3/7/2033</w:t>
            </w:r>
          </w:p>
        </w:tc>
        <w:tc>
          <w:tcPr>
            <w:tcW w:w="120" w:type="dxa"/>
            <w:vAlign w:val="bottom"/>
            <w:tcBorders>
              <w:bottom w:val="single" w:sz="8" w:color="0E3C23"/>
            </w:tcBorders>
          </w:tcPr>
          <w:p>
            <w:pPr>
              <w:spacing w:after="0"/>
              <w:rPr>
                <w:sz w:val="22"/>
                <w:szCs w:val="22"/>
                <w:color w:val="auto"/>
              </w:rPr>
            </w:pPr>
          </w:p>
        </w:tc>
        <w:tc>
          <w:tcPr>
            <w:tcW w:w="900" w:type="dxa"/>
            <w:vAlign w:val="bottom"/>
            <w:tcBorders>
              <w:bottom w:val="single" w:sz="8" w:color="0E3C23"/>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E3C23"/>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E3C23"/>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E3C23"/>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1440" w:type="dxa"/>
            <w:vAlign w:val="bottom"/>
            <w:tcBorders>
              <w:bottom w:val="single" w:sz="8" w:color="0E3C23"/>
            </w:tcBorders>
          </w:tcPr>
          <w:p>
            <w:pPr>
              <w:spacing w:after="0"/>
              <w:rPr>
                <w:sz w:val="22"/>
                <w:szCs w:val="22"/>
                <w:color w:val="auto"/>
              </w:rPr>
            </w:pPr>
          </w:p>
        </w:tc>
        <w:tc>
          <w:tcPr>
            <w:tcW w:w="1000" w:type="dxa"/>
            <w:vAlign w:val="bottom"/>
            <w:tcBorders>
              <w:bottom w:val="single" w:sz="8" w:color="0E3C23"/>
            </w:tcBorders>
          </w:tcPr>
          <w:p>
            <w:pPr>
              <w:jc w:val="right"/>
              <w:ind w:right="185"/>
              <w:spacing w:after="0"/>
              <w:rPr>
                <w:sz w:val="20"/>
                <w:szCs w:val="20"/>
                <w:color w:val="auto"/>
              </w:rPr>
            </w:pPr>
            <w:r>
              <w:rPr>
                <w:rFonts w:ascii="Arial" w:cs="Arial" w:eastAsia="Arial" w:hAnsi="Arial"/>
                <w:sz w:val="20"/>
                <w:szCs w:val="20"/>
                <w:color w:val="auto"/>
              </w:rPr>
              <w:t>8,573</w:t>
            </w:r>
          </w:p>
        </w:tc>
        <w:tc>
          <w:tcPr>
            <w:tcW w:w="1260" w:type="dxa"/>
            <w:vAlign w:val="bottom"/>
            <w:tcBorders>
              <w:bottom w:val="single" w:sz="8" w:color="0E3C23"/>
            </w:tcBorders>
          </w:tcPr>
          <w:p>
            <w:pPr>
              <w:jc w:val="right"/>
              <w:ind w:right="86"/>
              <w:spacing w:after="0" w:line="259" w:lineRule="exact"/>
              <w:rPr>
                <w:sz w:val="20"/>
                <w:szCs w:val="20"/>
                <w:color w:val="auto"/>
              </w:rPr>
            </w:pPr>
            <w:r>
              <w:rPr>
                <w:rFonts w:ascii="Arial" w:cs="Arial" w:eastAsia="Arial" w:hAnsi="Arial"/>
                <w:sz w:val="20"/>
                <w:szCs w:val="20"/>
                <w:color w:val="auto"/>
              </w:rPr>
              <w:t>4,286</w:t>
            </w:r>
            <w:r>
              <w:rPr>
                <w:rFonts w:ascii="Arial" w:cs="Arial" w:eastAsia="Arial" w:hAnsi="Arial"/>
                <w:sz w:val="25"/>
                <w:szCs w:val="25"/>
                <w:color w:val="auto"/>
                <w:vertAlign w:val="superscript"/>
              </w:rPr>
              <w:t>(5)</w:t>
            </w:r>
          </w:p>
        </w:tc>
        <w:tc>
          <w:tcPr>
            <w:tcW w:w="1020" w:type="dxa"/>
            <w:vAlign w:val="bottom"/>
            <w:tcBorders>
              <w:bottom w:val="single" w:sz="8" w:color="0E3C23"/>
            </w:tcBorders>
          </w:tcPr>
          <w:p>
            <w:pPr>
              <w:jc w:val="right"/>
              <w:ind w:right="23"/>
              <w:spacing w:after="0"/>
              <w:rPr>
                <w:sz w:val="20"/>
                <w:szCs w:val="20"/>
                <w:color w:val="auto"/>
              </w:rPr>
            </w:pPr>
            <w:r>
              <w:rPr>
                <w:rFonts w:ascii="Arial" w:cs="Arial" w:eastAsia="Arial" w:hAnsi="Arial"/>
                <w:sz w:val="20"/>
                <w:szCs w:val="20"/>
                <w:color w:val="auto"/>
              </w:rPr>
              <w:t>145.67</w:t>
            </w:r>
          </w:p>
        </w:tc>
        <w:tc>
          <w:tcPr>
            <w:tcW w:w="1140" w:type="dxa"/>
            <w:vAlign w:val="bottom"/>
            <w:tcBorders>
              <w:bottom w:val="single" w:sz="8" w:color="0E3C23"/>
            </w:tcBorders>
            <w:gridSpan w:val="2"/>
          </w:tcPr>
          <w:p>
            <w:pPr>
              <w:jc w:val="right"/>
              <w:ind w:right="120"/>
              <w:spacing w:after="0"/>
              <w:rPr>
                <w:sz w:val="20"/>
                <w:szCs w:val="20"/>
                <w:color w:val="auto"/>
              </w:rPr>
            </w:pPr>
            <w:r>
              <w:rPr>
                <w:rFonts w:ascii="Arial" w:cs="Arial" w:eastAsia="Arial" w:hAnsi="Arial"/>
                <w:sz w:val="20"/>
                <w:szCs w:val="20"/>
                <w:color w:val="auto"/>
              </w:rPr>
              <w:t>3/1/2032</w:t>
            </w:r>
          </w:p>
        </w:tc>
        <w:tc>
          <w:tcPr>
            <w:tcW w:w="120" w:type="dxa"/>
            <w:vAlign w:val="bottom"/>
            <w:tcBorders>
              <w:bottom w:val="single" w:sz="8" w:color="0E3C23"/>
            </w:tcBorders>
          </w:tcPr>
          <w:p>
            <w:pPr>
              <w:spacing w:after="0"/>
              <w:rPr>
                <w:sz w:val="22"/>
                <w:szCs w:val="22"/>
                <w:color w:val="auto"/>
              </w:rPr>
            </w:pPr>
          </w:p>
        </w:tc>
        <w:tc>
          <w:tcPr>
            <w:tcW w:w="900" w:type="dxa"/>
            <w:vAlign w:val="bottom"/>
            <w:tcBorders>
              <w:bottom w:val="single" w:sz="8" w:color="0E3C23"/>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E3C23"/>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E3C23"/>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E3C23"/>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1000" w:type="dxa"/>
            <w:vAlign w:val="bottom"/>
          </w:tcPr>
          <w:p>
            <w:pPr>
              <w:jc w:val="right"/>
              <w:ind w:right="185"/>
              <w:spacing w:after="0"/>
              <w:rPr>
                <w:sz w:val="20"/>
                <w:szCs w:val="20"/>
                <w:color w:val="auto"/>
              </w:rPr>
            </w:pPr>
            <w:r>
              <w:rPr>
                <w:rFonts w:ascii="Arial" w:cs="Arial" w:eastAsia="Arial" w:hAnsi="Arial"/>
                <w:sz w:val="20"/>
                <w:szCs w:val="20"/>
                <w:color w:val="auto"/>
              </w:rPr>
              <w:t>19,710</w:t>
            </w:r>
          </w:p>
        </w:tc>
        <w:tc>
          <w:tcPr>
            <w:tcW w:w="1260" w:type="dxa"/>
            <w:vAlign w:val="bottom"/>
          </w:tcPr>
          <w:p>
            <w:pPr>
              <w:jc w:val="right"/>
              <w:ind w:right="246"/>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3"/>
              <w:spacing w:after="0"/>
              <w:rPr>
                <w:sz w:val="20"/>
                <w:szCs w:val="20"/>
                <w:color w:val="auto"/>
              </w:rPr>
            </w:pPr>
            <w:r>
              <w:rPr>
                <w:rFonts w:ascii="Arial" w:cs="Arial" w:eastAsia="Arial" w:hAnsi="Arial"/>
                <w:sz w:val="20"/>
                <w:szCs w:val="20"/>
                <w:color w:val="auto"/>
              </w:rPr>
              <w:t>110.81</w:t>
            </w: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2/23/2031</w:t>
            </w:r>
          </w:p>
        </w:tc>
        <w:tc>
          <w:tcPr>
            <w:tcW w:w="120" w:type="dxa"/>
            <w:vAlign w:val="bottom"/>
          </w:tcPr>
          <w:p>
            <w:pPr>
              <w:spacing w:after="0"/>
              <w:rPr>
                <w:sz w:val="20"/>
                <w:szCs w:val="20"/>
                <w:color w:val="auto"/>
              </w:rPr>
            </w:pPr>
          </w:p>
        </w:tc>
        <w:tc>
          <w:tcPr>
            <w:tcW w:w="900" w:type="dxa"/>
            <w:vAlign w:val="bottom"/>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1440" w:type="dxa"/>
            <w:vAlign w:val="bottom"/>
            <w:tcBorders>
              <w:bottom w:val="single" w:sz="8" w:color="0E3C23"/>
            </w:tcBorders>
          </w:tcPr>
          <w:p>
            <w:pPr>
              <w:spacing w:after="0" w:line="20" w:lineRule="exact"/>
              <w:rPr>
                <w:sz w:val="1"/>
                <w:szCs w:val="1"/>
                <w:color w:val="auto"/>
              </w:rPr>
            </w:pPr>
          </w:p>
        </w:tc>
        <w:tc>
          <w:tcPr>
            <w:tcW w:w="1000" w:type="dxa"/>
            <w:vAlign w:val="bottom"/>
            <w:tcBorders>
              <w:bottom w:val="single" w:sz="8" w:color="0E3C23"/>
            </w:tcBorders>
          </w:tcPr>
          <w:p>
            <w:pPr>
              <w:spacing w:after="0" w:line="20" w:lineRule="exact"/>
              <w:rPr>
                <w:sz w:val="1"/>
                <w:szCs w:val="1"/>
                <w:color w:val="auto"/>
              </w:rPr>
            </w:pPr>
          </w:p>
        </w:tc>
        <w:tc>
          <w:tcPr>
            <w:tcW w:w="1260" w:type="dxa"/>
            <w:vAlign w:val="bottom"/>
            <w:tcBorders>
              <w:bottom w:val="single" w:sz="8" w:color="0E3C23"/>
            </w:tcBorders>
          </w:tcPr>
          <w:p>
            <w:pPr>
              <w:spacing w:after="0" w:line="20" w:lineRule="exact"/>
              <w:rPr>
                <w:sz w:val="1"/>
                <w:szCs w:val="1"/>
                <w:color w:val="auto"/>
              </w:rPr>
            </w:pPr>
          </w:p>
        </w:tc>
        <w:tc>
          <w:tcPr>
            <w:tcW w:w="1020" w:type="dxa"/>
            <w:vAlign w:val="bottom"/>
            <w:tcBorders>
              <w:bottom w:val="single" w:sz="8" w:color="0E3C23"/>
            </w:tcBorders>
          </w:tcPr>
          <w:p>
            <w:pPr>
              <w:spacing w:after="0" w:line="20" w:lineRule="exact"/>
              <w:rPr>
                <w:sz w:val="1"/>
                <w:szCs w:val="1"/>
                <w:color w:val="auto"/>
              </w:rPr>
            </w:pPr>
          </w:p>
        </w:tc>
        <w:tc>
          <w:tcPr>
            <w:tcW w:w="1140" w:type="dxa"/>
            <w:vAlign w:val="bottom"/>
            <w:tcBorders>
              <w:bottom w:val="single" w:sz="8" w:color="0E3C23"/>
            </w:tcBorders>
            <w:gridSpan w:val="2"/>
          </w:tcPr>
          <w:p>
            <w:pPr>
              <w:spacing w:after="0" w:line="20" w:lineRule="exact"/>
              <w:rPr>
                <w:sz w:val="1"/>
                <w:szCs w:val="1"/>
                <w:color w:val="auto"/>
              </w:rPr>
            </w:pPr>
          </w:p>
        </w:tc>
        <w:tc>
          <w:tcPr>
            <w:tcW w:w="120" w:type="dxa"/>
            <w:vAlign w:val="bottom"/>
            <w:tcBorders>
              <w:bottom w:val="single" w:sz="8" w:color="0E3C23"/>
            </w:tcBorders>
          </w:tcPr>
          <w:p>
            <w:pPr>
              <w:spacing w:after="0" w:line="20" w:lineRule="exact"/>
              <w:rPr>
                <w:sz w:val="1"/>
                <w:szCs w:val="1"/>
                <w:color w:val="auto"/>
              </w:rPr>
            </w:pPr>
          </w:p>
        </w:tc>
        <w:tc>
          <w:tcPr>
            <w:tcW w:w="900" w:type="dxa"/>
            <w:vAlign w:val="bottom"/>
            <w:tcBorders>
              <w:bottom w:val="single" w:sz="8" w:color="0E3C23"/>
            </w:tcBorders>
          </w:tcPr>
          <w:p>
            <w:pPr>
              <w:spacing w:after="0" w:line="20" w:lineRule="exact"/>
              <w:rPr>
                <w:sz w:val="1"/>
                <w:szCs w:val="1"/>
                <w:color w:val="auto"/>
              </w:rPr>
            </w:pPr>
          </w:p>
        </w:tc>
        <w:tc>
          <w:tcPr>
            <w:tcW w:w="1060" w:type="dxa"/>
            <w:vAlign w:val="bottom"/>
            <w:tcBorders>
              <w:bottom w:val="single" w:sz="8" w:color="0E3C23"/>
            </w:tcBorders>
          </w:tcPr>
          <w:p>
            <w:pPr>
              <w:spacing w:after="0" w:line="20" w:lineRule="exact"/>
              <w:rPr>
                <w:sz w:val="1"/>
                <w:szCs w:val="1"/>
                <w:color w:val="auto"/>
              </w:rPr>
            </w:pPr>
          </w:p>
        </w:tc>
        <w:tc>
          <w:tcPr>
            <w:tcW w:w="1000" w:type="dxa"/>
            <w:vAlign w:val="bottom"/>
            <w:tcBorders>
              <w:bottom w:val="single" w:sz="8" w:color="0E3C23"/>
            </w:tcBorders>
          </w:tcPr>
          <w:p>
            <w:pPr>
              <w:spacing w:after="0" w:line="20" w:lineRule="exact"/>
              <w:rPr>
                <w:sz w:val="1"/>
                <w:szCs w:val="1"/>
                <w:color w:val="auto"/>
              </w:rPr>
            </w:pPr>
          </w:p>
        </w:tc>
        <w:tc>
          <w:tcPr>
            <w:tcW w:w="1120" w:type="dxa"/>
            <w:vAlign w:val="bottom"/>
            <w:tcBorders>
              <w:bottom w:val="single" w:sz="8" w:color="0E3C23"/>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1000" w:type="dxa"/>
            <w:vAlign w:val="bottom"/>
          </w:tcPr>
          <w:p>
            <w:pPr>
              <w:jc w:val="right"/>
              <w:ind w:right="185"/>
              <w:spacing w:after="0"/>
              <w:rPr>
                <w:sz w:val="20"/>
                <w:szCs w:val="20"/>
                <w:color w:val="auto"/>
              </w:rPr>
            </w:pPr>
            <w:r>
              <w:rPr>
                <w:rFonts w:ascii="Arial" w:cs="Arial" w:eastAsia="Arial" w:hAnsi="Arial"/>
                <w:sz w:val="20"/>
                <w:szCs w:val="20"/>
                <w:color w:val="auto"/>
              </w:rPr>
              <w:t>20,860</w:t>
            </w:r>
          </w:p>
        </w:tc>
        <w:tc>
          <w:tcPr>
            <w:tcW w:w="1260" w:type="dxa"/>
            <w:vAlign w:val="bottom"/>
          </w:tcPr>
          <w:p>
            <w:pPr>
              <w:jc w:val="right"/>
              <w:ind w:right="246"/>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3"/>
              <w:spacing w:after="0"/>
              <w:rPr>
                <w:sz w:val="20"/>
                <w:szCs w:val="20"/>
                <w:color w:val="auto"/>
              </w:rPr>
            </w:pPr>
            <w:r>
              <w:rPr>
                <w:rFonts w:ascii="Arial" w:cs="Arial" w:eastAsia="Arial" w:hAnsi="Arial"/>
                <w:sz w:val="20"/>
                <w:szCs w:val="20"/>
                <w:color w:val="auto"/>
              </w:rPr>
              <w:t>126.005</w:t>
            </w: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2/19/2030</w:t>
            </w:r>
          </w:p>
        </w:tc>
        <w:tc>
          <w:tcPr>
            <w:tcW w:w="120" w:type="dxa"/>
            <w:vAlign w:val="bottom"/>
          </w:tcPr>
          <w:p>
            <w:pPr>
              <w:spacing w:after="0"/>
              <w:rPr>
                <w:sz w:val="20"/>
                <w:szCs w:val="20"/>
                <w:color w:val="auto"/>
              </w:rPr>
            </w:pPr>
          </w:p>
        </w:tc>
        <w:tc>
          <w:tcPr>
            <w:tcW w:w="900" w:type="dxa"/>
            <w:vAlign w:val="bottom"/>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2440" w:type="dxa"/>
            <w:vAlign w:val="bottom"/>
            <w:tcBorders>
              <w:bottom w:val="single" w:sz="8" w:color="0E3C23"/>
            </w:tcBorders>
            <w:gridSpan w:val="2"/>
          </w:tcPr>
          <w:p>
            <w:pPr>
              <w:spacing w:after="0" w:line="20" w:lineRule="exact"/>
              <w:rPr>
                <w:sz w:val="1"/>
                <w:szCs w:val="1"/>
                <w:color w:val="auto"/>
              </w:rPr>
            </w:pPr>
          </w:p>
        </w:tc>
        <w:tc>
          <w:tcPr>
            <w:tcW w:w="1260" w:type="dxa"/>
            <w:vAlign w:val="bottom"/>
            <w:tcBorders>
              <w:bottom w:val="single" w:sz="8" w:color="0E3C23"/>
            </w:tcBorders>
          </w:tcPr>
          <w:p>
            <w:pPr>
              <w:spacing w:after="0" w:line="20" w:lineRule="exact"/>
              <w:rPr>
                <w:sz w:val="1"/>
                <w:szCs w:val="1"/>
                <w:color w:val="auto"/>
              </w:rPr>
            </w:pPr>
          </w:p>
        </w:tc>
        <w:tc>
          <w:tcPr>
            <w:tcW w:w="1020" w:type="dxa"/>
            <w:vAlign w:val="bottom"/>
            <w:tcBorders>
              <w:bottom w:val="single" w:sz="8" w:color="0E3C23"/>
            </w:tcBorders>
          </w:tcPr>
          <w:p>
            <w:pPr>
              <w:spacing w:after="0" w:line="20" w:lineRule="exact"/>
              <w:rPr>
                <w:sz w:val="1"/>
                <w:szCs w:val="1"/>
                <w:color w:val="auto"/>
              </w:rPr>
            </w:pPr>
          </w:p>
        </w:tc>
        <w:tc>
          <w:tcPr>
            <w:tcW w:w="1020" w:type="dxa"/>
            <w:vAlign w:val="bottom"/>
            <w:tcBorders>
              <w:bottom w:val="single" w:sz="8" w:color="0E3C23"/>
            </w:tcBorders>
          </w:tcPr>
          <w:p>
            <w:pPr>
              <w:spacing w:after="0" w:line="20" w:lineRule="exact"/>
              <w:rPr>
                <w:sz w:val="1"/>
                <w:szCs w:val="1"/>
                <w:color w:val="auto"/>
              </w:rPr>
            </w:pPr>
          </w:p>
        </w:tc>
        <w:tc>
          <w:tcPr>
            <w:tcW w:w="120" w:type="dxa"/>
            <w:vAlign w:val="bottom"/>
            <w:tcBorders>
              <w:bottom w:val="single" w:sz="8" w:color="0E3C23"/>
            </w:tcBorders>
          </w:tcPr>
          <w:p>
            <w:pPr>
              <w:spacing w:after="0" w:line="20" w:lineRule="exact"/>
              <w:rPr>
                <w:sz w:val="1"/>
                <w:szCs w:val="1"/>
                <w:color w:val="auto"/>
              </w:rPr>
            </w:pPr>
          </w:p>
        </w:tc>
        <w:tc>
          <w:tcPr>
            <w:tcW w:w="120" w:type="dxa"/>
            <w:vAlign w:val="bottom"/>
            <w:tcBorders>
              <w:bottom w:val="single" w:sz="8" w:color="0E3C23"/>
            </w:tcBorders>
          </w:tcPr>
          <w:p>
            <w:pPr>
              <w:spacing w:after="0" w:line="20" w:lineRule="exact"/>
              <w:rPr>
                <w:sz w:val="1"/>
                <w:szCs w:val="1"/>
                <w:color w:val="auto"/>
              </w:rPr>
            </w:pPr>
          </w:p>
        </w:tc>
        <w:tc>
          <w:tcPr>
            <w:tcW w:w="900" w:type="dxa"/>
            <w:vAlign w:val="bottom"/>
            <w:tcBorders>
              <w:bottom w:val="single" w:sz="8" w:color="0E3C23"/>
            </w:tcBorders>
          </w:tcPr>
          <w:p>
            <w:pPr>
              <w:spacing w:after="0" w:line="20" w:lineRule="exact"/>
              <w:rPr>
                <w:sz w:val="1"/>
                <w:szCs w:val="1"/>
                <w:color w:val="auto"/>
              </w:rPr>
            </w:pPr>
          </w:p>
        </w:tc>
        <w:tc>
          <w:tcPr>
            <w:tcW w:w="1060" w:type="dxa"/>
            <w:vAlign w:val="bottom"/>
            <w:tcBorders>
              <w:bottom w:val="single" w:sz="8" w:color="0E3C23"/>
            </w:tcBorders>
          </w:tcPr>
          <w:p>
            <w:pPr>
              <w:spacing w:after="0" w:line="20" w:lineRule="exact"/>
              <w:rPr>
                <w:sz w:val="1"/>
                <w:szCs w:val="1"/>
                <w:color w:val="auto"/>
              </w:rPr>
            </w:pPr>
          </w:p>
        </w:tc>
        <w:tc>
          <w:tcPr>
            <w:tcW w:w="1000" w:type="dxa"/>
            <w:vAlign w:val="bottom"/>
            <w:tcBorders>
              <w:bottom w:val="single" w:sz="8" w:color="0E3C23"/>
            </w:tcBorders>
          </w:tcPr>
          <w:p>
            <w:pPr>
              <w:spacing w:after="0" w:line="20" w:lineRule="exact"/>
              <w:rPr>
                <w:sz w:val="1"/>
                <w:szCs w:val="1"/>
                <w:color w:val="auto"/>
              </w:rPr>
            </w:pPr>
          </w:p>
        </w:tc>
        <w:tc>
          <w:tcPr>
            <w:tcW w:w="1060" w:type="dxa"/>
            <w:vAlign w:val="bottom"/>
            <w:tcBorders>
              <w:bottom w:val="single" w:sz="8" w:color="0E3C23"/>
            </w:tcBorders>
          </w:tcPr>
          <w:p>
            <w:pPr>
              <w:spacing w:after="0" w:line="20" w:lineRule="exact"/>
              <w:rPr>
                <w:sz w:val="1"/>
                <w:szCs w:val="1"/>
                <w:color w:val="auto"/>
              </w:rPr>
            </w:pPr>
          </w:p>
        </w:tc>
        <w:tc>
          <w:tcPr>
            <w:tcW w:w="60" w:type="dxa"/>
            <w:vAlign w:val="bottom"/>
            <w:tcBorders>
              <w:bottom w:val="single" w:sz="8" w:color="0E3C2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440" w:type="dxa"/>
            <w:vAlign w:val="bottom"/>
            <w:tcBorders>
              <w:bottom w:val="single" w:sz="8" w:color="0E3C23"/>
            </w:tcBorders>
            <w:gridSpan w:val="2"/>
          </w:tcPr>
          <w:p>
            <w:pPr>
              <w:ind w:left="60"/>
              <w:spacing w:after="0"/>
              <w:rPr>
                <w:sz w:val="20"/>
                <w:szCs w:val="20"/>
                <w:color w:val="auto"/>
              </w:rPr>
            </w:pPr>
            <w:r>
              <w:rPr>
                <w:rFonts w:ascii="Arial" w:cs="Arial" w:eastAsia="Arial" w:hAnsi="Arial"/>
                <w:sz w:val="20"/>
                <w:szCs w:val="20"/>
                <w:b w:val="1"/>
                <w:bCs w:val="1"/>
                <w:color w:val="auto"/>
              </w:rPr>
              <w:t>Rafael E. Carrasco</w:t>
            </w:r>
          </w:p>
        </w:tc>
        <w:tc>
          <w:tcPr>
            <w:tcW w:w="1260" w:type="dxa"/>
            <w:vAlign w:val="bottom"/>
            <w:tcBorders>
              <w:bottom w:val="single" w:sz="8" w:color="0E3C23"/>
            </w:tcBorders>
          </w:tcPr>
          <w:p>
            <w:pPr>
              <w:spacing w:after="0"/>
              <w:rPr>
                <w:sz w:val="21"/>
                <w:szCs w:val="21"/>
                <w:color w:val="auto"/>
              </w:rPr>
            </w:pPr>
          </w:p>
        </w:tc>
        <w:tc>
          <w:tcPr>
            <w:tcW w:w="1020" w:type="dxa"/>
            <w:vAlign w:val="bottom"/>
            <w:tcBorders>
              <w:bottom w:val="single" w:sz="8" w:color="0E3C23"/>
            </w:tcBorders>
          </w:tcPr>
          <w:p>
            <w:pPr>
              <w:spacing w:after="0"/>
              <w:rPr>
                <w:sz w:val="21"/>
                <w:szCs w:val="21"/>
                <w:color w:val="auto"/>
              </w:rPr>
            </w:pPr>
          </w:p>
        </w:tc>
        <w:tc>
          <w:tcPr>
            <w:tcW w:w="1020" w:type="dxa"/>
            <w:vAlign w:val="bottom"/>
            <w:tcBorders>
              <w:bottom w:val="single" w:sz="8" w:color="0E3C23"/>
            </w:tcBorders>
          </w:tcPr>
          <w:p>
            <w:pPr>
              <w:spacing w:after="0"/>
              <w:rPr>
                <w:sz w:val="21"/>
                <w:szCs w:val="21"/>
                <w:color w:val="auto"/>
              </w:rPr>
            </w:pPr>
          </w:p>
        </w:tc>
        <w:tc>
          <w:tcPr>
            <w:tcW w:w="120" w:type="dxa"/>
            <w:vAlign w:val="bottom"/>
            <w:tcBorders>
              <w:bottom w:val="single" w:sz="8" w:color="0E3C23"/>
            </w:tcBorders>
          </w:tcPr>
          <w:p>
            <w:pPr>
              <w:spacing w:after="0"/>
              <w:rPr>
                <w:sz w:val="21"/>
                <w:szCs w:val="21"/>
                <w:color w:val="auto"/>
              </w:rPr>
            </w:pPr>
          </w:p>
        </w:tc>
        <w:tc>
          <w:tcPr>
            <w:tcW w:w="120" w:type="dxa"/>
            <w:vAlign w:val="bottom"/>
            <w:tcBorders>
              <w:bottom w:val="single" w:sz="8" w:color="0E3C23"/>
            </w:tcBorders>
          </w:tcPr>
          <w:p>
            <w:pPr>
              <w:spacing w:after="0"/>
              <w:rPr>
                <w:sz w:val="21"/>
                <w:szCs w:val="21"/>
                <w:color w:val="auto"/>
              </w:rPr>
            </w:pPr>
          </w:p>
        </w:tc>
        <w:tc>
          <w:tcPr>
            <w:tcW w:w="900" w:type="dxa"/>
            <w:vAlign w:val="bottom"/>
            <w:tcBorders>
              <w:bottom w:val="single" w:sz="8" w:color="0E3C23"/>
            </w:tcBorders>
          </w:tcPr>
          <w:p>
            <w:pPr>
              <w:spacing w:after="0"/>
              <w:rPr>
                <w:sz w:val="21"/>
                <w:szCs w:val="21"/>
                <w:color w:val="auto"/>
              </w:rPr>
            </w:pPr>
          </w:p>
        </w:tc>
        <w:tc>
          <w:tcPr>
            <w:tcW w:w="1060" w:type="dxa"/>
            <w:vAlign w:val="bottom"/>
            <w:tcBorders>
              <w:bottom w:val="single" w:sz="8" w:color="0E3C23"/>
            </w:tcBorders>
          </w:tcPr>
          <w:p>
            <w:pPr>
              <w:spacing w:after="0"/>
              <w:rPr>
                <w:sz w:val="21"/>
                <w:szCs w:val="21"/>
                <w:color w:val="auto"/>
              </w:rPr>
            </w:pPr>
          </w:p>
        </w:tc>
        <w:tc>
          <w:tcPr>
            <w:tcW w:w="1000" w:type="dxa"/>
            <w:vAlign w:val="bottom"/>
            <w:tcBorders>
              <w:bottom w:val="single" w:sz="8" w:color="0E3C23"/>
            </w:tcBorders>
          </w:tcPr>
          <w:p>
            <w:pPr>
              <w:spacing w:after="0"/>
              <w:rPr>
                <w:sz w:val="21"/>
                <w:szCs w:val="21"/>
                <w:color w:val="auto"/>
              </w:rPr>
            </w:pPr>
          </w:p>
        </w:tc>
        <w:tc>
          <w:tcPr>
            <w:tcW w:w="1060" w:type="dxa"/>
            <w:vAlign w:val="bottom"/>
            <w:tcBorders>
              <w:bottom w:val="single" w:sz="8" w:color="0E3C23"/>
            </w:tcBorders>
          </w:tcPr>
          <w:p>
            <w:pPr>
              <w:spacing w:after="0"/>
              <w:rPr>
                <w:sz w:val="21"/>
                <w:szCs w:val="21"/>
                <w:color w:val="auto"/>
              </w:rPr>
            </w:pPr>
          </w:p>
        </w:tc>
        <w:tc>
          <w:tcPr>
            <w:tcW w:w="60" w:type="dxa"/>
            <w:vAlign w:val="bottom"/>
            <w:tcBorders>
              <w:bottom w:val="single" w:sz="8" w:color="0E3C23"/>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440" w:type="dxa"/>
            <w:vAlign w:val="bottom"/>
            <w:tcBorders>
              <w:bottom w:val="single" w:sz="8" w:color="0E3C23"/>
            </w:tcBorders>
          </w:tcPr>
          <w:p>
            <w:pPr>
              <w:spacing w:after="0"/>
              <w:rPr>
                <w:sz w:val="23"/>
                <w:szCs w:val="23"/>
                <w:color w:val="auto"/>
              </w:rPr>
            </w:pPr>
          </w:p>
        </w:tc>
        <w:tc>
          <w:tcPr>
            <w:tcW w:w="1000" w:type="dxa"/>
            <w:vAlign w:val="bottom"/>
            <w:tcBorders>
              <w:bottom w:val="single" w:sz="8" w:color="0E3C23"/>
            </w:tcBorders>
          </w:tcPr>
          <w:p>
            <w:pPr>
              <w:jc w:val="right"/>
              <w:ind w:right="185"/>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0E3C23"/>
            </w:tcBorders>
          </w:tcPr>
          <w:p>
            <w:pPr>
              <w:jc w:val="right"/>
              <w:ind w:right="86"/>
              <w:spacing w:after="0" w:line="269" w:lineRule="exact"/>
              <w:rPr>
                <w:sz w:val="20"/>
                <w:szCs w:val="20"/>
                <w:color w:val="auto"/>
              </w:rPr>
            </w:pPr>
            <w:r>
              <w:rPr>
                <w:rFonts w:ascii="Arial" w:cs="Arial" w:eastAsia="Arial" w:hAnsi="Arial"/>
                <w:sz w:val="20"/>
                <w:szCs w:val="20"/>
                <w:color w:val="auto"/>
              </w:rPr>
              <w:t>9,302</w:t>
            </w:r>
            <w:r>
              <w:rPr>
                <w:rFonts w:ascii="Arial" w:cs="Arial" w:eastAsia="Arial" w:hAnsi="Arial"/>
                <w:sz w:val="25"/>
                <w:szCs w:val="25"/>
                <w:color w:val="auto"/>
                <w:vertAlign w:val="superscript"/>
              </w:rPr>
              <w:t>(3)</w:t>
            </w:r>
          </w:p>
        </w:tc>
        <w:tc>
          <w:tcPr>
            <w:tcW w:w="1020" w:type="dxa"/>
            <w:vAlign w:val="bottom"/>
            <w:tcBorders>
              <w:bottom w:val="single" w:sz="8" w:color="0E3C23"/>
            </w:tcBorders>
          </w:tcPr>
          <w:p>
            <w:pPr>
              <w:jc w:val="right"/>
              <w:ind w:right="23"/>
              <w:spacing w:after="0"/>
              <w:rPr>
                <w:sz w:val="20"/>
                <w:szCs w:val="20"/>
                <w:color w:val="auto"/>
              </w:rPr>
            </w:pPr>
            <w:r>
              <w:rPr>
                <w:rFonts w:ascii="Arial" w:cs="Arial" w:eastAsia="Arial" w:hAnsi="Arial"/>
                <w:sz w:val="20"/>
                <w:szCs w:val="20"/>
                <w:color w:val="auto"/>
              </w:rPr>
              <w:t>204.7585</w:t>
            </w:r>
          </w:p>
        </w:tc>
        <w:tc>
          <w:tcPr>
            <w:tcW w:w="1140" w:type="dxa"/>
            <w:vAlign w:val="bottom"/>
            <w:tcBorders>
              <w:bottom w:val="single" w:sz="8" w:color="0E3C23"/>
            </w:tcBorders>
            <w:gridSpan w:val="2"/>
          </w:tcPr>
          <w:p>
            <w:pPr>
              <w:jc w:val="right"/>
              <w:ind w:right="120"/>
              <w:spacing w:after="0"/>
              <w:rPr>
                <w:sz w:val="20"/>
                <w:szCs w:val="20"/>
                <w:color w:val="auto"/>
              </w:rPr>
            </w:pPr>
            <w:r>
              <w:rPr>
                <w:rFonts w:ascii="Arial" w:cs="Arial" w:eastAsia="Arial" w:hAnsi="Arial"/>
                <w:sz w:val="20"/>
                <w:szCs w:val="20"/>
                <w:color w:val="auto"/>
              </w:rPr>
              <w:t>3/1/2034</w:t>
            </w:r>
          </w:p>
        </w:tc>
        <w:tc>
          <w:tcPr>
            <w:tcW w:w="1020" w:type="dxa"/>
            <w:vAlign w:val="bottom"/>
            <w:tcBorders>
              <w:bottom w:val="single" w:sz="8" w:color="0E3C23"/>
            </w:tcBorders>
            <w:gridSpan w:val="2"/>
          </w:tcPr>
          <w:p>
            <w:pPr>
              <w:jc w:val="right"/>
              <w:ind w:right="125"/>
              <w:spacing w:after="0"/>
              <w:rPr>
                <w:sz w:val="20"/>
                <w:szCs w:val="20"/>
                <w:color w:val="auto"/>
              </w:rPr>
            </w:pPr>
            <w:r>
              <w:rPr>
                <w:rFonts w:ascii="Arial" w:cs="Arial" w:eastAsia="Arial" w:hAnsi="Arial"/>
                <w:sz w:val="20"/>
                <w:szCs w:val="20"/>
                <w:color w:val="auto"/>
              </w:rPr>
              <w:t>3,061</w:t>
            </w:r>
          </w:p>
        </w:tc>
        <w:tc>
          <w:tcPr>
            <w:tcW w:w="1060" w:type="dxa"/>
            <w:vAlign w:val="bottom"/>
            <w:tcBorders>
              <w:bottom w:val="single" w:sz="8" w:color="0E3C23"/>
            </w:tcBorders>
          </w:tcPr>
          <w:p>
            <w:pPr>
              <w:jc w:val="right"/>
              <w:ind w:right="27"/>
              <w:spacing w:after="0"/>
              <w:rPr>
                <w:sz w:val="20"/>
                <w:szCs w:val="20"/>
                <w:color w:val="auto"/>
              </w:rPr>
            </w:pPr>
            <w:r>
              <w:rPr>
                <w:rFonts w:ascii="Arial" w:cs="Arial" w:eastAsia="Arial" w:hAnsi="Arial"/>
                <w:sz w:val="20"/>
                <w:szCs w:val="20"/>
                <w:color w:val="auto"/>
              </w:rPr>
              <w:t>617,679</w:t>
            </w:r>
          </w:p>
        </w:tc>
        <w:tc>
          <w:tcPr>
            <w:tcW w:w="1000" w:type="dxa"/>
            <w:vAlign w:val="bottom"/>
            <w:tcBorders>
              <w:bottom w:val="single" w:sz="8" w:color="0E3C23"/>
            </w:tcBorders>
          </w:tcPr>
          <w:p>
            <w:pPr>
              <w:jc w:val="right"/>
              <w:ind w:right="128"/>
              <w:spacing w:after="0"/>
              <w:rPr>
                <w:sz w:val="20"/>
                <w:szCs w:val="20"/>
                <w:color w:val="auto"/>
              </w:rPr>
            </w:pPr>
            <w:r>
              <w:rPr>
                <w:rFonts w:ascii="Arial" w:cs="Arial" w:eastAsia="Arial" w:hAnsi="Arial"/>
                <w:sz w:val="20"/>
                <w:szCs w:val="20"/>
                <w:color w:val="auto"/>
              </w:rPr>
              <w:t>18,774</w:t>
            </w:r>
          </w:p>
        </w:tc>
        <w:tc>
          <w:tcPr>
            <w:tcW w:w="1120" w:type="dxa"/>
            <w:vAlign w:val="bottom"/>
            <w:tcBorders>
              <w:bottom w:val="single" w:sz="8" w:color="0E3C23"/>
            </w:tcBorders>
            <w:gridSpan w:val="2"/>
          </w:tcPr>
          <w:p>
            <w:pPr>
              <w:jc w:val="right"/>
              <w:ind w:right="60"/>
              <w:spacing w:after="0"/>
              <w:rPr>
                <w:sz w:val="20"/>
                <w:szCs w:val="20"/>
                <w:color w:val="auto"/>
              </w:rPr>
            </w:pPr>
            <w:r>
              <w:rPr>
                <w:rFonts w:ascii="Arial" w:cs="Arial" w:eastAsia="Arial" w:hAnsi="Arial"/>
                <w:sz w:val="20"/>
                <w:szCs w:val="20"/>
                <w:color w:val="auto"/>
              </w:rPr>
              <w:t>7,576,811</w:t>
            </w:r>
          </w:p>
        </w:tc>
        <w:tc>
          <w:tcPr>
            <w:tcW w:w="0" w:type="dxa"/>
            <w:vAlign w:val="bottom"/>
          </w:tcPr>
          <w:p>
            <w:pPr>
              <w:spacing w:after="0"/>
              <w:rPr>
                <w:sz w:val="1"/>
                <w:szCs w:val="1"/>
                <w:color w:val="auto"/>
              </w:rPr>
            </w:pPr>
          </w:p>
        </w:tc>
      </w:tr>
      <w:tr>
        <w:trPr>
          <w:trHeight w:val="259"/>
        </w:trPr>
        <w:tc>
          <w:tcPr>
            <w:tcW w:w="1440" w:type="dxa"/>
            <w:vAlign w:val="bottom"/>
            <w:tcBorders>
              <w:bottom w:val="single" w:sz="8" w:color="0E3C23"/>
            </w:tcBorders>
          </w:tcPr>
          <w:p>
            <w:pPr>
              <w:spacing w:after="0"/>
              <w:rPr>
                <w:sz w:val="22"/>
                <w:szCs w:val="22"/>
                <w:color w:val="auto"/>
              </w:rPr>
            </w:pPr>
          </w:p>
        </w:tc>
        <w:tc>
          <w:tcPr>
            <w:tcW w:w="1000" w:type="dxa"/>
            <w:vAlign w:val="bottom"/>
            <w:tcBorders>
              <w:bottom w:val="single" w:sz="8" w:color="0E3C23"/>
            </w:tcBorders>
          </w:tcPr>
          <w:p>
            <w:pPr>
              <w:jc w:val="right"/>
              <w:ind w:right="185"/>
              <w:spacing w:after="0"/>
              <w:rPr>
                <w:sz w:val="20"/>
                <w:szCs w:val="20"/>
                <w:color w:val="auto"/>
              </w:rPr>
            </w:pPr>
            <w:r>
              <w:rPr>
                <w:rFonts w:ascii="Arial" w:cs="Arial" w:eastAsia="Arial" w:hAnsi="Arial"/>
                <w:sz w:val="20"/>
                <w:szCs w:val="20"/>
                <w:color w:val="auto"/>
              </w:rPr>
              <w:t>4,063</w:t>
            </w:r>
          </w:p>
        </w:tc>
        <w:tc>
          <w:tcPr>
            <w:tcW w:w="1260" w:type="dxa"/>
            <w:vAlign w:val="bottom"/>
            <w:tcBorders>
              <w:bottom w:val="single" w:sz="8" w:color="0E3C23"/>
            </w:tcBorders>
          </w:tcPr>
          <w:p>
            <w:pPr>
              <w:jc w:val="right"/>
              <w:ind w:right="86"/>
              <w:spacing w:after="0" w:line="259" w:lineRule="exact"/>
              <w:rPr>
                <w:sz w:val="20"/>
                <w:szCs w:val="20"/>
                <w:color w:val="auto"/>
              </w:rPr>
            </w:pPr>
            <w:r>
              <w:rPr>
                <w:rFonts w:ascii="Arial" w:cs="Arial" w:eastAsia="Arial" w:hAnsi="Arial"/>
                <w:sz w:val="20"/>
                <w:szCs w:val="20"/>
                <w:color w:val="auto"/>
              </w:rPr>
              <w:t>8,125</w:t>
            </w:r>
            <w:r>
              <w:rPr>
                <w:rFonts w:ascii="Arial" w:cs="Arial" w:eastAsia="Arial" w:hAnsi="Arial"/>
                <w:sz w:val="25"/>
                <w:szCs w:val="25"/>
                <w:color w:val="auto"/>
                <w:vertAlign w:val="superscript"/>
              </w:rPr>
              <w:t>(4)</w:t>
            </w:r>
          </w:p>
        </w:tc>
        <w:tc>
          <w:tcPr>
            <w:tcW w:w="1020" w:type="dxa"/>
            <w:vAlign w:val="bottom"/>
            <w:tcBorders>
              <w:bottom w:val="single" w:sz="8" w:color="0E3C23"/>
            </w:tcBorders>
          </w:tcPr>
          <w:p>
            <w:pPr>
              <w:jc w:val="right"/>
              <w:ind w:right="23"/>
              <w:spacing w:after="0"/>
              <w:rPr>
                <w:sz w:val="20"/>
                <w:szCs w:val="20"/>
                <w:color w:val="auto"/>
              </w:rPr>
            </w:pPr>
            <w:r>
              <w:rPr>
                <w:rFonts w:ascii="Arial" w:cs="Arial" w:eastAsia="Arial" w:hAnsi="Arial"/>
                <w:sz w:val="20"/>
                <w:szCs w:val="20"/>
                <w:color w:val="auto"/>
              </w:rPr>
              <w:t>150.115</w:t>
            </w:r>
          </w:p>
        </w:tc>
        <w:tc>
          <w:tcPr>
            <w:tcW w:w="1140" w:type="dxa"/>
            <w:vAlign w:val="bottom"/>
            <w:tcBorders>
              <w:bottom w:val="single" w:sz="8" w:color="0E3C23"/>
            </w:tcBorders>
            <w:gridSpan w:val="2"/>
          </w:tcPr>
          <w:p>
            <w:pPr>
              <w:jc w:val="right"/>
              <w:ind w:right="120"/>
              <w:spacing w:after="0"/>
              <w:rPr>
                <w:sz w:val="20"/>
                <w:szCs w:val="20"/>
                <w:color w:val="auto"/>
              </w:rPr>
            </w:pPr>
            <w:r>
              <w:rPr>
                <w:rFonts w:ascii="Arial" w:cs="Arial" w:eastAsia="Arial" w:hAnsi="Arial"/>
                <w:sz w:val="20"/>
                <w:szCs w:val="20"/>
                <w:color w:val="auto"/>
              </w:rPr>
              <w:t>3/7/2033</w:t>
            </w:r>
          </w:p>
        </w:tc>
        <w:tc>
          <w:tcPr>
            <w:tcW w:w="120" w:type="dxa"/>
            <w:vAlign w:val="bottom"/>
            <w:tcBorders>
              <w:bottom w:val="single" w:sz="8" w:color="0E3C23"/>
            </w:tcBorders>
          </w:tcPr>
          <w:p>
            <w:pPr>
              <w:spacing w:after="0"/>
              <w:rPr>
                <w:sz w:val="22"/>
                <w:szCs w:val="22"/>
                <w:color w:val="auto"/>
              </w:rPr>
            </w:pPr>
          </w:p>
        </w:tc>
        <w:tc>
          <w:tcPr>
            <w:tcW w:w="900" w:type="dxa"/>
            <w:vAlign w:val="bottom"/>
            <w:tcBorders>
              <w:bottom w:val="single" w:sz="8" w:color="0E3C23"/>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E3C23"/>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E3C23"/>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E3C23"/>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1440" w:type="dxa"/>
            <w:vAlign w:val="bottom"/>
            <w:tcBorders>
              <w:bottom w:val="single" w:sz="8" w:color="0E3C23"/>
            </w:tcBorders>
          </w:tcPr>
          <w:p>
            <w:pPr>
              <w:spacing w:after="0"/>
              <w:rPr>
                <w:sz w:val="22"/>
                <w:szCs w:val="22"/>
                <w:color w:val="auto"/>
              </w:rPr>
            </w:pPr>
          </w:p>
        </w:tc>
        <w:tc>
          <w:tcPr>
            <w:tcW w:w="1000" w:type="dxa"/>
            <w:vAlign w:val="bottom"/>
            <w:tcBorders>
              <w:bottom w:val="single" w:sz="8" w:color="0E3C23"/>
            </w:tcBorders>
          </w:tcPr>
          <w:p>
            <w:pPr>
              <w:jc w:val="right"/>
              <w:ind w:right="185"/>
              <w:spacing w:after="0"/>
              <w:rPr>
                <w:sz w:val="20"/>
                <w:szCs w:val="20"/>
                <w:color w:val="auto"/>
              </w:rPr>
            </w:pPr>
            <w:r>
              <w:rPr>
                <w:rFonts w:ascii="Arial" w:cs="Arial" w:eastAsia="Arial" w:hAnsi="Arial"/>
                <w:sz w:val="20"/>
                <w:szCs w:val="20"/>
                <w:color w:val="auto"/>
              </w:rPr>
              <w:t>8,573</w:t>
            </w:r>
          </w:p>
        </w:tc>
        <w:tc>
          <w:tcPr>
            <w:tcW w:w="1260" w:type="dxa"/>
            <w:vAlign w:val="bottom"/>
            <w:tcBorders>
              <w:bottom w:val="single" w:sz="8" w:color="0E3C23"/>
            </w:tcBorders>
          </w:tcPr>
          <w:p>
            <w:pPr>
              <w:jc w:val="right"/>
              <w:ind w:right="86"/>
              <w:spacing w:after="0" w:line="259" w:lineRule="exact"/>
              <w:rPr>
                <w:sz w:val="20"/>
                <w:szCs w:val="20"/>
                <w:color w:val="auto"/>
              </w:rPr>
            </w:pPr>
            <w:r>
              <w:rPr>
                <w:rFonts w:ascii="Arial" w:cs="Arial" w:eastAsia="Arial" w:hAnsi="Arial"/>
                <w:sz w:val="20"/>
                <w:szCs w:val="20"/>
                <w:color w:val="auto"/>
              </w:rPr>
              <w:t>4,286</w:t>
            </w:r>
            <w:r>
              <w:rPr>
                <w:rFonts w:ascii="Arial" w:cs="Arial" w:eastAsia="Arial" w:hAnsi="Arial"/>
                <w:sz w:val="25"/>
                <w:szCs w:val="25"/>
                <w:color w:val="auto"/>
                <w:vertAlign w:val="superscript"/>
              </w:rPr>
              <w:t>(5)</w:t>
            </w:r>
          </w:p>
        </w:tc>
        <w:tc>
          <w:tcPr>
            <w:tcW w:w="1020" w:type="dxa"/>
            <w:vAlign w:val="bottom"/>
            <w:tcBorders>
              <w:bottom w:val="single" w:sz="8" w:color="0E3C23"/>
            </w:tcBorders>
          </w:tcPr>
          <w:p>
            <w:pPr>
              <w:jc w:val="right"/>
              <w:ind w:right="23"/>
              <w:spacing w:after="0"/>
              <w:rPr>
                <w:sz w:val="20"/>
                <w:szCs w:val="20"/>
                <w:color w:val="auto"/>
              </w:rPr>
            </w:pPr>
            <w:r>
              <w:rPr>
                <w:rFonts w:ascii="Arial" w:cs="Arial" w:eastAsia="Arial" w:hAnsi="Arial"/>
                <w:sz w:val="20"/>
                <w:szCs w:val="20"/>
                <w:color w:val="auto"/>
              </w:rPr>
              <w:t>145.67</w:t>
            </w:r>
          </w:p>
        </w:tc>
        <w:tc>
          <w:tcPr>
            <w:tcW w:w="1140" w:type="dxa"/>
            <w:vAlign w:val="bottom"/>
            <w:tcBorders>
              <w:bottom w:val="single" w:sz="8" w:color="0E3C23"/>
            </w:tcBorders>
            <w:gridSpan w:val="2"/>
          </w:tcPr>
          <w:p>
            <w:pPr>
              <w:jc w:val="right"/>
              <w:ind w:right="120"/>
              <w:spacing w:after="0"/>
              <w:rPr>
                <w:sz w:val="20"/>
                <w:szCs w:val="20"/>
                <w:color w:val="auto"/>
              </w:rPr>
            </w:pPr>
            <w:r>
              <w:rPr>
                <w:rFonts w:ascii="Arial" w:cs="Arial" w:eastAsia="Arial" w:hAnsi="Arial"/>
                <w:sz w:val="20"/>
                <w:szCs w:val="20"/>
                <w:color w:val="auto"/>
              </w:rPr>
              <w:t>3/1/2032</w:t>
            </w:r>
          </w:p>
        </w:tc>
        <w:tc>
          <w:tcPr>
            <w:tcW w:w="120" w:type="dxa"/>
            <w:vAlign w:val="bottom"/>
            <w:tcBorders>
              <w:bottom w:val="single" w:sz="8" w:color="0E3C23"/>
            </w:tcBorders>
          </w:tcPr>
          <w:p>
            <w:pPr>
              <w:spacing w:after="0"/>
              <w:rPr>
                <w:sz w:val="22"/>
                <w:szCs w:val="22"/>
                <w:color w:val="auto"/>
              </w:rPr>
            </w:pPr>
          </w:p>
        </w:tc>
        <w:tc>
          <w:tcPr>
            <w:tcW w:w="900" w:type="dxa"/>
            <w:vAlign w:val="bottom"/>
            <w:tcBorders>
              <w:bottom w:val="single" w:sz="8" w:color="0E3C23"/>
            </w:tcBorders>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0E3C23"/>
            </w:tcBorders>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0E3C23"/>
            </w:tcBorders>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E3C23"/>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1000" w:type="dxa"/>
            <w:vAlign w:val="bottom"/>
          </w:tcPr>
          <w:p>
            <w:pPr>
              <w:jc w:val="right"/>
              <w:ind w:right="185"/>
              <w:spacing w:after="0"/>
              <w:rPr>
                <w:sz w:val="20"/>
                <w:szCs w:val="20"/>
                <w:color w:val="auto"/>
              </w:rPr>
            </w:pPr>
            <w:r>
              <w:rPr>
                <w:rFonts w:ascii="Arial" w:cs="Arial" w:eastAsia="Arial" w:hAnsi="Arial"/>
                <w:sz w:val="20"/>
                <w:szCs w:val="20"/>
                <w:color w:val="auto"/>
              </w:rPr>
              <w:t>2,319</w:t>
            </w:r>
          </w:p>
        </w:tc>
        <w:tc>
          <w:tcPr>
            <w:tcW w:w="1260" w:type="dxa"/>
            <w:vAlign w:val="bottom"/>
          </w:tcPr>
          <w:p>
            <w:pPr>
              <w:jc w:val="right"/>
              <w:ind w:right="246"/>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3"/>
              <w:spacing w:after="0"/>
              <w:rPr>
                <w:sz w:val="20"/>
                <w:szCs w:val="20"/>
                <w:color w:val="auto"/>
              </w:rPr>
            </w:pPr>
            <w:r>
              <w:rPr>
                <w:rFonts w:ascii="Arial" w:cs="Arial" w:eastAsia="Arial" w:hAnsi="Arial"/>
                <w:sz w:val="20"/>
                <w:szCs w:val="20"/>
                <w:color w:val="auto"/>
              </w:rPr>
              <w:t>110.81</w:t>
            </w: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2/23/2031</w:t>
            </w:r>
          </w:p>
        </w:tc>
        <w:tc>
          <w:tcPr>
            <w:tcW w:w="120" w:type="dxa"/>
            <w:vAlign w:val="bottom"/>
          </w:tcPr>
          <w:p>
            <w:pPr>
              <w:spacing w:after="0"/>
              <w:rPr>
                <w:sz w:val="20"/>
                <w:szCs w:val="20"/>
                <w:color w:val="auto"/>
              </w:rPr>
            </w:pPr>
          </w:p>
        </w:tc>
        <w:tc>
          <w:tcPr>
            <w:tcW w:w="900" w:type="dxa"/>
            <w:vAlign w:val="bottom"/>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1440" w:type="dxa"/>
            <w:vAlign w:val="bottom"/>
            <w:tcBorders>
              <w:bottom w:val="single" w:sz="8" w:color="0E3C23"/>
            </w:tcBorders>
          </w:tcPr>
          <w:p>
            <w:pPr>
              <w:spacing w:after="0" w:line="20" w:lineRule="exact"/>
              <w:rPr>
                <w:sz w:val="1"/>
                <w:szCs w:val="1"/>
                <w:color w:val="auto"/>
              </w:rPr>
            </w:pPr>
          </w:p>
        </w:tc>
        <w:tc>
          <w:tcPr>
            <w:tcW w:w="1000" w:type="dxa"/>
            <w:vAlign w:val="bottom"/>
            <w:tcBorders>
              <w:bottom w:val="single" w:sz="8" w:color="0E3C23"/>
            </w:tcBorders>
          </w:tcPr>
          <w:p>
            <w:pPr>
              <w:spacing w:after="0" w:line="20" w:lineRule="exact"/>
              <w:rPr>
                <w:sz w:val="1"/>
                <w:szCs w:val="1"/>
                <w:color w:val="auto"/>
              </w:rPr>
            </w:pPr>
          </w:p>
        </w:tc>
        <w:tc>
          <w:tcPr>
            <w:tcW w:w="1260" w:type="dxa"/>
            <w:vAlign w:val="bottom"/>
            <w:tcBorders>
              <w:bottom w:val="single" w:sz="8" w:color="0E3C23"/>
            </w:tcBorders>
          </w:tcPr>
          <w:p>
            <w:pPr>
              <w:spacing w:after="0" w:line="20" w:lineRule="exact"/>
              <w:rPr>
                <w:sz w:val="1"/>
                <w:szCs w:val="1"/>
                <w:color w:val="auto"/>
              </w:rPr>
            </w:pPr>
          </w:p>
        </w:tc>
        <w:tc>
          <w:tcPr>
            <w:tcW w:w="1020" w:type="dxa"/>
            <w:vAlign w:val="bottom"/>
            <w:tcBorders>
              <w:bottom w:val="single" w:sz="8" w:color="0E3C23"/>
            </w:tcBorders>
          </w:tcPr>
          <w:p>
            <w:pPr>
              <w:spacing w:after="0" w:line="20" w:lineRule="exact"/>
              <w:rPr>
                <w:sz w:val="1"/>
                <w:szCs w:val="1"/>
                <w:color w:val="auto"/>
              </w:rPr>
            </w:pPr>
          </w:p>
        </w:tc>
        <w:tc>
          <w:tcPr>
            <w:tcW w:w="1140" w:type="dxa"/>
            <w:vAlign w:val="bottom"/>
            <w:tcBorders>
              <w:bottom w:val="single" w:sz="8" w:color="0E3C23"/>
            </w:tcBorders>
            <w:gridSpan w:val="2"/>
          </w:tcPr>
          <w:p>
            <w:pPr>
              <w:spacing w:after="0" w:line="20" w:lineRule="exact"/>
              <w:rPr>
                <w:sz w:val="1"/>
                <w:szCs w:val="1"/>
                <w:color w:val="auto"/>
              </w:rPr>
            </w:pPr>
          </w:p>
        </w:tc>
        <w:tc>
          <w:tcPr>
            <w:tcW w:w="120" w:type="dxa"/>
            <w:vAlign w:val="bottom"/>
            <w:tcBorders>
              <w:bottom w:val="single" w:sz="8" w:color="0E3C23"/>
            </w:tcBorders>
          </w:tcPr>
          <w:p>
            <w:pPr>
              <w:spacing w:after="0" w:line="20" w:lineRule="exact"/>
              <w:rPr>
                <w:sz w:val="1"/>
                <w:szCs w:val="1"/>
                <w:color w:val="auto"/>
              </w:rPr>
            </w:pPr>
          </w:p>
        </w:tc>
        <w:tc>
          <w:tcPr>
            <w:tcW w:w="900" w:type="dxa"/>
            <w:vAlign w:val="bottom"/>
            <w:tcBorders>
              <w:bottom w:val="single" w:sz="8" w:color="0E3C23"/>
            </w:tcBorders>
          </w:tcPr>
          <w:p>
            <w:pPr>
              <w:spacing w:after="0" w:line="20" w:lineRule="exact"/>
              <w:rPr>
                <w:sz w:val="1"/>
                <w:szCs w:val="1"/>
                <w:color w:val="auto"/>
              </w:rPr>
            </w:pPr>
          </w:p>
        </w:tc>
        <w:tc>
          <w:tcPr>
            <w:tcW w:w="1060" w:type="dxa"/>
            <w:vAlign w:val="bottom"/>
            <w:tcBorders>
              <w:bottom w:val="single" w:sz="8" w:color="0E3C23"/>
            </w:tcBorders>
          </w:tcPr>
          <w:p>
            <w:pPr>
              <w:spacing w:after="0" w:line="20" w:lineRule="exact"/>
              <w:rPr>
                <w:sz w:val="1"/>
                <w:szCs w:val="1"/>
                <w:color w:val="auto"/>
              </w:rPr>
            </w:pPr>
          </w:p>
        </w:tc>
        <w:tc>
          <w:tcPr>
            <w:tcW w:w="1000" w:type="dxa"/>
            <w:vAlign w:val="bottom"/>
            <w:tcBorders>
              <w:bottom w:val="single" w:sz="8" w:color="0E3C23"/>
            </w:tcBorders>
          </w:tcPr>
          <w:p>
            <w:pPr>
              <w:spacing w:after="0" w:line="20" w:lineRule="exact"/>
              <w:rPr>
                <w:sz w:val="1"/>
                <w:szCs w:val="1"/>
                <w:color w:val="auto"/>
              </w:rPr>
            </w:pPr>
          </w:p>
        </w:tc>
        <w:tc>
          <w:tcPr>
            <w:tcW w:w="1120" w:type="dxa"/>
            <w:vAlign w:val="bottom"/>
            <w:tcBorders>
              <w:bottom w:val="single" w:sz="8" w:color="0E3C23"/>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1000" w:type="dxa"/>
            <w:vAlign w:val="bottom"/>
          </w:tcPr>
          <w:p>
            <w:pPr>
              <w:jc w:val="right"/>
              <w:ind w:right="185"/>
              <w:spacing w:after="0"/>
              <w:rPr>
                <w:sz w:val="20"/>
                <w:szCs w:val="20"/>
                <w:color w:val="auto"/>
              </w:rPr>
            </w:pPr>
            <w:r>
              <w:rPr>
                <w:rFonts w:ascii="Arial" w:cs="Arial" w:eastAsia="Arial" w:hAnsi="Arial"/>
                <w:sz w:val="20"/>
                <w:szCs w:val="20"/>
                <w:color w:val="auto"/>
              </w:rPr>
              <w:t>2,655</w:t>
            </w:r>
          </w:p>
        </w:tc>
        <w:tc>
          <w:tcPr>
            <w:tcW w:w="1260" w:type="dxa"/>
            <w:vAlign w:val="bottom"/>
          </w:tcPr>
          <w:p>
            <w:pPr>
              <w:jc w:val="right"/>
              <w:ind w:right="246"/>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3"/>
              <w:spacing w:after="0"/>
              <w:rPr>
                <w:sz w:val="20"/>
                <w:szCs w:val="20"/>
                <w:color w:val="auto"/>
              </w:rPr>
            </w:pPr>
            <w:r>
              <w:rPr>
                <w:rFonts w:ascii="Arial" w:cs="Arial" w:eastAsia="Arial" w:hAnsi="Arial"/>
                <w:sz w:val="20"/>
                <w:szCs w:val="20"/>
                <w:color w:val="auto"/>
              </w:rPr>
              <w:t>126.005</w:t>
            </w: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2/19/2030</w:t>
            </w:r>
          </w:p>
        </w:tc>
        <w:tc>
          <w:tcPr>
            <w:tcW w:w="120" w:type="dxa"/>
            <w:vAlign w:val="bottom"/>
          </w:tcPr>
          <w:p>
            <w:pPr>
              <w:spacing w:after="0"/>
              <w:rPr>
                <w:sz w:val="20"/>
                <w:szCs w:val="20"/>
                <w:color w:val="auto"/>
              </w:rPr>
            </w:pPr>
          </w:p>
        </w:tc>
        <w:tc>
          <w:tcPr>
            <w:tcW w:w="900" w:type="dxa"/>
            <w:vAlign w:val="bottom"/>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1440" w:type="dxa"/>
            <w:vAlign w:val="bottom"/>
            <w:tcBorders>
              <w:bottom w:val="single" w:sz="8" w:color="0E3C23"/>
            </w:tcBorders>
          </w:tcPr>
          <w:p>
            <w:pPr>
              <w:spacing w:after="0" w:line="20" w:lineRule="exact"/>
              <w:rPr>
                <w:sz w:val="1"/>
                <w:szCs w:val="1"/>
                <w:color w:val="auto"/>
              </w:rPr>
            </w:pPr>
          </w:p>
        </w:tc>
        <w:tc>
          <w:tcPr>
            <w:tcW w:w="1000" w:type="dxa"/>
            <w:vAlign w:val="bottom"/>
            <w:tcBorders>
              <w:bottom w:val="single" w:sz="8" w:color="0E3C23"/>
            </w:tcBorders>
          </w:tcPr>
          <w:p>
            <w:pPr>
              <w:spacing w:after="0" w:line="20" w:lineRule="exact"/>
              <w:rPr>
                <w:sz w:val="1"/>
                <w:szCs w:val="1"/>
                <w:color w:val="auto"/>
              </w:rPr>
            </w:pPr>
          </w:p>
        </w:tc>
        <w:tc>
          <w:tcPr>
            <w:tcW w:w="1260" w:type="dxa"/>
            <w:vAlign w:val="bottom"/>
            <w:tcBorders>
              <w:bottom w:val="single" w:sz="8" w:color="0E3C23"/>
            </w:tcBorders>
          </w:tcPr>
          <w:p>
            <w:pPr>
              <w:spacing w:after="0" w:line="20" w:lineRule="exact"/>
              <w:rPr>
                <w:sz w:val="1"/>
                <w:szCs w:val="1"/>
                <w:color w:val="auto"/>
              </w:rPr>
            </w:pPr>
          </w:p>
        </w:tc>
        <w:tc>
          <w:tcPr>
            <w:tcW w:w="1020" w:type="dxa"/>
            <w:vAlign w:val="bottom"/>
            <w:tcBorders>
              <w:bottom w:val="single" w:sz="8" w:color="0E3C23"/>
            </w:tcBorders>
          </w:tcPr>
          <w:p>
            <w:pPr>
              <w:spacing w:after="0" w:line="20" w:lineRule="exact"/>
              <w:rPr>
                <w:sz w:val="1"/>
                <w:szCs w:val="1"/>
                <w:color w:val="auto"/>
              </w:rPr>
            </w:pPr>
          </w:p>
        </w:tc>
        <w:tc>
          <w:tcPr>
            <w:tcW w:w="1140" w:type="dxa"/>
            <w:vAlign w:val="bottom"/>
            <w:tcBorders>
              <w:bottom w:val="single" w:sz="8" w:color="0E3C23"/>
            </w:tcBorders>
            <w:gridSpan w:val="2"/>
          </w:tcPr>
          <w:p>
            <w:pPr>
              <w:spacing w:after="0" w:line="20" w:lineRule="exact"/>
              <w:rPr>
                <w:sz w:val="1"/>
                <w:szCs w:val="1"/>
                <w:color w:val="auto"/>
              </w:rPr>
            </w:pPr>
          </w:p>
        </w:tc>
        <w:tc>
          <w:tcPr>
            <w:tcW w:w="120" w:type="dxa"/>
            <w:vAlign w:val="bottom"/>
            <w:tcBorders>
              <w:bottom w:val="single" w:sz="8" w:color="0E3C23"/>
            </w:tcBorders>
          </w:tcPr>
          <w:p>
            <w:pPr>
              <w:spacing w:after="0" w:line="20" w:lineRule="exact"/>
              <w:rPr>
                <w:sz w:val="1"/>
                <w:szCs w:val="1"/>
                <w:color w:val="auto"/>
              </w:rPr>
            </w:pPr>
          </w:p>
        </w:tc>
        <w:tc>
          <w:tcPr>
            <w:tcW w:w="900" w:type="dxa"/>
            <w:vAlign w:val="bottom"/>
            <w:tcBorders>
              <w:bottom w:val="single" w:sz="8" w:color="0E3C23"/>
            </w:tcBorders>
          </w:tcPr>
          <w:p>
            <w:pPr>
              <w:spacing w:after="0" w:line="20" w:lineRule="exact"/>
              <w:rPr>
                <w:sz w:val="1"/>
                <w:szCs w:val="1"/>
                <w:color w:val="auto"/>
              </w:rPr>
            </w:pPr>
          </w:p>
        </w:tc>
        <w:tc>
          <w:tcPr>
            <w:tcW w:w="1060" w:type="dxa"/>
            <w:vAlign w:val="bottom"/>
            <w:tcBorders>
              <w:bottom w:val="single" w:sz="8" w:color="0E3C23"/>
            </w:tcBorders>
          </w:tcPr>
          <w:p>
            <w:pPr>
              <w:spacing w:after="0" w:line="20" w:lineRule="exact"/>
              <w:rPr>
                <w:sz w:val="1"/>
                <w:szCs w:val="1"/>
                <w:color w:val="auto"/>
              </w:rPr>
            </w:pPr>
          </w:p>
        </w:tc>
        <w:tc>
          <w:tcPr>
            <w:tcW w:w="1000" w:type="dxa"/>
            <w:vAlign w:val="bottom"/>
            <w:tcBorders>
              <w:bottom w:val="single" w:sz="8" w:color="0E3C23"/>
            </w:tcBorders>
          </w:tcPr>
          <w:p>
            <w:pPr>
              <w:spacing w:after="0" w:line="20" w:lineRule="exact"/>
              <w:rPr>
                <w:sz w:val="1"/>
                <w:szCs w:val="1"/>
                <w:color w:val="auto"/>
              </w:rPr>
            </w:pPr>
          </w:p>
        </w:tc>
        <w:tc>
          <w:tcPr>
            <w:tcW w:w="1120" w:type="dxa"/>
            <w:vAlign w:val="bottom"/>
            <w:tcBorders>
              <w:bottom w:val="single" w:sz="8" w:color="0E3C23"/>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1000" w:type="dxa"/>
            <w:vAlign w:val="bottom"/>
          </w:tcPr>
          <w:p>
            <w:pPr>
              <w:jc w:val="right"/>
              <w:ind w:right="185"/>
              <w:spacing w:after="0"/>
              <w:rPr>
                <w:sz w:val="20"/>
                <w:szCs w:val="20"/>
                <w:color w:val="auto"/>
              </w:rPr>
            </w:pPr>
            <w:r>
              <w:rPr>
                <w:rFonts w:ascii="Arial" w:cs="Arial" w:eastAsia="Arial" w:hAnsi="Arial"/>
                <w:sz w:val="20"/>
                <w:szCs w:val="20"/>
                <w:color w:val="auto"/>
              </w:rPr>
              <w:t>818</w:t>
            </w:r>
          </w:p>
        </w:tc>
        <w:tc>
          <w:tcPr>
            <w:tcW w:w="1260" w:type="dxa"/>
            <w:vAlign w:val="bottom"/>
          </w:tcPr>
          <w:p>
            <w:pPr>
              <w:jc w:val="right"/>
              <w:ind w:right="246"/>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3"/>
              <w:spacing w:after="0"/>
              <w:rPr>
                <w:sz w:val="20"/>
                <w:szCs w:val="20"/>
                <w:color w:val="auto"/>
              </w:rPr>
            </w:pPr>
            <w:r>
              <w:rPr>
                <w:rFonts w:ascii="Arial" w:cs="Arial" w:eastAsia="Arial" w:hAnsi="Arial"/>
                <w:sz w:val="20"/>
                <w:szCs w:val="20"/>
                <w:color w:val="auto"/>
              </w:rPr>
              <w:t>98.898</w:t>
            </w: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2/19/2029</w:t>
            </w:r>
          </w:p>
        </w:tc>
        <w:tc>
          <w:tcPr>
            <w:tcW w:w="120" w:type="dxa"/>
            <w:vAlign w:val="bottom"/>
          </w:tcPr>
          <w:p>
            <w:pPr>
              <w:spacing w:after="0"/>
              <w:rPr>
                <w:sz w:val="20"/>
                <w:szCs w:val="20"/>
                <w:color w:val="auto"/>
              </w:rPr>
            </w:pPr>
          </w:p>
        </w:tc>
        <w:tc>
          <w:tcPr>
            <w:tcW w:w="900" w:type="dxa"/>
            <w:vAlign w:val="bottom"/>
          </w:tcPr>
          <w:p>
            <w:pPr>
              <w:jc w:val="right"/>
              <w:ind w:right="125"/>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7"/>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28"/>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8"/>
        </w:trPr>
        <w:tc>
          <w:tcPr>
            <w:tcW w:w="1440" w:type="dxa"/>
            <w:vAlign w:val="bottom"/>
            <w:tcBorders>
              <w:bottom w:val="single" w:sz="8" w:color="0E3C23"/>
            </w:tcBorders>
          </w:tcPr>
          <w:p>
            <w:pPr>
              <w:spacing w:after="0"/>
              <w:rPr>
                <w:sz w:val="3"/>
                <w:szCs w:val="3"/>
                <w:color w:val="auto"/>
              </w:rPr>
            </w:pPr>
          </w:p>
        </w:tc>
        <w:tc>
          <w:tcPr>
            <w:tcW w:w="1000" w:type="dxa"/>
            <w:vAlign w:val="bottom"/>
            <w:tcBorders>
              <w:bottom w:val="single" w:sz="8" w:color="0E3C23"/>
            </w:tcBorders>
          </w:tcPr>
          <w:p>
            <w:pPr>
              <w:spacing w:after="0"/>
              <w:rPr>
                <w:sz w:val="3"/>
                <w:szCs w:val="3"/>
                <w:color w:val="auto"/>
              </w:rPr>
            </w:pPr>
          </w:p>
        </w:tc>
        <w:tc>
          <w:tcPr>
            <w:tcW w:w="1260" w:type="dxa"/>
            <w:vAlign w:val="bottom"/>
            <w:tcBorders>
              <w:bottom w:val="single" w:sz="8" w:color="0E3C23"/>
            </w:tcBorders>
          </w:tcPr>
          <w:p>
            <w:pPr>
              <w:spacing w:after="0"/>
              <w:rPr>
                <w:sz w:val="3"/>
                <w:szCs w:val="3"/>
                <w:color w:val="auto"/>
              </w:rPr>
            </w:pPr>
          </w:p>
        </w:tc>
        <w:tc>
          <w:tcPr>
            <w:tcW w:w="1020" w:type="dxa"/>
            <w:vAlign w:val="bottom"/>
            <w:tcBorders>
              <w:bottom w:val="single" w:sz="8" w:color="0E3C23"/>
            </w:tcBorders>
          </w:tcPr>
          <w:p>
            <w:pPr>
              <w:spacing w:after="0"/>
              <w:rPr>
                <w:sz w:val="3"/>
                <w:szCs w:val="3"/>
                <w:color w:val="auto"/>
              </w:rPr>
            </w:pPr>
          </w:p>
        </w:tc>
        <w:tc>
          <w:tcPr>
            <w:tcW w:w="1020" w:type="dxa"/>
            <w:vAlign w:val="bottom"/>
            <w:tcBorders>
              <w:bottom w:val="single" w:sz="8" w:color="0E3C23"/>
            </w:tcBorders>
          </w:tcPr>
          <w:p>
            <w:pPr>
              <w:spacing w:after="0"/>
              <w:rPr>
                <w:sz w:val="3"/>
                <w:szCs w:val="3"/>
                <w:color w:val="auto"/>
              </w:rPr>
            </w:pPr>
          </w:p>
        </w:tc>
        <w:tc>
          <w:tcPr>
            <w:tcW w:w="120" w:type="dxa"/>
            <w:vAlign w:val="bottom"/>
            <w:tcBorders>
              <w:bottom w:val="single" w:sz="8" w:color="0E3C23"/>
            </w:tcBorders>
          </w:tcPr>
          <w:p>
            <w:pPr>
              <w:spacing w:after="0"/>
              <w:rPr>
                <w:sz w:val="3"/>
                <w:szCs w:val="3"/>
                <w:color w:val="auto"/>
              </w:rPr>
            </w:pPr>
          </w:p>
        </w:tc>
        <w:tc>
          <w:tcPr>
            <w:tcW w:w="120" w:type="dxa"/>
            <w:vAlign w:val="bottom"/>
            <w:tcBorders>
              <w:bottom w:val="single" w:sz="8" w:color="0E3C23"/>
            </w:tcBorders>
          </w:tcPr>
          <w:p>
            <w:pPr>
              <w:spacing w:after="0"/>
              <w:rPr>
                <w:sz w:val="3"/>
                <w:szCs w:val="3"/>
                <w:color w:val="auto"/>
              </w:rPr>
            </w:pPr>
          </w:p>
        </w:tc>
        <w:tc>
          <w:tcPr>
            <w:tcW w:w="900" w:type="dxa"/>
            <w:vAlign w:val="bottom"/>
            <w:tcBorders>
              <w:bottom w:val="single" w:sz="8" w:color="0E3C23"/>
            </w:tcBorders>
          </w:tcPr>
          <w:p>
            <w:pPr>
              <w:spacing w:after="0"/>
              <w:rPr>
                <w:sz w:val="3"/>
                <w:szCs w:val="3"/>
                <w:color w:val="auto"/>
              </w:rPr>
            </w:pPr>
          </w:p>
        </w:tc>
        <w:tc>
          <w:tcPr>
            <w:tcW w:w="1060" w:type="dxa"/>
            <w:vAlign w:val="bottom"/>
            <w:tcBorders>
              <w:bottom w:val="single" w:sz="8" w:color="0E3C23"/>
            </w:tcBorders>
          </w:tcPr>
          <w:p>
            <w:pPr>
              <w:spacing w:after="0"/>
              <w:rPr>
                <w:sz w:val="3"/>
                <w:szCs w:val="3"/>
                <w:color w:val="auto"/>
              </w:rPr>
            </w:pPr>
          </w:p>
        </w:tc>
        <w:tc>
          <w:tcPr>
            <w:tcW w:w="1000" w:type="dxa"/>
            <w:vAlign w:val="bottom"/>
            <w:tcBorders>
              <w:bottom w:val="single" w:sz="8" w:color="0E3C23"/>
            </w:tcBorders>
          </w:tcPr>
          <w:p>
            <w:pPr>
              <w:spacing w:after="0"/>
              <w:rPr>
                <w:sz w:val="3"/>
                <w:szCs w:val="3"/>
                <w:color w:val="auto"/>
              </w:rPr>
            </w:pPr>
          </w:p>
        </w:tc>
        <w:tc>
          <w:tcPr>
            <w:tcW w:w="1060" w:type="dxa"/>
            <w:vAlign w:val="bottom"/>
            <w:tcBorders>
              <w:bottom w:val="single" w:sz="8" w:color="0E3C23"/>
            </w:tcBorders>
          </w:tcPr>
          <w:p>
            <w:pPr>
              <w:spacing w:after="0"/>
              <w:rPr>
                <w:sz w:val="3"/>
                <w:szCs w:val="3"/>
                <w:color w:val="auto"/>
              </w:rPr>
            </w:pPr>
          </w:p>
        </w:tc>
        <w:tc>
          <w:tcPr>
            <w:tcW w:w="60" w:type="dxa"/>
            <w:vAlign w:val="bottom"/>
            <w:tcBorders>
              <w:bottom w:val="single" w:sz="8" w:color="0E3C23"/>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580" w:hanging="402"/>
        <w:spacing w:after="0"/>
        <w:tabs>
          <w:tab w:leader="none" w:pos="5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Values are based on the closing price of our Common Stock on December 31, 2024 of $201.79.</w:t>
      </w:r>
    </w:p>
    <w:p>
      <w:pPr>
        <w:spacing w:after="0" w:line="132" w:lineRule="exact"/>
        <w:rPr>
          <w:rFonts w:ascii="Arial" w:cs="Arial" w:eastAsia="Arial" w:hAnsi="Arial"/>
          <w:sz w:val="20"/>
          <w:szCs w:val="20"/>
          <w:color w:val="auto"/>
        </w:rPr>
      </w:pPr>
    </w:p>
    <w:p>
      <w:pPr>
        <w:ind w:left="580" w:right="200" w:hanging="402"/>
        <w:spacing w:after="0" w:line="242" w:lineRule="auto"/>
        <w:tabs>
          <w:tab w:leader="none" w:pos="5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Includes vested stock options granted on February 19, 2019, February 19, 2020, February 23, 2021, March 1, 2022 and March 7, 2023 pursuant to our 2014 Stock Incentive Plan.</w:t>
      </w:r>
    </w:p>
    <w:p>
      <w:pPr>
        <w:spacing w:after="0" w:line="132" w:lineRule="exact"/>
        <w:rPr>
          <w:rFonts w:ascii="Arial" w:cs="Arial" w:eastAsia="Arial" w:hAnsi="Arial"/>
          <w:sz w:val="20"/>
          <w:szCs w:val="20"/>
          <w:color w:val="auto"/>
        </w:rPr>
      </w:pPr>
    </w:p>
    <w:p>
      <w:pPr>
        <w:ind w:left="580" w:right="200" w:hanging="402"/>
        <w:spacing w:after="0" w:line="244" w:lineRule="auto"/>
        <w:tabs>
          <w:tab w:leader="none" w:pos="5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Includes stock options granted on March 1, 2024 that vest ratably in three annual increments, beginning on the first anniversary of the date of grant.</w:t>
      </w:r>
    </w:p>
    <w:p>
      <w:pPr>
        <w:spacing w:after="0" w:line="131" w:lineRule="exact"/>
        <w:rPr>
          <w:rFonts w:ascii="Arial" w:cs="Arial" w:eastAsia="Arial" w:hAnsi="Arial"/>
          <w:sz w:val="20"/>
          <w:szCs w:val="20"/>
          <w:color w:val="auto"/>
        </w:rPr>
      </w:pPr>
    </w:p>
    <w:p>
      <w:pPr>
        <w:ind w:left="580" w:right="200" w:hanging="402"/>
        <w:spacing w:after="0" w:line="244" w:lineRule="auto"/>
        <w:tabs>
          <w:tab w:leader="none" w:pos="5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Includes stock options granted on March 7, 2023 that vest ratably in three annual increments, beginning on the first anniversary of the date of grant.</w:t>
      </w:r>
    </w:p>
    <w:p>
      <w:pPr>
        <w:spacing w:after="0" w:line="200" w:lineRule="exact"/>
        <w:rPr>
          <w:sz w:val="20"/>
          <w:szCs w:val="20"/>
          <w:color w:val="auto"/>
        </w:rPr>
      </w:pPr>
    </w:p>
    <w:p>
      <w:pPr>
        <w:spacing w:after="0" w:line="223"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43">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44">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sectPr>
      </w:pPr>
    </w:p>
    <w:bookmarkStart w:id="58" w:name="page59"/>
    <w:bookmarkEnd w:id="58"/>
    <w:p>
      <w:pPr>
        <w:ind w:left="798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279" w:lineRule="exact"/>
        <w:rPr>
          <w:sz w:val="20"/>
          <w:szCs w:val="20"/>
          <w:color w:val="auto"/>
        </w:rPr>
      </w:pPr>
    </w:p>
    <w:p>
      <w:pPr>
        <w:ind w:left="580" w:right="200" w:hanging="402"/>
        <w:spacing w:after="0" w:line="244" w:lineRule="auto"/>
        <w:tabs>
          <w:tab w:leader="none" w:pos="5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Includes stock options granted on March 1, 2022 that vest ratably in three annual increments, beginning on the first anniversary of the date of grant.</w:t>
      </w:r>
    </w:p>
    <w:p>
      <w:pPr>
        <w:spacing w:after="0" w:line="131" w:lineRule="exact"/>
        <w:rPr>
          <w:rFonts w:ascii="Arial" w:cs="Arial" w:eastAsia="Arial" w:hAnsi="Arial"/>
          <w:sz w:val="20"/>
          <w:szCs w:val="20"/>
          <w:color w:val="auto"/>
        </w:rPr>
      </w:pPr>
    </w:p>
    <w:p>
      <w:pPr>
        <w:ind w:left="580" w:right="200" w:hanging="402"/>
        <w:spacing w:after="0" w:line="244" w:lineRule="auto"/>
        <w:tabs>
          <w:tab w:leader="none" w:pos="579"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Includes RSUs granted on March 1, 2022 under our 2014 Stock Incentive Plan that vest in full on the third anniversary of the date of grant.</w:t>
      </w:r>
    </w:p>
    <w:p>
      <w:pPr>
        <w:spacing w:after="0" w:line="131" w:lineRule="exact"/>
        <w:rPr>
          <w:rFonts w:ascii="Arial" w:cs="Arial" w:eastAsia="Arial" w:hAnsi="Arial"/>
          <w:sz w:val="20"/>
          <w:szCs w:val="20"/>
          <w:color w:val="auto"/>
        </w:rPr>
      </w:pPr>
    </w:p>
    <w:p>
      <w:pPr>
        <w:jc w:val="both"/>
        <w:ind w:left="580" w:right="200" w:hanging="402"/>
        <w:spacing w:after="0" w:line="277"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PSUs with three-year performance periods ending December 31, 2025 and December 31, 2026. Payouts on PSUs are made after the Company’s financial results for the performance period are reported and the MD&amp;C Committee determines achievement of performance results and corresponding vesting during the first quarter of the succeeding year. The PSUs for the performance period ended December 31, 2024 are not included in the table as they are considered earned as of December 31, 2024 for proxy statement disclosure purposes; instead, such PSUs are included in the Option Exercises and Stock Vested table below. Pursuant to SEC disclosure instructions, because the Company’s performance on the metrics governing our PSUs with the performance period ended December 31, 2024 exceeded target, the payout value of unearned awards is calculated assuming maximum performance criteria is achieved. The following number of PSUs have a performance period ending December 31, 2025: Mr. Fish — 51,316;</w:t>
      </w:r>
    </w:p>
    <w:p>
      <w:pPr>
        <w:spacing w:after="0" w:line="5" w:lineRule="exact"/>
        <w:rPr>
          <w:sz w:val="20"/>
          <w:szCs w:val="20"/>
          <w:color w:val="auto"/>
        </w:rPr>
      </w:pPr>
    </w:p>
    <w:p>
      <w:pPr>
        <w:jc w:val="both"/>
        <w:ind w:left="580" w:right="200"/>
        <w:spacing w:after="0" w:line="246" w:lineRule="auto"/>
        <w:rPr>
          <w:sz w:val="20"/>
          <w:szCs w:val="20"/>
          <w:color w:val="auto"/>
        </w:rPr>
      </w:pPr>
      <w:r>
        <w:rPr>
          <w:rFonts w:ascii="Arial" w:cs="Arial" w:eastAsia="Arial" w:hAnsi="Arial"/>
          <w:sz w:val="20"/>
          <w:szCs w:val="20"/>
          <w:color w:val="auto"/>
        </w:rPr>
        <w:t>Ms. Rankin — 12,106; Mr. Morris — 14,210; Ms. Hemmer — 9,474; and Mr. Carrasco — 10,526. The following number of PSUs have a performance period ending December 31, 2026: Mr. Fish — 40,206; Ms. Rankin — 9,484; Mr. Morris — 12,164; and Ms. Hemmer — 8,248; and Mr. Carrasco — 8,248.</w:t>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Option Exercises and Stock Vested</w:t>
      </w:r>
    </w:p>
    <w:p>
      <w:pPr>
        <w:spacing w:after="0" w:line="137"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3440" w:type="dxa"/>
            <w:vAlign w:val="bottom"/>
            <w:gridSpan w:val="3"/>
          </w:tcPr>
          <w:p>
            <w:pPr>
              <w:ind w:left="1140"/>
              <w:spacing w:after="0"/>
              <w:rPr>
                <w:sz w:val="20"/>
                <w:szCs w:val="20"/>
                <w:color w:val="auto"/>
              </w:rPr>
            </w:pPr>
            <w:r>
              <w:rPr>
                <w:rFonts w:ascii="Arial" w:cs="Arial" w:eastAsia="Arial" w:hAnsi="Arial"/>
                <w:sz w:val="16"/>
                <w:szCs w:val="16"/>
                <w:b w:val="1"/>
                <w:bCs w:val="1"/>
                <w:color w:val="0E3C23"/>
              </w:rPr>
              <w:t>Option Awards</w:t>
            </w:r>
          </w:p>
        </w:tc>
        <w:tc>
          <w:tcPr>
            <w:tcW w:w="120" w:type="dxa"/>
            <w:vAlign w:val="bottom"/>
          </w:tcPr>
          <w:p>
            <w:pPr>
              <w:spacing w:after="0"/>
              <w:rPr>
                <w:sz w:val="16"/>
                <w:szCs w:val="16"/>
                <w:color w:val="auto"/>
              </w:rPr>
            </w:pPr>
          </w:p>
        </w:tc>
        <w:tc>
          <w:tcPr>
            <w:tcW w:w="3340" w:type="dxa"/>
            <w:vAlign w:val="bottom"/>
            <w:gridSpan w:val="3"/>
          </w:tcPr>
          <w:p>
            <w:pPr>
              <w:ind w:left="1140"/>
              <w:spacing w:after="0"/>
              <w:rPr>
                <w:sz w:val="20"/>
                <w:szCs w:val="20"/>
                <w:color w:val="auto"/>
              </w:rPr>
            </w:pPr>
            <w:r>
              <w:rPr>
                <w:rFonts w:ascii="Arial" w:cs="Arial" w:eastAsia="Arial" w:hAnsi="Arial"/>
                <w:sz w:val="16"/>
                <w:szCs w:val="16"/>
                <w:b w:val="1"/>
                <w:bCs w:val="1"/>
                <w:color w:val="0E3C23"/>
              </w:rPr>
              <w:t>Stock Awards</w:t>
            </w:r>
          </w:p>
        </w:tc>
      </w:tr>
      <w:tr>
        <w:trPr>
          <w:trHeight w:val="48"/>
        </w:trPr>
        <w:tc>
          <w:tcPr>
            <w:tcW w:w="3160" w:type="dxa"/>
            <w:vAlign w:val="bottom"/>
          </w:tcPr>
          <w:p>
            <w:pPr>
              <w:spacing w:after="0"/>
              <w:rPr>
                <w:sz w:val="4"/>
                <w:szCs w:val="4"/>
                <w:color w:val="auto"/>
              </w:rPr>
            </w:pPr>
          </w:p>
        </w:tc>
        <w:tc>
          <w:tcPr>
            <w:tcW w:w="1940" w:type="dxa"/>
            <w:vAlign w:val="bottom"/>
            <w:tcBorders>
              <w:bottom w:val="single" w:sz="8" w:color="0E3C23"/>
            </w:tcBorders>
          </w:tcPr>
          <w:p>
            <w:pPr>
              <w:spacing w:after="0"/>
              <w:rPr>
                <w:sz w:val="4"/>
                <w:szCs w:val="4"/>
                <w:color w:val="auto"/>
              </w:rPr>
            </w:pPr>
          </w:p>
        </w:tc>
        <w:tc>
          <w:tcPr>
            <w:tcW w:w="1380" w:type="dxa"/>
            <w:vAlign w:val="bottom"/>
            <w:tcBorders>
              <w:bottom w:val="single" w:sz="8" w:color="0E3C23"/>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tcBorders>
              <w:bottom w:val="single" w:sz="8" w:color="0E3C23"/>
            </w:tcBorders>
          </w:tcPr>
          <w:p>
            <w:pPr>
              <w:spacing w:after="0"/>
              <w:rPr>
                <w:sz w:val="4"/>
                <w:szCs w:val="4"/>
                <w:color w:val="auto"/>
              </w:rPr>
            </w:pPr>
          </w:p>
        </w:tc>
        <w:tc>
          <w:tcPr>
            <w:tcW w:w="1380" w:type="dxa"/>
            <w:vAlign w:val="bottom"/>
            <w:tcBorders>
              <w:bottom w:val="single" w:sz="8" w:color="0E3C23"/>
            </w:tcBorders>
          </w:tcPr>
          <w:p>
            <w:pPr>
              <w:spacing w:after="0"/>
              <w:rPr>
                <w:sz w:val="4"/>
                <w:szCs w:val="4"/>
                <w:color w:val="auto"/>
              </w:rPr>
            </w:pPr>
          </w:p>
        </w:tc>
        <w:tc>
          <w:tcPr>
            <w:tcW w:w="60" w:type="dxa"/>
            <w:vAlign w:val="bottom"/>
          </w:tcPr>
          <w:p>
            <w:pPr>
              <w:spacing w:after="0"/>
              <w:rPr>
                <w:sz w:val="4"/>
                <w:szCs w:val="4"/>
                <w:color w:val="auto"/>
              </w:rPr>
            </w:pPr>
          </w:p>
        </w:tc>
      </w:tr>
      <w:tr>
        <w:trPr>
          <w:trHeight w:val="174"/>
        </w:trPr>
        <w:tc>
          <w:tcPr>
            <w:tcW w:w="3160" w:type="dxa"/>
            <w:vAlign w:val="bottom"/>
          </w:tcPr>
          <w:p>
            <w:pPr>
              <w:spacing w:after="0"/>
              <w:rPr>
                <w:sz w:val="15"/>
                <w:szCs w:val="15"/>
                <w:color w:val="auto"/>
              </w:rPr>
            </w:pPr>
          </w:p>
        </w:tc>
        <w:tc>
          <w:tcPr>
            <w:tcW w:w="1940" w:type="dxa"/>
            <w:vAlign w:val="bottom"/>
          </w:tcPr>
          <w:p>
            <w:pPr>
              <w:jc w:val="right"/>
              <w:ind w:right="28"/>
              <w:spacing w:after="0" w:line="175" w:lineRule="exact"/>
              <w:rPr>
                <w:sz w:val="20"/>
                <w:szCs w:val="20"/>
                <w:color w:val="auto"/>
              </w:rPr>
            </w:pPr>
            <w:r>
              <w:rPr>
                <w:rFonts w:ascii="Arial" w:cs="Arial" w:eastAsia="Arial" w:hAnsi="Arial"/>
                <w:sz w:val="16"/>
                <w:szCs w:val="16"/>
                <w:b w:val="1"/>
                <w:bCs w:val="1"/>
                <w:color w:val="0E3C23"/>
              </w:rPr>
              <w:t>Number of Shares</w:t>
            </w:r>
          </w:p>
        </w:tc>
        <w:tc>
          <w:tcPr>
            <w:tcW w:w="1500" w:type="dxa"/>
            <w:vAlign w:val="bottom"/>
            <w:gridSpan w:val="2"/>
          </w:tcPr>
          <w:p>
            <w:pPr>
              <w:jc w:val="right"/>
              <w:ind w:right="120"/>
              <w:spacing w:after="0" w:line="175" w:lineRule="exact"/>
              <w:rPr>
                <w:sz w:val="20"/>
                <w:szCs w:val="20"/>
                <w:color w:val="auto"/>
              </w:rPr>
            </w:pPr>
            <w:r>
              <w:rPr>
                <w:rFonts w:ascii="Arial" w:cs="Arial" w:eastAsia="Arial" w:hAnsi="Arial"/>
                <w:sz w:val="16"/>
                <w:szCs w:val="16"/>
                <w:b w:val="1"/>
                <w:bCs w:val="1"/>
                <w:color w:val="0E3C23"/>
                <w:w w:val="99"/>
              </w:rPr>
              <w:t>Value Realized on</w:t>
            </w:r>
          </w:p>
        </w:tc>
        <w:tc>
          <w:tcPr>
            <w:tcW w:w="120" w:type="dxa"/>
            <w:vAlign w:val="bottom"/>
          </w:tcPr>
          <w:p>
            <w:pPr>
              <w:spacing w:after="0"/>
              <w:rPr>
                <w:sz w:val="15"/>
                <w:szCs w:val="15"/>
                <w:color w:val="auto"/>
              </w:rPr>
            </w:pPr>
          </w:p>
        </w:tc>
        <w:tc>
          <w:tcPr>
            <w:tcW w:w="1900" w:type="dxa"/>
            <w:vAlign w:val="bottom"/>
          </w:tcPr>
          <w:p>
            <w:pPr>
              <w:ind w:left="500"/>
              <w:spacing w:after="0" w:line="175" w:lineRule="exact"/>
              <w:rPr>
                <w:sz w:val="20"/>
                <w:szCs w:val="20"/>
                <w:color w:val="auto"/>
              </w:rPr>
            </w:pPr>
            <w:r>
              <w:rPr>
                <w:rFonts w:ascii="Arial" w:cs="Arial" w:eastAsia="Arial" w:hAnsi="Arial"/>
                <w:sz w:val="16"/>
                <w:szCs w:val="16"/>
                <w:b w:val="1"/>
                <w:bCs w:val="1"/>
                <w:color w:val="0E3C23"/>
              </w:rPr>
              <w:t>Number of Shares</w:t>
            </w:r>
          </w:p>
        </w:tc>
        <w:tc>
          <w:tcPr>
            <w:tcW w:w="1440" w:type="dxa"/>
            <w:vAlign w:val="bottom"/>
            <w:gridSpan w:val="2"/>
          </w:tcPr>
          <w:p>
            <w:pPr>
              <w:jc w:val="right"/>
              <w:ind w:right="60"/>
              <w:spacing w:after="0" w:line="175" w:lineRule="exact"/>
              <w:rPr>
                <w:sz w:val="20"/>
                <w:szCs w:val="20"/>
                <w:color w:val="auto"/>
              </w:rPr>
            </w:pPr>
            <w:r>
              <w:rPr>
                <w:rFonts w:ascii="Arial" w:cs="Arial" w:eastAsia="Arial" w:hAnsi="Arial"/>
                <w:sz w:val="16"/>
                <w:szCs w:val="16"/>
                <w:b w:val="1"/>
                <w:bCs w:val="1"/>
                <w:color w:val="0E3C23"/>
                <w:w w:val="99"/>
              </w:rPr>
              <w:t>Value Realized on</w:t>
            </w:r>
          </w:p>
        </w:tc>
      </w:tr>
      <w:tr>
        <w:trPr>
          <w:trHeight w:val="237"/>
        </w:trPr>
        <w:tc>
          <w:tcPr>
            <w:tcW w:w="3160" w:type="dxa"/>
            <w:vAlign w:val="bottom"/>
            <w:tcBorders>
              <w:bottom w:val="single" w:sz="8" w:color="0E3C23"/>
            </w:tcBorders>
          </w:tcPr>
          <w:p>
            <w:pPr>
              <w:ind w:left="60"/>
              <w:spacing w:after="0"/>
              <w:rPr>
                <w:sz w:val="20"/>
                <w:szCs w:val="20"/>
                <w:color w:val="auto"/>
              </w:rPr>
            </w:pPr>
            <w:r>
              <w:rPr>
                <w:rFonts w:ascii="Arial" w:cs="Arial" w:eastAsia="Arial" w:hAnsi="Arial"/>
                <w:sz w:val="16"/>
                <w:szCs w:val="16"/>
                <w:b w:val="1"/>
                <w:bCs w:val="1"/>
                <w:color w:val="0E3C23"/>
              </w:rPr>
              <w:t>Name</w:t>
            </w:r>
          </w:p>
        </w:tc>
        <w:tc>
          <w:tcPr>
            <w:tcW w:w="1940" w:type="dxa"/>
            <w:vAlign w:val="bottom"/>
            <w:tcBorders>
              <w:bottom w:val="single" w:sz="8" w:color="0E3C23"/>
            </w:tcBorders>
          </w:tcPr>
          <w:p>
            <w:pPr>
              <w:jc w:val="right"/>
              <w:ind w:right="28"/>
              <w:spacing w:after="0"/>
              <w:rPr>
                <w:sz w:val="20"/>
                <w:szCs w:val="20"/>
                <w:color w:val="auto"/>
              </w:rPr>
            </w:pPr>
            <w:r>
              <w:rPr>
                <w:rFonts w:ascii="Arial" w:cs="Arial" w:eastAsia="Arial" w:hAnsi="Arial"/>
                <w:sz w:val="16"/>
                <w:szCs w:val="16"/>
                <w:b w:val="1"/>
                <w:bCs w:val="1"/>
                <w:color w:val="0E3C23"/>
                <w:w w:val="90"/>
              </w:rPr>
              <w:t>Acquired on Exercise(#)</w:t>
            </w:r>
            <w:r>
              <w:rPr>
                <w:rFonts w:ascii="Arial" w:cs="Arial" w:eastAsia="Arial" w:hAnsi="Arial"/>
                <w:sz w:val="19"/>
                <w:szCs w:val="19"/>
                <w:b w:val="1"/>
                <w:bCs w:val="1"/>
                <w:color w:val="0E3C23"/>
                <w:w w:val="90"/>
                <w:vertAlign w:val="superscript"/>
              </w:rPr>
              <w:t>(1)</w:t>
            </w:r>
          </w:p>
        </w:tc>
        <w:tc>
          <w:tcPr>
            <w:tcW w:w="1500" w:type="dxa"/>
            <w:vAlign w:val="bottom"/>
            <w:tcBorders>
              <w:bottom w:val="single" w:sz="8" w:color="0E3C23"/>
            </w:tcBorders>
            <w:gridSpan w:val="2"/>
          </w:tcPr>
          <w:p>
            <w:pPr>
              <w:jc w:val="right"/>
              <w:ind w:right="120"/>
              <w:spacing w:after="0"/>
              <w:rPr>
                <w:sz w:val="20"/>
                <w:szCs w:val="20"/>
                <w:color w:val="auto"/>
              </w:rPr>
            </w:pPr>
            <w:r>
              <w:rPr>
                <w:rFonts w:ascii="Arial" w:cs="Arial" w:eastAsia="Arial" w:hAnsi="Arial"/>
                <w:sz w:val="16"/>
                <w:szCs w:val="16"/>
                <w:b w:val="1"/>
                <w:bCs w:val="1"/>
                <w:color w:val="0E3C23"/>
              </w:rPr>
              <w:t>Exercise ($)</w:t>
            </w:r>
          </w:p>
        </w:tc>
        <w:tc>
          <w:tcPr>
            <w:tcW w:w="2020" w:type="dxa"/>
            <w:vAlign w:val="bottom"/>
            <w:tcBorders>
              <w:bottom w:val="single" w:sz="8" w:color="0E3C23"/>
            </w:tcBorders>
            <w:gridSpan w:val="2"/>
          </w:tcPr>
          <w:p>
            <w:pPr>
              <w:jc w:val="center"/>
              <w:spacing w:after="0"/>
              <w:rPr>
                <w:sz w:val="20"/>
                <w:szCs w:val="20"/>
                <w:color w:val="auto"/>
              </w:rPr>
            </w:pPr>
            <w:r>
              <w:rPr>
                <w:rFonts w:ascii="Arial" w:cs="Arial" w:eastAsia="Arial" w:hAnsi="Arial"/>
                <w:sz w:val="16"/>
                <w:szCs w:val="16"/>
                <w:b w:val="1"/>
                <w:bCs w:val="1"/>
                <w:color w:val="0E3C23"/>
                <w:w w:val="91"/>
              </w:rPr>
              <w:t>Acquired on Vesting (#)</w:t>
            </w:r>
            <w:r>
              <w:rPr>
                <w:rFonts w:ascii="Arial" w:cs="Arial" w:eastAsia="Arial" w:hAnsi="Arial"/>
                <w:sz w:val="19"/>
                <w:szCs w:val="19"/>
                <w:b w:val="1"/>
                <w:bCs w:val="1"/>
                <w:color w:val="0E3C23"/>
                <w:w w:val="91"/>
                <w:vertAlign w:val="superscript"/>
              </w:rPr>
              <w:t>(2)</w:t>
            </w:r>
          </w:p>
        </w:tc>
        <w:tc>
          <w:tcPr>
            <w:tcW w:w="1440" w:type="dxa"/>
            <w:vAlign w:val="bottom"/>
            <w:tcBorders>
              <w:bottom w:val="single" w:sz="8" w:color="0E3C23"/>
            </w:tcBorders>
            <w:gridSpan w:val="2"/>
          </w:tcPr>
          <w:p>
            <w:pPr>
              <w:jc w:val="right"/>
              <w:ind w:right="60"/>
              <w:spacing w:after="0"/>
              <w:rPr>
                <w:sz w:val="20"/>
                <w:szCs w:val="20"/>
                <w:color w:val="auto"/>
              </w:rPr>
            </w:pPr>
            <w:r>
              <w:rPr>
                <w:rFonts w:ascii="Arial" w:cs="Arial" w:eastAsia="Arial" w:hAnsi="Arial"/>
                <w:sz w:val="16"/>
                <w:szCs w:val="16"/>
                <w:b w:val="1"/>
                <w:bCs w:val="1"/>
                <w:color w:val="0E3C23"/>
              </w:rPr>
              <w:t>Vesting ($)</w:t>
            </w:r>
            <w:r>
              <w:rPr>
                <w:rFonts w:ascii="Arial" w:cs="Arial" w:eastAsia="Arial" w:hAnsi="Arial"/>
                <w:sz w:val="19"/>
                <w:szCs w:val="19"/>
                <w:b w:val="1"/>
                <w:bCs w:val="1"/>
                <w:color w:val="0E3C23"/>
                <w:vertAlign w:val="superscript"/>
              </w:rPr>
              <w:t>(2)</w:t>
            </w:r>
          </w:p>
        </w:tc>
      </w:tr>
      <w:tr>
        <w:trPr>
          <w:trHeight w:val="261"/>
        </w:trPr>
        <w:tc>
          <w:tcPr>
            <w:tcW w:w="3160" w:type="dxa"/>
            <w:vAlign w:val="bottom"/>
          </w:tcPr>
          <w:p>
            <w:pPr>
              <w:ind w:left="60"/>
              <w:spacing w:after="0"/>
              <w:rPr>
                <w:sz w:val="20"/>
                <w:szCs w:val="20"/>
                <w:color w:val="auto"/>
              </w:rPr>
            </w:pPr>
            <w:r>
              <w:rPr>
                <w:rFonts w:ascii="Arial" w:cs="Arial" w:eastAsia="Arial" w:hAnsi="Arial"/>
                <w:sz w:val="20"/>
                <w:szCs w:val="20"/>
                <w:b w:val="1"/>
                <w:bCs w:val="1"/>
                <w:color w:val="auto"/>
              </w:rPr>
              <w:t>James C. Fish, Jr.</w:t>
            </w:r>
          </w:p>
        </w:tc>
        <w:tc>
          <w:tcPr>
            <w:tcW w:w="1940" w:type="dxa"/>
            <w:vAlign w:val="bottom"/>
          </w:tcPr>
          <w:p>
            <w:pPr>
              <w:jc w:val="right"/>
              <w:ind w:right="648"/>
              <w:spacing w:after="0"/>
              <w:rPr>
                <w:sz w:val="20"/>
                <w:szCs w:val="20"/>
                <w:color w:val="auto"/>
              </w:rPr>
            </w:pPr>
            <w:r>
              <w:rPr>
                <w:rFonts w:ascii="Arial" w:cs="Arial" w:eastAsia="Arial" w:hAnsi="Arial"/>
                <w:sz w:val="20"/>
                <w:szCs w:val="20"/>
                <w:color w:val="auto"/>
              </w:rPr>
              <w:t>96,780</w:t>
            </w:r>
          </w:p>
        </w:tc>
        <w:tc>
          <w:tcPr>
            <w:tcW w:w="1380" w:type="dxa"/>
            <w:vAlign w:val="bottom"/>
          </w:tcPr>
          <w:p>
            <w:pPr>
              <w:jc w:val="right"/>
              <w:ind w:right="126"/>
              <w:spacing w:after="0"/>
              <w:rPr>
                <w:sz w:val="20"/>
                <w:szCs w:val="20"/>
                <w:color w:val="auto"/>
              </w:rPr>
            </w:pPr>
            <w:r>
              <w:rPr>
                <w:rFonts w:ascii="Arial" w:cs="Arial" w:eastAsia="Arial" w:hAnsi="Arial"/>
                <w:sz w:val="20"/>
                <w:szCs w:val="20"/>
                <w:color w:val="auto"/>
              </w:rPr>
              <w:t>7,776,604</w:t>
            </w:r>
          </w:p>
        </w:tc>
        <w:tc>
          <w:tcPr>
            <w:tcW w:w="120" w:type="dxa"/>
            <w:vAlign w:val="bottom"/>
          </w:tcPr>
          <w:p>
            <w:pPr>
              <w:spacing w:after="0"/>
              <w:rPr>
                <w:sz w:val="22"/>
                <w:szCs w:val="22"/>
                <w:color w:val="auto"/>
              </w:rPr>
            </w:pPr>
          </w:p>
        </w:tc>
        <w:tc>
          <w:tcPr>
            <w:tcW w:w="2020" w:type="dxa"/>
            <w:vAlign w:val="bottom"/>
            <w:gridSpan w:val="2"/>
          </w:tcPr>
          <w:p>
            <w:pPr>
              <w:jc w:val="center"/>
              <w:spacing w:after="0"/>
              <w:rPr>
                <w:sz w:val="20"/>
                <w:szCs w:val="20"/>
                <w:color w:val="auto"/>
              </w:rPr>
            </w:pPr>
            <w:r>
              <w:rPr>
                <w:rFonts w:ascii="Arial" w:cs="Arial" w:eastAsia="Arial" w:hAnsi="Arial"/>
                <w:sz w:val="20"/>
                <w:szCs w:val="20"/>
                <w:color w:val="auto"/>
                <w:w w:val="94"/>
              </w:rPr>
              <w:t>72,092</w:t>
            </w:r>
          </w:p>
        </w:tc>
        <w:tc>
          <w:tcPr>
            <w:tcW w:w="1380" w:type="dxa"/>
            <w:vAlign w:val="bottom"/>
          </w:tcPr>
          <w:p>
            <w:pPr>
              <w:jc w:val="right"/>
              <w:ind w:right="66"/>
              <w:spacing w:after="0"/>
              <w:rPr>
                <w:sz w:val="20"/>
                <w:szCs w:val="20"/>
                <w:color w:val="auto"/>
              </w:rPr>
            </w:pPr>
            <w:r>
              <w:rPr>
                <w:rFonts w:ascii="Arial" w:cs="Arial" w:eastAsia="Arial" w:hAnsi="Arial"/>
                <w:sz w:val="20"/>
                <w:szCs w:val="20"/>
                <w:color w:val="auto"/>
              </w:rPr>
              <w:t>15,768,251</w:t>
            </w:r>
          </w:p>
        </w:tc>
        <w:tc>
          <w:tcPr>
            <w:tcW w:w="60" w:type="dxa"/>
            <w:vAlign w:val="bottom"/>
          </w:tcPr>
          <w:p>
            <w:pPr>
              <w:spacing w:after="0"/>
              <w:rPr>
                <w:sz w:val="22"/>
                <w:szCs w:val="22"/>
                <w:color w:val="auto"/>
              </w:rPr>
            </w:pPr>
          </w:p>
        </w:tc>
      </w:tr>
      <w:tr>
        <w:trPr>
          <w:trHeight w:val="29"/>
        </w:trPr>
        <w:tc>
          <w:tcPr>
            <w:tcW w:w="3160" w:type="dxa"/>
            <w:vAlign w:val="bottom"/>
            <w:tcBorders>
              <w:bottom w:val="single" w:sz="8" w:color="0E3C23"/>
            </w:tcBorders>
          </w:tcPr>
          <w:p>
            <w:pPr>
              <w:spacing w:after="0"/>
              <w:rPr>
                <w:sz w:val="2"/>
                <w:szCs w:val="2"/>
                <w:color w:val="auto"/>
              </w:rPr>
            </w:pPr>
          </w:p>
        </w:tc>
        <w:tc>
          <w:tcPr>
            <w:tcW w:w="1940" w:type="dxa"/>
            <w:vAlign w:val="bottom"/>
            <w:tcBorders>
              <w:bottom w:val="single" w:sz="8" w:color="0E3C23"/>
            </w:tcBorders>
          </w:tcPr>
          <w:p>
            <w:pPr>
              <w:spacing w:after="0"/>
              <w:rPr>
                <w:sz w:val="2"/>
                <w:szCs w:val="2"/>
                <w:color w:val="auto"/>
              </w:rPr>
            </w:pPr>
          </w:p>
        </w:tc>
        <w:tc>
          <w:tcPr>
            <w:tcW w:w="1500" w:type="dxa"/>
            <w:vAlign w:val="bottom"/>
            <w:tcBorders>
              <w:bottom w:val="single" w:sz="8" w:color="0E3C23"/>
            </w:tcBorders>
            <w:gridSpan w:val="2"/>
          </w:tcPr>
          <w:p>
            <w:pPr>
              <w:spacing w:after="0"/>
              <w:rPr>
                <w:sz w:val="2"/>
                <w:szCs w:val="2"/>
                <w:color w:val="auto"/>
              </w:rPr>
            </w:pPr>
          </w:p>
        </w:tc>
        <w:tc>
          <w:tcPr>
            <w:tcW w:w="2020" w:type="dxa"/>
            <w:vAlign w:val="bottom"/>
            <w:tcBorders>
              <w:bottom w:val="single" w:sz="8" w:color="0E3C23"/>
            </w:tcBorders>
            <w:gridSpan w:val="2"/>
          </w:tcPr>
          <w:p>
            <w:pPr>
              <w:spacing w:after="0"/>
              <w:rPr>
                <w:sz w:val="2"/>
                <w:szCs w:val="2"/>
                <w:color w:val="auto"/>
              </w:rPr>
            </w:pPr>
          </w:p>
        </w:tc>
        <w:tc>
          <w:tcPr>
            <w:tcW w:w="1380" w:type="dxa"/>
            <w:vAlign w:val="bottom"/>
            <w:tcBorders>
              <w:bottom w:val="single" w:sz="8" w:color="0E3C23"/>
            </w:tcBorders>
          </w:tcPr>
          <w:p>
            <w:pPr>
              <w:spacing w:after="0"/>
              <w:rPr>
                <w:sz w:val="2"/>
                <w:szCs w:val="2"/>
                <w:color w:val="auto"/>
              </w:rPr>
            </w:pPr>
          </w:p>
        </w:tc>
        <w:tc>
          <w:tcPr>
            <w:tcW w:w="60" w:type="dxa"/>
            <w:vAlign w:val="bottom"/>
            <w:tcBorders>
              <w:bottom w:val="single" w:sz="8" w:color="0E3C23"/>
            </w:tcBorders>
          </w:tcPr>
          <w:p>
            <w:pPr>
              <w:spacing w:after="0"/>
              <w:rPr>
                <w:sz w:val="2"/>
                <w:szCs w:val="2"/>
                <w:color w:val="auto"/>
              </w:rPr>
            </w:pPr>
          </w:p>
        </w:tc>
      </w:tr>
      <w:tr>
        <w:trPr>
          <w:trHeight w:val="251"/>
        </w:trPr>
        <w:tc>
          <w:tcPr>
            <w:tcW w:w="3160" w:type="dxa"/>
            <w:vAlign w:val="bottom"/>
          </w:tcPr>
          <w:p>
            <w:pPr>
              <w:ind w:left="60"/>
              <w:spacing w:after="0"/>
              <w:rPr>
                <w:sz w:val="20"/>
                <w:szCs w:val="20"/>
                <w:color w:val="auto"/>
              </w:rPr>
            </w:pPr>
            <w:r>
              <w:rPr>
                <w:rFonts w:ascii="Arial" w:cs="Arial" w:eastAsia="Arial" w:hAnsi="Arial"/>
                <w:sz w:val="20"/>
                <w:szCs w:val="20"/>
                <w:b w:val="1"/>
                <w:bCs w:val="1"/>
                <w:color w:val="auto"/>
              </w:rPr>
              <w:t>Devina A. Rankin</w:t>
            </w:r>
          </w:p>
        </w:tc>
        <w:tc>
          <w:tcPr>
            <w:tcW w:w="1940" w:type="dxa"/>
            <w:vAlign w:val="bottom"/>
          </w:tcPr>
          <w:p>
            <w:pPr>
              <w:jc w:val="right"/>
              <w:ind w:right="648"/>
              <w:spacing w:after="0"/>
              <w:rPr>
                <w:sz w:val="20"/>
                <w:szCs w:val="20"/>
                <w:color w:val="auto"/>
              </w:rPr>
            </w:pPr>
            <w:r>
              <w:rPr>
                <w:rFonts w:ascii="Arial" w:cs="Arial" w:eastAsia="Arial" w:hAnsi="Arial"/>
                <w:sz w:val="20"/>
                <w:szCs w:val="20"/>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020" w:type="dxa"/>
            <w:vAlign w:val="bottom"/>
            <w:gridSpan w:val="2"/>
          </w:tcPr>
          <w:p>
            <w:pPr>
              <w:jc w:val="center"/>
              <w:spacing w:after="0"/>
              <w:rPr>
                <w:sz w:val="20"/>
                <w:szCs w:val="20"/>
                <w:color w:val="auto"/>
              </w:rPr>
            </w:pPr>
            <w:r>
              <w:rPr>
                <w:rFonts w:ascii="Arial" w:cs="Arial" w:eastAsia="Arial" w:hAnsi="Arial"/>
                <w:sz w:val="20"/>
                <w:szCs w:val="20"/>
                <w:color w:val="auto"/>
                <w:w w:val="94"/>
              </w:rPr>
              <w:t>18,125</w:t>
            </w:r>
          </w:p>
        </w:tc>
        <w:tc>
          <w:tcPr>
            <w:tcW w:w="1380" w:type="dxa"/>
            <w:vAlign w:val="bottom"/>
          </w:tcPr>
          <w:p>
            <w:pPr>
              <w:jc w:val="right"/>
              <w:ind w:right="66"/>
              <w:spacing w:after="0"/>
              <w:rPr>
                <w:sz w:val="20"/>
                <w:szCs w:val="20"/>
                <w:color w:val="auto"/>
              </w:rPr>
            </w:pPr>
            <w:r>
              <w:rPr>
                <w:rFonts w:ascii="Arial" w:cs="Arial" w:eastAsia="Arial" w:hAnsi="Arial"/>
                <w:sz w:val="20"/>
                <w:szCs w:val="20"/>
                <w:color w:val="auto"/>
              </w:rPr>
              <w:t>3,964,373</w:t>
            </w:r>
          </w:p>
        </w:tc>
        <w:tc>
          <w:tcPr>
            <w:tcW w:w="60" w:type="dxa"/>
            <w:vAlign w:val="bottom"/>
          </w:tcPr>
          <w:p>
            <w:pPr>
              <w:spacing w:after="0"/>
              <w:rPr>
                <w:sz w:val="21"/>
                <w:szCs w:val="21"/>
                <w:color w:val="auto"/>
              </w:rPr>
            </w:pPr>
          </w:p>
        </w:tc>
      </w:tr>
      <w:tr>
        <w:trPr>
          <w:trHeight w:val="29"/>
        </w:trPr>
        <w:tc>
          <w:tcPr>
            <w:tcW w:w="3160" w:type="dxa"/>
            <w:vAlign w:val="bottom"/>
            <w:tcBorders>
              <w:bottom w:val="single" w:sz="8" w:color="0E3C23"/>
            </w:tcBorders>
          </w:tcPr>
          <w:p>
            <w:pPr>
              <w:spacing w:after="0"/>
              <w:rPr>
                <w:sz w:val="2"/>
                <w:szCs w:val="2"/>
                <w:color w:val="auto"/>
              </w:rPr>
            </w:pPr>
          </w:p>
        </w:tc>
        <w:tc>
          <w:tcPr>
            <w:tcW w:w="1940" w:type="dxa"/>
            <w:vAlign w:val="bottom"/>
            <w:tcBorders>
              <w:bottom w:val="single" w:sz="8" w:color="0E3C23"/>
            </w:tcBorders>
          </w:tcPr>
          <w:p>
            <w:pPr>
              <w:spacing w:after="0"/>
              <w:rPr>
                <w:sz w:val="2"/>
                <w:szCs w:val="2"/>
                <w:color w:val="auto"/>
              </w:rPr>
            </w:pPr>
          </w:p>
        </w:tc>
        <w:tc>
          <w:tcPr>
            <w:tcW w:w="1380" w:type="dxa"/>
            <w:vAlign w:val="bottom"/>
            <w:tcBorders>
              <w:bottom w:val="single" w:sz="8" w:color="0E3C23"/>
            </w:tcBorders>
          </w:tcPr>
          <w:p>
            <w:pPr>
              <w:spacing w:after="0"/>
              <w:rPr>
                <w:sz w:val="2"/>
                <w:szCs w:val="2"/>
                <w:color w:val="auto"/>
              </w:rPr>
            </w:pPr>
          </w:p>
        </w:tc>
        <w:tc>
          <w:tcPr>
            <w:tcW w:w="120" w:type="dxa"/>
            <w:vAlign w:val="bottom"/>
            <w:tcBorders>
              <w:bottom w:val="single" w:sz="8" w:color="0E3C23"/>
            </w:tcBorders>
          </w:tcPr>
          <w:p>
            <w:pPr>
              <w:spacing w:after="0"/>
              <w:rPr>
                <w:sz w:val="2"/>
                <w:szCs w:val="2"/>
                <w:color w:val="auto"/>
              </w:rPr>
            </w:pPr>
          </w:p>
        </w:tc>
        <w:tc>
          <w:tcPr>
            <w:tcW w:w="2020" w:type="dxa"/>
            <w:vAlign w:val="bottom"/>
            <w:tcBorders>
              <w:bottom w:val="single" w:sz="8" w:color="0E3C23"/>
            </w:tcBorders>
            <w:gridSpan w:val="2"/>
          </w:tcPr>
          <w:p>
            <w:pPr>
              <w:spacing w:after="0"/>
              <w:rPr>
                <w:sz w:val="2"/>
                <w:szCs w:val="2"/>
                <w:color w:val="auto"/>
              </w:rPr>
            </w:pPr>
          </w:p>
        </w:tc>
        <w:tc>
          <w:tcPr>
            <w:tcW w:w="1380" w:type="dxa"/>
            <w:vAlign w:val="bottom"/>
            <w:tcBorders>
              <w:bottom w:val="single" w:sz="8" w:color="0E3C23"/>
            </w:tcBorders>
          </w:tcPr>
          <w:p>
            <w:pPr>
              <w:spacing w:after="0"/>
              <w:rPr>
                <w:sz w:val="2"/>
                <w:szCs w:val="2"/>
                <w:color w:val="auto"/>
              </w:rPr>
            </w:pPr>
          </w:p>
        </w:tc>
        <w:tc>
          <w:tcPr>
            <w:tcW w:w="60" w:type="dxa"/>
            <w:vAlign w:val="bottom"/>
            <w:tcBorders>
              <w:bottom w:val="single" w:sz="8" w:color="0E3C23"/>
            </w:tcBorders>
          </w:tcPr>
          <w:p>
            <w:pPr>
              <w:spacing w:after="0"/>
              <w:rPr>
                <w:sz w:val="2"/>
                <w:szCs w:val="2"/>
                <w:color w:val="auto"/>
              </w:rPr>
            </w:pPr>
          </w:p>
        </w:tc>
      </w:tr>
      <w:tr>
        <w:trPr>
          <w:trHeight w:val="251"/>
        </w:trPr>
        <w:tc>
          <w:tcPr>
            <w:tcW w:w="3160" w:type="dxa"/>
            <w:vAlign w:val="bottom"/>
          </w:tcPr>
          <w:p>
            <w:pPr>
              <w:ind w:left="60"/>
              <w:spacing w:after="0"/>
              <w:rPr>
                <w:sz w:val="20"/>
                <w:szCs w:val="20"/>
                <w:color w:val="auto"/>
              </w:rPr>
            </w:pPr>
            <w:r>
              <w:rPr>
                <w:rFonts w:ascii="Arial" w:cs="Arial" w:eastAsia="Arial" w:hAnsi="Arial"/>
                <w:sz w:val="20"/>
                <w:szCs w:val="20"/>
                <w:b w:val="1"/>
                <w:bCs w:val="1"/>
                <w:color w:val="auto"/>
              </w:rPr>
              <w:t>John J. Morris, Jr.</w:t>
            </w:r>
          </w:p>
        </w:tc>
        <w:tc>
          <w:tcPr>
            <w:tcW w:w="1940" w:type="dxa"/>
            <w:vAlign w:val="bottom"/>
          </w:tcPr>
          <w:p>
            <w:pPr>
              <w:jc w:val="right"/>
              <w:ind w:right="648"/>
              <w:spacing w:after="0"/>
              <w:rPr>
                <w:sz w:val="20"/>
                <w:szCs w:val="20"/>
                <w:color w:val="auto"/>
              </w:rPr>
            </w:pPr>
            <w:r>
              <w:rPr>
                <w:rFonts w:ascii="Arial" w:cs="Arial" w:eastAsia="Arial" w:hAnsi="Arial"/>
                <w:sz w:val="20"/>
                <w:szCs w:val="20"/>
                <w:color w:val="auto"/>
              </w:rPr>
              <w:t>22,796</w:t>
            </w:r>
          </w:p>
        </w:tc>
        <w:tc>
          <w:tcPr>
            <w:tcW w:w="1380" w:type="dxa"/>
            <w:vAlign w:val="bottom"/>
          </w:tcPr>
          <w:p>
            <w:pPr>
              <w:jc w:val="right"/>
              <w:ind w:right="126"/>
              <w:spacing w:after="0"/>
              <w:rPr>
                <w:sz w:val="20"/>
                <w:szCs w:val="20"/>
                <w:color w:val="auto"/>
              </w:rPr>
            </w:pPr>
            <w:r>
              <w:rPr>
                <w:rFonts w:ascii="Arial" w:cs="Arial" w:eastAsia="Arial" w:hAnsi="Arial"/>
                <w:sz w:val="20"/>
                <w:szCs w:val="20"/>
                <w:color w:val="auto"/>
              </w:rPr>
              <w:t>2,190,014</w:t>
            </w:r>
          </w:p>
        </w:tc>
        <w:tc>
          <w:tcPr>
            <w:tcW w:w="120" w:type="dxa"/>
            <w:vAlign w:val="bottom"/>
          </w:tcPr>
          <w:p>
            <w:pPr>
              <w:spacing w:after="0"/>
              <w:rPr>
                <w:sz w:val="21"/>
                <w:szCs w:val="21"/>
                <w:color w:val="auto"/>
              </w:rPr>
            </w:pPr>
          </w:p>
        </w:tc>
        <w:tc>
          <w:tcPr>
            <w:tcW w:w="2020" w:type="dxa"/>
            <w:vAlign w:val="bottom"/>
            <w:gridSpan w:val="2"/>
          </w:tcPr>
          <w:p>
            <w:pPr>
              <w:jc w:val="center"/>
              <w:spacing w:after="0"/>
              <w:rPr>
                <w:sz w:val="20"/>
                <w:szCs w:val="20"/>
                <w:color w:val="auto"/>
              </w:rPr>
            </w:pPr>
            <w:r>
              <w:rPr>
                <w:rFonts w:ascii="Arial" w:cs="Arial" w:eastAsia="Arial" w:hAnsi="Arial"/>
                <w:sz w:val="20"/>
                <w:szCs w:val="20"/>
                <w:color w:val="auto"/>
                <w:w w:val="94"/>
              </w:rPr>
              <w:t>21,422</w:t>
            </w:r>
          </w:p>
        </w:tc>
        <w:tc>
          <w:tcPr>
            <w:tcW w:w="1380" w:type="dxa"/>
            <w:vAlign w:val="bottom"/>
          </w:tcPr>
          <w:p>
            <w:pPr>
              <w:jc w:val="right"/>
              <w:ind w:right="66"/>
              <w:spacing w:after="0"/>
              <w:rPr>
                <w:sz w:val="20"/>
                <w:szCs w:val="20"/>
                <w:color w:val="auto"/>
              </w:rPr>
            </w:pPr>
            <w:r>
              <w:rPr>
                <w:rFonts w:ascii="Arial" w:cs="Arial" w:eastAsia="Arial" w:hAnsi="Arial"/>
                <w:sz w:val="20"/>
                <w:szCs w:val="20"/>
                <w:color w:val="auto"/>
              </w:rPr>
              <w:t>4,685,506</w:t>
            </w:r>
          </w:p>
        </w:tc>
        <w:tc>
          <w:tcPr>
            <w:tcW w:w="60" w:type="dxa"/>
            <w:vAlign w:val="bottom"/>
          </w:tcPr>
          <w:p>
            <w:pPr>
              <w:spacing w:after="0"/>
              <w:rPr>
                <w:sz w:val="21"/>
                <w:szCs w:val="21"/>
                <w:color w:val="auto"/>
              </w:rPr>
            </w:pPr>
          </w:p>
        </w:tc>
      </w:tr>
      <w:tr>
        <w:trPr>
          <w:trHeight w:val="29"/>
        </w:trPr>
        <w:tc>
          <w:tcPr>
            <w:tcW w:w="3160" w:type="dxa"/>
            <w:vAlign w:val="bottom"/>
            <w:tcBorders>
              <w:bottom w:val="single" w:sz="8" w:color="0E3C23"/>
            </w:tcBorders>
          </w:tcPr>
          <w:p>
            <w:pPr>
              <w:spacing w:after="0"/>
              <w:rPr>
                <w:sz w:val="2"/>
                <w:szCs w:val="2"/>
                <w:color w:val="auto"/>
              </w:rPr>
            </w:pPr>
          </w:p>
        </w:tc>
        <w:tc>
          <w:tcPr>
            <w:tcW w:w="1940" w:type="dxa"/>
            <w:vAlign w:val="bottom"/>
            <w:tcBorders>
              <w:bottom w:val="single" w:sz="8" w:color="0E3C23"/>
            </w:tcBorders>
          </w:tcPr>
          <w:p>
            <w:pPr>
              <w:spacing w:after="0"/>
              <w:rPr>
                <w:sz w:val="2"/>
                <w:szCs w:val="2"/>
                <w:color w:val="auto"/>
              </w:rPr>
            </w:pPr>
          </w:p>
        </w:tc>
        <w:tc>
          <w:tcPr>
            <w:tcW w:w="1500" w:type="dxa"/>
            <w:vAlign w:val="bottom"/>
            <w:tcBorders>
              <w:bottom w:val="single" w:sz="8" w:color="0E3C23"/>
            </w:tcBorders>
            <w:gridSpan w:val="2"/>
          </w:tcPr>
          <w:p>
            <w:pPr>
              <w:spacing w:after="0"/>
              <w:rPr>
                <w:sz w:val="2"/>
                <w:szCs w:val="2"/>
                <w:color w:val="auto"/>
              </w:rPr>
            </w:pPr>
          </w:p>
        </w:tc>
        <w:tc>
          <w:tcPr>
            <w:tcW w:w="2020" w:type="dxa"/>
            <w:vAlign w:val="bottom"/>
            <w:tcBorders>
              <w:bottom w:val="single" w:sz="8" w:color="0E3C23"/>
            </w:tcBorders>
            <w:gridSpan w:val="2"/>
          </w:tcPr>
          <w:p>
            <w:pPr>
              <w:spacing w:after="0"/>
              <w:rPr>
                <w:sz w:val="2"/>
                <w:szCs w:val="2"/>
                <w:color w:val="auto"/>
              </w:rPr>
            </w:pPr>
          </w:p>
        </w:tc>
        <w:tc>
          <w:tcPr>
            <w:tcW w:w="1380" w:type="dxa"/>
            <w:vAlign w:val="bottom"/>
            <w:tcBorders>
              <w:bottom w:val="single" w:sz="8" w:color="0E3C23"/>
            </w:tcBorders>
          </w:tcPr>
          <w:p>
            <w:pPr>
              <w:spacing w:after="0"/>
              <w:rPr>
                <w:sz w:val="2"/>
                <w:szCs w:val="2"/>
                <w:color w:val="auto"/>
              </w:rPr>
            </w:pPr>
          </w:p>
        </w:tc>
        <w:tc>
          <w:tcPr>
            <w:tcW w:w="60" w:type="dxa"/>
            <w:vAlign w:val="bottom"/>
            <w:tcBorders>
              <w:bottom w:val="single" w:sz="8" w:color="0E3C23"/>
            </w:tcBorders>
          </w:tcPr>
          <w:p>
            <w:pPr>
              <w:spacing w:after="0"/>
              <w:rPr>
                <w:sz w:val="2"/>
                <w:szCs w:val="2"/>
                <w:color w:val="auto"/>
              </w:rPr>
            </w:pPr>
          </w:p>
        </w:tc>
      </w:tr>
      <w:tr>
        <w:trPr>
          <w:trHeight w:val="251"/>
        </w:trPr>
        <w:tc>
          <w:tcPr>
            <w:tcW w:w="3160" w:type="dxa"/>
            <w:vAlign w:val="bottom"/>
          </w:tcPr>
          <w:p>
            <w:pPr>
              <w:ind w:left="60"/>
              <w:spacing w:after="0"/>
              <w:rPr>
                <w:sz w:val="20"/>
                <w:szCs w:val="20"/>
                <w:color w:val="auto"/>
              </w:rPr>
            </w:pPr>
            <w:r>
              <w:rPr>
                <w:rFonts w:ascii="Arial" w:cs="Arial" w:eastAsia="Arial" w:hAnsi="Arial"/>
                <w:sz w:val="20"/>
                <w:szCs w:val="20"/>
                <w:b w:val="1"/>
                <w:bCs w:val="1"/>
                <w:color w:val="auto"/>
              </w:rPr>
              <w:t>Tara J. Hemmer</w:t>
            </w:r>
          </w:p>
        </w:tc>
        <w:tc>
          <w:tcPr>
            <w:tcW w:w="1940" w:type="dxa"/>
            <w:vAlign w:val="bottom"/>
          </w:tcPr>
          <w:p>
            <w:pPr>
              <w:jc w:val="right"/>
              <w:ind w:right="648"/>
              <w:spacing w:after="0"/>
              <w:rPr>
                <w:sz w:val="20"/>
                <w:szCs w:val="20"/>
                <w:color w:val="auto"/>
              </w:rPr>
            </w:pPr>
            <w:r>
              <w:rPr>
                <w:rFonts w:ascii="Arial" w:cs="Arial" w:eastAsia="Arial" w:hAnsi="Arial"/>
                <w:sz w:val="20"/>
                <w:szCs w:val="20"/>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020" w:type="dxa"/>
            <w:vAlign w:val="bottom"/>
            <w:gridSpan w:val="2"/>
          </w:tcPr>
          <w:p>
            <w:pPr>
              <w:jc w:val="center"/>
              <w:spacing w:after="0"/>
              <w:rPr>
                <w:sz w:val="20"/>
                <w:szCs w:val="20"/>
                <w:color w:val="auto"/>
              </w:rPr>
            </w:pPr>
            <w:r>
              <w:rPr>
                <w:rFonts w:ascii="Arial" w:cs="Arial" w:eastAsia="Arial" w:hAnsi="Arial"/>
                <w:sz w:val="20"/>
                <w:szCs w:val="20"/>
                <w:color w:val="auto"/>
                <w:w w:val="94"/>
              </w:rPr>
              <w:t>14,007</w:t>
            </w:r>
          </w:p>
        </w:tc>
        <w:tc>
          <w:tcPr>
            <w:tcW w:w="1380" w:type="dxa"/>
            <w:vAlign w:val="bottom"/>
          </w:tcPr>
          <w:p>
            <w:pPr>
              <w:jc w:val="right"/>
              <w:ind w:right="66"/>
              <w:spacing w:after="0"/>
              <w:rPr>
                <w:sz w:val="20"/>
                <w:szCs w:val="20"/>
                <w:color w:val="auto"/>
              </w:rPr>
            </w:pPr>
            <w:r>
              <w:rPr>
                <w:rFonts w:ascii="Arial" w:cs="Arial" w:eastAsia="Arial" w:hAnsi="Arial"/>
                <w:sz w:val="20"/>
                <w:szCs w:val="20"/>
                <w:color w:val="auto"/>
              </w:rPr>
              <w:t>3,063,667</w:t>
            </w:r>
          </w:p>
        </w:tc>
        <w:tc>
          <w:tcPr>
            <w:tcW w:w="60" w:type="dxa"/>
            <w:vAlign w:val="bottom"/>
          </w:tcPr>
          <w:p>
            <w:pPr>
              <w:spacing w:after="0"/>
              <w:rPr>
                <w:sz w:val="21"/>
                <w:szCs w:val="21"/>
                <w:color w:val="auto"/>
              </w:rPr>
            </w:pPr>
          </w:p>
        </w:tc>
      </w:tr>
      <w:tr>
        <w:trPr>
          <w:trHeight w:val="29"/>
        </w:trPr>
        <w:tc>
          <w:tcPr>
            <w:tcW w:w="3160" w:type="dxa"/>
            <w:vAlign w:val="bottom"/>
            <w:tcBorders>
              <w:bottom w:val="single" w:sz="8" w:color="0E3C23"/>
            </w:tcBorders>
          </w:tcPr>
          <w:p>
            <w:pPr>
              <w:spacing w:after="0"/>
              <w:rPr>
                <w:sz w:val="2"/>
                <w:szCs w:val="2"/>
                <w:color w:val="auto"/>
              </w:rPr>
            </w:pPr>
          </w:p>
        </w:tc>
        <w:tc>
          <w:tcPr>
            <w:tcW w:w="1940" w:type="dxa"/>
            <w:vAlign w:val="bottom"/>
            <w:tcBorders>
              <w:bottom w:val="single" w:sz="8" w:color="0E3C23"/>
            </w:tcBorders>
          </w:tcPr>
          <w:p>
            <w:pPr>
              <w:spacing w:after="0"/>
              <w:rPr>
                <w:sz w:val="2"/>
                <w:szCs w:val="2"/>
                <w:color w:val="auto"/>
              </w:rPr>
            </w:pPr>
          </w:p>
        </w:tc>
        <w:tc>
          <w:tcPr>
            <w:tcW w:w="1380" w:type="dxa"/>
            <w:vAlign w:val="bottom"/>
            <w:tcBorders>
              <w:bottom w:val="single" w:sz="8" w:color="0E3C23"/>
            </w:tcBorders>
          </w:tcPr>
          <w:p>
            <w:pPr>
              <w:spacing w:after="0"/>
              <w:rPr>
                <w:sz w:val="2"/>
                <w:szCs w:val="2"/>
                <w:color w:val="auto"/>
              </w:rPr>
            </w:pPr>
          </w:p>
        </w:tc>
        <w:tc>
          <w:tcPr>
            <w:tcW w:w="120" w:type="dxa"/>
            <w:vAlign w:val="bottom"/>
            <w:tcBorders>
              <w:bottom w:val="single" w:sz="8" w:color="0E3C23"/>
            </w:tcBorders>
          </w:tcPr>
          <w:p>
            <w:pPr>
              <w:spacing w:after="0"/>
              <w:rPr>
                <w:sz w:val="2"/>
                <w:szCs w:val="2"/>
                <w:color w:val="auto"/>
              </w:rPr>
            </w:pPr>
          </w:p>
        </w:tc>
        <w:tc>
          <w:tcPr>
            <w:tcW w:w="2020" w:type="dxa"/>
            <w:vAlign w:val="bottom"/>
            <w:tcBorders>
              <w:bottom w:val="single" w:sz="8" w:color="0E3C23"/>
            </w:tcBorders>
            <w:gridSpan w:val="2"/>
          </w:tcPr>
          <w:p>
            <w:pPr>
              <w:spacing w:after="0"/>
              <w:rPr>
                <w:sz w:val="2"/>
                <w:szCs w:val="2"/>
                <w:color w:val="auto"/>
              </w:rPr>
            </w:pPr>
          </w:p>
        </w:tc>
        <w:tc>
          <w:tcPr>
            <w:tcW w:w="1380" w:type="dxa"/>
            <w:vAlign w:val="bottom"/>
            <w:tcBorders>
              <w:bottom w:val="single" w:sz="8" w:color="0E3C23"/>
            </w:tcBorders>
          </w:tcPr>
          <w:p>
            <w:pPr>
              <w:spacing w:after="0"/>
              <w:rPr>
                <w:sz w:val="2"/>
                <w:szCs w:val="2"/>
                <w:color w:val="auto"/>
              </w:rPr>
            </w:pPr>
          </w:p>
        </w:tc>
        <w:tc>
          <w:tcPr>
            <w:tcW w:w="60" w:type="dxa"/>
            <w:vAlign w:val="bottom"/>
            <w:tcBorders>
              <w:bottom w:val="single" w:sz="8" w:color="0E3C23"/>
            </w:tcBorders>
          </w:tcPr>
          <w:p>
            <w:pPr>
              <w:spacing w:after="0"/>
              <w:rPr>
                <w:sz w:val="2"/>
                <w:szCs w:val="2"/>
                <w:color w:val="auto"/>
              </w:rPr>
            </w:pPr>
          </w:p>
        </w:tc>
      </w:tr>
      <w:tr>
        <w:trPr>
          <w:trHeight w:val="251"/>
        </w:trPr>
        <w:tc>
          <w:tcPr>
            <w:tcW w:w="3160" w:type="dxa"/>
            <w:vAlign w:val="bottom"/>
          </w:tcPr>
          <w:p>
            <w:pPr>
              <w:ind w:left="60"/>
              <w:spacing w:after="0"/>
              <w:rPr>
                <w:sz w:val="20"/>
                <w:szCs w:val="20"/>
                <w:color w:val="auto"/>
              </w:rPr>
            </w:pPr>
            <w:r>
              <w:rPr>
                <w:rFonts w:ascii="Arial" w:cs="Arial" w:eastAsia="Arial" w:hAnsi="Arial"/>
                <w:sz w:val="20"/>
                <w:szCs w:val="20"/>
                <w:b w:val="1"/>
                <w:bCs w:val="1"/>
                <w:color w:val="auto"/>
              </w:rPr>
              <w:t>Rafael E. Carrasco</w:t>
            </w:r>
          </w:p>
        </w:tc>
        <w:tc>
          <w:tcPr>
            <w:tcW w:w="1940" w:type="dxa"/>
            <w:vAlign w:val="bottom"/>
          </w:tcPr>
          <w:p>
            <w:pPr>
              <w:jc w:val="right"/>
              <w:ind w:right="648"/>
              <w:spacing w:after="0"/>
              <w:rPr>
                <w:sz w:val="20"/>
                <w:szCs w:val="20"/>
                <w:color w:val="auto"/>
              </w:rPr>
            </w:pPr>
            <w:r>
              <w:rPr>
                <w:rFonts w:ascii="Arial" w:cs="Arial" w:eastAsia="Arial" w:hAnsi="Arial"/>
                <w:sz w:val="20"/>
                <w:szCs w:val="20"/>
                <w:color w:val="auto"/>
              </w:rPr>
              <w:t>6,662</w:t>
            </w:r>
          </w:p>
        </w:tc>
        <w:tc>
          <w:tcPr>
            <w:tcW w:w="1380" w:type="dxa"/>
            <w:vAlign w:val="bottom"/>
          </w:tcPr>
          <w:p>
            <w:pPr>
              <w:jc w:val="right"/>
              <w:ind w:right="126"/>
              <w:spacing w:after="0"/>
              <w:rPr>
                <w:sz w:val="20"/>
                <w:szCs w:val="20"/>
                <w:color w:val="auto"/>
              </w:rPr>
            </w:pPr>
            <w:r>
              <w:rPr>
                <w:rFonts w:ascii="Arial" w:cs="Arial" w:eastAsia="Arial" w:hAnsi="Arial"/>
                <w:sz w:val="20"/>
                <w:szCs w:val="20"/>
                <w:color w:val="auto"/>
              </w:rPr>
              <w:t>816,870</w:t>
            </w:r>
          </w:p>
        </w:tc>
        <w:tc>
          <w:tcPr>
            <w:tcW w:w="120" w:type="dxa"/>
            <w:vAlign w:val="bottom"/>
          </w:tcPr>
          <w:p>
            <w:pPr>
              <w:spacing w:after="0"/>
              <w:rPr>
                <w:sz w:val="21"/>
                <w:szCs w:val="21"/>
                <w:color w:val="auto"/>
              </w:rPr>
            </w:pPr>
          </w:p>
        </w:tc>
        <w:tc>
          <w:tcPr>
            <w:tcW w:w="2020" w:type="dxa"/>
            <w:vAlign w:val="bottom"/>
            <w:gridSpan w:val="2"/>
          </w:tcPr>
          <w:p>
            <w:pPr>
              <w:jc w:val="center"/>
              <w:spacing w:after="0"/>
              <w:rPr>
                <w:sz w:val="20"/>
                <w:szCs w:val="20"/>
                <w:color w:val="auto"/>
              </w:rPr>
            </w:pPr>
            <w:r>
              <w:rPr>
                <w:rFonts w:ascii="Arial" w:cs="Arial" w:eastAsia="Arial" w:hAnsi="Arial"/>
                <w:sz w:val="20"/>
                <w:szCs w:val="20"/>
                <w:color w:val="auto"/>
                <w:w w:val="94"/>
              </w:rPr>
              <w:t>14,358</w:t>
            </w:r>
          </w:p>
        </w:tc>
        <w:tc>
          <w:tcPr>
            <w:tcW w:w="1380" w:type="dxa"/>
            <w:vAlign w:val="bottom"/>
          </w:tcPr>
          <w:p>
            <w:pPr>
              <w:jc w:val="right"/>
              <w:ind w:right="66"/>
              <w:spacing w:after="0"/>
              <w:rPr>
                <w:sz w:val="20"/>
                <w:szCs w:val="20"/>
                <w:color w:val="auto"/>
              </w:rPr>
            </w:pPr>
            <w:r>
              <w:rPr>
                <w:rFonts w:ascii="Arial" w:cs="Arial" w:eastAsia="Arial" w:hAnsi="Arial"/>
                <w:sz w:val="20"/>
                <w:szCs w:val="20"/>
                <w:color w:val="auto"/>
              </w:rPr>
              <w:t>3,136,591</w:t>
            </w:r>
          </w:p>
        </w:tc>
        <w:tc>
          <w:tcPr>
            <w:tcW w:w="60" w:type="dxa"/>
            <w:vAlign w:val="bottom"/>
          </w:tcPr>
          <w:p>
            <w:pPr>
              <w:spacing w:after="0"/>
              <w:rPr>
                <w:sz w:val="21"/>
                <w:szCs w:val="21"/>
                <w:color w:val="auto"/>
              </w:rPr>
            </w:pPr>
          </w:p>
        </w:tc>
      </w:tr>
      <w:tr>
        <w:trPr>
          <w:trHeight w:val="34"/>
        </w:trPr>
        <w:tc>
          <w:tcPr>
            <w:tcW w:w="3160" w:type="dxa"/>
            <w:vAlign w:val="bottom"/>
            <w:tcBorders>
              <w:bottom w:val="single" w:sz="8" w:color="0E3C23"/>
            </w:tcBorders>
          </w:tcPr>
          <w:p>
            <w:pPr>
              <w:spacing w:after="0"/>
              <w:rPr>
                <w:sz w:val="2"/>
                <w:szCs w:val="2"/>
                <w:color w:val="auto"/>
              </w:rPr>
            </w:pPr>
          </w:p>
        </w:tc>
        <w:tc>
          <w:tcPr>
            <w:tcW w:w="1940" w:type="dxa"/>
            <w:vAlign w:val="bottom"/>
            <w:tcBorders>
              <w:bottom w:val="single" w:sz="8" w:color="0E3C23"/>
            </w:tcBorders>
          </w:tcPr>
          <w:p>
            <w:pPr>
              <w:spacing w:after="0"/>
              <w:rPr>
                <w:sz w:val="2"/>
                <w:szCs w:val="2"/>
                <w:color w:val="auto"/>
              </w:rPr>
            </w:pPr>
          </w:p>
        </w:tc>
        <w:tc>
          <w:tcPr>
            <w:tcW w:w="1380" w:type="dxa"/>
            <w:vAlign w:val="bottom"/>
            <w:tcBorders>
              <w:bottom w:val="single" w:sz="8" w:color="0E3C23"/>
            </w:tcBorders>
          </w:tcPr>
          <w:p>
            <w:pPr>
              <w:spacing w:after="0"/>
              <w:rPr>
                <w:sz w:val="2"/>
                <w:szCs w:val="2"/>
                <w:color w:val="auto"/>
              </w:rPr>
            </w:pPr>
          </w:p>
        </w:tc>
        <w:tc>
          <w:tcPr>
            <w:tcW w:w="120" w:type="dxa"/>
            <w:vAlign w:val="bottom"/>
            <w:tcBorders>
              <w:bottom w:val="single" w:sz="8" w:color="0E3C23"/>
            </w:tcBorders>
          </w:tcPr>
          <w:p>
            <w:pPr>
              <w:spacing w:after="0"/>
              <w:rPr>
                <w:sz w:val="2"/>
                <w:szCs w:val="2"/>
                <w:color w:val="auto"/>
              </w:rPr>
            </w:pPr>
          </w:p>
        </w:tc>
        <w:tc>
          <w:tcPr>
            <w:tcW w:w="120" w:type="dxa"/>
            <w:vAlign w:val="bottom"/>
            <w:tcBorders>
              <w:bottom w:val="single" w:sz="8" w:color="0E3C23"/>
            </w:tcBorders>
          </w:tcPr>
          <w:p>
            <w:pPr>
              <w:spacing w:after="0"/>
              <w:rPr>
                <w:sz w:val="2"/>
                <w:szCs w:val="2"/>
                <w:color w:val="auto"/>
              </w:rPr>
            </w:pPr>
          </w:p>
        </w:tc>
        <w:tc>
          <w:tcPr>
            <w:tcW w:w="1900" w:type="dxa"/>
            <w:vAlign w:val="bottom"/>
            <w:tcBorders>
              <w:bottom w:val="single" w:sz="8" w:color="0E3C23"/>
            </w:tcBorders>
          </w:tcPr>
          <w:p>
            <w:pPr>
              <w:spacing w:after="0"/>
              <w:rPr>
                <w:sz w:val="2"/>
                <w:szCs w:val="2"/>
                <w:color w:val="auto"/>
              </w:rPr>
            </w:pPr>
          </w:p>
        </w:tc>
        <w:tc>
          <w:tcPr>
            <w:tcW w:w="1380" w:type="dxa"/>
            <w:vAlign w:val="bottom"/>
            <w:tcBorders>
              <w:bottom w:val="single" w:sz="8" w:color="0E3C23"/>
            </w:tcBorders>
          </w:tcPr>
          <w:p>
            <w:pPr>
              <w:spacing w:after="0"/>
              <w:rPr>
                <w:sz w:val="2"/>
                <w:szCs w:val="2"/>
                <w:color w:val="auto"/>
              </w:rPr>
            </w:pPr>
          </w:p>
        </w:tc>
        <w:tc>
          <w:tcPr>
            <w:tcW w:w="60" w:type="dxa"/>
            <w:vAlign w:val="bottom"/>
            <w:tcBorders>
              <w:bottom w:val="single" w:sz="8" w:color="0E3C23"/>
            </w:tcBorders>
          </w:tcPr>
          <w:p>
            <w:pPr>
              <w:spacing w:after="0"/>
              <w:rPr>
                <w:sz w:val="2"/>
                <w:szCs w:val="2"/>
                <w:color w:val="auto"/>
              </w:rPr>
            </w:pPr>
          </w:p>
        </w:tc>
      </w:tr>
    </w:tbl>
    <w:p>
      <w:pPr>
        <w:spacing w:after="0" w:line="77" w:lineRule="exact"/>
        <w:rPr>
          <w:sz w:val="20"/>
          <w:szCs w:val="20"/>
          <w:color w:val="auto"/>
        </w:rPr>
      </w:pPr>
    </w:p>
    <w:p>
      <w:pPr>
        <w:ind w:left="580" w:right="200" w:hanging="403"/>
        <w:spacing w:after="0" w:line="244" w:lineRule="auto"/>
        <w:tabs>
          <w:tab w:leader="none" w:pos="5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following number of net shares were received, after withholdings and/or sale of shares to cover option costs and taxes: Mr. Fish — 22,014, Mr. Morris — 6,152 and Mr. Carrasco — 2,395.</w:t>
      </w:r>
    </w:p>
    <w:p>
      <w:pPr>
        <w:spacing w:after="0" w:line="131" w:lineRule="exact"/>
        <w:rPr>
          <w:rFonts w:ascii="Arial" w:cs="Arial" w:eastAsia="Arial" w:hAnsi="Arial"/>
          <w:sz w:val="20"/>
          <w:szCs w:val="20"/>
          <w:color w:val="auto"/>
        </w:rPr>
      </w:pPr>
    </w:p>
    <w:p>
      <w:pPr>
        <w:jc w:val="both"/>
        <w:ind w:left="580" w:right="200" w:hanging="403"/>
        <w:spacing w:after="0" w:line="248" w:lineRule="auto"/>
        <w:tabs>
          <w:tab w:leader="none" w:pos="5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Includes shares of the Company’s Common Stock issued on account of PSUs granted in 2022 with a performance period ended December 31, 2024. The determination of achievement of performance results and corresponding vesting of such PSUs was performed by the MD&amp;C Committee in January 2025. Following such determination, shares of the Company’s Common Stock earned under this award were issued on January 30, 2025. Also includes 351 RSUs granted to Mr. Carrasco prior to his promotion to the senior leadership team that vested in 2024. The value of PSUs and RSUs is calculated using the average of the high and low market price of our Common Stock on the date of payout.</w:t>
      </w:r>
    </w:p>
    <w:p>
      <w:pPr>
        <w:sectPr>
          <w:pgSz w:w="13320" w:h="16920" w:orient="portrait"/>
          <w:cols w:equalWidth="0" w:num="1">
            <w:col w:w="104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-207010</wp:posOffset>
            </wp:positionV>
            <wp:extent cx="538480" cy="1619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45">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59" w:name="page60"/>
    <w:bookmarkEnd w:id="59"/>
    <w:p>
      <w:pPr>
        <w:ind w:left="180"/>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Nonqualified Deferred Compensation in 2024</w:t>
      </w:r>
    </w:p>
    <w:p>
      <w:pPr>
        <w:spacing w:after="0" w:line="62" w:lineRule="exact"/>
        <w:rPr>
          <w:sz w:val="20"/>
          <w:szCs w:val="20"/>
          <w:color w:val="auto"/>
        </w:rPr>
      </w:pPr>
    </w:p>
    <w:p>
      <w:pPr>
        <w:jc w:val="both"/>
        <w:ind w:left="180" w:right="200"/>
        <w:spacing w:after="0" w:line="251" w:lineRule="auto"/>
        <w:rPr>
          <w:sz w:val="20"/>
          <w:szCs w:val="20"/>
          <w:color w:val="auto"/>
        </w:rPr>
      </w:pPr>
      <w:r>
        <w:rPr>
          <w:rFonts w:ascii="Arial" w:cs="Arial" w:eastAsia="Arial" w:hAnsi="Arial"/>
          <w:sz w:val="20"/>
          <w:szCs w:val="20"/>
          <w:i w:val="1"/>
          <w:iCs w:val="1"/>
          <w:u w:val="single" w:color="auto"/>
          <w:color w:val="auto"/>
        </w:rPr>
        <w:t>Amounts that Can be Deferred.</w:t>
      </w:r>
      <w:r>
        <w:rPr>
          <w:rFonts w:ascii="Arial" w:cs="Arial" w:eastAsia="Arial" w:hAnsi="Arial"/>
          <w:sz w:val="20"/>
          <w:szCs w:val="20"/>
          <w:i w:val="1"/>
          <w:iCs w:val="1"/>
          <w:color w:val="auto"/>
        </w:rPr>
        <w:t xml:space="preserve"> </w:t>
      </w:r>
      <w:r>
        <w:rPr>
          <w:rFonts w:ascii="Arial" w:cs="Arial" w:eastAsia="Arial" w:hAnsi="Arial"/>
          <w:sz w:val="20"/>
          <w:szCs w:val="20"/>
          <w:color w:val="auto"/>
        </w:rPr>
        <w:t>Under our 409A Deferral Plan, each of our named executive officers may elect to defer</w:t>
      </w:r>
      <w:r>
        <w:rPr>
          <w:rFonts w:ascii="Arial" w:cs="Arial" w:eastAsia="Arial" w:hAnsi="Arial"/>
          <w:sz w:val="20"/>
          <w:szCs w:val="20"/>
          <w:i w:val="1"/>
          <w:iCs w:val="1"/>
          <w:color w:val="auto"/>
        </w:rPr>
        <w:t xml:space="preserve"> </w:t>
      </w:r>
      <w:r>
        <w:rPr>
          <w:rFonts w:ascii="Arial" w:cs="Arial" w:eastAsia="Arial" w:hAnsi="Arial"/>
          <w:sz w:val="20"/>
          <w:szCs w:val="20"/>
          <w:color w:val="auto"/>
        </w:rPr>
        <w:t>receipt of portions of their base salary and annual cash incentives for the applicable fiscal year in excess of the annual compensation threshold (the “Threshold”) established under Section 401(a)(17) of IRC. For 2024, the Threshold was $345,000. Such deferrals will result in a deferral of taxation on the amounts deferred. The 409A Deferral Plan provides that a plan participant may defer, for payment at a future date (a) up to 25% of the participant’s base salary, and up to 100% of the participant’s annual cash incentives, payable after the aggregate of such base salary and annual cash incentives reaches the Threshold; (b) any RSUs that would otherwise be received by the plan participant; and (c) any PSUs that would otherwise be received by the plan participant.</w:t>
      </w:r>
    </w:p>
    <w:p>
      <w:pPr>
        <w:spacing w:after="0" w:line="47" w:lineRule="exact"/>
        <w:rPr>
          <w:sz w:val="20"/>
          <w:szCs w:val="20"/>
          <w:color w:val="auto"/>
        </w:rPr>
      </w:pPr>
    </w:p>
    <w:p>
      <w:pPr>
        <w:jc w:val="both"/>
        <w:ind w:left="180" w:right="200"/>
        <w:spacing w:after="0" w:line="250" w:lineRule="auto"/>
        <w:rPr>
          <w:sz w:val="20"/>
          <w:szCs w:val="20"/>
          <w:color w:val="auto"/>
        </w:rPr>
      </w:pPr>
      <w:r>
        <w:rPr>
          <w:rFonts w:ascii="Arial" w:cs="Arial" w:eastAsia="Arial" w:hAnsi="Arial"/>
          <w:sz w:val="20"/>
          <w:szCs w:val="20"/>
          <w:i w:val="1"/>
          <w:iCs w:val="1"/>
          <w:u w:val="single" w:color="auto"/>
          <w:color w:val="auto"/>
        </w:rPr>
        <w:t>Matching Contributions</w:t>
      </w:r>
      <w:r>
        <w:rPr>
          <w:rFonts w:ascii="Arial" w:cs="Arial" w:eastAsia="Arial" w:hAnsi="Arial"/>
          <w:sz w:val="20"/>
          <w:szCs w:val="20"/>
          <w:i w:val="1"/>
          <w:iCs w:val="1"/>
          <w:color w:val="auto"/>
        </w:rPr>
        <w:t xml:space="preserve">. </w:t>
      </w:r>
      <w:r>
        <w:rPr>
          <w:rFonts w:ascii="Arial" w:cs="Arial" w:eastAsia="Arial" w:hAnsi="Arial"/>
          <w:sz w:val="20"/>
          <w:szCs w:val="20"/>
          <w:color w:val="auto"/>
        </w:rPr>
        <w:t>The Company match provided under the 409A Deferral Plan is dollar for dollar on the employee’s</w:t>
      </w:r>
      <w:r>
        <w:rPr>
          <w:rFonts w:ascii="Arial" w:cs="Arial" w:eastAsia="Arial" w:hAnsi="Arial"/>
          <w:sz w:val="20"/>
          <w:szCs w:val="20"/>
          <w:i w:val="1"/>
          <w:iCs w:val="1"/>
          <w:color w:val="auto"/>
        </w:rPr>
        <w:t xml:space="preserve"> </w:t>
      </w:r>
      <w:r>
        <w:rPr>
          <w:rFonts w:ascii="Arial" w:cs="Arial" w:eastAsia="Arial" w:hAnsi="Arial"/>
          <w:sz w:val="20"/>
          <w:szCs w:val="20"/>
          <w:color w:val="auto"/>
        </w:rPr>
        <w:t>deferrals, up to 3% of the employee’s aggregate base salary and cash incentives in excess of the Threshold, and fifty cents on the dollar on the employee’s deferrals, in excess of 3% and up to 6% of the employee’s aggregate base salary and cash incentives in excess of the Threshold. Additional deferral contributions will not be matched but will be tax-deferred. Amounts deferred under this plan are allocated into accounts that mirror selected investment funds in our 401(k) Retirement Savings Plan, including a Company stock fund, although the amounts deferred are not actually invested in stock or funds. There is no Company match on deferred RSUs or PSUs, but the Company makes a cash payment of dividend equivalents on the shares deferred at the same time and at the same rate as dividends on the Company’s Common Stock.</w:t>
      </w:r>
    </w:p>
    <w:p>
      <w:pPr>
        <w:spacing w:after="0" w:line="51" w:lineRule="exact"/>
        <w:rPr>
          <w:sz w:val="20"/>
          <w:szCs w:val="20"/>
          <w:color w:val="auto"/>
        </w:rPr>
      </w:pPr>
    </w:p>
    <w:p>
      <w:pPr>
        <w:jc w:val="both"/>
        <w:ind w:left="180" w:right="200"/>
        <w:spacing w:after="0" w:line="281" w:lineRule="auto"/>
        <w:rPr>
          <w:sz w:val="20"/>
          <w:szCs w:val="20"/>
          <w:color w:val="auto"/>
        </w:rPr>
      </w:pPr>
      <w:r>
        <w:rPr>
          <w:rFonts w:ascii="Arial" w:cs="Arial" w:eastAsia="Arial" w:hAnsi="Arial"/>
          <w:sz w:val="18"/>
          <w:szCs w:val="18"/>
          <w:i w:val="1"/>
          <w:iCs w:val="1"/>
          <w:u w:val="single" w:color="auto"/>
          <w:color w:val="auto"/>
        </w:rPr>
        <w:t>Timing of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employees generally can elect to receive distributions commencing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employee leaves the Company in the form of annual installments or a lump sum payment. Special circumstances may allow for a modified or accelerated distribution, such as the employee’s death, an unforeseen emergency, or upon termination of the plan. In the event of death, distribution will be made to the designated beneficiary in a single lump sum in the following calendar year. In the event of an unforeseen emergency, the plan administrator may allow an early payment in the amount necessary to satisfy the emergency. All participants are immediately 100% vested in all of their contributions, Company matching contributions, and gains and/or losses related to their investment choices.</w:t>
      </w:r>
    </w:p>
    <w:p>
      <w:pPr>
        <w:spacing w:after="0" w:line="70"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2080" w:type="dxa"/>
            <w:vAlign w:val="bottom"/>
          </w:tcPr>
          <w:p>
            <w:pPr>
              <w:jc w:val="right"/>
              <w:ind w:right="30"/>
              <w:spacing w:after="0"/>
              <w:rPr>
                <w:sz w:val="20"/>
                <w:szCs w:val="20"/>
                <w:color w:val="auto"/>
              </w:rPr>
            </w:pPr>
            <w:r>
              <w:rPr>
                <w:rFonts w:ascii="Arial" w:cs="Arial" w:eastAsia="Arial" w:hAnsi="Arial"/>
                <w:sz w:val="16"/>
                <w:szCs w:val="16"/>
                <w:b w:val="1"/>
                <w:bCs w:val="1"/>
                <w:color w:val="0E3C23"/>
              </w:rPr>
              <w:t>Executive</w:t>
            </w:r>
          </w:p>
        </w:tc>
        <w:tc>
          <w:tcPr>
            <w:tcW w:w="1200" w:type="dxa"/>
            <w:vAlign w:val="bottom"/>
          </w:tcPr>
          <w:p>
            <w:pPr>
              <w:jc w:val="right"/>
              <w:ind w:right="30"/>
              <w:spacing w:after="0"/>
              <w:rPr>
                <w:sz w:val="20"/>
                <w:szCs w:val="20"/>
                <w:color w:val="auto"/>
              </w:rPr>
            </w:pPr>
            <w:r>
              <w:rPr>
                <w:rFonts w:ascii="Arial" w:cs="Arial" w:eastAsia="Arial" w:hAnsi="Arial"/>
                <w:sz w:val="16"/>
                <w:szCs w:val="16"/>
                <w:b w:val="1"/>
                <w:bCs w:val="1"/>
                <w:color w:val="0E3C23"/>
              </w:rPr>
              <w:t>Registrant</w:t>
            </w:r>
          </w:p>
        </w:tc>
        <w:tc>
          <w:tcPr>
            <w:tcW w:w="1060" w:type="dxa"/>
            <w:vAlign w:val="bottom"/>
          </w:tcPr>
          <w:p>
            <w:pPr>
              <w:jc w:val="right"/>
              <w:ind w:right="30"/>
              <w:spacing w:after="0"/>
              <w:rPr>
                <w:sz w:val="20"/>
                <w:szCs w:val="20"/>
                <w:color w:val="auto"/>
              </w:rPr>
            </w:pPr>
            <w:r>
              <w:rPr>
                <w:rFonts w:ascii="Arial" w:cs="Arial" w:eastAsia="Arial" w:hAnsi="Arial"/>
                <w:sz w:val="16"/>
                <w:szCs w:val="16"/>
                <w:b w:val="1"/>
                <w:bCs w:val="1"/>
                <w:color w:val="0E3C23"/>
              </w:rPr>
              <w:t>Aggregate</w:t>
            </w:r>
          </w:p>
        </w:tc>
        <w:tc>
          <w:tcPr>
            <w:tcW w:w="15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60"/>
        </w:trPr>
        <w:tc>
          <w:tcPr>
            <w:tcW w:w="2680" w:type="dxa"/>
            <w:vAlign w:val="bottom"/>
          </w:tcPr>
          <w:p>
            <w:pPr>
              <w:spacing w:after="0"/>
              <w:rPr>
                <w:sz w:val="13"/>
                <w:szCs w:val="13"/>
                <w:color w:val="auto"/>
              </w:rPr>
            </w:pPr>
          </w:p>
        </w:tc>
        <w:tc>
          <w:tcPr>
            <w:tcW w:w="208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E3C23"/>
              </w:rPr>
              <w:t>Contributions</w:t>
            </w:r>
          </w:p>
        </w:tc>
        <w:tc>
          <w:tcPr>
            <w:tcW w:w="120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E3C23"/>
              </w:rPr>
              <w:t>Contributions</w:t>
            </w:r>
          </w:p>
        </w:tc>
        <w:tc>
          <w:tcPr>
            <w:tcW w:w="106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E3C23"/>
              </w:rPr>
              <w:t>Earnings</w:t>
            </w:r>
          </w:p>
        </w:tc>
        <w:tc>
          <w:tcPr>
            <w:tcW w:w="15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60"/>
        </w:trPr>
        <w:tc>
          <w:tcPr>
            <w:tcW w:w="2680" w:type="dxa"/>
            <w:vAlign w:val="bottom"/>
          </w:tcPr>
          <w:p>
            <w:pPr>
              <w:spacing w:after="0"/>
              <w:rPr>
                <w:sz w:val="13"/>
                <w:szCs w:val="13"/>
                <w:color w:val="auto"/>
              </w:rPr>
            </w:pPr>
          </w:p>
        </w:tc>
        <w:tc>
          <w:tcPr>
            <w:tcW w:w="208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E3C23"/>
              </w:rPr>
              <w:t>in Last</w:t>
            </w:r>
          </w:p>
        </w:tc>
        <w:tc>
          <w:tcPr>
            <w:tcW w:w="120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E3C23"/>
              </w:rPr>
              <w:t>in Last</w:t>
            </w:r>
          </w:p>
        </w:tc>
        <w:tc>
          <w:tcPr>
            <w:tcW w:w="106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E3C23"/>
              </w:rPr>
              <w:t>in Last</w:t>
            </w:r>
          </w:p>
        </w:tc>
        <w:tc>
          <w:tcPr>
            <w:tcW w:w="1520" w:type="dxa"/>
            <w:vAlign w:val="bottom"/>
          </w:tcPr>
          <w:p>
            <w:pPr>
              <w:jc w:val="right"/>
              <w:ind w:right="28"/>
              <w:spacing w:after="0" w:line="160" w:lineRule="exact"/>
              <w:rPr>
                <w:sz w:val="20"/>
                <w:szCs w:val="20"/>
                <w:color w:val="auto"/>
              </w:rPr>
            </w:pPr>
            <w:r>
              <w:rPr>
                <w:rFonts w:ascii="Arial" w:cs="Arial" w:eastAsia="Arial" w:hAnsi="Arial"/>
                <w:sz w:val="16"/>
                <w:szCs w:val="16"/>
                <w:b w:val="1"/>
                <w:bCs w:val="1"/>
                <w:color w:val="0E3C23"/>
              </w:rPr>
              <w:t>Aggregate</w:t>
            </w:r>
          </w:p>
        </w:tc>
        <w:tc>
          <w:tcPr>
            <w:tcW w:w="152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w w:val="99"/>
              </w:rPr>
              <w:t>Aggregate Balance</w:t>
            </w:r>
          </w:p>
        </w:tc>
      </w:tr>
      <w:tr>
        <w:trPr>
          <w:trHeight w:val="150"/>
        </w:trPr>
        <w:tc>
          <w:tcPr>
            <w:tcW w:w="2680" w:type="dxa"/>
            <w:vAlign w:val="bottom"/>
          </w:tcPr>
          <w:p>
            <w:pPr>
              <w:spacing w:after="0"/>
              <w:rPr>
                <w:sz w:val="13"/>
                <w:szCs w:val="13"/>
                <w:color w:val="auto"/>
              </w:rPr>
            </w:pPr>
          </w:p>
        </w:tc>
        <w:tc>
          <w:tcPr>
            <w:tcW w:w="2080" w:type="dxa"/>
            <w:vAlign w:val="bottom"/>
          </w:tcPr>
          <w:p>
            <w:pPr>
              <w:jc w:val="right"/>
              <w:ind w:right="30"/>
              <w:spacing w:after="0" w:line="150" w:lineRule="exact"/>
              <w:rPr>
                <w:sz w:val="20"/>
                <w:szCs w:val="20"/>
                <w:color w:val="auto"/>
              </w:rPr>
            </w:pPr>
            <w:r>
              <w:rPr>
                <w:rFonts w:ascii="Arial" w:cs="Arial" w:eastAsia="Arial" w:hAnsi="Arial"/>
                <w:sz w:val="16"/>
                <w:szCs w:val="16"/>
                <w:b w:val="1"/>
                <w:bCs w:val="1"/>
                <w:color w:val="0E3C23"/>
              </w:rPr>
              <w:t>Fiscal</w:t>
            </w:r>
          </w:p>
        </w:tc>
        <w:tc>
          <w:tcPr>
            <w:tcW w:w="1200" w:type="dxa"/>
            <w:vAlign w:val="bottom"/>
          </w:tcPr>
          <w:p>
            <w:pPr>
              <w:jc w:val="right"/>
              <w:ind w:right="30"/>
              <w:spacing w:after="0" w:line="150" w:lineRule="exact"/>
              <w:rPr>
                <w:sz w:val="20"/>
                <w:szCs w:val="20"/>
                <w:color w:val="auto"/>
              </w:rPr>
            </w:pPr>
            <w:r>
              <w:rPr>
                <w:rFonts w:ascii="Arial" w:cs="Arial" w:eastAsia="Arial" w:hAnsi="Arial"/>
                <w:sz w:val="16"/>
                <w:szCs w:val="16"/>
                <w:b w:val="1"/>
                <w:bCs w:val="1"/>
                <w:color w:val="0E3C23"/>
              </w:rPr>
              <w:t>Fiscal</w:t>
            </w:r>
          </w:p>
        </w:tc>
        <w:tc>
          <w:tcPr>
            <w:tcW w:w="1060" w:type="dxa"/>
            <w:vAlign w:val="bottom"/>
          </w:tcPr>
          <w:p>
            <w:pPr>
              <w:jc w:val="right"/>
              <w:ind w:right="30"/>
              <w:spacing w:after="0" w:line="150" w:lineRule="exact"/>
              <w:rPr>
                <w:sz w:val="20"/>
                <w:szCs w:val="20"/>
                <w:color w:val="auto"/>
              </w:rPr>
            </w:pPr>
            <w:r>
              <w:rPr>
                <w:rFonts w:ascii="Arial" w:cs="Arial" w:eastAsia="Arial" w:hAnsi="Arial"/>
                <w:sz w:val="16"/>
                <w:szCs w:val="16"/>
                <w:b w:val="1"/>
                <w:bCs w:val="1"/>
                <w:color w:val="0E3C23"/>
              </w:rPr>
              <w:t>Fiscal</w:t>
            </w:r>
          </w:p>
        </w:tc>
        <w:tc>
          <w:tcPr>
            <w:tcW w:w="1520" w:type="dxa"/>
            <w:vAlign w:val="bottom"/>
          </w:tcPr>
          <w:p>
            <w:pPr>
              <w:jc w:val="right"/>
              <w:ind w:right="28"/>
              <w:spacing w:after="0" w:line="150" w:lineRule="exact"/>
              <w:rPr>
                <w:sz w:val="20"/>
                <w:szCs w:val="20"/>
                <w:color w:val="auto"/>
              </w:rPr>
            </w:pPr>
            <w:r>
              <w:rPr>
                <w:rFonts w:ascii="Arial" w:cs="Arial" w:eastAsia="Arial" w:hAnsi="Arial"/>
                <w:sz w:val="16"/>
                <w:szCs w:val="16"/>
                <w:b w:val="1"/>
                <w:bCs w:val="1"/>
                <w:color w:val="0E3C23"/>
              </w:rPr>
              <w:t>Withdrawals/</w:t>
            </w:r>
          </w:p>
        </w:tc>
        <w:tc>
          <w:tcPr>
            <w:tcW w:w="1520" w:type="dxa"/>
            <w:vAlign w:val="bottom"/>
          </w:tcPr>
          <w:p>
            <w:pPr>
              <w:jc w:val="right"/>
              <w:spacing w:after="0" w:line="150" w:lineRule="exact"/>
              <w:rPr>
                <w:sz w:val="20"/>
                <w:szCs w:val="20"/>
                <w:color w:val="auto"/>
              </w:rPr>
            </w:pPr>
            <w:r>
              <w:rPr>
                <w:rFonts w:ascii="Arial" w:cs="Arial" w:eastAsia="Arial" w:hAnsi="Arial"/>
                <w:sz w:val="16"/>
                <w:szCs w:val="16"/>
                <w:b w:val="1"/>
                <w:bCs w:val="1"/>
                <w:color w:val="0E3C23"/>
              </w:rPr>
              <w:t>at Last Fiscal</w:t>
            </w:r>
          </w:p>
        </w:tc>
      </w:tr>
      <w:tr>
        <w:trPr>
          <w:trHeight w:val="197"/>
        </w:trPr>
        <w:tc>
          <w:tcPr>
            <w:tcW w:w="2680" w:type="dxa"/>
            <w:vAlign w:val="bottom"/>
            <w:tcBorders>
              <w:bottom w:val="single" w:sz="8" w:color="0E3C23"/>
            </w:tcBorders>
          </w:tcPr>
          <w:p>
            <w:pPr>
              <w:ind w:left="60"/>
              <w:spacing w:after="0"/>
              <w:rPr>
                <w:sz w:val="20"/>
                <w:szCs w:val="20"/>
                <w:color w:val="auto"/>
              </w:rPr>
            </w:pPr>
            <w:r>
              <w:rPr>
                <w:rFonts w:ascii="Arial" w:cs="Arial" w:eastAsia="Arial" w:hAnsi="Arial"/>
                <w:sz w:val="16"/>
                <w:szCs w:val="16"/>
                <w:b w:val="1"/>
                <w:bCs w:val="1"/>
                <w:color w:val="0E3C23"/>
              </w:rPr>
              <w:t>Name</w:t>
            </w:r>
          </w:p>
        </w:tc>
        <w:tc>
          <w:tcPr>
            <w:tcW w:w="2080" w:type="dxa"/>
            <w:vAlign w:val="bottom"/>
            <w:tcBorders>
              <w:bottom w:val="single" w:sz="8" w:color="0E3C23"/>
            </w:tcBorders>
          </w:tcPr>
          <w:p>
            <w:pPr>
              <w:jc w:val="right"/>
              <w:ind w:right="30"/>
              <w:spacing w:after="0" w:line="197" w:lineRule="exact"/>
              <w:rPr>
                <w:sz w:val="20"/>
                <w:szCs w:val="20"/>
                <w:color w:val="auto"/>
              </w:rPr>
            </w:pPr>
            <w:r>
              <w:rPr>
                <w:rFonts w:ascii="Arial" w:cs="Arial" w:eastAsia="Arial" w:hAnsi="Arial"/>
                <w:sz w:val="16"/>
                <w:szCs w:val="16"/>
                <w:b w:val="1"/>
                <w:bCs w:val="1"/>
                <w:color w:val="0E3C23"/>
              </w:rPr>
              <w:t>Year ($)</w:t>
            </w:r>
            <w:r>
              <w:rPr>
                <w:rFonts w:ascii="Arial" w:cs="Arial" w:eastAsia="Arial" w:hAnsi="Arial"/>
                <w:sz w:val="19"/>
                <w:szCs w:val="19"/>
                <w:b w:val="1"/>
                <w:bCs w:val="1"/>
                <w:color w:val="0E3C23"/>
                <w:vertAlign w:val="superscript"/>
              </w:rPr>
              <w:t>(1)</w:t>
            </w:r>
          </w:p>
        </w:tc>
        <w:tc>
          <w:tcPr>
            <w:tcW w:w="1200" w:type="dxa"/>
            <w:vAlign w:val="bottom"/>
            <w:tcBorders>
              <w:bottom w:val="single" w:sz="8" w:color="0E3C23"/>
            </w:tcBorders>
          </w:tcPr>
          <w:p>
            <w:pPr>
              <w:jc w:val="right"/>
              <w:ind w:right="30"/>
              <w:spacing w:after="0" w:line="197" w:lineRule="exact"/>
              <w:rPr>
                <w:sz w:val="20"/>
                <w:szCs w:val="20"/>
                <w:color w:val="auto"/>
              </w:rPr>
            </w:pPr>
            <w:r>
              <w:rPr>
                <w:rFonts w:ascii="Arial" w:cs="Arial" w:eastAsia="Arial" w:hAnsi="Arial"/>
                <w:sz w:val="16"/>
                <w:szCs w:val="16"/>
                <w:b w:val="1"/>
                <w:bCs w:val="1"/>
                <w:color w:val="0E3C23"/>
              </w:rPr>
              <w:t>Year ($)</w:t>
            </w:r>
            <w:r>
              <w:rPr>
                <w:rFonts w:ascii="Arial" w:cs="Arial" w:eastAsia="Arial" w:hAnsi="Arial"/>
                <w:sz w:val="19"/>
                <w:szCs w:val="19"/>
                <w:b w:val="1"/>
                <w:bCs w:val="1"/>
                <w:color w:val="0E3C23"/>
                <w:vertAlign w:val="superscript"/>
              </w:rPr>
              <w:t>(2)</w:t>
            </w:r>
          </w:p>
        </w:tc>
        <w:tc>
          <w:tcPr>
            <w:tcW w:w="1060" w:type="dxa"/>
            <w:vAlign w:val="bottom"/>
            <w:tcBorders>
              <w:bottom w:val="single" w:sz="8" w:color="0E3C23"/>
            </w:tcBorders>
          </w:tcPr>
          <w:p>
            <w:pPr>
              <w:jc w:val="right"/>
              <w:ind w:right="30"/>
              <w:spacing w:after="0" w:line="197" w:lineRule="exact"/>
              <w:rPr>
                <w:sz w:val="20"/>
                <w:szCs w:val="20"/>
                <w:color w:val="auto"/>
              </w:rPr>
            </w:pPr>
            <w:r>
              <w:rPr>
                <w:rFonts w:ascii="Arial" w:cs="Arial" w:eastAsia="Arial" w:hAnsi="Arial"/>
                <w:sz w:val="16"/>
                <w:szCs w:val="16"/>
                <w:b w:val="1"/>
                <w:bCs w:val="1"/>
                <w:color w:val="0E3C23"/>
              </w:rPr>
              <w:t>Year ($)</w:t>
            </w:r>
            <w:r>
              <w:rPr>
                <w:rFonts w:ascii="Arial" w:cs="Arial" w:eastAsia="Arial" w:hAnsi="Arial"/>
                <w:sz w:val="19"/>
                <w:szCs w:val="19"/>
                <w:b w:val="1"/>
                <w:bCs w:val="1"/>
                <w:color w:val="0E3C23"/>
                <w:vertAlign w:val="superscript"/>
              </w:rPr>
              <w:t>(3)</w:t>
            </w:r>
          </w:p>
        </w:tc>
        <w:tc>
          <w:tcPr>
            <w:tcW w:w="1520" w:type="dxa"/>
            <w:vAlign w:val="bottom"/>
            <w:tcBorders>
              <w:bottom w:val="single" w:sz="8" w:color="0E3C23"/>
            </w:tcBorders>
          </w:tcPr>
          <w:p>
            <w:pPr>
              <w:jc w:val="right"/>
              <w:ind w:right="28"/>
              <w:spacing w:after="0" w:line="197" w:lineRule="exact"/>
              <w:rPr>
                <w:sz w:val="20"/>
                <w:szCs w:val="20"/>
                <w:color w:val="auto"/>
              </w:rPr>
            </w:pPr>
            <w:r>
              <w:rPr>
                <w:rFonts w:ascii="Arial" w:cs="Arial" w:eastAsia="Arial" w:hAnsi="Arial"/>
                <w:sz w:val="16"/>
                <w:szCs w:val="16"/>
                <w:b w:val="1"/>
                <w:bCs w:val="1"/>
                <w:color w:val="0E3C23"/>
                <w:w w:val="99"/>
              </w:rPr>
              <w:t>Distributions ($)</w:t>
            </w:r>
            <w:r>
              <w:rPr>
                <w:rFonts w:ascii="Arial" w:cs="Arial" w:eastAsia="Arial" w:hAnsi="Arial"/>
                <w:sz w:val="19"/>
                <w:szCs w:val="19"/>
                <w:b w:val="1"/>
                <w:bCs w:val="1"/>
                <w:color w:val="0E3C23"/>
                <w:w w:val="99"/>
                <w:vertAlign w:val="superscript"/>
              </w:rPr>
              <w:t>(3)</w:t>
            </w:r>
          </w:p>
        </w:tc>
        <w:tc>
          <w:tcPr>
            <w:tcW w:w="1520" w:type="dxa"/>
            <w:vAlign w:val="bottom"/>
            <w:tcBorders>
              <w:bottom w:val="single" w:sz="8" w:color="0E3C23"/>
            </w:tcBorders>
          </w:tcPr>
          <w:p>
            <w:pPr>
              <w:jc w:val="right"/>
              <w:spacing w:after="0" w:line="197" w:lineRule="exact"/>
              <w:rPr>
                <w:sz w:val="20"/>
                <w:szCs w:val="20"/>
                <w:color w:val="auto"/>
              </w:rPr>
            </w:pPr>
            <w:r>
              <w:rPr>
                <w:rFonts w:ascii="Arial" w:cs="Arial" w:eastAsia="Arial" w:hAnsi="Arial"/>
                <w:sz w:val="16"/>
                <w:szCs w:val="16"/>
                <w:b w:val="1"/>
                <w:bCs w:val="1"/>
                <w:color w:val="0E3C23"/>
              </w:rPr>
              <w:t>Year End ($)</w:t>
            </w:r>
            <w:r>
              <w:rPr>
                <w:rFonts w:ascii="Arial" w:cs="Arial" w:eastAsia="Arial" w:hAnsi="Arial"/>
                <w:sz w:val="19"/>
                <w:szCs w:val="19"/>
                <w:b w:val="1"/>
                <w:bCs w:val="1"/>
                <w:color w:val="0E3C23"/>
                <w:vertAlign w:val="superscript"/>
              </w:rPr>
              <w:t>(4)</w:t>
            </w:r>
          </w:p>
        </w:tc>
      </w:tr>
      <w:tr>
        <w:trPr>
          <w:trHeight w:val="210"/>
        </w:trPr>
        <w:tc>
          <w:tcPr>
            <w:tcW w:w="2680" w:type="dxa"/>
            <w:vAlign w:val="bottom"/>
            <w:tcBorders>
              <w:bottom w:val="single" w:sz="8" w:color="0E3C23"/>
            </w:tcBorders>
          </w:tcPr>
          <w:p>
            <w:pPr>
              <w:ind w:left="60"/>
              <w:spacing w:after="0" w:line="210" w:lineRule="exact"/>
              <w:rPr>
                <w:sz w:val="20"/>
                <w:szCs w:val="20"/>
                <w:color w:val="auto"/>
              </w:rPr>
            </w:pPr>
            <w:r>
              <w:rPr>
                <w:rFonts w:ascii="Arial" w:cs="Arial" w:eastAsia="Arial" w:hAnsi="Arial"/>
                <w:sz w:val="20"/>
                <w:szCs w:val="20"/>
                <w:b w:val="1"/>
                <w:bCs w:val="1"/>
                <w:color w:val="auto"/>
              </w:rPr>
              <w:t>James C. Fish, Jr.</w:t>
            </w:r>
          </w:p>
        </w:tc>
        <w:tc>
          <w:tcPr>
            <w:tcW w:w="2080" w:type="dxa"/>
            <w:vAlign w:val="bottom"/>
            <w:tcBorders>
              <w:bottom w:val="single" w:sz="8" w:color="0E3C23"/>
            </w:tcBorders>
          </w:tcPr>
          <w:p>
            <w:pPr>
              <w:jc w:val="right"/>
              <w:ind w:right="170"/>
              <w:spacing w:after="0" w:line="210" w:lineRule="exact"/>
              <w:rPr>
                <w:sz w:val="20"/>
                <w:szCs w:val="20"/>
                <w:color w:val="auto"/>
              </w:rPr>
            </w:pPr>
            <w:r>
              <w:rPr>
                <w:rFonts w:ascii="Arial" w:cs="Arial" w:eastAsia="Arial" w:hAnsi="Arial"/>
                <w:sz w:val="20"/>
                <w:szCs w:val="20"/>
                <w:color w:val="auto"/>
              </w:rPr>
              <w:t>140,243</w:t>
            </w:r>
          </w:p>
        </w:tc>
        <w:tc>
          <w:tcPr>
            <w:tcW w:w="1200" w:type="dxa"/>
            <w:vAlign w:val="bottom"/>
            <w:tcBorders>
              <w:bottom w:val="single" w:sz="8" w:color="0E3C23"/>
            </w:tcBorders>
          </w:tcPr>
          <w:p>
            <w:pPr>
              <w:jc w:val="right"/>
              <w:ind w:right="170"/>
              <w:spacing w:after="0" w:line="210" w:lineRule="exact"/>
              <w:rPr>
                <w:sz w:val="20"/>
                <w:szCs w:val="20"/>
                <w:color w:val="auto"/>
              </w:rPr>
            </w:pPr>
            <w:r>
              <w:rPr>
                <w:rFonts w:ascii="Arial" w:cs="Arial" w:eastAsia="Arial" w:hAnsi="Arial"/>
                <w:sz w:val="20"/>
                <w:szCs w:val="20"/>
                <w:color w:val="auto"/>
              </w:rPr>
              <w:t>124,458</w:t>
            </w:r>
          </w:p>
        </w:tc>
        <w:tc>
          <w:tcPr>
            <w:tcW w:w="1060" w:type="dxa"/>
            <w:vAlign w:val="bottom"/>
            <w:tcBorders>
              <w:bottom w:val="single" w:sz="8" w:color="0E3C23"/>
            </w:tcBorders>
          </w:tcPr>
          <w:p>
            <w:pPr>
              <w:jc w:val="right"/>
              <w:ind w:right="30"/>
              <w:spacing w:after="0" w:line="210" w:lineRule="exact"/>
              <w:rPr>
                <w:sz w:val="20"/>
                <w:szCs w:val="20"/>
                <w:color w:val="auto"/>
              </w:rPr>
            </w:pPr>
            <w:r>
              <w:rPr>
                <w:rFonts w:ascii="Arial" w:cs="Arial" w:eastAsia="Arial" w:hAnsi="Arial"/>
                <w:sz w:val="20"/>
                <w:szCs w:val="20"/>
                <w:color w:val="auto"/>
              </w:rPr>
              <w:t>2,842,182</w:t>
            </w:r>
          </w:p>
        </w:tc>
        <w:tc>
          <w:tcPr>
            <w:tcW w:w="1520" w:type="dxa"/>
            <w:vAlign w:val="bottom"/>
            <w:tcBorders>
              <w:bottom w:val="single" w:sz="8" w:color="0E3C23"/>
            </w:tcBorders>
          </w:tcPr>
          <w:p>
            <w:pPr>
              <w:jc w:val="right"/>
              <w:ind w:right="328"/>
              <w:spacing w:after="0" w:line="210" w:lineRule="exact"/>
              <w:rPr>
                <w:sz w:val="20"/>
                <w:szCs w:val="20"/>
                <w:color w:val="auto"/>
              </w:rPr>
            </w:pPr>
            <w:r>
              <w:rPr>
                <w:rFonts w:ascii="Arial" w:cs="Arial" w:eastAsia="Arial" w:hAnsi="Arial"/>
                <w:sz w:val="20"/>
                <w:szCs w:val="20"/>
                <w:color w:val="auto"/>
              </w:rPr>
              <w:t>284,532</w:t>
            </w:r>
          </w:p>
        </w:tc>
        <w:tc>
          <w:tcPr>
            <w:tcW w:w="1520" w:type="dxa"/>
            <w:vAlign w:val="bottom"/>
            <w:tcBorders>
              <w:bottom w:val="single" w:sz="8" w:color="0E3C23"/>
            </w:tcBorders>
          </w:tcPr>
          <w:p>
            <w:pPr>
              <w:jc w:val="right"/>
              <w:ind w:right="168"/>
              <w:spacing w:after="0" w:line="210" w:lineRule="exact"/>
              <w:rPr>
                <w:sz w:val="20"/>
                <w:szCs w:val="20"/>
                <w:color w:val="auto"/>
              </w:rPr>
            </w:pPr>
            <w:r>
              <w:rPr>
                <w:rFonts w:ascii="Arial" w:cs="Arial" w:eastAsia="Arial" w:hAnsi="Arial"/>
                <w:sz w:val="20"/>
                <w:szCs w:val="20"/>
                <w:color w:val="auto"/>
              </w:rPr>
              <w:t>23,174,369</w:t>
            </w:r>
          </w:p>
        </w:tc>
      </w:tr>
      <w:tr>
        <w:trPr>
          <w:trHeight w:val="200"/>
        </w:trPr>
        <w:tc>
          <w:tcPr>
            <w:tcW w:w="2680" w:type="dxa"/>
            <w:vAlign w:val="bottom"/>
            <w:tcBorders>
              <w:bottom w:val="single" w:sz="8" w:color="0E3C23"/>
            </w:tcBorders>
          </w:tcPr>
          <w:p>
            <w:pPr>
              <w:ind w:left="60"/>
              <w:spacing w:after="0" w:line="200" w:lineRule="exact"/>
              <w:rPr>
                <w:sz w:val="20"/>
                <w:szCs w:val="20"/>
                <w:color w:val="auto"/>
              </w:rPr>
            </w:pPr>
            <w:r>
              <w:rPr>
                <w:rFonts w:ascii="Arial" w:cs="Arial" w:eastAsia="Arial" w:hAnsi="Arial"/>
                <w:sz w:val="20"/>
                <w:szCs w:val="20"/>
                <w:b w:val="1"/>
                <w:bCs w:val="1"/>
                <w:color w:val="auto"/>
              </w:rPr>
              <w:t>Devina A. Rankin</w:t>
            </w:r>
          </w:p>
        </w:tc>
        <w:tc>
          <w:tcPr>
            <w:tcW w:w="2080" w:type="dxa"/>
            <w:vAlign w:val="bottom"/>
            <w:tcBorders>
              <w:bottom w:val="single" w:sz="8" w:color="0E3C23"/>
            </w:tcBorders>
          </w:tcPr>
          <w:p>
            <w:pPr>
              <w:jc w:val="right"/>
              <w:ind w:right="170"/>
              <w:spacing w:after="0" w:line="200" w:lineRule="exact"/>
              <w:rPr>
                <w:sz w:val="20"/>
                <w:szCs w:val="20"/>
                <w:color w:val="auto"/>
              </w:rPr>
            </w:pPr>
            <w:r>
              <w:rPr>
                <w:rFonts w:ascii="Arial" w:cs="Arial" w:eastAsia="Arial" w:hAnsi="Arial"/>
                <w:sz w:val="20"/>
                <w:szCs w:val="20"/>
                <w:color w:val="auto"/>
              </w:rPr>
              <w:t>81,616</w:t>
            </w:r>
          </w:p>
        </w:tc>
        <w:tc>
          <w:tcPr>
            <w:tcW w:w="1200" w:type="dxa"/>
            <w:vAlign w:val="bottom"/>
            <w:tcBorders>
              <w:bottom w:val="single" w:sz="8" w:color="0E3C23"/>
            </w:tcBorders>
          </w:tcPr>
          <w:p>
            <w:pPr>
              <w:jc w:val="right"/>
              <w:ind w:right="170"/>
              <w:spacing w:after="0" w:line="200" w:lineRule="exact"/>
              <w:rPr>
                <w:sz w:val="20"/>
                <w:szCs w:val="20"/>
                <w:color w:val="auto"/>
              </w:rPr>
            </w:pPr>
            <w:r>
              <w:rPr>
                <w:rFonts w:ascii="Arial" w:cs="Arial" w:eastAsia="Arial" w:hAnsi="Arial"/>
                <w:sz w:val="20"/>
                <w:szCs w:val="20"/>
                <w:color w:val="auto"/>
              </w:rPr>
              <w:t>61,212</w:t>
            </w:r>
          </w:p>
        </w:tc>
        <w:tc>
          <w:tcPr>
            <w:tcW w:w="1060" w:type="dxa"/>
            <w:vAlign w:val="bottom"/>
            <w:tcBorders>
              <w:bottom w:val="single" w:sz="8" w:color="0E3C23"/>
            </w:tcBorders>
          </w:tcPr>
          <w:p>
            <w:pPr>
              <w:jc w:val="right"/>
              <w:ind w:right="30"/>
              <w:spacing w:after="0" w:line="200" w:lineRule="exact"/>
              <w:rPr>
                <w:sz w:val="20"/>
                <w:szCs w:val="20"/>
                <w:color w:val="auto"/>
              </w:rPr>
            </w:pPr>
            <w:r>
              <w:rPr>
                <w:rFonts w:ascii="Arial" w:cs="Arial" w:eastAsia="Arial" w:hAnsi="Arial"/>
                <w:sz w:val="20"/>
                <w:szCs w:val="20"/>
                <w:color w:val="auto"/>
              </w:rPr>
              <w:t>164,660</w:t>
            </w:r>
          </w:p>
        </w:tc>
        <w:tc>
          <w:tcPr>
            <w:tcW w:w="1520" w:type="dxa"/>
            <w:vAlign w:val="bottom"/>
            <w:tcBorders>
              <w:bottom w:val="single" w:sz="8" w:color="0E3C23"/>
            </w:tcBorders>
          </w:tcPr>
          <w:p>
            <w:pPr>
              <w:jc w:val="right"/>
              <w:ind w:right="328"/>
              <w:spacing w:after="0" w:line="200" w:lineRule="exact"/>
              <w:rPr>
                <w:sz w:val="20"/>
                <w:szCs w:val="20"/>
                <w:color w:val="auto"/>
              </w:rPr>
            </w:pPr>
            <w:r>
              <w:rPr>
                <w:rFonts w:ascii="Arial" w:cs="Arial" w:eastAsia="Arial" w:hAnsi="Arial"/>
                <w:sz w:val="20"/>
                <w:szCs w:val="20"/>
                <w:color w:val="auto"/>
              </w:rPr>
              <w:t>—</w:t>
            </w:r>
          </w:p>
        </w:tc>
        <w:tc>
          <w:tcPr>
            <w:tcW w:w="1520" w:type="dxa"/>
            <w:vAlign w:val="bottom"/>
            <w:tcBorders>
              <w:bottom w:val="single" w:sz="8" w:color="0E3C23"/>
            </w:tcBorders>
          </w:tcPr>
          <w:p>
            <w:pPr>
              <w:jc w:val="right"/>
              <w:ind w:right="168"/>
              <w:spacing w:after="0" w:line="200" w:lineRule="exact"/>
              <w:rPr>
                <w:sz w:val="20"/>
                <w:szCs w:val="20"/>
                <w:color w:val="auto"/>
              </w:rPr>
            </w:pPr>
            <w:r>
              <w:rPr>
                <w:rFonts w:ascii="Arial" w:cs="Arial" w:eastAsia="Arial" w:hAnsi="Arial"/>
                <w:sz w:val="20"/>
                <w:szCs w:val="20"/>
                <w:color w:val="auto"/>
              </w:rPr>
              <w:t>1,330,525</w:t>
            </w:r>
          </w:p>
        </w:tc>
      </w:tr>
      <w:tr>
        <w:trPr>
          <w:trHeight w:val="200"/>
        </w:trPr>
        <w:tc>
          <w:tcPr>
            <w:tcW w:w="2680" w:type="dxa"/>
            <w:vAlign w:val="bottom"/>
            <w:tcBorders>
              <w:bottom w:val="single" w:sz="8" w:color="0E3C23"/>
            </w:tcBorders>
          </w:tcPr>
          <w:p>
            <w:pPr>
              <w:ind w:left="60"/>
              <w:spacing w:after="0" w:line="200" w:lineRule="exact"/>
              <w:rPr>
                <w:sz w:val="20"/>
                <w:szCs w:val="20"/>
                <w:color w:val="auto"/>
              </w:rPr>
            </w:pPr>
            <w:r>
              <w:rPr>
                <w:rFonts w:ascii="Arial" w:cs="Arial" w:eastAsia="Arial" w:hAnsi="Arial"/>
                <w:sz w:val="20"/>
                <w:szCs w:val="20"/>
                <w:b w:val="1"/>
                <w:bCs w:val="1"/>
                <w:color w:val="auto"/>
              </w:rPr>
              <w:t>John J. Morris, Jr.</w:t>
            </w:r>
          </w:p>
        </w:tc>
        <w:tc>
          <w:tcPr>
            <w:tcW w:w="2080" w:type="dxa"/>
            <w:vAlign w:val="bottom"/>
            <w:tcBorders>
              <w:bottom w:val="single" w:sz="8" w:color="0E3C23"/>
            </w:tcBorders>
          </w:tcPr>
          <w:p>
            <w:pPr>
              <w:jc w:val="right"/>
              <w:ind w:right="170"/>
              <w:spacing w:after="0" w:line="200" w:lineRule="exact"/>
              <w:rPr>
                <w:sz w:val="20"/>
                <w:szCs w:val="20"/>
                <w:color w:val="auto"/>
              </w:rPr>
            </w:pPr>
            <w:r>
              <w:rPr>
                <w:rFonts w:ascii="Arial" w:cs="Arial" w:eastAsia="Arial" w:hAnsi="Arial"/>
                <w:sz w:val="20"/>
                <w:szCs w:val="20"/>
                <w:color w:val="auto"/>
              </w:rPr>
              <w:t>89,411</w:t>
            </w:r>
          </w:p>
        </w:tc>
        <w:tc>
          <w:tcPr>
            <w:tcW w:w="1200" w:type="dxa"/>
            <w:vAlign w:val="bottom"/>
            <w:tcBorders>
              <w:bottom w:val="single" w:sz="8" w:color="0E3C23"/>
            </w:tcBorders>
          </w:tcPr>
          <w:p>
            <w:pPr>
              <w:jc w:val="right"/>
              <w:ind w:right="170"/>
              <w:spacing w:after="0" w:line="200" w:lineRule="exact"/>
              <w:rPr>
                <w:sz w:val="20"/>
                <w:szCs w:val="20"/>
                <w:color w:val="auto"/>
              </w:rPr>
            </w:pPr>
            <w:r>
              <w:rPr>
                <w:rFonts w:ascii="Arial" w:cs="Arial" w:eastAsia="Arial" w:hAnsi="Arial"/>
                <w:sz w:val="20"/>
                <w:szCs w:val="20"/>
                <w:color w:val="auto"/>
              </w:rPr>
              <w:t>67,058</w:t>
            </w:r>
          </w:p>
        </w:tc>
        <w:tc>
          <w:tcPr>
            <w:tcW w:w="1060" w:type="dxa"/>
            <w:vAlign w:val="bottom"/>
            <w:tcBorders>
              <w:bottom w:val="single" w:sz="8" w:color="0E3C23"/>
            </w:tcBorders>
          </w:tcPr>
          <w:p>
            <w:pPr>
              <w:jc w:val="right"/>
              <w:ind w:right="30"/>
              <w:spacing w:after="0" w:line="200" w:lineRule="exact"/>
              <w:rPr>
                <w:sz w:val="20"/>
                <w:szCs w:val="20"/>
                <w:color w:val="auto"/>
              </w:rPr>
            </w:pPr>
            <w:r>
              <w:rPr>
                <w:rFonts w:ascii="Arial" w:cs="Arial" w:eastAsia="Arial" w:hAnsi="Arial"/>
                <w:sz w:val="20"/>
                <w:szCs w:val="20"/>
                <w:color w:val="auto"/>
              </w:rPr>
              <w:t>592,214</w:t>
            </w:r>
          </w:p>
        </w:tc>
        <w:tc>
          <w:tcPr>
            <w:tcW w:w="1520" w:type="dxa"/>
            <w:vAlign w:val="bottom"/>
            <w:tcBorders>
              <w:bottom w:val="single" w:sz="8" w:color="0E3C23"/>
            </w:tcBorders>
          </w:tcPr>
          <w:p>
            <w:pPr>
              <w:jc w:val="right"/>
              <w:ind w:right="328"/>
              <w:spacing w:after="0" w:line="200" w:lineRule="exact"/>
              <w:rPr>
                <w:sz w:val="20"/>
                <w:szCs w:val="20"/>
                <w:color w:val="auto"/>
              </w:rPr>
            </w:pPr>
            <w:r>
              <w:rPr>
                <w:rFonts w:ascii="Arial" w:cs="Arial" w:eastAsia="Arial" w:hAnsi="Arial"/>
                <w:sz w:val="20"/>
                <w:szCs w:val="20"/>
                <w:color w:val="auto"/>
              </w:rPr>
              <w:t>—</w:t>
            </w:r>
          </w:p>
        </w:tc>
        <w:tc>
          <w:tcPr>
            <w:tcW w:w="1520" w:type="dxa"/>
            <w:vAlign w:val="bottom"/>
            <w:tcBorders>
              <w:bottom w:val="single" w:sz="8" w:color="0E3C23"/>
            </w:tcBorders>
          </w:tcPr>
          <w:p>
            <w:pPr>
              <w:jc w:val="right"/>
              <w:ind w:right="168"/>
              <w:spacing w:after="0" w:line="200" w:lineRule="exact"/>
              <w:rPr>
                <w:sz w:val="20"/>
                <w:szCs w:val="20"/>
                <w:color w:val="auto"/>
              </w:rPr>
            </w:pPr>
            <w:r>
              <w:rPr>
                <w:rFonts w:ascii="Arial" w:cs="Arial" w:eastAsia="Arial" w:hAnsi="Arial"/>
                <w:sz w:val="20"/>
                <w:szCs w:val="20"/>
                <w:color w:val="auto"/>
              </w:rPr>
              <w:t>3,905,951</w:t>
            </w:r>
          </w:p>
        </w:tc>
      </w:tr>
      <w:tr>
        <w:trPr>
          <w:trHeight w:val="200"/>
        </w:trPr>
        <w:tc>
          <w:tcPr>
            <w:tcW w:w="2680" w:type="dxa"/>
            <w:vAlign w:val="bottom"/>
            <w:tcBorders>
              <w:bottom w:val="single" w:sz="8" w:color="0E3C23"/>
            </w:tcBorders>
          </w:tcPr>
          <w:p>
            <w:pPr>
              <w:ind w:left="60"/>
              <w:spacing w:after="0" w:line="200" w:lineRule="exact"/>
              <w:rPr>
                <w:sz w:val="20"/>
                <w:szCs w:val="20"/>
                <w:color w:val="auto"/>
              </w:rPr>
            </w:pPr>
            <w:r>
              <w:rPr>
                <w:rFonts w:ascii="Arial" w:cs="Arial" w:eastAsia="Arial" w:hAnsi="Arial"/>
                <w:sz w:val="20"/>
                <w:szCs w:val="20"/>
                <w:b w:val="1"/>
                <w:bCs w:val="1"/>
                <w:color w:val="auto"/>
              </w:rPr>
              <w:t>Tara J. Hemmer</w:t>
            </w:r>
          </w:p>
        </w:tc>
        <w:tc>
          <w:tcPr>
            <w:tcW w:w="2080" w:type="dxa"/>
            <w:vAlign w:val="bottom"/>
            <w:tcBorders>
              <w:bottom w:val="single" w:sz="8" w:color="0E3C23"/>
            </w:tcBorders>
          </w:tcPr>
          <w:p>
            <w:pPr>
              <w:jc w:val="right"/>
              <w:ind w:right="170"/>
              <w:spacing w:after="0" w:line="200" w:lineRule="exact"/>
              <w:rPr>
                <w:sz w:val="20"/>
                <w:szCs w:val="20"/>
                <w:color w:val="auto"/>
              </w:rPr>
            </w:pPr>
            <w:r>
              <w:rPr>
                <w:rFonts w:ascii="Arial" w:cs="Arial" w:eastAsia="Arial" w:hAnsi="Arial"/>
                <w:sz w:val="20"/>
                <w:szCs w:val="20"/>
                <w:color w:val="auto"/>
              </w:rPr>
              <w:t>84,925</w:t>
            </w:r>
          </w:p>
        </w:tc>
        <w:tc>
          <w:tcPr>
            <w:tcW w:w="1200" w:type="dxa"/>
            <w:vAlign w:val="bottom"/>
            <w:tcBorders>
              <w:bottom w:val="single" w:sz="8" w:color="0E3C23"/>
            </w:tcBorders>
          </w:tcPr>
          <w:p>
            <w:pPr>
              <w:jc w:val="right"/>
              <w:ind w:right="170"/>
              <w:spacing w:after="0" w:line="200" w:lineRule="exact"/>
              <w:rPr>
                <w:sz w:val="20"/>
                <w:szCs w:val="20"/>
                <w:color w:val="auto"/>
              </w:rPr>
            </w:pPr>
            <w:r>
              <w:rPr>
                <w:rFonts w:ascii="Arial" w:cs="Arial" w:eastAsia="Arial" w:hAnsi="Arial"/>
                <w:sz w:val="20"/>
                <w:szCs w:val="20"/>
                <w:color w:val="auto"/>
              </w:rPr>
              <w:t>47,887</w:t>
            </w:r>
          </w:p>
        </w:tc>
        <w:tc>
          <w:tcPr>
            <w:tcW w:w="1060" w:type="dxa"/>
            <w:vAlign w:val="bottom"/>
            <w:tcBorders>
              <w:bottom w:val="single" w:sz="8" w:color="0E3C23"/>
            </w:tcBorders>
          </w:tcPr>
          <w:p>
            <w:pPr>
              <w:jc w:val="right"/>
              <w:ind w:right="30"/>
              <w:spacing w:after="0" w:line="200" w:lineRule="exact"/>
              <w:rPr>
                <w:sz w:val="20"/>
                <w:szCs w:val="20"/>
                <w:color w:val="auto"/>
              </w:rPr>
            </w:pPr>
            <w:r>
              <w:rPr>
                <w:rFonts w:ascii="Arial" w:cs="Arial" w:eastAsia="Arial" w:hAnsi="Arial"/>
                <w:sz w:val="20"/>
                <w:szCs w:val="20"/>
                <w:color w:val="auto"/>
              </w:rPr>
              <w:t>133,524</w:t>
            </w:r>
          </w:p>
        </w:tc>
        <w:tc>
          <w:tcPr>
            <w:tcW w:w="1520" w:type="dxa"/>
            <w:vAlign w:val="bottom"/>
            <w:tcBorders>
              <w:bottom w:val="single" w:sz="8" w:color="0E3C23"/>
            </w:tcBorders>
          </w:tcPr>
          <w:p>
            <w:pPr>
              <w:jc w:val="right"/>
              <w:ind w:right="328"/>
              <w:spacing w:after="0" w:line="200" w:lineRule="exact"/>
              <w:rPr>
                <w:sz w:val="20"/>
                <w:szCs w:val="20"/>
                <w:color w:val="auto"/>
              </w:rPr>
            </w:pPr>
            <w:r>
              <w:rPr>
                <w:rFonts w:ascii="Arial" w:cs="Arial" w:eastAsia="Arial" w:hAnsi="Arial"/>
                <w:sz w:val="20"/>
                <w:szCs w:val="20"/>
                <w:color w:val="auto"/>
              </w:rPr>
              <w:t>—</w:t>
            </w:r>
          </w:p>
        </w:tc>
        <w:tc>
          <w:tcPr>
            <w:tcW w:w="1520" w:type="dxa"/>
            <w:vAlign w:val="bottom"/>
            <w:tcBorders>
              <w:bottom w:val="single" w:sz="8" w:color="0E3C23"/>
            </w:tcBorders>
          </w:tcPr>
          <w:p>
            <w:pPr>
              <w:jc w:val="right"/>
              <w:ind w:right="168"/>
              <w:spacing w:after="0" w:line="200" w:lineRule="exact"/>
              <w:rPr>
                <w:sz w:val="20"/>
                <w:szCs w:val="20"/>
                <w:color w:val="auto"/>
              </w:rPr>
            </w:pPr>
            <w:r>
              <w:rPr>
                <w:rFonts w:ascii="Arial" w:cs="Arial" w:eastAsia="Arial" w:hAnsi="Arial"/>
                <w:sz w:val="20"/>
                <w:szCs w:val="20"/>
                <w:color w:val="auto"/>
              </w:rPr>
              <w:t>1,248,912</w:t>
            </w:r>
          </w:p>
        </w:tc>
      </w:tr>
      <w:tr>
        <w:trPr>
          <w:trHeight w:val="221"/>
        </w:trPr>
        <w:tc>
          <w:tcPr>
            <w:tcW w:w="2680" w:type="dxa"/>
            <w:vAlign w:val="bottom"/>
          </w:tcPr>
          <w:p>
            <w:pPr>
              <w:ind w:left="60"/>
              <w:spacing w:after="0" w:line="221" w:lineRule="exact"/>
              <w:rPr>
                <w:sz w:val="20"/>
                <w:szCs w:val="20"/>
                <w:color w:val="auto"/>
              </w:rPr>
            </w:pPr>
            <w:r>
              <w:rPr>
                <w:rFonts w:ascii="Arial" w:cs="Arial" w:eastAsia="Arial" w:hAnsi="Arial"/>
                <w:sz w:val="20"/>
                <w:szCs w:val="20"/>
                <w:b w:val="1"/>
                <w:bCs w:val="1"/>
                <w:color w:val="auto"/>
              </w:rPr>
              <w:t>Rafael E. Carrasco</w:t>
            </w:r>
          </w:p>
        </w:tc>
        <w:tc>
          <w:tcPr>
            <w:tcW w:w="2080" w:type="dxa"/>
            <w:vAlign w:val="bottom"/>
          </w:tcPr>
          <w:p>
            <w:pPr>
              <w:jc w:val="right"/>
              <w:ind w:right="170"/>
              <w:spacing w:after="0" w:line="221" w:lineRule="exact"/>
              <w:rPr>
                <w:sz w:val="20"/>
                <w:szCs w:val="20"/>
                <w:color w:val="auto"/>
              </w:rPr>
            </w:pPr>
            <w:r>
              <w:rPr>
                <w:rFonts w:ascii="Arial" w:cs="Arial" w:eastAsia="Arial" w:hAnsi="Arial"/>
                <w:sz w:val="20"/>
                <w:szCs w:val="20"/>
                <w:color w:val="auto"/>
              </w:rPr>
              <w:t>31,129</w:t>
            </w:r>
          </w:p>
        </w:tc>
        <w:tc>
          <w:tcPr>
            <w:tcW w:w="1200" w:type="dxa"/>
            <w:vAlign w:val="bottom"/>
          </w:tcPr>
          <w:p>
            <w:pPr>
              <w:jc w:val="right"/>
              <w:ind w:right="170"/>
              <w:spacing w:after="0" w:line="221" w:lineRule="exact"/>
              <w:rPr>
                <w:sz w:val="20"/>
                <w:szCs w:val="20"/>
                <w:color w:val="auto"/>
              </w:rPr>
            </w:pPr>
            <w:r>
              <w:rPr>
                <w:rFonts w:ascii="Arial" w:cs="Arial" w:eastAsia="Arial" w:hAnsi="Arial"/>
                <w:sz w:val="20"/>
                <w:szCs w:val="20"/>
                <w:color w:val="auto"/>
              </w:rPr>
              <w:t>23,347</w:t>
            </w:r>
          </w:p>
        </w:tc>
        <w:tc>
          <w:tcPr>
            <w:tcW w:w="1060" w:type="dxa"/>
            <w:vAlign w:val="bottom"/>
          </w:tcPr>
          <w:p>
            <w:pPr>
              <w:jc w:val="right"/>
              <w:ind w:right="30"/>
              <w:spacing w:after="0" w:line="221" w:lineRule="exact"/>
              <w:rPr>
                <w:sz w:val="20"/>
                <w:szCs w:val="20"/>
                <w:color w:val="auto"/>
              </w:rPr>
            </w:pPr>
            <w:r>
              <w:rPr>
                <w:rFonts w:ascii="Arial" w:cs="Arial" w:eastAsia="Arial" w:hAnsi="Arial"/>
                <w:sz w:val="20"/>
                <w:szCs w:val="20"/>
                <w:color w:val="auto"/>
              </w:rPr>
              <w:t>1,124</w:t>
            </w:r>
          </w:p>
        </w:tc>
        <w:tc>
          <w:tcPr>
            <w:tcW w:w="1520" w:type="dxa"/>
            <w:vAlign w:val="bottom"/>
          </w:tcPr>
          <w:p>
            <w:pPr>
              <w:jc w:val="right"/>
              <w:ind w:right="328"/>
              <w:spacing w:after="0" w:line="221" w:lineRule="exact"/>
              <w:rPr>
                <w:sz w:val="20"/>
                <w:szCs w:val="20"/>
                <w:color w:val="auto"/>
              </w:rPr>
            </w:pPr>
            <w:r>
              <w:rPr>
                <w:rFonts w:ascii="Arial" w:cs="Arial" w:eastAsia="Arial" w:hAnsi="Arial"/>
                <w:sz w:val="20"/>
                <w:szCs w:val="20"/>
                <w:color w:val="auto"/>
              </w:rPr>
              <w:t>—</w:t>
            </w:r>
          </w:p>
        </w:tc>
        <w:tc>
          <w:tcPr>
            <w:tcW w:w="1520" w:type="dxa"/>
            <w:vAlign w:val="bottom"/>
          </w:tcPr>
          <w:p>
            <w:pPr>
              <w:jc w:val="right"/>
              <w:ind w:right="168"/>
              <w:spacing w:after="0" w:line="221" w:lineRule="exact"/>
              <w:rPr>
                <w:sz w:val="20"/>
                <w:szCs w:val="20"/>
                <w:color w:val="auto"/>
              </w:rPr>
            </w:pPr>
            <w:r>
              <w:rPr>
                <w:rFonts w:ascii="Arial" w:cs="Arial" w:eastAsia="Arial" w:hAnsi="Arial"/>
                <w:sz w:val="20"/>
                <w:szCs w:val="20"/>
                <w:color w:val="auto"/>
              </w:rPr>
              <w:t>55,599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19685</wp:posOffset>
                </wp:positionV>
                <wp:extent cx="6386195"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0121">
                          <a:solidFill>
                            <a:srgbClr val="0E3C23"/>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pt,1.55pt" to="511.75pt,1.55pt" o:allowincell="f" strokecolor="#0E3C23" strokeweight="0.7969pt"/>
            </w:pict>
          </mc:Fallback>
        </mc:AlternateContent>
      </w:r>
    </w:p>
    <w:p>
      <w:pPr>
        <w:spacing w:after="0" w:line="37" w:lineRule="exact"/>
        <w:rPr>
          <w:sz w:val="20"/>
          <w:szCs w:val="20"/>
          <w:color w:val="auto"/>
        </w:rPr>
      </w:pPr>
    </w:p>
    <w:p>
      <w:pPr>
        <w:jc w:val="both"/>
        <w:ind w:left="580" w:right="200" w:hanging="401"/>
        <w:spacing w:after="0" w:line="246" w:lineRule="auto"/>
        <w:tabs>
          <w:tab w:leader="none" w:pos="5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Contributions are made pursuant to the Company’s 409A Deferral Plan. Executive contributions of base salary and annual cash incentive compensation is included in the Salary column and the Non-Equity Incentive Plan Compensation column, respectively, of the Summary Compensation Table.</w:t>
      </w:r>
    </w:p>
    <w:p>
      <w:pPr>
        <w:spacing w:after="0" w:line="71" w:lineRule="exact"/>
        <w:rPr>
          <w:rFonts w:ascii="Arial" w:cs="Arial" w:eastAsia="Arial" w:hAnsi="Arial"/>
          <w:sz w:val="20"/>
          <w:szCs w:val="20"/>
          <w:color w:val="auto"/>
        </w:rPr>
      </w:pPr>
    </w:p>
    <w:p>
      <w:pPr>
        <w:ind w:left="580" w:right="200" w:hanging="401"/>
        <w:spacing w:after="0" w:line="244" w:lineRule="auto"/>
        <w:tabs>
          <w:tab w:leader="none" w:pos="5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Company contributions to the executives’ 409A Deferral Plan accounts are included in the All Other Compensation column in the Summary Compensation Table.</w:t>
      </w:r>
    </w:p>
    <w:p>
      <w:pPr>
        <w:spacing w:after="0" w:line="71" w:lineRule="exact"/>
        <w:rPr>
          <w:rFonts w:ascii="Arial" w:cs="Arial" w:eastAsia="Arial" w:hAnsi="Arial"/>
          <w:sz w:val="20"/>
          <w:szCs w:val="20"/>
          <w:color w:val="auto"/>
        </w:rPr>
      </w:pPr>
    </w:p>
    <w:p>
      <w:pPr>
        <w:jc w:val="both"/>
        <w:ind w:left="580" w:right="200" w:hanging="401"/>
        <w:spacing w:after="0" w:line="249" w:lineRule="auto"/>
        <w:tabs>
          <w:tab w:leader="none" w:pos="5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Earnings on these accounts are not included in any other amounts in the tables included in this Proxy Statement, as the amounts of the named executives’ earnings on deferred cash compensation represent the general market gains (or losses) on investments, rather than amounts or rates set by the Company for the benefit of the named executives. In the case of Mr. Fish, who has deferred receipt of a total of 94,844 shares of Common Stock in prior years, earnings reported in the column above also include the change in the closing price per share of the Company’s Common Stock from December 31, 2023 to December 31, 2024, plus $3.00 of dividend equivalents paid per share of Common Stock in 2024, multiplied by the number of shares deferred. The dividend equivalents on the deferred shares were paid in cash to Mr. Fish during 2024 and are reflected in the Aggregate Withdrawals/ Distributions column above. The value of Mr. Fish’s deferred shares was included in the Option Exercises and Stock Vested table in the years such awards vested.</w:t>
      </w:r>
    </w:p>
    <w:p>
      <w:pPr>
        <w:spacing w:after="0" w:line="68" w:lineRule="exact"/>
        <w:rPr>
          <w:rFonts w:ascii="Arial" w:cs="Arial" w:eastAsia="Arial" w:hAnsi="Arial"/>
          <w:sz w:val="20"/>
          <w:szCs w:val="20"/>
          <w:color w:val="auto"/>
        </w:rPr>
      </w:pPr>
    </w:p>
    <w:p>
      <w:pPr>
        <w:jc w:val="both"/>
        <w:ind w:left="580" w:right="200" w:hanging="401"/>
        <w:spacing w:after="0" w:line="246" w:lineRule="auto"/>
        <w:tabs>
          <w:tab w:leader="none" w:pos="5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Amounts shown in this column include the following amounts that were reported as compensation to the named executive in the Summary Compensation Table for 2022-2024: Mr. Fish — $1,030,162; Ms. Rankin — $470,892; Mr. Morris — $503,235; Ms. Hemmer — $483,397 and Mr. Carrasco — $54,476.</w:t>
      </w:r>
    </w:p>
    <w:p>
      <w:pPr>
        <w:spacing w:after="0" w:line="200" w:lineRule="exact"/>
        <w:rPr>
          <w:sz w:val="20"/>
          <w:szCs w:val="20"/>
          <w:color w:val="auto"/>
        </w:rPr>
      </w:pPr>
    </w:p>
    <w:p>
      <w:pPr>
        <w:spacing w:after="0" w:line="225"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46">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47">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sectPr>
      </w:pPr>
    </w:p>
    <w:bookmarkStart w:id="60" w:name="page61"/>
    <w:bookmarkEnd w:id="60"/>
    <w:p>
      <w:pPr>
        <w:ind w:left="798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259"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Potential Payments Upon Termination or Change in Control</w:t>
      </w:r>
    </w:p>
    <w:p>
      <w:pPr>
        <w:spacing w:after="0" w:line="142" w:lineRule="exact"/>
        <w:rPr>
          <w:sz w:val="20"/>
          <w:szCs w:val="20"/>
          <w:color w:val="auto"/>
        </w:rPr>
      </w:pPr>
    </w:p>
    <w:p>
      <w:pPr>
        <w:jc w:val="both"/>
        <w:ind w:left="180" w:right="180"/>
        <w:spacing w:after="0" w:line="259" w:lineRule="auto"/>
        <w:rPr>
          <w:sz w:val="20"/>
          <w:szCs w:val="20"/>
          <w:color w:val="auto"/>
        </w:rPr>
      </w:pPr>
      <w:r>
        <w:rPr>
          <w:rFonts w:ascii="Arial" w:cs="Arial" w:eastAsia="Arial" w:hAnsi="Arial"/>
          <w:sz w:val="19"/>
          <w:szCs w:val="19"/>
          <w:i w:val="1"/>
          <w:iCs w:val="1"/>
          <w:u w:val="single" w:color="auto"/>
          <w:color w:val="auto"/>
        </w:rPr>
        <w:t>Change in Control.</w:t>
      </w:r>
      <w:r>
        <w:rPr>
          <w:rFonts w:ascii="Arial" w:cs="Arial" w:eastAsia="Arial" w:hAnsi="Arial"/>
          <w:sz w:val="19"/>
          <w:szCs w:val="19"/>
          <w:i w:val="1"/>
          <w:iCs w:val="1"/>
          <w:color w:val="auto"/>
        </w:rPr>
        <w:t xml:space="preserve"> </w:t>
      </w:r>
      <w:r>
        <w:rPr>
          <w:rFonts w:ascii="Arial" w:cs="Arial" w:eastAsia="Arial" w:hAnsi="Arial"/>
          <w:sz w:val="19"/>
          <w:szCs w:val="19"/>
          <w:color w:val="auto"/>
        </w:rPr>
        <w:t>The post-employment compensation our named executives receive is based on provisions included</w:t>
      </w:r>
      <w:r>
        <w:rPr>
          <w:rFonts w:ascii="Arial" w:cs="Arial" w:eastAsia="Arial" w:hAnsi="Arial"/>
          <w:sz w:val="19"/>
          <w:szCs w:val="19"/>
          <w:i w:val="1"/>
          <w:iCs w:val="1"/>
          <w:color w:val="auto"/>
        </w:rPr>
        <w:t xml:space="preserve"> </w:t>
      </w:r>
      <w:r>
        <w:rPr>
          <w:rFonts w:ascii="Arial" w:cs="Arial" w:eastAsia="Arial" w:hAnsi="Arial"/>
          <w:sz w:val="19"/>
          <w:szCs w:val="19"/>
          <w:color w:val="auto"/>
        </w:rPr>
        <w:t>in retirement and severance plan documents, employment agreements and equity incentive award documentation. Severance protections aid in retention of senior leadership by providing the individual with comfort that he or she will be treated fairly in the event of an involuntary termination not for cause. The change in control provisions included in the Severance Protection Plan, our stock option award agreements and, if applicable, employment agreements require a double trigger in order to receive any payment in the event of a change in control situation. First, a change in control must occur, and second, the individual must terminate employment for good reason or the Company must terminate employment without cause within six months prior to or two years following the change in control event. PSUs are paid out in cash on a prorated basis based on actual results achieved through the end of the fiscal quarter prior to a change in control. Thereafter, the executive would typically receive a replacement award from the successor entity, provided that the successor entity is publicly traded. If the successor is not publicly traded, the executive will be entitled to a replacement award of cash. RSUs vest upon a change in control unless the successor entity converts the awards to equivalent grants in the successor. In the case of both converted RSU and PSU awards, they will vest in full if the executive is terminated without cause following the change in control. We believe providing change in control protection encourages our named executives to pursue and facilitate transactions that are in the best interests of stockholders while not granting executives an undeserved windfall.</w:t>
      </w:r>
    </w:p>
    <w:p>
      <w:pPr>
        <w:spacing w:after="0" w:line="115" w:lineRule="exact"/>
        <w:rPr>
          <w:sz w:val="20"/>
          <w:szCs w:val="20"/>
          <w:color w:val="auto"/>
        </w:rPr>
      </w:pPr>
    </w:p>
    <w:p>
      <w:pPr>
        <w:jc w:val="both"/>
        <w:ind w:left="180" w:right="200"/>
        <w:spacing w:after="0" w:line="275" w:lineRule="auto"/>
        <w:rPr>
          <w:sz w:val="20"/>
          <w:szCs w:val="20"/>
          <w:color w:val="auto"/>
        </w:rPr>
      </w:pPr>
      <w:r>
        <w:rPr>
          <w:rFonts w:ascii="Arial" w:cs="Arial" w:eastAsia="Arial" w:hAnsi="Arial"/>
          <w:sz w:val="18"/>
          <w:szCs w:val="18"/>
          <w:i w:val="1"/>
          <w:iCs w:val="1"/>
          <w:u w:val="single" w:color="auto"/>
          <w:color w:val="auto"/>
        </w:rPr>
        <w:t>Involuntary Termination or Resignation for Good Reason.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Severance Protection Plan, in the event a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 terminated without cause or resigns for good reason, subject to execution of a release of claims and continued compliance with all restrictive covenants, he or she will be entitled to receive: (a) cash severance in an aggregate amount equal to two times the sum of the participant’s base salary and target annual bonus (with one half payable in a lump sum at termination, and the remaining half payable in installments over a two-year period); (b) continuation of group health benefits over a two-year period following termination and (c)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annual cash incentive payment for the year of termination. In the event a named executive is terminated for cause, he or she is entitled to any accrued but unpaid salary only, and all unvested awards and outstanding stock options, whether exercisable or not, are forfeited.</w:t>
      </w:r>
    </w:p>
    <w:p>
      <w:pPr>
        <w:spacing w:after="0" w:line="107" w:lineRule="exact"/>
        <w:rPr>
          <w:sz w:val="20"/>
          <w:szCs w:val="20"/>
          <w:color w:val="auto"/>
        </w:rPr>
      </w:pPr>
    </w:p>
    <w:p>
      <w:pPr>
        <w:jc w:val="both"/>
        <w:ind w:left="180" w:right="200"/>
        <w:spacing w:after="0" w:line="243" w:lineRule="auto"/>
        <w:rPr>
          <w:sz w:val="20"/>
          <w:szCs w:val="20"/>
          <w:color w:val="auto"/>
        </w:rPr>
      </w:pPr>
      <w:r>
        <w:rPr>
          <w:rFonts w:ascii="Arial" w:cs="Arial" w:eastAsia="Arial" w:hAnsi="Arial"/>
          <w:sz w:val="20"/>
          <w:szCs w:val="20"/>
          <w:color w:val="auto"/>
        </w:rPr>
        <w:t>The terms “cause,” “good reason,” and “change in control” are defined in the executives’ employment agreements, the Severance Protection Plan and equity award plans and agreements, as applicable, but such terms have the meanings generally described below. You should refer to the applicable documentation, accessible through the Exhibit List to the Company’s Annual Report on Form 10-K, for the full definitions.</w:t>
      </w:r>
    </w:p>
    <w:p>
      <w:pPr>
        <w:spacing w:after="0" w:line="130" w:lineRule="exact"/>
        <w:rPr>
          <w:sz w:val="20"/>
          <w:szCs w:val="20"/>
          <w:color w:val="auto"/>
        </w:rPr>
      </w:pPr>
    </w:p>
    <w:p>
      <w:pPr>
        <w:jc w:val="both"/>
        <w:ind w:left="580" w:right="200"/>
        <w:spacing w:after="0" w:line="243" w:lineRule="auto"/>
        <w:rPr>
          <w:sz w:val="20"/>
          <w:szCs w:val="20"/>
          <w:color w:val="auto"/>
        </w:rPr>
      </w:pPr>
      <w:r>
        <w:rPr>
          <w:rFonts w:ascii="Arial" w:cs="Arial" w:eastAsia="Arial" w:hAnsi="Arial"/>
          <w:sz w:val="20"/>
          <w:szCs w:val="20"/>
          <w:color w:val="auto"/>
        </w:rPr>
        <w:t>“Cause” generally means the named executive has: deliberately refused to perform his or her duties; breached his or her duty of loyalty to the Company; been convicted of a felony; intentionally and materially harmed the Company; materially violated the Company’s policies and procedures or breached the covenants contained in his or her agreement.</w:t>
      </w:r>
    </w:p>
    <w:p>
      <w:pPr>
        <w:spacing w:after="0" w:line="130" w:lineRule="exact"/>
        <w:rPr>
          <w:sz w:val="20"/>
          <w:szCs w:val="20"/>
          <w:color w:val="auto"/>
        </w:rPr>
      </w:pPr>
    </w:p>
    <w:p>
      <w:pPr>
        <w:jc w:val="both"/>
        <w:ind w:left="580" w:right="200"/>
        <w:spacing w:after="0" w:line="260" w:lineRule="auto"/>
        <w:rPr>
          <w:sz w:val="20"/>
          <w:szCs w:val="20"/>
          <w:color w:val="auto"/>
        </w:rPr>
      </w:pPr>
      <w:r>
        <w:rPr>
          <w:rFonts w:ascii="Arial" w:cs="Arial" w:eastAsia="Arial" w:hAnsi="Arial"/>
          <w:sz w:val="19"/>
          <w:szCs w:val="19"/>
          <w:color w:val="auto"/>
        </w:rPr>
        <w:t>“Good Reason” generally means that, without the named executive’s consent: his or her duties or responsibilities have been substantially changed; he or she has been removed from his or her position; the Company has breached his or her employment agreement; any successor to the Company has not assumed the obligations under his or her employment agreement; or he or she has been reassigned to a location more than 50 miles away.</w:t>
      </w:r>
    </w:p>
    <w:p>
      <w:pPr>
        <w:spacing w:after="0" w:line="115" w:lineRule="exact"/>
        <w:rPr>
          <w:sz w:val="20"/>
          <w:szCs w:val="20"/>
          <w:color w:val="auto"/>
        </w:rPr>
      </w:pPr>
    </w:p>
    <w:p>
      <w:pPr>
        <w:jc w:val="both"/>
        <w:ind w:left="580" w:right="200"/>
        <w:spacing w:after="0" w:line="244" w:lineRule="auto"/>
        <w:rPr>
          <w:sz w:val="20"/>
          <w:szCs w:val="20"/>
          <w:color w:val="auto"/>
        </w:rPr>
      </w:pPr>
      <w:r>
        <w:rPr>
          <w:rFonts w:ascii="Arial" w:cs="Arial" w:eastAsia="Arial" w:hAnsi="Arial"/>
          <w:sz w:val="20"/>
          <w:szCs w:val="20"/>
          <w:color w:val="auto"/>
        </w:rPr>
        <w:t>“Change in Control” generally means that: at least 25% of the Company’s Common Stock has been acquired by one person or persons acting as a group; certain significant turnover in our Board of Directors has occurred; there has been a merger of the Company in which at least 50% of the combined post-merger voting power of the surviving entity does not consist of the Company’s pre-merger voting power, or a merger to effect a recapitalization that resulted in a person or persons acting as a group acquired 25% or more of the Company’s voting securities; or the Company is liquidating or selling all or substantially all of its assets.</w:t>
      </w:r>
    </w:p>
    <w:p>
      <w:pPr>
        <w:spacing w:after="0" w:line="130" w:lineRule="exact"/>
        <w:rPr>
          <w:sz w:val="20"/>
          <w:szCs w:val="20"/>
          <w:color w:val="auto"/>
        </w:rPr>
      </w:pPr>
    </w:p>
    <w:p>
      <w:pPr>
        <w:jc w:val="both"/>
        <w:ind w:left="180" w:right="200"/>
        <w:spacing w:after="0" w:line="244" w:lineRule="auto"/>
        <w:rPr>
          <w:sz w:val="20"/>
          <w:szCs w:val="20"/>
          <w:color w:val="auto"/>
        </w:rPr>
      </w:pPr>
      <w:r>
        <w:rPr>
          <w:rFonts w:ascii="Arial" w:cs="Arial" w:eastAsia="Arial" w:hAnsi="Arial"/>
          <w:sz w:val="20"/>
          <w:szCs w:val="20"/>
          <w:color w:val="auto"/>
        </w:rPr>
        <w:t>Benefits to a participant under the Severance Protection Plan are subject to reduction to the extent required by the Company’s Severance Limitation Policy or if the excise tax described in Sections 280G or 4999 of the IRC is applicable and such reduction would place the participant in a better net after tax position.</w:t>
      </w:r>
    </w:p>
    <w:p>
      <w:pPr>
        <w:spacing w:after="0" w:line="131" w:lineRule="exact"/>
        <w:rPr>
          <w:sz w:val="20"/>
          <w:szCs w:val="20"/>
          <w:color w:val="auto"/>
        </w:rPr>
      </w:pPr>
    </w:p>
    <w:p>
      <w:pPr>
        <w:jc w:val="both"/>
        <w:ind w:left="180" w:right="200"/>
        <w:spacing w:after="0" w:line="263" w:lineRule="auto"/>
        <w:rPr>
          <w:sz w:val="20"/>
          <w:szCs w:val="20"/>
          <w:color w:val="auto"/>
        </w:rPr>
      </w:pPr>
      <w:r>
        <w:rPr>
          <w:rFonts w:ascii="Arial" w:cs="Arial" w:eastAsia="Arial" w:hAnsi="Arial"/>
          <w:sz w:val="19"/>
          <w:szCs w:val="19"/>
          <w:i w:val="1"/>
          <w:iCs w:val="1"/>
          <w:u w:val="single" w:color="auto"/>
          <w:color w:val="auto"/>
        </w:rPr>
        <w:t>Voluntary Termination; Retirement.</w:t>
      </w:r>
      <w:r>
        <w:rPr>
          <w:rFonts w:ascii="Arial" w:cs="Arial" w:eastAsia="Arial" w:hAnsi="Arial"/>
          <w:sz w:val="19"/>
          <w:szCs w:val="19"/>
          <w:i w:val="1"/>
          <w:iCs w:val="1"/>
          <w:color w:val="auto"/>
        </w:rPr>
        <w:t xml:space="preserve"> </w:t>
      </w:r>
      <w:r>
        <w:rPr>
          <w:rFonts w:ascii="Arial" w:cs="Arial" w:eastAsia="Arial" w:hAnsi="Arial"/>
          <w:sz w:val="19"/>
          <w:szCs w:val="19"/>
          <w:color w:val="auto"/>
        </w:rPr>
        <w:t>Our equity award agreements generally provide that an executive forfeits unvested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awards if he or she voluntarily terminates employment. RSUs and PSUs generally vest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upon involuntary termination other than for cause. RSUs, PSUs and stock options generally continue to vest following a qualifying retirement as if the employee had remained employed until the end of the performance period. A qualifying</w:t>
      </w:r>
    </w:p>
    <w:p>
      <w:pPr>
        <w:spacing w:after="0" w:line="200" w:lineRule="exact"/>
        <w:rPr>
          <w:sz w:val="20"/>
          <w:szCs w:val="20"/>
          <w:color w:val="auto"/>
        </w:rPr>
      </w:pPr>
    </w:p>
    <w:p>
      <w:pPr>
        <w:spacing w:after="0" w:line="207"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-207010</wp:posOffset>
            </wp:positionV>
            <wp:extent cx="538480" cy="1619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48">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sectPr>
      </w:pPr>
    </w:p>
    <w:bookmarkStart w:id="61" w:name="page62"/>
    <w:bookmarkEnd w:id="61"/>
    <w:p>
      <w:pPr>
        <w:ind w:left="180"/>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210" w:lineRule="exact"/>
        <w:rPr>
          <w:sz w:val="20"/>
          <w:szCs w:val="20"/>
          <w:color w:val="auto"/>
        </w:rPr>
      </w:pPr>
    </w:p>
    <w:p>
      <w:pPr>
        <w:jc w:val="both"/>
        <w:ind w:left="180" w:right="200"/>
        <w:spacing w:after="0" w:line="264" w:lineRule="auto"/>
        <w:rPr>
          <w:sz w:val="20"/>
          <w:szCs w:val="20"/>
          <w:color w:val="auto"/>
        </w:rPr>
      </w:pPr>
      <w:r>
        <w:rPr>
          <w:rFonts w:ascii="Arial" w:cs="Arial" w:eastAsia="Arial" w:hAnsi="Arial"/>
          <w:sz w:val="19"/>
          <w:szCs w:val="19"/>
          <w:color w:val="auto"/>
        </w:rPr>
        <w:t>retirement generally requires that the employee has reached age 55, has a sum of age plus years of service with the Company equal to 65 or greater, and has completed at least five consecutive years of service with the Company immediately preceding the employee’s voluntary resignation. If the recipient is terminated by the Company without cause or voluntarily resigns outside of a qualifying retirement, the recipient is entitled to exercise all stock options outstanding and exercisable within a specified time frame after such termination or resignation.</w:t>
      </w:r>
    </w:p>
    <w:p>
      <w:pPr>
        <w:spacing w:after="0" w:line="115" w:lineRule="exact"/>
        <w:rPr>
          <w:sz w:val="20"/>
          <w:szCs w:val="20"/>
          <w:color w:val="auto"/>
        </w:rPr>
      </w:pPr>
    </w:p>
    <w:p>
      <w:pPr>
        <w:jc w:val="both"/>
        <w:ind w:left="180" w:right="180"/>
        <w:spacing w:after="0" w:line="248" w:lineRule="auto"/>
        <w:rPr>
          <w:sz w:val="20"/>
          <w:szCs w:val="20"/>
          <w:color w:val="auto"/>
        </w:rPr>
      </w:pPr>
      <w:r>
        <w:rPr>
          <w:rFonts w:ascii="Arial" w:cs="Arial" w:eastAsia="Arial" w:hAnsi="Arial"/>
          <w:sz w:val="20"/>
          <w:szCs w:val="20"/>
          <w:i w:val="1"/>
          <w:iCs w:val="1"/>
          <w:u w:val="single" w:color="auto"/>
          <w:color w:val="auto"/>
        </w:rPr>
        <w:t>Explanation of Tabular Disclosure.</w:t>
      </w:r>
      <w:r>
        <w:rPr>
          <w:rFonts w:ascii="Arial" w:cs="Arial" w:eastAsia="Arial" w:hAnsi="Arial"/>
          <w:sz w:val="20"/>
          <w:szCs w:val="20"/>
          <w:i w:val="1"/>
          <w:iCs w:val="1"/>
          <w:color w:val="auto"/>
        </w:rPr>
        <w:t xml:space="preserve"> </w:t>
      </w:r>
      <w:r>
        <w:rPr>
          <w:rFonts w:ascii="Arial" w:cs="Arial" w:eastAsia="Arial" w:hAnsi="Arial"/>
          <w:sz w:val="20"/>
          <w:szCs w:val="20"/>
          <w:color w:val="auto"/>
        </w:rPr>
        <w:t>The following table presents potential payouts to our named executives at year-end</w:t>
      </w:r>
      <w:r>
        <w:rPr>
          <w:rFonts w:ascii="Arial" w:cs="Arial" w:eastAsia="Arial" w:hAnsi="Arial"/>
          <w:sz w:val="20"/>
          <w:szCs w:val="20"/>
          <w:i w:val="1"/>
          <w:iCs w:val="1"/>
          <w:color w:val="auto"/>
        </w:rPr>
        <w:t xml:space="preserve"> </w:t>
      </w:r>
      <w:r>
        <w:rPr>
          <w:rFonts w:ascii="Arial" w:cs="Arial" w:eastAsia="Arial" w:hAnsi="Arial"/>
          <w:sz w:val="20"/>
          <w:szCs w:val="20"/>
          <w:color w:val="auto"/>
        </w:rPr>
        <w:t>upon termination of employment in the circumstances indicated pursuant to the terms of applicable plans and agreements. The payouts set forth below assume the triggering event indicated occurred on December 31, 2024, when the closing price of our Common Stock was $201.79 per share. These payouts are calculated for SEC disclosure purposes and are not necessarily indicative of the actual amounts the named executive would receive. Please note the following when reviewing the payouts set forth below:</w:t>
      </w:r>
    </w:p>
    <w:p>
      <w:pPr>
        <w:spacing w:after="0" w:line="131" w:lineRule="exact"/>
        <w:rPr>
          <w:sz w:val="20"/>
          <w:szCs w:val="20"/>
          <w:color w:val="auto"/>
        </w:rPr>
      </w:pPr>
    </w:p>
    <w:p>
      <w:pPr>
        <w:jc w:val="both"/>
        <w:ind w:left="780" w:right="200" w:hanging="203"/>
        <w:spacing w:after="0" w:line="246" w:lineRule="auto"/>
        <w:tabs>
          <w:tab w:leader="none" w:pos="780" w:val="left"/>
        </w:tabs>
        <w:numPr>
          <w:ilvl w:val="0"/>
          <w:numId w:val="33"/>
        </w:numPr>
        <w:rPr>
          <w:rFonts w:ascii="Arial" w:cs="Arial" w:eastAsia="Arial" w:hAnsi="Arial"/>
          <w:sz w:val="20"/>
          <w:szCs w:val="20"/>
          <w:color w:val="0E3C23"/>
        </w:rPr>
      </w:pPr>
      <w:r>
        <w:rPr>
          <w:rFonts w:ascii="Arial" w:cs="Arial" w:eastAsia="Arial" w:hAnsi="Arial"/>
          <w:sz w:val="20"/>
          <w:szCs w:val="20"/>
          <w:color w:val="auto"/>
        </w:rPr>
        <w:t>The compensation component set forth below for accelerated vesting of stock options is comprised of the unvested stock options granted in 2022, 2023 and 2024, based on the difference between the closing price of our Common Stock on December 31, 2024 and the exercise price of those options.</w:t>
      </w:r>
    </w:p>
    <w:p>
      <w:pPr>
        <w:spacing w:after="0" w:line="130" w:lineRule="exact"/>
        <w:rPr>
          <w:rFonts w:ascii="Arial" w:cs="Arial" w:eastAsia="Arial" w:hAnsi="Arial"/>
          <w:sz w:val="20"/>
          <w:szCs w:val="20"/>
          <w:color w:val="0E3C23"/>
        </w:rPr>
      </w:pPr>
    </w:p>
    <w:p>
      <w:pPr>
        <w:jc w:val="both"/>
        <w:ind w:left="780" w:right="200" w:hanging="203"/>
        <w:spacing w:after="0" w:line="246" w:lineRule="auto"/>
        <w:tabs>
          <w:tab w:leader="none" w:pos="780" w:val="left"/>
        </w:tabs>
        <w:numPr>
          <w:ilvl w:val="0"/>
          <w:numId w:val="33"/>
        </w:numPr>
        <w:rPr>
          <w:rFonts w:ascii="Arial" w:cs="Arial" w:eastAsia="Arial" w:hAnsi="Arial"/>
          <w:sz w:val="20"/>
          <w:szCs w:val="20"/>
          <w:color w:val="0E3C23"/>
        </w:rPr>
      </w:pPr>
      <w:r>
        <w:rPr>
          <w:rFonts w:ascii="Arial" w:cs="Arial" w:eastAsia="Arial" w:hAnsi="Arial"/>
          <w:sz w:val="20"/>
          <w:szCs w:val="20"/>
          <w:color w:val="auto"/>
        </w:rPr>
        <w:t>For purposes of calculating the payout of performance share unit awards outstanding as of December 31, 2024, we have assumed that target performance was achieved; actual performance share unit payouts will be based on actual performance of the Company during the performance period.</w:t>
      </w:r>
    </w:p>
    <w:p>
      <w:pPr>
        <w:spacing w:after="0" w:line="130" w:lineRule="exact"/>
        <w:rPr>
          <w:rFonts w:ascii="Arial" w:cs="Arial" w:eastAsia="Arial" w:hAnsi="Arial"/>
          <w:sz w:val="20"/>
          <w:szCs w:val="20"/>
          <w:color w:val="0E3C23"/>
        </w:rPr>
      </w:pPr>
    </w:p>
    <w:p>
      <w:pPr>
        <w:jc w:val="both"/>
        <w:ind w:left="780" w:right="200" w:hanging="203"/>
        <w:spacing w:after="0" w:line="247" w:lineRule="auto"/>
        <w:tabs>
          <w:tab w:leader="none" w:pos="780" w:val="left"/>
        </w:tabs>
        <w:numPr>
          <w:ilvl w:val="0"/>
          <w:numId w:val="33"/>
        </w:numPr>
        <w:rPr>
          <w:rFonts w:ascii="Arial" w:cs="Arial" w:eastAsia="Arial" w:hAnsi="Arial"/>
          <w:sz w:val="20"/>
          <w:szCs w:val="20"/>
          <w:color w:val="0E3C23"/>
        </w:rPr>
      </w:pPr>
      <w:r>
        <w:rPr>
          <w:rFonts w:ascii="Arial" w:cs="Arial" w:eastAsia="Arial" w:hAnsi="Arial"/>
          <w:sz w:val="20"/>
          <w:szCs w:val="20"/>
          <w:color w:val="auto"/>
        </w:rPr>
        <w:t>For purposes of calculating the payout upon the “double trigger” of change in control and subsequent involuntary termination not for cause, the value of the performance share unit replacement award is equal to the number of PSUs that would be forfeited based on the prorated acceleration of the PSUs, multiplied by the closing price of our Common Stock on December 31, 2024.</w:t>
      </w:r>
    </w:p>
    <w:p>
      <w:pPr>
        <w:spacing w:after="0" w:line="130" w:lineRule="exact"/>
        <w:rPr>
          <w:rFonts w:ascii="Arial" w:cs="Arial" w:eastAsia="Arial" w:hAnsi="Arial"/>
          <w:sz w:val="20"/>
          <w:szCs w:val="20"/>
          <w:color w:val="0E3C23"/>
        </w:rPr>
      </w:pPr>
    </w:p>
    <w:p>
      <w:pPr>
        <w:ind w:left="780" w:right="200" w:hanging="203"/>
        <w:spacing w:after="0" w:line="244" w:lineRule="auto"/>
        <w:tabs>
          <w:tab w:leader="none" w:pos="780" w:val="left"/>
        </w:tabs>
        <w:numPr>
          <w:ilvl w:val="0"/>
          <w:numId w:val="33"/>
        </w:numPr>
        <w:rPr>
          <w:rFonts w:ascii="Arial" w:cs="Arial" w:eastAsia="Arial" w:hAnsi="Arial"/>
          <w:sz w:val="20"/>
          <w:szCs w:val="20"/>
          <w:color w:val="0E3C23"/>
        </w:rPr>
      </w:pPr>
      <w:r>
        <w:rPr>
          <w:rFonts w:ascii="Arial" w:cs="Arial" w:eastAsia="Arial" w:hAnsi="Arial"/>
          <w:sz w:val="20"/>
          <w:szCs w:val="20"/>
          <w:color w:val="auto"/>
        </w:rPr>
        <w:t>The payout for continuation of benefits is an estimate of the cost the Company would incur to continue those benefits.</w:t>
      </w:r>
    </w:p>
    <w:p>
      <w:pPr>
        <w:spacing w:after="0" w:line="131" w:lineRule="exact"/>
        <w:rPr>
          <w:rFonts w:ascii="Arial" w:cs="Arial" w:eastAsia="Arial" w:hAnsi="Arial"/>
          <w:sz w:val="20"/>
          <w:szCs w:val="20"/>
          <w:color w:val="0E3C23"/>
        </w:rPr>
      </w:pPr>
    </w:p>
    <w:p>
      <w:pPr>
        <w:jc w:val="both"/>
        <w:ind w:left="780" w:right="200" w:hanging="203"/>
        <w:spacing w:after="0" w:line="287" w:lineRule="auto"/>
        <w:tabs>
          <w:tab w:leader="none" w:pos="780" w:val="left"/>
        </w:tabs>
        <w:numPr>
          <w:ilvl w:val="0"/>
          <w:numId w:val="33"/>
        </w:numPr>
        <w:rPr>
          <w:rFonts w:ascii="Arial" w:cs="Arial" w:eastAsia="Arial" w:hAnsi="Arial"/>
          <w:sz w:val="18"/>
          <w:szCs w:val="18"/>
          <w:color w:val="0E3C23"/>
        </w:rPr>
      </w:pPr>
      <w:r>
        <w:rPr>
          <w:rFonts w:ascii="Arial" w:cs="Arial" w:eastAsia="Arial" w:hAnsi="Arial"/>
          <w:sz w:val="18"/>
          <w:szCs w:val="18"/>
          <w:color w:val="auto"/>
        </w:rPr>
        <w:t>The Company’s practice is to provide all benefits-eligible employees with life insurance that pays one times annual base salary upon death, subject to an age-based reduction provision beginning at age 65. The insurance benefit is a payment by an insurance company, not the Company, and is payable under the terms of the insurance policy.</w:t>
      </w:r>
    </w:p>
    <w:p>
      <w:pPr>
        <w:spacing w:after="0" w:line="95" w:lineRule="exact"/>
        <w:rPr>
          <w:rFonts w:ascii="Arial" w:cs="Arial" w:eastAsia="Arial" w:hAnsi="Arial"/>
          <w:sz w:val="18"/>
          <w:szCs w:val="18"/>
          <w:color w:val="0E3C23"/>
        </w:rPr>
      </w:pPr>
    </w:p>
    <w:p>
      <w:pPr>
        <w:ind w:left="780" w:right="200" w:hanging="203"/>
        <w:spacing w:after="0" w:line="269" w:lineRule="auto"/>
        <w:tabs>
          <w:tab w:leader="none" w:pos="780" w:val="left"/>
        </w:tabs>
        <w:numPr>
          <w:ilvl w:val="0"/>
          <w:numId w:val="33"/>
        </w:numPr>
        <w:rPr>
          <w:rFonts w:ascii="Arial" w:cs="Arial" w:eastAsia="Arial" w:hAnsi="Arial"/>
          <w:sz w:val="19"/>
          <w:szCs w:val="19"/>
          <w:color w:val="0E3C23"/>
        </w:rPr>
      </w:pPr>
      <w:r>
        <w:rPr>
          <w:rFonts w:ascii="Arial" w:cs="Arial" w:eastAsia="Arial" w:hAnsi="Arial"/>
          <w:sz w:val="19"/>
          <w:szCs w:val="19"/>
          <w:color w:val="auto"/>
        </w:rPr>
        <w:t>Refer to the Nonqualified Deferred Compensation in 2024 table above for aggregate balances payable to the named executives under our 409A Deferral Plan pursuant to the named executive’s distribution elections.</w:t>
      </w:r>
    </w:p>
    <w:p>
      <w:pPr>
        <w:sectPr>
          <w:pgSz w:w="13320" w:h="16920" w:orient="portrait"/>
          <w:cols w:equalWidth="0" w:num="1">
            <w:col w:w="104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49">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50">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62" w:name="page63"/>
    <w:bookmarkEnd w:id="62"/>
    <w:p>
      <w:pPr>
        <w:ind w:left="798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259"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Potential Consideration Upon Termination of Employment</w:t>
      </w:r>
    </w:p>
    <w:p>
      <w:pPr>
        <w:spacing w:after="0" w:line="137"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1200" w:type="dxa"/>
            <w:vAlign w:val="bottom"/>
          </w:tcPr>
          <w:p>
            <w:pPr>
              <w:jc w:val="right"/>
              <w:ind w:right="24"/>
              <w:spacing w:after="0"/>
              <w:rPr>
                <w:sz w:val="20"/>
                <w:szCs w:val="20"/>
                <w:color w:val="auto"/>
              </w:rPr>
            </w:pPr>
            <w:r>
              <w:rPr>
                <w:rFonts w:ascii="Arial" w:cs="Arial" w:eastAsia="Arial" w:hAnsi="Arial"/>
                <w:sz w:val="16"/>
                <w:szCs w:val="16"/>
                <w:b w:val="1"/>
                <w:bCs w:val="1"/>
                <w:color w:val="0E3C23"/>
              </w:rPr>
              <w:t>Mr. Fish</w:t>
            </w:r>
          </w:p>
        </w:tc>
        <w:tc>
          <w:tcPr>
            <w:tcW w:w="1140" w:type="dxa"/>
            <w:vAlign w:val="bottom"/>
          </w:tcPr>
          <w:p>
            <w:pPr>
              <w:jc w:val="right"/>
              <w:ind w:right="24"/>
              <w:spacing w:after="0"/>
              <w:rPr>
                <w:sz w:val="20"/>
                <w:szCs w:val="20"/>
                <w:color w:val="auto"/>
              </w:rPr>
            </w:pPr>
            <w:r>
              <w:rPr>
                <w:rFonts w:ascii="Arial" w:cs="Arial" w:eastAsia="Arial" w:hAnsi="Arial"/>
                <w:sz w:val="16"/>
                <w:szCs w:val="16"/>
                <w:b w:val="1"/>
                <w:bCs w:val="1"/>
                <w:color w:val="0E3C23"/>
              </w:rPr>
              <w:t>Ms. Rankin</w:t>
            </w:r>
          </w:p>
        </w:tc>
        <w:tc>
          <w:tcPr>
            <w:tcW w:w="1060" w:type="dxa"/>
            <w:vAlign w:val="bottom"/>
          </w:tcPr>
          <w:p>
            <w:pPr>
              <w:jc w:val="right"/>
              <w:ind w:right="64"/>
              <w:spacing w:after="0"/>
              <w:rPr>
                <w:sz w:val="20"/>
                <w:szCs w:val="20"/>
                <w:color w:val="auto"/>
              </w:rPr>
            </w:pPr>
            <w:r>
              <w:rPr>
                <w:rFonts w:ascii="Arial" w:cs="Arial" w:eastAsia="Arial" w:hAnsi="Arial"/>
                <w:sz w:val="16"/>
                <w:szCs w:val="16"/>
                <w:b w:val="1"/>
                <w:bCs w:val="1"/>
                <w:color w:val="0E3C23"/>
              </w:rPr>
              <w:t>Mr. Morris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0E3C23"/>
                <w:w w:val="98"/>
              </w:rPr>
              <w:t>Ms. Hemmer</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0E3C23"/>
                <w:w w:val="98"/>
              </w:rPr>
              <w:t>Mr. Carrasco</w:t>
            </w:r>
          </w:p>
        </w:tc>
      </w:tr>
      <w:tr>
        <w:trPr>
          <w:trHeight w:val="34"/>
        </w:trPr>
        <w:tc>
          <w:tcPr>
            <w:tcW w:w="5780" w:type="dxa"/>
            <w:vAlign w:val="bottom"/>
            <w:tcBorders>
              <w:bottom w:val="single" w:sz="8" w:color="0E3C23"/>
            </w:tcBorders>
            <w:gridSpan w:val="2"/>
          </w:tcPr>
          <w:p>
            <w:pPr>
              <w:spacing w:after="0"/>
              <w:rPr>
                <w:sz w:val="2"/>
                <w:szCs w:val="2"/>
                <w:color w:val="auto"/>
              </w:rPr>
            </w:pPr>
          </w:p>
        </w:tc>
        <w:tc>
          <w:tcPr>
            <w:tcW w:w="1140" w:type="dxa"/>
            <w:vAlign w:val="bottom"/>
            <w:tcBorders>
              <w:bottom w:val="single" w:sz="8" w:color="0E3C23"/>
            </w:tcBorders>
          </w:tcPr>
          <w:p>
            <w:pPr>
              <w:spacing w:after="0"/>
              <w:rPr>
                <w:sz w:val="2"/>
                <w:szCs w:val="2"/>
                <w:color w:val="auto"/>
              </w:rPr>
            </w:pPr>
          </w:p>
        </w:tc>
        <w:tc>
          <w:tcPr>
            <w:tcW w:w="1060" w:type="dxa"/>
            <w:vAlign w:val="bottom"/>
            <w:tcBorders>
              <w:bottom w:val="single" w:sz="8" w:color="0E3C23"/>
            </w:tcBorders>
          </w:tcPr>
          <w:p>
            <w:pPr>
              <w:spacing w:after="0"/>
              <w:rPr>
                <w:sz w:val="2"/>
                <w:szCs w:val="2"/>
                <w:color w:val="auto"/>
              </w:rPr>
            </w:pPr>
          </w:p>
        </w:tc>
        <w:tc>
          <w:tcPr>
            <w:tcW w:w="1040" w:type="dxa"/>
            <w:vAlign w:val="bottom"/>
            <w:tcBorders>
              <w:bottom w:val="single" w:sz="8" w:color="0E3C23"/>
            </w:tcBorders>
          </w:tcPr>
          <w:p>
            <w:pPr>
              <w:spacing w:after="0"/>
              <w:rPr>
                <w:sz w:val="2"/>
                <w:szCs w:val="2"/>
                <w:color w:val="auto"/>
              </w:rPr>
            </w:pPr>
          </w:p>
        </w:tc>
        <w:tc>
          <w:tcPr>
            <w:tcW w:w="1040" w:type="dxa"/>
            <w:vAlign w:val="bottom"/>
            <w:tcBorders>
              <w:bottom w:val="single" w:sz="8" w:color="0E3C23"/>
            </w:tcBorders>
          </w:tcPr>
          <w:p>
            <w:pPr>
              <w:spacing w:after="0"/>
              <w:rPr>
                <w:sz w:val="2"/>
                <w:szCs w:val="2"/>
                <w:color w:val="auto"/>
              </w:rPr>
            </w:pPr>
          </w:p>
        </w:tc>
      </w:tr>
      <w:tr>
        <w:trPr>
          <w:trHeight w:val="261"/>
        </w:trPr>
        <w:tc>
          <w:tcPr>
            <w:tcW w:w="5780" w:type="dxa"/>
            <w:vAlign w:val="bottom"/>
            <w:tcBorders>
              <w:bottom w:val="single" w:sz="8" w:color="0E3C23"/>
            </w:tcBorders>
            <w:gridSpan w:val="2"/>
          </w:tcPr>
          <w:p>
            <w:pPr>
              <w:ind w:left="60"/>
              <w:spacing w:after="0"/>
              <w:rPr>
                <w:sz w:val="20"/>
                <w:szCs w:val="20"/>
                <w:color w:val="auto"/>
              </w:rPr>
            </w:pPr>
            <w:r>
              <w:rPr>
                <w:rFonts w:ascii="Arial" w:cs="Arial" w:eastAsia="Arial" w:hAnsi="Arial"/>
                <w:sz w:val="20"/>
                <w:szCs w:val="20"/>
                <w:b w:val="1"/>
                <w:bCs w:val="1"/>
                <w:color w:val="auto"/>
              </w:rPr>
              <w:t>Payout or Value of Compensation Components,in dollars</w:t>
            </w:r>
          </w:p>
        </w:tc>
        <w:tc>
          <w:tcPr>
            <w:tcW w:w="1140" w:type="dxa"/>
            <w:vAlign w:val="bottom"/>
            <w:tcBorders>
              <w:bottom w:val="single" w:sz="8" w:color="0E3C23"/>
            </w:tcBorders>
          </w:tcPr>
          <w:p>
            <w:pPr>
              <w:spacing w:after="0"/>
              <w:rPr>
                <w:sz w:val="22"/>
                <w:szCs w:val="22"/>
                <w:color w:val="auto"/>
              </w:rPr>
            </w:pPr>
          </w:p>
        </w:tc>
        <w:tc>
          <w:tcPr>
            <w:tcW w:w="1060" w:type="dxa"/>
            <w:vAlign w:val="bottom"/>
            <w:tcBorders>
              <w:bottom w:val="single" w:sz="8" w:color="0E3C23"/>
            </w:tcBorders>
          </w:tcPr>
          <w:p>
            <w:pPr>
              <w:spacing w:after="0"/>
              <w:rPr>
                <w:sz w:val="22"/>
                <w:szCs w:val="22"/>
                <w:color w:val="auto"/>
              </w:rPr>
            </w:pPr>
          </w:p>
        </w:tc>
        <w:tc>
          <w:tcPr>
            <w:tcW w:w="1040" w:type="dxa"/>
            <w:vAlign w:val="bottom"/>
            <w:tcBorders>
              <w:bottom w:val="single" w:sz="8" w:color="0E3C23"/>
            </w:tcBorders>
          </w:tcPr>
          <w:p>
            <w:pPr>
              <w:spacing w:after="0"/>
              <w:rPr>
                <w:sz w:val="22"/>
                <w:szCs w:val="22"/>
                <w:color w:val="auto"/>
              </w:rPr>
            </w:pPr>
          </w:p>
        </w:tc>
        <w:tc>
          <w:tcPr>
            <w:tcW w:w="1040" w:type="dxa"/>
            <w:vAlign w:val="bottom"/>
            <w:tcBorders>
              <w:bottom w:val="single" w:sz="8" w:color="0E3C23"/>
            </w:tcBorders>
          </w:tcPr>
          <w:p>
            <w:pPr>
              <w:spacing w:after="0"/>
              <w:rPr>
                <w:sz w:val="22"/>
                <w:szCs w:val="22"/>
                <w:color w:val="auto"/>
              </w:rPr>
            </w:pPr>
          </w:p>
        </w:tc>
      </w:tr>
      <w:tr>
        <w:trPr>
          <w:trHeight w:val="259"/>
        </w:trPr>
        <w:tc>
          <w:tcPr>
            <w:tcW w:w="4580" w:type="dxa"/>
            <w:vAlign w:val="bottom"/>
            <w:tcBorders>
              <w:bottom w:val="single" w:sz="8" w:color="0E3C23"/>
            </w:tcBorders>
          </w:tcPr>
          <w:p>
            <w:pPr>
              <w:ind w:left="60"/>
              <w:spacing w:after="0"/>
              <w:rPr>
                <w:sz w:val="20"/>
                <w:szCs w:val="20"/>
                <w:color w:val="auto"/>
              </w:rPr>
            </w:pPr>
            <w:r>
              <w:rPr>
                <w:rFonts w:ascii="Arial" w:cs="Arial" w:eastAsia="Arial" w:hAnsi="Arial"/>
                <w:sz w:val="20"/>
                <w:szCs w:val="20"/>
                <w:b w:val="1"/>
                <w:bCs w:val="1"/>
                <w:i w:val="1"/>
                <w:iCs w:val="1"/>
                <w:color w:val="auto"/>
              </w:rPr>
              <w:t>In Event of Death or Disability</w:t>
            </w:r>
          </w:p>
        </w:tc>
        <w:tc>
          <w:tcPr>
            <w:tcW w:w="1200" w:type="dxa"/>
            <w:vAlign w:val="bottom"/>
            <w:tcBorders>
              <w:bottom w:val="single" w:sz="8" w:color="0E3C23"/>
            </w:tcBorders>
          </w:tcPr>
          <w:p>
            <w:pPr>
              <w:spacing w:after="0"/>
              <w:rPr>
                <w:sz w:val="22"/>
                <w:szCs w:val="22"/>
                <w:color w:val="auto"/>
              </w:rPr>
            </w:pPr>
          </w:p>
        </w:tc>
        <w:tc>
          <w:tcPr>
            <w:tcW w:w="1140" w:type="dxa"/>
            <w:vAlign w:val="bottom"/>
            <w:tcBorders>
              <w:bottom w:val="single" w:sz="8" w:color="0E3C23"/>
            </w:tcBorders>
          </w:tcPr>
          <w:p>
            <w:pPr>
              <w:spacing w:after="0"/>
              <w:rPr>
                <w:sz w:val="22"/>
                <w:szCs w:val="22"/>
                <w:color w:val="auto"/>
              </w:rPr>
            </w:pPr>
          </w:p>
        </w:tc>
        <w:tc>
          <w:tcPr>
            <w:tcW w:w="1060" w:type="dxa"/>
            <w:vAlign w:val="bottom"/>
            <w:tcBorders>
              <w:bottom w:val="single" w:sz="8" w:color="0E3C23"/>
            </w:tcBorders>
          </w:tcPr>
          <w:p>
            <w:pPr>
              <w:spacing w:after="0"/>
              <w:rPr>
                <w:sz w:val="22"/>
                <w:szCs w:val="22"/>
                <w:color w:val="auto"/>
              </w:rPr>
            </w:pPr>
          </w:p>
        </w:tc>
        <w:tc>
          <w:tcPr>
            <w:tcW w:w="1040" w:type="dxa"/>
            <w:vAlign w:val="bottom"/>
            <w:tcBorders>
              <w:bottom w:val="single" w:sz="8" w:color="0E3C23"/>
            </w:tcBorders>
          </w:tcPr>
          <w:p>
            <w:pPr>
              <w:spacing w:after="0"/>
              <w:rPr>
                <w:sz w:val="22"/>
                <w:szCs w:val="22"/>
                <w:color w:val="auto"/>
              </w:rPr>
            </w:pPr>
          </w:p>
        </w:tc>
        <w:tc>
          <w:tcPr>
            <w:tcW w:w="1040" w:type="dxa"/>
            <w:vAlign w:val="bottom"/>
            <w:tcBorders>
              <w:bottom w:val="single" w:sz="8" w:color="0E3C23"/>
            </w:tcBorders>
          </w:tcPr>
          <w:p>
            <w:pPr>
              <w:spacing w:after="0"/>
              <w:rPr>
                <w:sz w:val="22"/>
                <w:szCs w:val="22"/>
                <w:color w:val="auto"/>
              </w:rPr>
            </w:pPr>
          </w:p>
        </w:tc>
      </w:tr>
      <w:tr>
        <w:trPr>
          <w:trHeight w:val="246"/>
        </w:trPr>
        <w:tc>
          <w:tcPr>
            <w:tcW w:w="4580" w:type="dxa"/>
            <w:vAlign w:val="bottom"/>
          </w:tcPr>
          <w:p>
            <w:pPr>
              <w:ind w:left="60"/>
              <w:spacing w:after="0"/>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Accelerated vesting of stock options</w:t>
            </w:r>
          </w:p>
        </w:tc>
        <w:tc>
          <w:tcPr>
            <w:tcW w:w="1200" w:type="dxa"/>
            <w:vAlign w:val="bottom"/>
          </w:tcPr>
          <w:p>
            <w:pPr>
              <w:jc w:val="right"/>
              <w:ind w:right="24"/>
              <w:spacing w:after="0"/>
              <w:rPr>
                <w:sz w:val="20"/>
                <w:szCs w:val="20"/>
                <w:color w:val="auto"/>
              </w:rPr>
            </w:pPr>
            <w:r>
              <w:rPr>
                <w:rFonts w:ascii="Arial" w:cs="Arial" w:eastAsia="Arial" w:hAnsi="Arial"/>
                <w:sz w:val="20"/>
                <w:szCs w:val="20"/>
                <w:color w:val="auto"/>
              </w:rPr>
              <w:t>3,285,022</w:t>
            </w:r>
          </w:p>
        </w:tc>
        <w:tc>
          <w:tcPr>
            <w:tcW w:w="1140" w:type="dxa"/>
            <w:vAlign w:val="bottom"/>
          </w:tcPr>
          <w:p>
            <w:pPr>
              <w:jc w:val="right"/>
              <w:ind w:right="24"/>
              <w:spacing w:after="0"/>
              <w:rPr>
                <w:sz w:val="20"/>
                <w:szCs w:val="20"/>
                <w:color w:val="auto"/>
              </w:rPr>
            </w:pPr>
            <w:r>
              <w:rPr>
                <w:rFonts w:ascii="Arial" w:cs="Arial" w:eastAsia="Arial" w:hAnsi="Arial"/>
                <w:sz w:val="20"/>
                <w:szCs w:val="20"/>
                <w:color w:val="auto"/>
              </w:rPr>
              <w:t>794,149</w:t>
            </w:r>
          </w:p>
        </w:tc>
        <w:tc>
          <w:tcPr>
            <w:tcW w:w="1060" w:type="dxa"/>
            <w:vAlign w:val="bottom"/>
          </w:tcPr>
          <w:p>
            <w:pPr>
              <w:jc w:val="right"/>
              <w:spacing w:after="0"/>
              <w:rPr>
                <w:sz w:val="20"/>
                <w:szCs w:val="20"/>
                <w:color w:val="auto"/>
              </w:rPr>
            </w:pPr>
            <w:r>
              <w:rPr>
                <w:rFonts w:ascii="Arial" w:cs="Arial" w:eastAsia="Arial" w:hAnsi="Arial"/>
                <w:sz w:val="20"/>
                <w:szCs w:val="20"/>
                <w:color w:val="auto"/>
              </w:rPr>
              <w:t>934,694</w:t>
            </w:r>
          </w:p>
        </w:tc>
        <w:tc>
          <w:tcPr>
            <w:tcW w:w="1040" w:type="dxa"/>
            <w:vAlign w:val="bottom"/>
          </w:tcPr>
          <w:p>
            <w:pPr>
              <w:jc w:val="right"/>
              <w:spacing w:after="0"/>
              <w:rPr>
                <w:sz w:val="20"/>
                <w:szCs w:val="20"/>
                <w:color w:val="auto"/>
              </w:rPr>
            </w:pPr>
            <w:r>
              <w:rPr>
                <w:rFonts w:ascii="Arial" w:cs="Arial" w:eastAsia="Arial" w:hAnsi="Arial"/>
                <w:sz w:val="20"/>
                <w:szCs w:val="20"/>
                <w:color w:val="auto"/>
              </w:rPr>
              <w:t>618,378</w:t>
            </w:r>
          </w:p>
        </w:tc>
        <w:tc>
          <w:tcPr>
            <w:tcW w:w="1040" w:type="dxa"/>
            <w:vAlign w:val="bottom"/>
          </w:tcPr>
          <w:p>
            <w:pPr>
              <w:jc w:val="right"/>
              <w:spacing w:after="0"/>
              <w:rPr>
                <w:sz w:val="20"/>
                <w:szCs w:val="20"/>
                <w:color w:val="auto"/>
              </w:rPr>
            </w:pPr>
            <w:r>
              <w:rPr>
                <w:rFonts w:ascii="Arial" w:cs="Arial" w:eastAsia="Arial" w:hAnsi="Arial"/>
                <w:sz w:val="20"/>
                <w:szCs w:val="20"/>
                <w:color w:val="auto"/>
              </w:rPr>
              <w:t>660,390</w:t>
            </w:r>
          </w:p>
        </w:tc>
      </w:tr>
      <w:tr>
        <w:trPr>
          <w:trHeight w:val="23"/>
        </w:trPr>
        <w:tc>
          <w:tcPr>
            <w:tcW w:w="4580" w:type="dxa"/>
            <w:vAlign w:val="bottom"/>
            <w:tcBorders>
              <w:bottom w:val="single" w:sz="8" w:color="0E3C23"/>
            </w:tcBorders>
          </w:tcPr>
          <w:p>
            <w:pPr>
              <w:spacing w:after="0" w:line="20" w:lineRule="exact"/>
              <w:rPr>
                <w:sz w:val="1"/>
                <w:szCs w:val="1"/>
                <w:color w:val="auto"/>
              </w:rPr>
            </w:pPr>
          </w:p>
        </w:tc>
        <w:tc>
          <w:tcPr>
            <w:tcW w:w="1200" w:type="dxa"/>
            <w:vAlign w:val="bottom"/>
            <w:tcBorders>
              <w:bottom w:val="single" w:sz="8" w:color="0E3C23"/>
            </w:tcBorders>
          </w:tcPr>
          <w:p>
            <w:pPr>
              <w:spacing w:after="0" w:line="20" w:lineRule="exact"/>
              <w:rPr>
                <w:sz w:val="1"/>
                <w:szCs w:val="1"/>
                <w:color w:val="auto"/>
              </w:rPr>
            </w:pPr>
          </w:p>
        </w:tc>
        <w:tc>
          <w:tcPr>
            <w:tcW w:w="1140" w:type="dxa"/>
            <w:vAlign w:val="bottom"/>
            <w:tcBorders>
              <w:bottom w:val="single" w:sz="8" w:color="0E3C23"/>
            </w:tcBorders>
          </w:tcPr>
          <w:p>
            <w:pPr>
              <w:spacing w:after="0" w:line="20" w:lineRule="exact"/>
              <w:rPr>
                <w:sz w:val="1"/>
                <w:szCs w:val="1"/>
                <w:color w:val="auto"/>
              </w:rPr>
            </w:pPr>
          </w:p>
        </w:tc>
        <w:tc>
          <w:tcPr>
            <w:tcW w:w="1060" w:type="dxa"/>
            <w:vAlign w:val="bottom"/>
            <w:tcBorders>
              <w:bottom w:val="single" w:sz="8" w:color="0E3C23"/>
            </w:tcBorders>
          </w:tcPr>
          <w:p>
            <w:pPr>
              <w:spacing w:after="0" w:line="20" w:lineRule="exact"/>
              <w:rPr>
                <w:sz w:val="1"/>
                <w:szCs w:val="1"/>
                <w:color w:val="auto"/>
              </w:rPr>
            </w:pPr>
          </w:p>
        </w:tc>
        <w:tc>
          <w:tcPr>
            <w:tcW w:w="1040" w:type="dxa"/>
            <w:vAlign w:val="bottom"/>
            <w:tcBorders>
              <w:bottom w:val="single" w:sz="8" w:color="0E3C23"/>
            </w:tcBorders>
          </w:tcPr>
          <w:p>
            <w:pPr>
              <w:spacing w:after="0" w:line="20" w:lineRule="exact"/>
              <w:rPr>
                <w:sz w:val="1"/>
                <w:szCs w:val="1"/>
                <w:color w:val="auto"/>
              </w:rPr>
            </w:pPr>
          </w:p>
        </w:tc>
        <w:tc>
          <w:tcPr>
            <w:tcW w:w="1040" w:type="dxa"/>
            <w:vAlign w:val="bottom"/>
            <w:tcBorders>
              <w:bottom w:val="single" w:sz="8" w:color="0E3C23"/>
            </w:tcBorders>
          </w:tcPr>
          <w:p>
            <w:pPr>
              <w:spacing w:after="0" w:line="20" w:lineRule="exact"/>
              <w:rPr>
                <w:sz w:val="1"/>
                <w:szCs w:val="1"/>
                <w:color w:val="auto"/>
              </w:rPr>
            </w:pPr>
          </w:p>
        </w:tc>
      </w:tr>
      <w:tr>
        <w:trPr>
          <w:trHeight w:val="237"/>
        </w:trPr>
        <w:tc>
          <w:tcPr>
            <w:tcW w:w="4580" w:type="dxa"/>
            <w:vAlign w:val="bottom"/>
          </w:tcPr>
          <w:p>
            <w:pPr>
              <w:ind w:left="60"/>
              <w:spacing w:after="0"/>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Payment of PSUs (contingent on actual</w:t>
            </w: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9"/>
        </w:trPr>
        <w:tc>
          <w:tcPr>
            <w:tcW w:w="4580" w:type="dxa"/>
            <w:vAlign w:val="bottom"/>
          </w:tcPr>
          <w:p>
            <w:pPr>
              <w:ind w:left="260"/>
              <w:spacing w:after="0"/>
              <w:rPr>
                <w:sz w:val="20"/>
                <w:szCs w:val="20"/>
                <w:color w:val="auto"/>
              </w:rPr>
            </w:pPr>
            <w:r>
              <w:rPr>
                <w:rFonts w:ascii="Arial" w:cs="Arial" w:eastAsia="Arial" w:hAnsi="Arial"/>
                <w:sz w:val="20"/>
                <w:szCs w:val="20"/>
                <w:color w:val="auto"/>
              </w:rPr>
              <w:t>performance at end of performance period)</w:t>
            </w:r>
          </w:p>
        </w:tc>
        <w:tc>
          <w:tcPr>
            <w:tcW w:w="1200" w:type="dxa"/>
            <w:vAlign w:val="bottom"/>
          </w:tcPr>
          <w:p>
            <w:pPr>
              <w:jc w:val="right"/>
              <w:ind w:right="24"/>
              <w:spacing w:after="0"/>
              <w:rPr>
                <w:sz w:val="20"/>
                <w:szCs w:val="20"/>
                <w:color w:val="auto"/>
              </w:rPr>
            </w:pPr>
            <w:r>
              <w:rPr>
                <w:rFonts w:ascii="Arial" w:cs="Arial" w:eastAsia="Arial" w:hAnsi="Arial"/>
                <w:sz w:val="20"/>
                <w:szCs w:val="20"/>
                <w:color w:val="auto"/>
              </w:rPr>
              <w:t>18,468,224</w:t>
            </w:r>
          </w:p>
        </w:tc>
        <w:tc>
          <w:tcPr>
            <w:tcW w:w="1140" w:type="dxa"/>
            <w:vAlign w:val="bottom"/>
          </w:tcPr>
          <w:p>
            <w:pPr>
              <w:jc w:val="right"/>
              <w:ind w:right="24"/>
              <w:spacing w:after="0"/>
              <w:rPr>
                <w:sz w:val="20"/>
                <w:szCs w:val="20"/>
                <w:color w:val="auto"/>
              </w:rPr>
            </w:pPr>
            <w:r>
              <w:rPr>
                <w:rFonts w:ascii="Arial" w:cs="Arial" w:eastAsia="Arial" w:hAnsi="Arial"/>
                <w:sz w:val="20"/>
                <w:szCs w:val="20"/>
                <w:color w:val="auto"/>
              </w:rPr>
              <w:t>4,356,646</w:t>
            </w:r>
          </w:p>
        </w:tc>
        <w:tc>
          <w:tcPr>
            <w:tcW w:w="1060" w:type="dxa"/>
            <w:vAlign w:val="bottom"/>
          </w:tcPr>
          <w:p>
            <w:pPr>
              <w:jc w:val="right"/>
              <w:spacing w:after="0"/>
              <w:rPr>
                <w:sz w:val="20"/>
                <w:szCs w:val="20"/>
                <w:color w:val="auto"/>
              </w:rPr>
            </w:pPr>
            <w:r>
              <w:rPr>
                <w:rFonts w:ascii="Arial" w:cs="Arial" w:eastAsia="Arial" w:hAnsi="Arial"/>
                <w:sz w:val="20"/>
                <w:szCs w:val="20"/>
                <w:color w:val="auto"/>
              </w:rPr>
              <w:t>5,322,009</w:t>
            </w:r>
          </w:p>
        </w:tc>
        <w:tc>
          <w:tcPr>
            <w:tcW w:w="1040" w:type="dxa"/>
            <w:vAlign w:val="bottom"/>
          </w:tcPr>
          <w:p>
            <w:pPr>
              <w:jc w:val="right"/>
              <w:spacing w:after="0"/>
              <w:rPr>
                <w:sz w:val="20"/>
                <w:szCs w:val="20"/>
                <w:color w:val="auto"/>
              </w:rPr>
            </w:pPr>
            <w:r>
              <w:rPr>
                <w:rFonts w:ascii="Arial" w:cs="Arial" w:eastAsia="Arial" w:hAnsi="Arial"/>
                <w:sz w:val="20"/>
                <w:szCs w:val="20"/>
                <w:color w:val="auto"/>
              </w:rPr>
              <w:t>3,576,122</w:t>
            </w:r>
          </w:p>
        </w:tc>
        <w:tc>
          <w:tcPr>
            <w:tcW w:w="1040" w:type="dxa"/>
            <w:vAlign w:val="bottom"/>
          </w:tcPr>
          <w:p>
            <w:pPr>
              <w:jc w:val="right"/>
              <w:spacing w:after="0"/>
              <w:rPr>
                <w:sz w:val="20"/>
                <w:szCs w:val="20"/>
                <w:color w:val="auto"/>
              </w:rPr>
            </w:pPr>
            <w:r>
              <w:rPr>
                <w:rFonts w:ascii="Arial" w:cs="Arial" w:eastAsia="Arial" w:hAnsi="Arial"/>
                <w:sz w:val="20"/>
                <w:szCs w:val="20"/>
                <w:color w:val="auto"/>
              </w:rPr>
              <w:t>3,788,405</w:t>
            </w:r>
          </w:p>
        </w:tc>
      </w:tr>
      <w:tr>
        <w:trPr>
          <w:trHeight w:val="23"/>
        </w:trPr>
        <w:tc>
          <w:tcPr>
            <w:tcW w:w="4580" w:type="dxa"/>
            <w:vAlign w:val="bottom"/>
            <w:tcBorders>
              <w:bottom w:val="single" w:sz="8" w:color="0E3C23"/>
            </w:tcBorders>
          </w:tcPr>
          <w:p>
            <w:pPr>
              <w:spacing w:after="0" w:line="20" w:lineRule="exact"/>
              <w:rPr>
                <w:sz w:val="1"/>
                <w:szCs w:val="1"/>
                <w:color w:val="auto"/>
              </w:rPr>
            </w:pPr>
          </w:p>
        </w:tc>
        <w:tc>
          <w:tcPr>
            <w:tcW w:w="1200" w:type="dxa"/>
            <w:vAlign w:val="bottom"/>
            <w:tcBorders>
              <w:bottom w:val="single" w:sz="8" w:color="0E3C23"/>
            </w:tcBorders>
          </w:tcPr>
          <w:p>
            <w:pPr>
              <w:spacing w:after="0" w:line="20" w:lineRule="exact"/>
              <w:rPr>
                <w:sz w:val="1"/>
                <w:szCs w:val="1"/>
                <w:color w:val="auto"/>
              </w:rPr>
            </w:pPr>
          </w:p>
        </w:tc>
        <w:tc>
          <w:tcPr>
            <w:tcW w:w="1140" w:type="dxa"/>
            <w:vAlign w:val="bottom"/>
            <w:tcBorders>
              <w:bottom w:val="single" w:sz="8" w:color="0E3C23"/>
            </w:tcBorders>
          </w:tcPr>
          <w:p>
            <w:pPr>
              <w:spacing w:after="0" w:line="20" w:lineRule="exact"/>
              <w:rPr>
                <w:sz w:val="1"/>
                <w:szCs w:val="1"/>
                <w:color w:val="auto"/>
              </w:rPr>
            </w:pPr>
          </w:p>
        </w:tc>
        <w:tc>
          <w:tcPr>
            <w:tcW w:w="1060" w:type="dxa"/>
            <w:vAlign w:val="bottom"/>
            <w:tcBorders>
              <w:bottom w:val="single" w:sz="8" w:color="0E3C23"/>
            </w:tcBorders>
          </w:tcPr>
          <w:p>
            <w:pPr>
              <w:spacing w:after="0" w:line="20" w:lineRule="exact"/>
              <w:rPr>
                <w:sz w:val="1"/>
                <w:szCs w:val="1"/>
                <w:color w:val="auto"/>
              </w:rPr>
            </w:pPr>
          </w:p>
        </w:tc>
        <w:tc>
          <w:tcPr>
            <w:tcW w:w="1040" w:type="dxa"/>
            <w:vAlign w:val="bottom"/>
            <w:tcBorders>
              <w:bottom w:val="single" w:sz="8" w:color="0E3C23"/>
            </w:tcBorders>
          </w:tcPr>
          <w:p>
            <w:pPr>
              <w:spacing w:after="0" w:line="20" w:lineRule="exact"/>
              <w:rPr>
                <w:sz w:val="1"/>
                <w:szCs w:val="1"/>
                <w:color w:val="auto"/>
              </w:rPr>
            </w:pPr>
          </w:p>
        </w:tc>
        <w:tc>
          <w:tcPr>
            <w:tcW w:w="1040" w:type="dxa"/>
            <w:vAlign w:val="bottom"/>
            <w:tcBorders>
              <w:bottom w:val="single" w:sz="8" w:color="0E3C23"/>
            </w:tcBorders>
          </w:tcPr>
          <w:p>
            <w:pPr>
              <w:spacing w:after="0" w:line="20" w:lineRule="exact"/>
              <w:rPr>
                <w:sz w:val="1"/>
                <w:szCs w:val="1"/>
                <w:color w:val="auto"/>
              </w:rPr>
            </w:pPr>
          </w:p>
        </w:tc>
      </w:tr>
      <w:tr>
        <w:trPr>
          <w:trHeight w:val="237"/>
        </w:trPr>
        <w:tc>
          <w:tcPr>
            <w:tcW w:w="4580" w:type="dxa"/>
            <w:vAlign w:val="bottom"/>
          </w:tcPr>
          <w:p>
            <w:pPr>
              <w:ind w:left="60"/>
              <w:spacing w:after="0"/>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Accelerated vesting of RSUs</w:t>
            </w:r>
          </w:p>
        </w:tc>
        <w:tc>
          <w:tcPr>
            <w:tcW w:w="1200" w:type="dxa"/>
            <w:vAlign w:val="bottom"/>
          </w:tcPr>
          <w:p>
            <w:pPr>
              <w:jc w:val="right"/>
              <w:ind w:right="24"/>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4"/>
              <w:spacing w:after="0"/>
              <w:rPr>
                <w:sz w:val="20"/>
                <w:szCs w:val="20"/>
                <w:color w:val="auto"/>
              </w:rPr>
            </w:pPr>
            <w:r>
              <w:rPr>
                <w:rFonts w:ascii="Arial" w:cs="Arial" w:eastAsia="Arial" w:hAnsi="Arial"/>
                <w:sz w:val="20"/>
                <w:szCs w:val="20"/>
                <w:color w:val="auto"/>
              </w:rPr>
              <w:t>1,372,777</w:t>
            </w:r>
          </w:p>
        </w:tc>
        <w:tc>
          <w:tcPr>
            <w:tcW w:w="1060" w:type="dxa"/>
            <w:vAlign w:val="bottom"/>
          </w:tcPr>
          <w:p>
            <w:pPr>
              <w:jc w:val="right"/>
              <w:spacing w:after="0"/>
              <w:rPr>
                <w:sz w:val="20"/>
                <w:szCs w:val="20"/>
                <w:color w:val="auto"/>
              </w:rPr>
            </w:pPr>
            <w:r>
              <w:rPr>
                <w:rFonts w:ascii="Arial" w:cs="Arial" w:eastAsia="Arial" w:hAnsi="Arial"/>
                <w:sz w:val="20"/>
                <w:szCs w:val="20"/>
                <w:color w:val="auto"/>
              </w:rPr>
              <w:t>2,059,065</w:t>
            </w:r>
          </w:p>
        </w:tc>
        <w:tc>
          <w:tcPr>
            <w:tcW w:w="1040" w:type="dxa"/>
            <w:vAlign w:val="bottom"/>
          </w:tcPr>
          <w:p>
            <w:pPr>
              <w:jc w:val="right"/>
              <w:spacing w:after="0"/>
              <w:rPr>
                <w:sz w:val="20"/>
                <w:szCs w:val="20"/>
                <w:color w:val="auto"/>
              </w:rPr>
            </w:pPr>
            <w:r>
              <w:rPr>
                <w:rFonts w:ascii="Arial" w:cs="Arial" w:eastAsia="Arial" w:hAnsi="Arial"/>
                <w:sz w:val="20"/>
                <w:szCs w:val="20"/>
                <w:color w:val="auto"/>
              </w:rPr>
              <w:t>1,029,533</w:t>
            </w:r>
          </w:p>
        </w:tc>
        <w:tc>
          <w:tcPr>
            <w:tcW w:w="1040" w:type="dxa"/>
            <w:vAlign w:val="bottom"/>
          </w:tcPr>
          <w:p>
            <w:pPr>
              <w:jc w:val="right"/>
              <w:spacing w:after="0"/>
              <w:rPr>
                <w:sz w:val="20"/>
                <w:szCs w:val="20"/>
                <w:color w:val="auto"/>
              </w:rPr>
            </w:pPr>
            <w:r>
              <w:rPr>
                <w:rFonts w:ascii="Arial" w:cs="Arial" w:eastAsia="Arial" w:hAnsi="Arial"/>
                <w:sz w:val="20"/>
                <w:szCs w:val="20"/>
                <w:color w:val="auto"/>
              </w:rPr>
              <w:t>617,679</w:t>
            </w:r>
          </w:p>
        </w:tc>
      </w:tr>
      <w:tr>
        <w:trPr>
          <w:trHeight w:val="23"/>
        </w:trPr>
        <w:tc>
          <w:tcPr>
            <w:tcW w:w="4580" w:type="dxa"/>
            <w:vAlign w:val="bottom"/>
            <w:tcBorders>
              <w:bottom w:val="single" w:sz="8" w:color="0E3C23"/>
            </w:tcBorders>
          </w:tcPr>
          <w:p>
            <w:pPr>
              <w:spacing w:after="0" w:line="20" w:lineRule="exact"/>
              <w:rPr>
                <w:sz w:val="1"/>
                <w:szCs w:val="1"/>
                <w:color w:val="auto"/>
              </w:rPr>
            </w:pPr>
          </w:p>
        </w:tc>
        <w:tc>
          <w:tcPr>
            <w:tcW w:w="1200" w:type="dxa"/>
            <w:vAlign w:val="bottom"/>
            <w:tcBorders>
              <w:bottom w:val="single" w:sz="8" w:color="0E3C23"/>
            </w:tcBorders>
          </w:tcPr>
          <w:p>
            <w:pPr>
              <w:spacing w:after="0" w:line="20" w:lineRule="exact"/>
              <w:rPr>
                <w:sz w:val="1"/>
                <w:szCs w:val="1"/>
                <w:color w:val="auto"/>
              </w:rPr>
            </w:pPr>
          </w:p>
        </w:tc>
        <w:tc>
          <w:tcPr>
            <w:tcW w:w="1140" w:type="dxa"/>
            <w:vAlign w:val="bottom"/>
            <w:tcBorders>
              <w:bottom w:val="single" w:sz="8" w:color="0E3C23"/>
            </w:tcBorders>
          </w:tcPr>
          <w:p>
            <w:pPr>
              <w:spacing w:after="0" w:line="20" w:lineRule="exact"/>
              <w:rPr>
                <w:sz w:val="1"/>
                <w:szCs w:val="1"/>
                <w:color w:val="auto"/>
              </w:rPr>
            </w:pPr>
          </w:p>
        </w:tc>
        <w:tc>
          <w:tcPr>
            <w:tcW w:w="1060" w:type="dxa"/>
            <w:vAlign w:val="bottom"/>
            <w:tcBorders>
              <w:bottom w:val="single" w:sz="8" w:color="0E3C23"/>
            </w:tcBorders>
          </w:tcPr>
          <w:p>
            <w:pPr>
              <w:spacing w:after="0" w:line="20" w:lineRule="exact"/>
              <w:rPr>
                <w:sz w:val="1"/>
                <w:szCs w:val="1"/>
                <w:color w:val="auto"/>
              </w:rPr>
            </w:pPr>
          </w:p>
        </w:tc>
        <w:tc>
          <w:tcPr>
            <w:tcW w:w="1040" w:type="dxa"/>
            <w:vAlign w:val="bottom"/>
            <w:tcBorders>
              <w:bottom w:val="single" w:sz="8" w:color="0E3C23"/>
            </w:tcBorders>
          </w:tcPr>
          <w:p>
            <w:pPr>
              <w:spacing w:after="0" w:line="20" w:lineRule="exact"/>
              <w:rPr>
                <w:sz w:val="1"/>
                <w:szCs w:val="1"/>
                <w:color w:val="auto"/>
              </w:rPr>
            </w:pPr>
          </w:p>
        </w:tc>
        <w:tc>
          <w:tcPr>
            <w:tcW w:w="1040" w:type="dxa"/>
            <w:vAlign w:val="bottom"/>
            <w:tcBorders>
              <w:bottom w:val="single" w:sz="8" w:color="0E3C23"/>
            </w:tcBorders>
          </w:tcPr>
          <w:p>
            <w:pPr>
              <w:spacing w:after="0" w:line="20" w:lineRule="exact"/>
              <w:rPr>
                <w:sz w:val="1"/>
                <w:szCs w:val="1"/>
                <w:color w:val="auto"/>
              </w:rPr>
            </w:pPr>
          </w:p>
        </w:tc>
      </w:tr>
      <w:tr>
        <w:trPr>
          <w:trHeight w:val="237"/>
        </w:trPr>
        <w:tc>
          <w:tcPr>
            <w:tcW w:w="4580" w:type="dxa"/>
            <w:vAlign w:val="bottom"/>
          </w:tcPr>
          <w:p>
            <w:pPr>
              <w:ind w:left="60"/>
              <w:spacing w:after="0"/>
              <w:rPr>
                <w:sz w:val="20"/>
                <w:szCs w:val="20"/>
                <w:color w:val="auto"/>
              </w:rPr>
            </w:pPr>
            <w:r>
              <w:rPr>
                <w:rFonts w:ascii="Arial" w:cs="Arial" w:eastAsia="Arial" w:hAnsi="Arial"/>
                <w:sz w:val="20"/>
                <w:szCs w:val="20"/>
                <w:color w:val="0E3C23"/>
                <w:w w:val="99"/>
              </w:rPr>
              <w:t xml:space="preserve">• </w:t>
            </w:r>
            <w:r>
              <w:rPr>
                <w:rFonts w:ascii="Arial" w:cs="Arial" w:eastAsia="Arial" w:hAnsi="Arial"/>
                <w:sz w:val="20"/>
                <w:szCs w:val="20"/>
                <w:color w:val="000000"/>
                <w:w w:val="99"/>
              </w:rPr>
              <w:t>Life insurance benefit paid by insurance company</w:t>
            </w: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9"/>
        </w:trPr>
        <w:tc>
          <w:tcPr>
            <w:tcW w:w="4580" w:type="dxa"/>
            <w:vAlign w:val="bottom"/>
          </w:tcPr>
          <w:p>
            <w:pPr>
              <w:ind w:left="260"/>
              <w:spacing w:after="0"/>
              <w:rPr>
                <w:sz w:val="20"/>
                <w:szCs w:val="20"/>
                <w:color w:val="auto"/>
              </w:rPr>
            </w:pPr>
            <w:r>
              <w:rPr>
                <w:rFonts w:ascii="Arial" w:cs="Arial" w:eastAsia="Arial" w:hAnsi="Arial"/>
                <w:sz w:val="20"/>
                <w:szCs w:val="20"/>
                <w:color w:val="auto"/>
              </w:rPr>
              <w:t>(in the case of death)</w:t>
            </w:r>
          </w:p>
        </w:tc>
        <w:tc>
          <w:tcPr>
            <w:tcW w:w="1200" w:type="dxa"/>
            <w:vAlign w:val="bottom"/>
          </w:tcPr>
          <w:p>
            <w:pPr>
              <w:jc w:val="right"/>
              <w:ind w:right="24"/>
              <w:spacing w:after="0"/>
              <w:rPr>
                <w:sz w:val="20"/>
                <w:szCs w:val="20"/>
                <w:color w:val="auto"/>
              </w:rPr>
            </w:pPr>
            <w:r>
              <w:rPr>
                <w:rFonts w:ascii="Arial" w:cs="Arial" w:eastAsia="Arial" w:hAnsi="Arial"/>
                <w:sz w:val="20"/>
                <w:szCs w:val="20"/>
                <w:color w:val="auto"/>
              </w:rPr>
              <w:t>1,187,000</w:t>
            </w:r>
          </w:p>
        </w:tc>
        <w:tc>
          <w:tcPr>
            <w:tcW w:w="1140" w:type="dxa"/>
            <w:vAlign w:val="bottom"/>
          </w:tcPr>
          <w:p>
            <w:pPr>
              <w:jc w:val="right"/>
              <w:ind w:right="24"/>
              <w:spacing w:after="0"/>
              <w:rPr>
                <w:sz w:val="20"/>
                <w:szCs w:val="20"/>
                <w:color w:val="auto"/>
              </w:rPr>
            </w:pPr>
            <w:r>
              <w:rPr>
                <w:rFonts w:ascii="Arial" w:cs="Arial" w:eastAsia="Arial" w:hAnsi="Arial"/>
                <w:sz w:val="20"/>
                <w:szCs w:val="20"/>
                <w:color w:val="auto"/>
              </w:rPr>
              <w:t>768,000</w:t>
            </w:r>
          </w:p>
        </w:tc>
        <w:tc>
          <w:tcPr>
            <w:tcW w:w="1060" w:type="dxa"/>
            <w:vAlign w:val="bottom"/>
          </w:tcPr>
          <w:p>
            <w:pPr>
              <w:jc w:val="right"/>
              <w:spacing w:after="0"/>
              <w:rPr>
                <w:sz w:val="20"/>
                <w:szCs w:val="20"/>
                <w:color w:val="auto"/>
              </w:rPr>
            </w:pPr>
            <w:r>
              <w:rPr>
                <w:rFonts w:ascii="Arial" w:cs="Arial" w:eastAsia="Arial" w:hAnsi="Arial"/>
                <w:sz w:val="20"/>
                <w:szCs w:val="20"/>
                <w:color w:val="auto"/>
              </w:rPr>
              <w:t>784,000</w:t>
            </w:r>
          </w:p>
        </w:tc>
        <w:tc>
          <w:tcPr>
            <w:tcW w:w="1040" w:type="dxa"/>
            <w:vAlign w:val="bottom"/>
          </w:tcPr>
          <w:p>
            <w:pPr>
              <w:jc w:val="right"/>
              <w:spacing w:after="0"/>
              <w:rPr>
                <w:sz w:val="20"/>
                <w:szCs w:val="20"/>
                <w:color w:val="auto"/>
              </w:rPr>
            </w:pPr>
            <w:r>
              <w:rPr>
                <w:rFonts w:ascii="Arial" w:cs="Arial" w:eastAsia="Arial" w:hAnsi="Arial"/>
                <w:sz w:val="20"/>
                <w:szCs w:val="20"/>
                <w:color w:val="auto"/>
              </w:rPr>
              <w:t>669,000</w:t>
            </w:r>
          </w:p>
        </w:tc>
        <w:tc>
          <w:tcPr>
            <w:tcW w:w="1040" w:type="dxa"/>
            <w:vAlign w:val="bottom"/>
          </w:tcPr>
          <w:p>
            <w:pPr>
              <w:jc w:val="right"/>
              <w:spacing w:after="0"/>
              <w:rPr>
                <w:sz w:val="20"/>
                <w:szCs w:val="20"/>
                <w:color w:val="auto"/>
              </w:rPr>
            </w:pPr>
            <w:r>
              <w:rPr>
                <w:rFonts w:ascii="Arial" w:cs="Arial" w:eastAsia="Arial" w:hAnsi="Arial"/>
                <w:sz w:val="20"/>
                <w:szCs w:val="20"/>
                <w:color w:val="auto"/>
              </w:rPr>
              <w:t>646,000</w:t>
            </w:r>
          </w:p>
        </w:tc>
      </w:tr>
      <w:tr>
        <w:trPr>
          <w:trHeight w:val="23"/>
        </w:trPr>
        <w:tc>
          <w:tcPr>
            <w:tcW w:w="4580" w:type="dxa"/>
            <w:vAlign w:val="bottom"/>
            <w:tcBorders>
              <w:bottom w:val="single" w:sz="8" w:color="0E3C23"/>
            </w:tcBorders>
          </w:tcPr>
          <w:p>
            <w:pPr>
              <w:spacing w:after="0" w:line="20" w:lineRule="exact"/>
              <w:rPr>
                <w:sz w:val="1"/>
                <w:szCs w:val="1"/>
                <w:color w:val="auto"/>
              </w:rPr>
            </w:pPr>
          </w:p>
        </w:tc>
        <w:tc>
          <w:tcPr>
            <w:tcW w:w="1200" w:type="dxa"/>
            <w:vAlign w:val="bottom"/>
            <w:tcBorders>
              <w:bottom w:val="single" w:sz="8" w:color="0E3C23"/>
            </w:tcBorders>
          </w:tcPr>
          <w:p>
            <w:pPr>
              <w:spacing w:after="0" w:line="20" w:lineRule="exact"/>
              <w:rPr>
                <w:sz w:val="1"/>
                <w:szCs w:val="1"/>
                <w:color w:val="auto"/>
              </w:rPr>
            </w:pPr>
          </w:p>
        </w:tc>
        <w:tc>
          <w:tcPr>
            <w:tcW w:w="1140" w:type="dxa"/>
            <w:vAlign w:val="bottom"/>
            <w:tcBorders>
              <w:bottom w:val="single" w:sz="8" w:color="0E3C23"/>
            </w:tcBorders>
          </w:tcPr>
          <w:p>
            <w:pPr>
              <w:spacing w:after="0" w:line="20" w:lineRule="exact"/>
              <w:rPr>
                <w:sz w:val="1"/>
                <w:szCs w:val="1"/>
                <w:color w:val="auto"/>
              </w:rPr>
            </w:pPr>
          </w:p>
        </w:tc>
        <w:tc>
          <w:tcPr>
            <w:tcW w:w="1060" w:type="dxa"/>
            <w:vAlign w:val="bottom"/>
            <w:tcBorders>
              <w:bottom w:val="single" w:sz="8" w:color="0E3C23"/>
            </w:tcBorders>
          </w:tcPr>
          <w:p>
            <w:pPr>
              <w:spacing w:after="0" w:line="20" w:lineRule="exact"/>
              <w:rPr>
                <w:sz w:val="1"/>
                <w:szCs w:val="1"/>
                <w:color w:val="auto"/>
              </w:rPr>
            </w:pPr>
          </w:p>
        </w:tc>
        <w:tc>
          <w:tcPr>
            <w:tcW w:w="1040" w:type="dxa"/>
            <w:vAlign w:val="bottom"/>
            <w:tcBorders>
              <w:bottom w:val="single" w:sz="8" w:color="0E3C23"/>
            </w:tcBorders>
          </w:tcPr>
          <w:p>
            <w:pPr>
              <w:spacing w:after="0" w:line="20" w:lineRule="exact"/>
              <w:rPr>
                <w:sz w:val="1"/>
                <w:szCs w:val="1"/>
                <w:color w:val="auto"/>
              </w:rPr>
            </w:pPr>
          </w:p>
        </w:tc>
        <w:tc>
          <w:tcPr>
            <w:tcW w:w="1040" w:type="dxa"/>
            <w:vAlign w:val="bottom"/>
            <w:tcBorders>
              <w:bottom w:val="single" w:sz="8" w:color="0E3C23"/>
            </w:tcBorders>
          </w:tcPr>
          <w:p>
            <w:pPr>
              <w:spacing w:after="0" w:line="20" w:lineRule="exact"/>
              <w:rPr>
                <w:sz w:val="1"/>
                <w:szCs w:val="1"/>
                <w:color w:val="auto"/>
              </w:rPr>
            </w:pPr>
          </w:p>
        </w:tc>
      </w:tr>
      <w:tr>
        <w:trPr>
          <w:trHeight w:val="241"/>
        </w:trPr>
        <w:tc>
          <w:tcPr>
            <w:tcW w:w="4580" w:type="dxa"/>
            <w:vAlign w:val="bottom"/>
          </w:tcPr>
          <w:p>
            <w:pPr>
              <w:ind w:left="60"/>
              <w:spacing w:after="0"/>
              <w:rPr>
                <w:sz w:val="20"/>
                <w:szCs w:val="20"/>
                <w:color w:val="auto"/>
              </w:rPr>
            </w:pPr>
            <w:r>
              <w:rPr>
                <w:rFonts w:ascii="Arial" w:cs="Arial" w:eastAsia="Arial" w:hAnsi="Arial"/>
                <w:sz w:val="20"/>
                <w:szCs w:val="20"/>
                <w:b w:val="1"/>
                <w:bCs w:val="1"/>
                <w:color w:val="auto"/>
              </w:rPr>
              <w:t>Total</w:t>
            </w:r>
          </w:p>
        </w:tc>
        <w:tc>
          <w:tcPr>
            <w:tcW w:w="1200" w:type="dxa"/>
            <w:vAlign w:val="bottom"/>
          </w:tcPr>
          <w:p>
            <w:pPr>
              <w:jc w:val="right"/>
              <w:ind w:right="24"/>
              <w:spacing w:after="0"/>
              <w:rPr>
                <w:sz w:val="20"/>
                <w:szCs w:val="20"/>
                <w:color w:val="auto"/>
              </w:rPr>
            </w:pPr>
            <w:r>
              <w:rPr>
                <w:rFonts w:ascii="Arial" w:cs="Arial" w:eastAsia="Arial" w:hAnsi="Arial"/>
                <w:sz w:val="20"/>
                <w:szCs w:val="20"/>
                <w:b w:val="1"/>
                <w:bCs w:val="1"/>
                <w:color w:val="auto"/>
              </w:rPr>
              <w:t>22,940,246</w:t>
            </w:r>
          </w:p>
        </w:tc>
        <w:tc>
          <w:tcPr>
            <w:tcW w:w="1140" w:type="dxa"/>
            <w:vAlign w:val="bottom"/>
          </w:tcPr>
          <w:p>
            <w:pPr>
              <w:jc w:val="right"/>
              <w:ind w:right="24"/>
              <w:spacing w:after="0"/>
              <w:rPr>
                <w:sz w:val="20"/>
                <w:szCs w:val="20"/>
                <w:color w:val="auto"/>
              </w:rPr>
            </w:pPr>
            <w:r>
              <w:rPr>
                <w:rFonts w:ascii="Arial" w:cs="Arial" w:eastAsia="Arial" w:hAnsi="Arial"/>
                <w:sz w:val="20"/>
                <w:szCs w:val="20"/>
                <w:b w:val="1"/>
                <w:bCs w:val="1"/>
                <w:color w:val="auto"/>
              </w:rPr>
              <w:t>7,291,572</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9,099,768</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5,893,033</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5,712,474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14605</wp:posOffset>
                </wp:positionV>
                <wp:extent cx="6386195"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E3C23"/>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pt,1.15pt" to="511.75pt,1.15pt" o:allowincell="f" strokecolor="#0E3C23" strokeweight="0.499pt"/>
            </w:pict>
          </mc:Fallback>
        </mc:AlternateContent>
      </w:r>
    </w:p>
    <w:p>
      <w:pPr>
        <w:spacing w:after="0" w:line="29" w:lineRule="exact"/>
        <w:rPr>
          <w:sz w:val="20"/>
          <w:szCs w:val="20"/>
          <w:color w:val="auto"/>
        </w:rPr>
      </w:pPr>
    </w:p>
    <w:p>
      <w:pPr>
        <w:ind w:left="240"/>
        <w:spacing w:after="0"/>
        <w:rPr>
          <w:sz w:val="20"/>
          <w:szCs w:val="20"/>
          <w:color w:val="auto"/>
        </w:rPr>
      </w:pPr>
      <w:r>
        <w:rPr>
          <w:rFonts w:ascii="Arial" w:cs="Arial" w:eastAsia="Arial" w:hAnsi="Arial"/>
          <w:sz w:val="20"/>
          <w:szCs w:val="20"/>
          <w:b w:val="1"/>
          <w:bCs w:val="1"/>
          <w:i w:val="1"/>
          <w:iCs w:val="1"/>
          <w:color w:val="auto"/>
        </w:rPr>
        <w:t>In Event of Termination Without Cause by the Company or For Good Reason by the Employee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15240</wp:posOffset>
                </wp:positionV>
                <wp:extent cx="6386195"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E3C23"/>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pt,1.2pt" to="511.75pt,1.2pt" o:allowincell="f" strokecolor="#0E3C23" strokeweight="0.499pt"/>
            </w:pict>
          </mc:Fallback>
        </mc:AlternateContent>
      </w:r>
    </w:p>
    <w:p>
      <w:pPr>
        <w:spacing w:after="0" w:line="26" w:lineRule="exact"/>
        <w:rPr>
          <w:sz w:val="20"/>
          <w:szCs w:val="20"/>
          <w:color w:val="auto"/>
        </w:rPr>
      </w:pPr>
    </w:p>
    <w:p>
      <w:pPr>
        <w:ind w:left="440" w:hanging="202"/>
        <w:spacing w:after="0"/>
        <w:tabs>
          <w:tab w:leader="none" w:pos="440" w:val="left"/>
        </w:tabs>
        <w:numPr>
          <w:ilvl w:val="0"/>
          <w:numId w:val="34"/>
        </w:numPr>
        <w:rPr>
          <w:rFonts w:ascii="Arial" w:cs="Arial" w:eastAsia="Arial" w:hAnsi="Arial"/>
          <w:sz w:val="20"/>
          <w:szCs w:val="20"/>
          <w:color w:val="0E3C23"/>
        </w:rPr>
      </w:pPr>
      <w:r>
        <w:rPr>
          <w:rFonts w:ascii="Arial" w:cs="Arial" w:eastAsia="Arial" w:hAnsi="Arial"/>
          <w:sz w:val="20"/>
          <w:szCs w:val="20"/>
          <w:color w:val="auto"/>
        </w:rPr>
        <w:t>Two times base salary plus target annual cash</w:t>
      </w:r>
    </w:p>
    <w:p>
      <w:pPr>
        <w:spacing w:after="0" w:line="9"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200" w:type="dxa"/>
            <w:vAlign w:val="bottom"/>
          </w:tcPr>
          <w:p>
            <w:pPr>
              <w:spacing w:after="0"/>
              <w:rPr>
                <w:sz w:val="19"/>
                <w:szCs w:val="19"/>
                <w:color w:val="auto"/>
              </w:rPr>
            </w:pPr>
          </w:p>
        </w:tc>
        <w:tc>
          <w:tcPr>
            <w:tcW w:w="4380" w:type="dxa"/>
            <w:vAlign w:val="bottom"/>
          </w:tcPr>
          <w:p>
            <w:pPr>
              <w:ind w:left="60"/>
              <w:spacing w:after="0"/>
              <w:rPr>
                <w:sz w:val="20"/>
                <w:szCs w:val="20"/>
                <w:color w:val="auto"/>
              </w:rPr>
            </w:pPr>
            <w:r>
              <w:rPr>
                <w:rFonts w:ascii="Arial" w:cs="Arial" w:eastAsia="Arial" w:hAnsi="Arial"/>
                <w:sz w:val="20"/>
                <w:szCs w:val="20"/>
                <w:color w:val="auto"/>
              </w:rPr>
              <w:t>bonus (one-half payable in lump sum; one-half</w:t>
            </w: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9"/>
        </w:trPr>
        <w:tc>
          <w:tcPr>
            <w:tcW w:w="200" w:type="dxa"/>
            <w:vAlign w:val="bottom"/>
          </w:tcPr>
          <w:p>
            <w:pPr>
              <w:spacing w:after="0"/>
              <w:rPr>
                <w:sz w:val="20"/>
                <w:szCs w:val="20"/>
                <w:color w:val="auto"/>
              </w:rPr>
            </w:pPr>
          </w:p>
        </w:tc>
        <w:tc>
          <w:tcPr>
            <w:tcW w:w="4380" w:type="dxa"/>
            <w:vAlign w:val="bottom"/>
          </w:tcPr>
          <w:p>
            <w:pPr>
              <w:ind w:left="60"/>
              <w:spacing w:after="0"/>
              <w:rPr>
                <w:sz w:val="20"/>
                <w:szCs w:val="20"/>
                <w:color w:val="auto"/>
              </w:rPr>
            </w:pPr>
            <w:r>
              <w:rPr>
                <w:rFonts w:ascii="Arial" w:cs="Arial" w:eastAsia="Arial" w:hAnsi="Arial"/>
                <w:sz w:val="20"/>
                <w:szCs w:val="20"/>
                <w:color w:val="auto"/>
                <w:w w:val="98"/>
              </w:rPr>
              <w:t>payable in bi-weekly installments over a two-year</w:t>
            </w: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9"/>
        </w:trPr>
        <w:tc>
          <w:tcPr>
            <w:tcW w:w="200" w:type="dxa"/>
            <w:vAlign w:val="bottom"/>
          </w:tcPr>
          <w:p>
            <w:pPr>
              <w:spacing w:after="0"/>
              <w:rPr>
                <w:sz w:val="20"/>
                <w:szCs w:val="20"/>
                <w:color w:val="auto"/>
              </w:rPr>
            </w:pPr>
          </w:p>
        </w:tc>
        <w:tc>
          <w:tcPr>
            <w:tcW w:w="4380" w:type="dxa"/>
            <w:vAlign w:val="bottom"/>
          </w:tcPr>
          <w:p>
            <w:pPr>
              <w:ind w:left="60"/>
              <w:spacing w:after="0"/>
              <w:rPr>
                <w:sz w:val="20"/>
                <w:szCs w:val="20"/>
                <w:color w:val="auto"/>
              </w:rPr>
            </w:pPr>
            <w:r>
              <w:rPr>
                <w:rFonts w:ascii="Arial" w:cs="Arial" w:eastAsia="Arial" w:hAnsi="Arial"/>
                <w:sz w:val="20"/>
                <w:szCs w:val="20"/>
                <w:color w:val="auto"/>
              </w:rPr>
              <w:t>period)</w:t>
            </w: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7,540,000</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3,193,200</w:t>
            </w:r>
          </w:p>
        </w:tc>
        <w:tc>
          <w:tcPr>
            <w:tcW w:w="1080" w:type="dxa"/>
            <w:vAlign w:val="bottom"/>
          </w:tcPr>
          <w:p>
            <w:pPr>
              <w:jc w:val="right"/>
              <w:spacing w:after="0"/>
              <w:rPr>
                <w:sz w:val="20"/>
                <w:szCs w:val="20"/>
                <w:color w:val="auto"/>
              </w:rPr>
            </w:pPr>
            <w:r>
              <w:rPr>
                <w:rFonts w:ascii="Arial" w:cs="Arial" w:eastAsia="Arial" w:hAnsi="Arial"/>
                <w:sz w:val="20"/>
                <w:szCs w:val="20"/>
                <w:color w:val="auto"/>
              </w:rPr>
              <w:t>3,424,680</w:t>
            </w:r>
          </w:p>
        </w:tc>
        <w:tc>
          <w:tcPr>
            <w:tcW w:w="1020" w:type="dxa"/>
            <w:vAlign w:val="bottom"/>
          </w:tcPr>
          <w:p>
            <w:pPr>
              <w:jc w:val="right"/>
              <w:spacing w:after="0"/>
              <w:rPr>
                <w:sz w:val="20"/>
                <w:szCs w:val="20"/>
                <w:color w:val="auto"/>
              </w:rPr>
            </w:pPr>
            <w:r>
              <w:rPr>
                <w:rFonts w:ascii="Arial" w:cs="Arial" w:eastAsia="Arial" w:hAnsi="Arial"/>
                <w:sz w:val="20"/>
                <w:szCs w:val="20"/>
                <w:color w:val="auto"/>
              </w:rPr>
              <w:t>2,730,000</w:t>
            </w:r>
          </w:p>
        </w:tc>
        <w:tc>
          <w:tcPr>
            <w:tcW w:w="1040" w:type="dxa"/>
            <w:vAlign w:val="bottom"/>
          </w:tcPr>
          <w:p>
            <w:pPr>
              <w:jc w:val="right"/>
              <w:spacing w:after="0"/>
              <w:rPr>
                <w:sz w:val="20"/>
                <w:szCs w:val="20"/>
                <w:color w:val="auto"/>
              </w:rPr>
            </w:pPr>
            <w:r>
              <w:rPr>
                <w:rFonts w:ascii="Arial" w:cs="Arial" w:eastAsia="Arial" w:hAnsi="Arial"/>
                <w:sz w:val="20"/>
                <w:szCs w:val="20"/>
                <w:color w:val="auto"/>
              </w:rPr>
              <w:t>2,568,800</w:t>
            </w:r>
          </w:p>
        </w:tc>
      </w:tr>
      <w:tr>
        <w:trPr>
          <w:trHeight w:val="23"/>
        </w:trPr>
        <w:tc>
          <w:tcPr>
            <w:tcW w:w="200" w:type="dxa"/>
            <w:vAlign w:val="bottom"/>
            <w:tcBorders>
              <w:bottom w:val="single" w:sz="8" w:color="0E3C23"/>
            </w:tcBorders>
          </w:tcPr>
          <w:p>
            <w:pPr>
              <w:spacing w:after="0" w:line="20" w:lineRule="exact"/>
              <w:rPr>
                <w:sz w:val="1"/>
                <w:szCs w:val="1"/>
                <w:color w:val="auto"/>
              </w:rPr>
            </w:pPr>
          </w:p>
        </w:tc>
        <w:tc>
          <w:tcPr>
            <w:tcW w:w="4380" w:type="dxa"/>
            <w:vAlign w:val="bottom"/>
            <w:tcBorders>
              <w:bottom w:val="single" w:sz="8" w:color="0E3C23"/>
            </w:tcBorders>
          </w:tcPr>
          <w:p>
            <w:pPr>
              <w:spacing w:after="0" w:line="20" w:lineRule="exact"/>
              <w:rPr>
                <w:sz w:val="1"/>
                <w:szCs w:val="1"/>
                <w:color w:val="auto"/>
              </w:rPr>
            </w:pPr>
          </w:p>
        </w:tc>
        <w:tc>
          <w:tcPr>
            <w:tcW w:w="1200" w:type="dxa"/>
            <w:vAlign w:val="bottom"/>
            <w:tcBorders>
              <w:bottom w:val="single" w:sz="8" w:color="0E3C23"/>
            </w:tcBorders>
          </w:tcPr>
          <w:p>
            <w:pPr>
              <w:spacing w:after="0" w:line="20" w:lineRule="exact"/>
              <w:rPr>
                <w:sz w:val="1"/>
                <w:szCs w:val="1"/>
                <w:color w:val="auto"/>
              </w:rPr>
            </w:pPr>
          </w:p>
        </w:tc>
        <w:tc>
          <w:tcPr>
            <w:tcW w:w="1140" w:type="dxa"/>
            <w:vAlign w:val="bottom"/>
            <w:tcBorders>
              <w:bottom w:val="single" w:sz="8" w:color="0E3C23"/>
            </w:tcBorders>
          </w:tcPr>
          <w:p>
            <w:pPr>
              <w:spacing w:after="0" w:line="20" w:lineRule="exact"/>
              <w:rPr>
                <w:sz w:val="1"/>
                <w:szCs w:val="1"/>
                <w:color w:val="auto"/>
              </w:rPr>
            </w:pPr>
          </w:p>
        </w:tc>
        <w:tc>
          <w:tcPr>
            <w:tcW w:w="1080" w:type="dxa"/>
            <w:vAlign w:val="bottom"/>
            <w:tcBorders>
              <w:bottom w:val="single" w:sz="8" w:color="0E3C23"/>
            </w:tcBorders>
          </w:tcPr>
          <w:p>
            <w:pPr>
              <w:spacing w:after="0" w:line="20" w:lineRule="exact"/>
              <w:rPr>
                <w:sz w:val="1"/>
                <w:szCs w:val="1"/>
                <w:color w:val="auto"/>
              </w:rPr>
            </w:pPr>
          </w:p>
        </w:tc>
        <w:tc>
          <w:tcPr>
            <w:tcW w:w="1020" w:type="dxa"/>
            <w:vAlign w:val="bottom"/>
            <w:tcBorders>
              <w:bottom w:val="single" w:sz="8" w:color="0E3C23"/>
            </w:tcBorders>
          </w:tcPr>
          <w:p>
            <w:pPr>
              <w:spacing w:after="0" w:line="20" w:lineRule="exact"/>
              <w:rPr>
                <w:sz w:val="1"/>
                <w:szCs w:val="1"/>
                <w:color w:val="auto"/>
              </w:rPr>
            </w:pPr>
          </w:p>
        </w:tc>
        <w:tc>
          <w:tcPr>
            <w:tcW w:w="1040" w:type="dxa"/>
            <w:vAlign w:val="bottom"/>
            <w:tcBorders>
              <w:bottom w:val="single" w:sz="8" w:color="0E3C23"/>
            </w:tcBorders>
          </w:tcPr>
          <w:p>
            <w:pPr>
              <w:spacing w:after="0" w:line="20" w:lineRule="exact"/>
              <w:rPr>
                <w:sz w:val="1"/>
                <w:szCs w:val="1"/>
                <w:color w:val="auto"/>
              </w:rPr>
            </w:pPr>
          </w:p>
        </w:tc>
      </w:tr>
      <w:tr>
        <w:trPr>
          <w:trHeight w:val="237"/>
        </w:trPr>
        <w:tc>
          <w:tcPr>
            <w:tcW w:w="200" w:type="dxa"/>
            <w:vAlign w:val="bottom"/>
          </w:tcPr>
          <w:p>
            <w:pPr>
              <w:ind w:left="60"/>
              <w:spacing w:after="0"/>
              <w:rPr>
                <w:sz w:val="20"/>
                <w:szCs w:val="20"/>
                <w:color w:val="auto"/>
              </w:rPr>
            </w:pPr>
            <w:r>
              <w:rPr>
                <w:rFonts w:ascii="Arial" w:cs="Arial" w:eastAsia="Arial" w:hAnsi="Arial"/>
                <w:sz w:val="20"/>
                <w:szCs w:val="20"/>
                <w:color w:val="0E3C23"/>
              </w:rPr>
              <w:t>•</w:t>
            </w:r>
          </w:p>
        </w:tc>
        <w:tc>
          <w:tcPr>
            <w:tcW w:w="4380" w:type="dxa"/>
            <w:vAlign w:val="bottom"/>
          </w:tcPr>
          <w:p>
            <w:pPr>
              <w:ind w:left="60"/>
              <w:spacing w:after="0"/>
              <w:rPr>
                <w:sz w:val="20"/>
                <w:szCs w:val="20"/>
                <w:color w:val="auto"/>
              </w:rPr>
            </w:pPr>
            <w:r>
              <w:rPr>
                <w:rFonts w:ascii="Arial" w:cs="Arial" w:eastAsia="Arial" w:hAnsi="Arial"/>
                <w:sz w:val="20"/>
                <w:szCs w:val="20"/>
                <w:color w:val="auto"/>
              </w:rPr>
              <w:t>Continued coverage under health and welfare</w:t>
            </w: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9"/>
        </w:trPr>
        <w:tc>
          <w:tcPr>
            <w:tcW w:w="200" w:type="dxa"/>
            <w:vAlign w:val="bottom"/>
          </w:tcPr>
          <w:p>
            <w:pPr>
              <w:spacing w:after="0"/>
              <w:rPr>
                <w:sz w:val="20"/>
                <w:szCs w:val="20"/>
                <w:color w:val="auto"/>
              </w:rPr>
            </w:pPr>
          </w:p>
        </w:tc>
        <w:tc>
          <w:tcPr>
            <w:tcW w:w="4380" w:type="dxa"/>
            <w:vAlign w:val="bottom"/>
          </w:tcPr>
          <w:p>
            <w:pPr>
              <w:ind w:left="60"/>
              <w:spacing w:after="0"/>
              <w:rPr>
                <w:sz w:val="20"/>
                <w:szCs w:val="20"/>
                <w:color w:val="auto"/>
              </w:rPr>
            </w:pPr>
            <w:r>
              <w:rPr>
                <w:rFonts w:ascii="Arial" w:cs="Arial" w:eastAsia="Arial" w:hAnsi="Arial"/>
                <w:sz w:val="20"/>
                <w:szCs w:val="20"/>
                <w:color w:val="auto"/>
              </w:rPr>
              <w:t>benefit plans for two years</w:t>
            </w: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32,636</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32,636</w:t>
            </w:r>
          </w:p>
        </w:tc>
        <w:tc>
          <w:tcPr>
            <w:tcW w:w="1080" w:type="dxa"/>
            <w:vAlign w:val="bottom"/>
          </w:tcPr>
          <w:p>
            <w:pPr>
              <w:jc w:val="right"/>
              <w:spacing w:after="0"/>
              <w:rPr>
                <w:sz w:val="20"/>
                <w:szCs w:val="20"/>
                <w:color w:val="auto"/>
              </w:rPr>
            </w:pPr>
            <w:r>
              <w:rPr>
                <w:rFonts w:ascii="Arial" w:cs="Arial" w:eastAsia="Arial" w:hAnsi="Arial"/>
                <w:sz w:val="20"/>
                <w:szCs w:val="20"/>
                <w:color w:val="auto"/>
              </w:rPr>
              <w:t>32,636</w:t>
            </w:r>
          </w:p>
        </w:tc>
        <w:tc>
          <w:tcPr>
            <w:tcW w:w="1020" w:type="dxa"/>
            <w:vAlign w:val="bottom"/>
          </w:tcPr>
          <w:p>
            <w:pPr>
              <w:jc w:val="right"/>
              <w:spacing w:after="0"/>
              <w:rPr>
                <w:sz w:val="20"/>
                <w:szCs w:val="20"/>
                <w:color w:val="auto"/>
              </w:rPr>
            </w:pPr>
            <w:r>
              <w:rPr>
                <w:rFonts w:ascii="Arial" w:cs="Arial" w:eastAsia="Arial" w:hAnsi="Arial"/>
                <w:sz w:val="20"/>
                <w:szCs w:val="20"/>
                <w:color w:val="auto"/>
              </w:rPr>
              <w:t>32,636</w:t>
            </w:r>
          </w:p>
        </w:tc>
        <w:tc>
          <w:tcPr>
            <w:tcW w:w="1040" w:type="dxa"/>
            <w:vAlign w:val="bottom"/>
          </w:tcPr>
          <w:p>
            <w:pPr>
              <w:jc w:val="right"/>
              <w:spacing w:after="0"/>
              <w:rPr>
                <w:sz w:val="20"/>
                <w:szCs w:val="20"/>
                <w:color w:val="auto"/>
              </w:rPr>
            </w:pPr>
            <w:r>
              <w:rPr>
                <w:rFonts w:ascii="Arial" w:cs="Arial" w:eastAsia="Arial" w:hAnsi="Arial"/>
                <w:sz w:val="20"/>
                <w:szCs w:val="20"/>
                <w:color w:val="auto"/>
              </w:rPr>
              <w:t>32,636</w:t>
            </w:r>
          </w:p>
        </w:tc>
      </w:tr>
      <w:tr>
        <w:trPr>
          <w:trHeight w:val="23"/>
        </w:trPr>
        <w:tc>
          <w:tcPr>
            <w:tcW w:w="200" w:type="dxa"/>
            <w:vAlign w:val="bottom"/>
            <w:tcBorders>
              <w:bottom w:val="single" w:sz="8" w:color="0E3C23"/>
            </w:tcBorders>
          </w:tcPr>
          <w:p>
            <w:pPr>
              <w:spacing w:after="0" w:line="20" w:lineRule="exact"/>
              <w:rPr>
                <w:sz w:val="1"/>
                <w:szCs w:val="1"/>
                <w:color w:val="auto"/>
              </w:rPr>
            </w:pPr>
          </w:p>
        </w:tc>
        <w:tc>
          <w:tcPr>
            <w:tcW w:w="4380" w:type="dxa"/>
            <w:vAlign w:val="bottom"/>
            <w:tcBorders>
              <w:bottom w:val="single" w:sz="8" w:color="0E3C23"/>
            </w:tcBorders>
          </w:tcPr>
          <w:p>
            <w:pPr>
              <w:spacing w:after="0" w:line="20" w:lineRule="exact"/>
              <w:rPr>
                <w:sz w:val="1"/>
                <w:szCs w:val="1"/>
                <w:color w:val="auto"/>
              </w:rPr>
            </w:pPr>
          </w:p>
        </w:tc>
        <w:tc>
          <w:tcPr>
            <w:tcW w:w="1200" w:type="dxa"/>
            <w:vAlign w:val="bottom"/>
            <w:tcBorders>
              <w:bottom w:val="single" w:sz="8" w:color="0E3C23"/>
            </w:tcBorders>
          </w:tcPr>
          <w:p>
            <w:pPr>
              <w:spacing w:after="0" w:line="20" w:lineRule="exact"/>
              <w:rPr>
                <w:sz w:val="1"/>
                <w:szCs w:val="1"/>
                <w:color w:val="auto"/>
              </w:rPr>
            </w:pPr>
          </w:p>
        </w:tc>
        <w:tc>
          <w:tcPr>
            <w:tcW w:w="1140" w:type="dxa"/>
            <w:vAlign w:val="bottom"/>
            <w:tcBorders>
              <w:bottom w:val="single" w:sz="8" w:color="0E3C23"/>
            </w:tcBorders>
          </w:tcPr>
          <w:p>
            <w:pPr>
              <w:spacing w:after="0" w:line="20" w:lineRule="exact"/>
              <w:rPr>
                <w:sz w:val="1"/>
                <w:szCs w:val="1"/>
                <w:color w:val="auto"/>
              </w:rPr>
            </w:pPr>
          </w:p>
        </w:tc>
        <w:tc>
          <w:tcPr>
            <w:tcW w:w="1080" w:type="dxa"/>
            <w:vAlign w:val="bottom"/>
            <w:tcBorders>
              <w:bottom w:val="single" w:sz="8" w:color="0E3C23"/>
            </w:tcBorders>
          </w:tcPr>
          <w:p>
            <w:pPr>
              <w:spacing w:after="0" w:line="20" w:lineRule="exact"/>
              <w:rPr>
                <w:sz w:val="1"/>
                <w:szCs w:val="1"/>
                <w:color w:val="auto"/>
              </w:rPr>
            </w:pPr>
          </w:p>
        </w:tc>
        <w:tc>
          <w:tcPr>
            <w:tcW w:w="1020" w:type="dxa"/>
            <w:vAlign w:val="bottom"/>
            <w:tcBorders>
              <w:bottom w:val="single" w:sz="8" w:color="0E3C23"/>
            </w:tcBorders>
          </w:tcPr>
          <w:p>
            <w:pPr>
              <w:spacing w:after="0" w:line="20" w:lineRule="exact"/>
              <w:rPr>
                <w:sz w:val="1"/>
                <w:szCs w:val="1"/>
                <w:color w:val="auto"/>
              </w:rPr>
            </w:pPr>
          </w:p>
        </w:tc>
        <w:tc>
          <w:tcPr>
            <w:tcW w:w="1040" w:type="dxa"/>
            <w:vAlign w:val="bottom"/>
            <w:tcBorders>
              <w:bottom w:val="single" w:sz="8" w:color="0E3C23"/>
            </w:tcBorders>
          </w:tcPr>
          <w:p>
            <w:pPr>
              <w:spacing w:after="0" w:line="20" w:lineRule="exact"/>
              <w:rPr>
                <w:sz w:val="1"/>
                <w:szCs w:val="1"/>
                <w:color w:val="auto"/>
              </w:rPr>
            </w:pPr>
          </w:p>
        </w:tc>
      </w:tr>
      <w:tr>
        <w:trPr>
          <w:trHeight w:val="237"/>
        </w:trPr>
        <w:tc>
          <w:tcPr>
            <w:tcW w:w="200" w:type="dxa"/>
            <w:vAlign w:val="bottom"/>
          </w:tcPr>
          <w:p>
            <w:pPr>
              <w:ind w:left="60"/>
              <w:spacing w:after="0"/>
              <w:rPr>
                <w:sz w:val="20"/>
                <w:szCs w:val="20"/>
                <w:color w:val="auto"/>
              </w:rPr>
            </w:pPr>
            <w:r>
              <w:rPr>
                <w:rFonts w:ascii="Arial" w:cs="Arial" w:eastAsia="Arial" w:hAnsi="Arial"/>
                <w:sz w:val="20"/>
                <w:szCs w:val="20"/>
                <w:color w:val="0E3C23"/>
              </w:rPr>
              <w:t>•</w:t>
            </w:r>
          </w:p>
        </w:tc>
        <w:tc>
          <w:tcPr>
            <w:tcW w:w="4380" w:type="dxa"/>
            <w:vAlign w:val="bottom"/>
          </w:tcPr>
          <w:p>
            <w:pPr>
              <w:ind w:left="60"/>
              <w:spacing w:after="0"/>
              <w:rPr>
                <w:sz w:val="20"/>
                <w:szCs w:val="20"/>
                <w:color w:val="auto"/>
              </w:rPr>
            </w:pPr>
            <w:r>
              <w:rPr>
                <w:rFonts w:ascii="Arial" w:cs="Arial" w:eastAsia="Arial" w:hAnsi="Arial"/>
                <w:sz w:val="20"/>
                <w:szCs w:val="20"/>
                <w:color w:val="auto"/>
              </w:rPr>
              <w:t>Prorated payment of PSUs (contingent on actual</w:t>
            </w: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9"/>
        </w:trPr>
        <w:tc>
          <w:tcPr>
            <w:tcW w:w="200" w:type="dxa"/>
            <w:vAlign w:val="bottom"/>
          </w:tcPr>
          <w:p>
            <w:pPr>
              <w:spacing w:after="0"/>
              <w:rPr>
                <w:sz w:val="20"/>
                <w:szCs w:val="20"/>
                <w:color w:val="auto"/>
              </w:rPr>
            </w:pPr>
          </w:p>
        </w:tc>
        <w:tc>
          <w:tcPr>
            <w:tcW w:w="4380" w:type="dxa"/>
            <w:vAlign w:val="bottom"/>
          </w:tcPr>
          <w:p>
            <w:pPr>
              <w:ind w:left="60"/>
              <w:spacing w:after="0"/>
              <w:rPr>
                <w:sz w:val="20"/>
                <w:szCs w:val="20"/>
                <w:color w:val="auto"/>
              </w:rPr>
            </w:pPr>
            <w:r>
              <w:rPr>
                <w:rFonts w:ascii="Arial" w:cs="Arial" w:eastAsia="Arial" w:hAnsi="Arial"/>
                <w:sz w:val="20"/>
                <w:szCs w:val="20"/>
                <w:color w:val="auto"/>
              </w:rPr>
              <w:t>performance at end of performance period)</w:t>
            </w: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9,607,760</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2,266,505</w:t>
            </w:r>
          </w:p>
        </w:tc>
        <w:tc>
          <w:tcPr>
            <w:tcW w:w="1080" w:type="dxa"/>
            <w:vAlign w:val="bottom"/>
          </w:tcPr>
          <w:p>
            <w:pPr>
              <w:jc w:val="right"/>
              <w:spacing w:after="0"/>
              <w:rPr>
                <w:sz w:val="20"/>
                <w:szCs w:val="20"/>
                <w:color w:val="auto"/>
              </w:rPr>
            </w:pPr>
            <w:r>
              <w:rPr>
                <w:rFonts w:ascii="Arial" w:cs="Arial" w:eastAsia="Arial" w:hAnsi="Arial"/>
                <w:sz w:val="20"/>
                <w:szCs w:val="20"/>
                <w:color w:val="auto"/>
              </w:rPr>
              <w:t>2,729,815</w:t>
            </w:r>
          </w:p>
        </w:tc>
        <w:tc>
          <w:tcPr>
            <w:tcW w:w="1020" w:type="dxa"/>
            <w:vAlign w:val="bottom"/>
          </w:tcPr>
          <w:p>
            <w:pPr>
              <w:jc w:val="right"/>
              <w:spacing w:after="0"/>
              <w:rPr>
                <w:sz w:val="20"/>
                <w:szCs w:val="20"/>
                <w:color w:val="auto"/>
              </w:rPr>
            </w:pPr>
            <w:r>
              <w:rPr>
                <w:rFonts w:ascii="Arial" w:cs="Arial" w:eastAsia="Arial" w:hAnsi="Arial"/>
                <w:sz w:val="20"/>
                <w:szCs w:val="20"/>
                <w:color w:val="auto"/>
              </w:rPr>
              <w:t>1,829,294</w:t>
            </w:r>
          </w:p>
        </w:tc>
        <w:tc>
          <w:tcPr>
            <w:tcW w:w="1040" w:type="dxa"/>
            <w:vAlign w:val="bottom"/>
          </w:tcPr>
          <w:p>
            <w:pPr>
              <w:jc w:val="right"/>
              <w:spacing w:after="0"/>
              <w:rPr>
                <w:sz w:val="20"/>
                <w:szCs w:val="20"/>
                <w:color w:val="auto"/>
              </w:rPr>
            </w:pPr>
            <w:r>
              <w:rPr>
                <w:rFonts w:ascii="Arial" w:cs="Arial" w:eastAsia="Arial" w:hAnsi="Arial"/>
                <w:sz w:val="20"/>
                <w:szCs w:val="20"/>
                <w:color w:val="auto"/>
              </w:rPr>
              <w:t>1,970,816</w:t>
            </w:r>
          </w:p>
        </w:tc>
      </w:tr>
      <w:tr>
        <w:trPr>
          <w:trHeight w:val="23"/>
        </w:trPr>
        <w:tc>
          <w:tcPr>
            <w:tcW w:w="4580" w:type="dxa"/>
            <w:vAlign w:val="bottom"/>
            <w:tcBorders>
              <w:bottom w:val="single" w:sz="8" w:color="0E3C23"/>
            </w:tcBorders>
            <w:gridSpan w:val="2"/>
          </w:tcPr>
          <w:p>
            <w:pPr>
              <w:spacing w:after="0" w:line="20" w:lineRule="exact"/>
              <w:rPr>
                <w:sz w:val="1"/>
                <w:szCs w:val="1"/>
                <w:color w:val="auto"/>
              </w:rPr>
            </w:pPr>
          </w:p>
        </w:tc>
        <w:tc>
          <w:tcPr>
            <w:tcW w:w="1200" w:type="dxa"/>
            <w:vAlign w:val="bottom"/>
            <w:tcBorders>
              <w:bottom w:val="single" w:sz="8" w:color="0E3C23"/>
            </w:tcBorders>
          </w:tcPr>
          <w:p>
            <w:pPr>
              <w:spacing w:after="0" w:line="20" w:lineRule="exact"/>
              <w:rPr>
                <w:sz w:val="1"/>
                <w:szCs w:val="1"/>
                <w:color w:val="auto"/>
              </w:rPr>
            </w:pPr>
          </w:p>
        </w:tc>
        <w:tc>
          <w:tcPr>
            <w:tcW w:w="1140" w:type="dxa"/>
            <w:vAlign w:val="bottom"/>
            <w:tcBorders>
              <w:bottom w:val="single" w:sz="8" w:color="0E3C23"/>
            </w:tcBorders>
          </w:tcPr>
          <w:p>
            <w:pPr>
              <w:spacing w:after="0" w:line="20" w:lineRule="exact"/>
              <w:rPr>
                <w:sz w:val="1"/>
                <w:szCs w:val="1"/>
                <w:color w:val="auto"/>
              </w:rPr>
            </w:pPr>
          </w:p>
        </w:tc>
        <w:tc>
          <w:tcPr>
            <w:tcW w:w="1080" w:type="dxa"/>
            <w:vAlign w:val="bottom"/>
            <w:tcBorders>
              <w:bottom w:val="single" w:sz="8" w:color="0E3C23"/>
            </w:tcBorders>
          </w:tcPr>
          <w:p>
            <w:pPr>
              <w:spacing w:after="0" w:line="20" w:lineRule="exact"/>
              <w:rPr>
                <w:sz w:val="1"/>
                <w:szCs w:val="1"/>
                <w:color w:val="auto"/>
              </w:rPr>
            </w:pPr>
          </w:p>
        </w:tc>
        <w:tc>
          <w:tcPr>
            <w:tcW w:w="1020" w:type="dxa"/>
            <w:vAlign w:val="bottom"/>
            <w:tcBorders>
              <w:bottom w:val="single" w:sz="8" w:color="0E3C23"/>
            </w:tcBorders>
          </w:tcPr>
          <w:p>
            <w:pPr>
              <w:spacing w:after="0" w:line="20" w:lineRule="exact"/>
              <w:rPr>
                <w:sz w:val="1"/>
                <w:szCs w:val="1"/>
                <w:color w:val="auto"/>
              </w:rPr>
            </w:pPr>
          </w:p>
        </w:tc>
        <w:tc>
          <w:tcPr>
            <w:tcW w:w="1040" w:type="dxa"/>
            <w:vAlign w:val="bottom"/>
            <w:tcBorders>
              <w:bottom w:val="single" w:sz="8" w:color="0E3C23"/>
            </w:tcBorders>
          </w:tcPr>
          <w:p>
            <w:pPr>
              <w:spacing w:after="0" w:line="20" w:lineRule="exact"/>
              <w:rPr>
                <w:sz w:val="1"/>
                <w:szCs w:val="1"/>
                <w:color w:val="auto"/>
              </w:rPr>
            </w:pPr>
          </w:p>
        </w:tc>
      </w:tr>
      <w:tr>
        <w:trPr>
          <w:trHeight w:val="237"/>
        </w:trPr>
        <w:tc>
          <w:tcPr>
            <w:tcW w:w="4580" w:type="dxa"/>
            <w:vAlign w:val="bottom"/>
            <w:gridSpan w:val="2"/>
          </w:tcPr>
          <w:p>
            <w:pPr>
              <w:ind w:left="60"/>
              <w:spacing w:after="0"/>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Prorated vesting of RSUs</w:t>
            </w: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1,297,557</w:t>
            </w:r>
          </w:p>
        </w:tc>
        <w:tc>
          <w:tcPr>
            <w:tcW w:w="1080" w:type="dxa"/>
            <w:vAlign w:val="bottom"/>
          </w:tcPr>
          <w:p>
            <w:pPr>
              <w:jc w:val="right"/>
              <w:spacing w:after="0"/>
              <w:rPr>
                <w:sz w:val="20"/>
                <w:szCs w:val="20"/>
                <w:color w:val="auto"/>
              </w:rPr>
            </w:pPr>
            <w:r>
              <w:rPr>
                <w:rFonts w:ascii="Arial" w:cs="Arial" w:eastAsia="Arial" w:hAnsi="Arial"/>
                <w:sz w:val="20"/>
                <w:szCs w:val="20"/>
                <w:color w:val="auto"/>
              </w:rPr>
              <w:t>1,946,240</w:t>
            </w:r>
          </w:p>
        </w:tc>
        <w:tc>
          <w:tcPr>
            <w:tcW w:w="1020" w:type="dxa"/>
            <w:vAlign w:val="bottom"/>
          </w:tcPr>
          <w:p>
            <w:pPr>
              <w:jc w:val="right"/>
              <w:spacing w:after="0"/>
              <w:rPr>
                <w:sz w:val="20"/>
                <w:szCs w:val="20"/>
                <w:color w:val="auto"/>
              </w:rPr>
            </w:pPr>
            <w:r>
              <w:rPr>
                <w:rFonts w:ascii="Arial" w:cs="Arial" w:eastAsia="Arial" w:hAnsi="Arial"/>
                <w:sz w:val="20"/>
                <w:szCs w:val="20"/>
                <w:color w:val="auto"/>
              </w:rPr>
              <w:t>973,120</w:t>
            </w:r>
          </w:p>
        </w:tc>
        <w:tc>
          <w:tcPr>
            <w:tcW w:w="1040" w:type="dxa"/>
            <w:vAlign w:val="bottom"/>
          </w:tcPr>
          <w:p>
            <w:pPr>
              <w:jc w:val="right"/>
              <w:spacing w:after="0"/>
              <w:rPr>
                <w:sz w:val="20"/>
                <w:szCs w:val="20"/>
                <w:color w:val="auto"/>
              </w:rPr>
            </w:pPr>
            <w:r>
              <w:rPr>
                <w:rFonts w:ascii="Arial" w:cs="Arial" w:eastAsia="Arial" w:hAnsi="Arial"/>
                <w:sz w:val="20"/>
                <w:szCs w:val="20"/>
                <w:color w:val="auto"/>
              </w:rPr>
              <w:t>583,834</w:t>
            </w:r>
          </w:p>
        </w:tc>
      </w:tr>
      <w:tr>
        <w:trPr>
          <w:trHeight w:val="23"/>
        </w:trPr>
        <w:tc>
          <w:tcPr>
            <w:tcW w:w="4580" w:type="dxa"/>
            <w:vAlign w:val="bottom"/>
            <w:tcBorders>
              <w:bottom w:val="single" w:sz="8" w:color="0E3C23"/>
            </w:tcBorders>
            <w:gridSpan w:val="2"/>
          </w:tcPr>
          <w:p>
            <w:pPr>
              <w:spacing w:after="0" w:line="20" w:lineRule="exact"/>
              <w:rPr>
                <w:sz w:val="1"/>
                <w:szCs w:val="1"/>
                <w:color w:val="auto"/>
              </w:rPr>
            </w:pPr>
          </w:p>
        </w:tc>
        <w:tc>
          <w:tcPr>
            <w:tcW w:w="1200" w:type="dxa"/>
            <w:vAlign w:val="bottom"/>
            <w:tcBorders>
              <w:bottom w:val="single" w:sz="8" w:color="0E3C23"/>
            </w:tcBorders>
          </w:tcPr>
          <w:p>
            <w:pPr>
              <w:spacing w:after="0" w:line="20" w:lineRule="exact"/>
              <w:rPr>
                <w:sz w:val="1"/>
                <w:szCs w:val="1"/>
                <w:color w:val="auto"/>
              </w:rPr>
            </w:pPr>
          </w:p>
        </w:tc>
        <w:tc>
          <w:tcPr>
            <w:tcW w:w="1140" w:type="dxa"/>
            <w:vAlign w:val="bottom"/>
            <w:tcBorders>
              <w:bottom w:val="single" w:sz="8" w:color="0E3C23"/>
            </w:tcBorders>
          </w:tcPr>
          <w:p>
            <w:pPr>
              <w:spacing w:after="0" w:line="20" w:lineRule="exact"/>
              <w:rPr>
                <w:sz w:val="1"/>
                <w:szCs w:val="1"/>
                <w:color w:val="auto"/>
              </w:rPr>
            </w:pPr>
          </w:p>
        </w:tc>
        <w:tc>
          <w:tcPr>
            <w:tcW w:w="1080" w:type="dxa"/>
            <w:vAlign w:val="bottom"/>
            <w:tcBorders>
              <w:bottom w:val="single" w:sz="8" w:color="0E3C23"/>
            </w:tcBorders>
          </w:tcPr>
          <w:p>
            <w:pPr>
              <w:spacing w:after="0" w:line="20" w:lineRule="exact"/>
              <w:rPr>
                <w:sz w:val="1"/>
                <w:szCs w:val="1"/>
                <w:color w:val="auto"/>
              </w:rPr>
            </w:pPr>
          </w:p>
        </w:tc>
        <w:tc>
          <w:tcPr>
            <w:tcW w:w="1020" w:type="dxa"/>
            <w:vAlign w:val="bottom"/>
            <w:tcBorders>
              <w:bottom w:val="single" w:sz="8" w:color="0E3C23"/>
            </w:tcBorders>
          </w:tcPr>
          <w:p>
            <w:pPr>
              <w:spacing w:after="0" w:line="20" w:lineRule="exact"/>
              <w:rPr>
                <w:sz w:val="1"/>
                <w:szCs w:val="1"/>
                <w:color w:val="auto"/>
              </w:rPr>
            </w:pPr>
          </w:p>
        </w:tc>
        <w:tc>
          <w:tcPr>
            <w:tcW w:w="1040" w:type="dxa"/>
            <w:vAlign w:val="bottom"/>
            <w:tcBorders>
              <w:bottom w:val="single" w:sz="8" w:color="0E3C23"/>
            </w:tcBorders>
          </w:tcPr>
          <w:p>
            <w:pPr>
              <w:spacing w:after="0" w:line="20" w:lineRule="exact"/>
              <w:rPr>
                <w:sz w:val="1"/>
                <w:szCs w:val="1"/>
                <w:color w:val="auto"/>
              </w:rPr>
            </w:pPr>
          </w:p>
        </w:tc>
      </w:tr>
      <w:tr>
        <w:trPr>
          <w:trHeight w:val="241"/>
        </w:trPr>
        <w:tc>
          <w:tcPr>
            <w:tcW w:w="4580" w:type="dxa"/>
            <w:vAlign w:val="bottom"/>
            <w:gridSpan w:val="2"/>
          </w:tcPr>
          <w:p>
            <w:pPr>
              <w:ind w:left="60"/>
              <w:spacing w:after="0"/>
              <w:rPr>
                <w:sz w:val="20"/>
                <w:szCs w:val="20"/>
                <w:color w:val="auto"/>
              </w:rPr>
            </w:pPr>
            <w:r>
              <w:rPr>
                <w:rFonts w:ascii="Arial" w:cs="Arial" w:eastAsia="Arial" w:hAnsi="Arial"/>
                <w:sz w:val="20"/>
                <w:szCs w:val="20"/>
                <w:b w:val="1"/>
                <w:bCs w:val="1"/>
                <w:color w:val="auto"/>
              </w:rPr>
              <w:t>Total</w:t>
            </w:r>
          </w:p>
        </w:tc>
        <w:tc>
          <w:tcPr>
            <w:tcW w:w="1200" w:type="dxa"/>
            <w:vAlign w:val="bottom"/>
          </w:tcPr>
          <w:p>
            <w:pPr>
              <w:jc w:val="right"/>
              <w:ind w:right="20"/>
              <w:spacing w:after="0"/>
              <w:rPr>
                <w:sz w:val="20"/>
                <w:szCs w:val="20"/>
                <w:color w:val="auto"/>
              </w:rPr>
            </w:pPr>
            <w:r>
              <w:rPr>
                <w:rFonts w:ascii="Arial" w:cs="Arial" w:eastAsia="Arial" w:hAnsi="Arial"/>
                <w:sz w:val="20"/>
                <w:szCs w:val="20"/>
                <w:b w:val="1"/>
                <w:bCs w:val="1"/>
                <w:color w:val="auto"/>
              </w:rPr>
              <w:t>17,180,396</w:t>
            </w:r>
          </w:p>
        </w:tc>
        <w:tc>
          <w:tcPr>
            <w:tcW w:w="1140" w:type="dxa"/>
            <w:vAlign w:val="bottom"/>
          </w:tcPr>
          <w:p>
            <w:pPr>
              <w:jc w:val="right"/>
              <w:ind w:right="20"/>
              <w:spacing w:after="0"/>
              <w:rPr>
                <w:sz w:val="20"/>
                <w:szCs w:val="20"/>
                <w:color w:val="auto"/>
              </w:rPr>
            </w:pPr>
            <w:r>
              <w:rPr>
                <w:rFonts w:ascii="Arial" w:cs="Arial" w:eastAsia="Arial" w:hAnsi="Arial"/>
                <w:sz w:val="20"/>
                <w:szCs w:val="20"/>
                <w:b w:val="1"/>
                <w:bCs w:val="1"/>
                <w:color w:val="auto"/>
              </w:rPr>
              <w:t>6,789,898</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8,133,371</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5,565,050</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5,156,086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14605</wp:posOffset>
                </wp:positionV>
                <wp:extent cx="6386195"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E3C23"/>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pt,1.15pt" to="511.75pt,1.15pt" o:allowincell="f" strokecolor="#0E3C23" strokeweight="0.499pt"/>
            </w:pict>
          </mc:Fallback>
        </mc:AlternateContent>
      </w:r>
    </w:p>
    <w:p>
      <w:pPr>
        <w:spacing w:after="0" w:line="29" w:lineRule="exact"/>
        <w:rPr>
          <w:sz w:val="20"/>
          <w:szCs w:val="20"/>
          <w:color w:val="auto"/>
        </w:rPr>
      </w:pPr>
    </w:p>
    <w:p>
      <w:pPr>
        <w:ind w:left="240" w:right="400"/>
        <w:spacing w:after="0" w:line="250" w:lineRule="auto"/>
        <w:rPr>
          <w:sz w:val="20"/>
          <w:szCs w:val="20"/>
          <w:color w:val="auto"/>
        </w:rPr>
      </w:pPr>
      <w:r>
        <w:rPr>
          <w:rFonts w:ascii="Arial" w:cs="Arial" w:eastAsia="Arial" w:hAnsi="Arial"/>
          <w:sz w:val="20"/>
          <w:szCs w:val="20"/>
          <w:b w:val="1"/>
          <w:bCs w:val="1"/>
          <w:i w:val="1"/>
          <w:iCs w:val="1"/>
          <w:color w:val="auto"/>
        </w:rPr>
        <w:t>In Event of Termination Without Cause by the Company or For Good Reason by the Employee Six Months Following a Change in Control (Double Trigger)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8890</wp:posOffset>
                </wp:positionV>
                <wp:extent cx="6386195"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E3C23"/>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pt,0.7pt" to="511.75pt,0.7pt" o:allowincell="f" strokecolor="#0E3C23" strokeweight="0.499pt"/>
            </w:pict>
          </mc:Fallback>
        </mc:AlternateContent>
      </w:r>
    </w:p>
    <w:p>
      <w:pPr>
        <w:spacing w:after="0" w:line="22" w:lineRule="exact"/>
        <w:rPr>
          <w:sz w:val="20"/>
          <w:szCs w:val="20"/>
          <w:color w:val="auto"/>
        </w:rPr>
      </w:pPr>
    </w:p>
    <w:p>
      <w:pPr>
        <w:ind w:left="440" w:right="5780" w:hanging="202"/>
        <w:spacing w:after="0" w:line="263" w:lineRule="auto"/>
        <w:tabs>
          <w:tab w:leader="none" w:pos="440" w:val="left"/>
        </w:tabs>
        <w:numPr>
          <w:ilvl w:val="0"/>
          <w:numId w:val="35"/>
        </w:numPr>
        <w:rPr>
          <w:rFonts w:ascii="Arial" w:cs="Arial" w:eastAsia="Arial" w:hAnsi="Arial"/>
          <w:sz w:val="19"/>
          <w:szCs w:val="19"/>
          <w:color w:val="0E3C23"/>
        </w:rPr>
      </w:pPr>
      <w:r>
        <w:rPr>
          <w:rFonts w:ascii="Arial" w:cs="Arial" w:eastAsia="Arial" w:hAnsi="Arial"/>
          <w:sz w:val="19"/>
          <w:szCs w:val="19"/>
          <w:color w:val="auto"/>
        </w:rPr>
        <w:t>Two times base salary plus target annual cash bonus (one-half payable in lump sum; one-half payable in bi-weekly installments over a two-year</w:t>
      </w:r>
    </w:p>
    <w:tbl>
      <w:tblPr>
        <w:tblLayout w:type="fixed"/>
        <w:tblInd w:w="180" w:type="dxa"/>
        <w:tblCellMar>
          <w:top w:w="0" w:type="dxa"/>
          <w:left w:w="0" w:type="dxa"/>
          <w:bottom w:w="0" w:type="dxa"/>
          <w:right w:w="0" w:type="dxa"/>
        </w:tblCellMar>
      </w:tblPr>
      <w:tr>
        <w:trPr>
          <w:trHeight w:val="225"/>
        </w:trPr>
        <w:tc>
          <w:tcPr>
            <w:tcW w:w="4540" w:type="dxa"/>
            <w:vAlign w:val="bottom"/>
          </w:tcPr>
          <w:p>
            <w:pPr>
              <w:ind w:left="260"/>
              <w:spacing w:after="0" w:line="225" w:lineRule="exact"/>
              <w:rPr>
                <w:sz w:val="20"/>
                <w:szCs w:val="20"/>
                <w:color w:val="auto"/>
              </w:rPr>
            </w:pPr>
            <w:r>
              <w:rPr>
                <w:rFonts w:ascii="Arial" w:cs="Arial" w:eastAsia="Arial" w:hAnsi="Arial"/>
                <w:sz w:val="20"/>
                <w:szCs w:val="20"/>
                <w:color w:val="auto"/>
              </w:rPr>
              <w:t>period)</w:t>
            </w:r>
          </w:p>
        </w:tc>
        <w:tc>
          <w:tcPr>
            <w:tcW w:w="1200" w:type="dxa"/>
            <w:vAlign w:val="bottom"/>
          </w:tcPr>
          <w:p>
            <w:pPr>
              <w:jc w:val="right"/>
              <w:spacing w:after="0" w:line="225" w:lineRule="exact"/>
              <w:rPr>
                <w:sz w:val="20"/>
                <w:szCs w:val="20"/>
                <w:color w:val="auto"/>
              </w:rPr>
            </w:pPr>
            <w:r>
              <w:rPr>
                <w:rFonts w:ascii="Arial" w:cs="Arial" w:eastAsia="Arial" w:hAnsi="Arial"/>
                <w:sz w:val="20"/>
                <w:szCs w:val="20"/>
                <w:color w:val="auto"/>
              </w:rPr>
              <w:t>7,540,000</w:t>
            </w: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3,193,200</w:t>
            </w:r>
          </w:p>
        </w:tc>
        <w:tc>
          <w:tcPr>
            <w:tcW w:w="1140" w:type="dxa"/>
            <w:vAlign w:val="bottom"/>
          </w:tcPr>
          <w:p>
            <w:pPr>
              <w:jc w:val="right"/>
              <w:spacing w:after="0" w:line="225" w:lineRule="exact"/>
              <w:rPr>
                <w:sz w:val="20"/>
                <w:szCs w:val="20"/>
                <w:color w:val="auto"/>
              </w:rPr>
            </w:pPr>
            <w:r>
              <w:rPr>
                <w:rFonts w:ascii="Arial" w:cs="Arial" w:eastAsia="Arial" w:hAnsi="Arial"/>
                <w:sz w:val="20"/>
                <w:szCs w:val="20"/>
                <w:color w:val="auto"/>
              </w:rPr>
              <w:t>3,424,680</w:t>
            </w:r>
          </w:p>
        </w:tc>
        <w:tc>
          <w:tcPr>
            <w:tcW w:w="1020" w:type="dxa"/>
            <w:vAlign w:val="bottom"/>
          </w:tcPr>
          <w:p>
            <w:pPr>
              <w:jc w:val="right"/>
              <w:spacing w:after="0" w:line="225" w:lineRule="exact"/>
              <w:rPr>
                <w:sz w:val="20"/>
                <w:szCs w:val="20"/>
                <w:color w:val="auto"/>
              </w:rPr>
            </w:pPr>
            <w:r>
              <w:rPr>
                <w:rFonts w:ascii="Arial" w:cs="Arial" w:eastAsia="Arial" w:hAnsi="Arial"/>
                <w:sz w:val="20"/>
                <w:szCs w:val="20"/>
                <w:color w:val="auto"/>
              </w:rPr>
              <w:t>2,730,000</w:t>
            </w:r>
          </w:p>
        </w:tc>
        <w:tc>
          <w:tcPr>
            <w:tcW w:w="1040" w:type="dxa"/>
            <w:vAlign w:val="bottom"/>
          </w:tcPr>
          <w:p>
            <w:pPr>
              <w:jc w:val="right"/>
              <w:spacing w:after="0" w:line="225" w:lineRule="exact"/>
              <w:rPr>
                <w:sz w:val="20"/>
                <w:szCs w:val="20"/>
                <w:color w:val="auto"/>
              </w:rPr>
            </w:pPr>
            <w:r>
              <w:rPr>
                <w:rFonts w:ascii="Arial" w:cs="Arial" w:eastAsia="Arial" w:hAnsi="Arial"/>
                <w:sz w:val="20"/>
                <w:szCs w:val="20"/>
                <w:color w:val="auto"/>
              </w:rPr>
              <w:t>2,568,800</w:t>
            </w:r>
          </w:p>
        </w:tc>
      </w:tr>
      <w:tr>
        <w:trPr>
          <w:trHeight w:val="23"/>
        </w:trPr>
        <w:tc>
          <w:tcPr>
            <w:tcW w:w="4540" w:type="dxa"/>
            <w:vAlign w:val="bottom"/>
            <w:tcBorders>
              <w:bottom w:val="single" w:sz="8" w:color="0E3C23"/>
            </w:tcBorders>
          </w:tcPr>
          <w:p>
            <w:pPr>
              <w:spacing w:after="0" w:line="20" w:lineRule="exact"/>
              <w:rPr>
                <w:sz w:val="1"/>
                <w:szCs w:val="1"/>
                <w:color w:val="auto"/>
              </w:rPr>
            </w:pPr>
          </w:p>
        </w:tc>
        <w:tc>
          <w:tcPr>
            <w:tcW w:w="1200" w:type="dxa"/>
            <w:vAlign w:val="bottom"/>
            <w:tcBorders>
              <w:bottom w:val="single" w:sz="8" w:color="0E3C23"/>
            </w:tcBorders>
          </w:tcPr>
          <w:p>
            <w:pPr>
              <w:spacing w:after="0" w:line="20" w:lineRule="exact"/>
              <w:rPr>
                <w:sz w:val="1"/>
                <w:szCs w:val="1"/>
                <w:color w:val="auto"/>
              </w:rPr>
            </w:pPr>
          </w:p>
        </w:tc>
        <w:tc>
          <w:tcPr>
            <w:tcW w:w="1120" w:type="dxa"/>
            <w:vAlign w:val="bottom"/>
            <w:tcBorders>
              <w:bottom w:val="single" w:sz="8" w:color="0E3C23"/>
            </w:tcBorders>
          </w:tcPr>
          <w:p>
            <w:pPr>
              <w:spacing w:after="0" w:line="20" w:lineRule="exact"/>
              <w:rPr>
                <w:sz w:val="1"/>
                <w:szCs w:val="1"/>
                <w:color w:val="auto"/>
              </w:rPr>
            </w:pPr>
          </w:p>
        </w:tc>
        <w:tc>
          <w:tcPr>
            <w:tcW w:w="1140" w:type="dxa"/>
            <w:vAlign w:val="bottom"/>
            <w:tcBorders>
              <w:bottom w:val="single" w:sz="8" w:color="0E3C23"/>
            </w:tcBorders>
          </w:tcPr>
          <w:p>
            <w:pPr>
              <w:spacing w:after="0" w:line="20" w:lineRule="exact"/>
              <w:rPr>
                <w:sz w:val="1"/>
                <w:szCs w:val="1"/>
                <w:color w:val="auto"/>
              </w:rPr>
            </w:pPr>
          </w:p>
        </w:tc>
        <w:tc>
          <w:tcPr>
            <w:tcW w:w="1020" w:type="dxa"/>
            <w:vAlign w:val="bottom"/>
            <w:tcBorders>
              <w:bottom w:val="single" w:sz="8" w:color="0E3C23"/>
            </w:tcBorders>
          </w:tcPr>
          <w:p>
            <w:pPr>
              <w:spacing w:after="0" w:line="20" w:lineRule="exact"/>
              <w:rPr>
                <w:sz w:val="1"/>
                <w:szCs w:val="1"/>
                <w:color w:val="auto"/>
              </w:rPr>
            </w:pPr>
          </w:p>
        </w:tc>
        <w:tc>
          <w:tcPr>
            <w:tcW w:w="1040" w:type="dxa"/>
            <w:vAlign w:val="bottom"/>
            <w:tcBorders>
              <w:bottom w:val="single" w:sz="8" w:color="0E3C23"/>
            </w:tcBorders>
          </w:tcPr>
          <w:p>
            <w:pPr>
              <w:spacing w:after="0" w:line="20" w:lineRule="exact"/>
              <w:rPr>
                <w:sz w:val="1"/>
                <w:szCs w:val="1"/>
                <w:color w:val="auto"/>
              </w:rPr>
            </w:pPr>
          </w:p>
        </w:tc>
      </w:tr>
      <w:tr>
        <w:trPr>
          <w:trHeight w:val="237"/>
        </w:trPr>
        <w:tc>
          <w:tcPr>
            <w:tcW w:w="4540" w:type="dxa"/>
            <w:vAlign w:val="bottom"/>
          </w:tcPr>
          <w:p>
            <w:pPr>
              <w:ind w:left="60"/>
              <w:spacing w:after="0"/>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Continued coverage under health and welfare</w:t>
            </w: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9"/>
        </w:trPr>
        <w:tc>
          <w:tcPr>
            <w:tcW w:w="4540" w:type="dxa"/>
            <w:vAlign w:val="bottom"/>
          </w:tcPr>
          <w:p>
            <w:pPr>
              <w:ind w:left="260"/>
              <w:spacing w:after="0"/>
              <w:rPr>
                <w:sz w:val="20"/>
                <w:szCs w:val="20"/>
                <w:color w:val="auto"/>
              </w:rPr>
            </w:pPr>
            <w:r>
              <w:rPr>
                <w:rFonts w:ascii="Arial" w:cs="Arial" w:eastAsia="Arial" w:hAnsi="Arial"/>
                <w:sz w:val="20"/>
                <w:szCs w:val="20"/>
                <w:color w:val="auto"/>
              </w:rPr>
              <w:t>benefit plans for two years</w:t>
            </w:r>
          </w:p>
        </w:tc>
        <w:tc>
          <w:tcPr>
            <w:tcW w:w="1200" w:type="dxa"/>
            <w:vAlign w:val="bottom"/>
          </w:tcPr>
          <w:p>
            <w:pPr>
              <w:jc w:val="right"/>
              <w:spacing w:after="0"/>
              <w:rPr>
                <w:sz w:val="20"/>
                <w:szCs w:val="20"/>
                <w:color w:val="auto"/>
              </w:rPr>
            </w:pPr>
            <w:r>
              <w:rPr>
                <w:rFonts w:ascii="Arial" w:cs="Arial" w:eastAsia="Arial" w:hAnsi="Arial"/>
                <w:sz w:val="20"/>
                <w:szCs w:val="20"/>
                <w:color w:val="auto"/>
              </w:rPr>
              <w:t>32,636</w:t>
            </w:r>
          </w:p>
        </w:tc>
        <w:tc>
          <w:tcPr>
            <w:tcW w:w="1120" w:type="dxa"/>
            <w:vAlign w:val="bottom"/>
          </w:tcPr>
          <w:p>
            <w:pPr>
              <w:jc w:val="right"/>
              <w:spacing w:after="0"/>
              <w:rPr>
                <w:sz w:val="20"/>
                <w:szCs w:val="20"/>
                <w:color w:val="auto"/>
              </w:rPr>
            </w:pPr>
            <w:r>
              <w:rPr>
                <w:rFonts w:ascii="Arial" w:cs="Arial" w:eastAsia="Arial" w:hAnsi="Arial"/>
                <w:sz w:val="20"/>
                <w:szCs w:val="20"/>
                <w:color w:val="auto"/>
              </w:rPr>
              <w:t>32,636</w:t>
            </w:r>
          </w:p>
        </w:tc>
        <w:tc>
          <w:tcPr>
            <w:tcW w:w="1140" w:type="dxa"/>
            <w:vAlign w:val="bottom"/>
          </w:tcPr>
          <w:p>
            <w:pPr>
              <w:jc w:val="right"/>
              <w:spacing w:after="0"/>
              <w:rPr>
                <w:sz w:val="20"/>
                <w:szCs w:val="20"/>
                <w:color w:val="auto"/>
              </w:rPr>
            </w:pPr>
            <w:r>
              <w:rPr>
                <w:rFonts w:ascii="Arial" w:cs="Arial" w:eastAsia="Arial" w:hAnsi="Arial"/>
                <w:sz w:val="20"/>
                <w:szCs w:val="20"/>
                <w:color w:val="auto"/>
              </w:rPr>
              <w:t>32,636</w:t>
            </w:r>
          </w:p>
        </w:tc>
        <w:tc>
          <w:tcPr>
            <w:tcW w:w="1020" w:type="dxa"/>
            <w:vAlign w:val="bottom"/>
          </w:tcPr>
          <w:p>
            <w:pPr>
              <w:jc w:val="right"/>
              <w:spacing w:after="0"/>
              <w:rPr>
                <w:sz w:val="20"/>
                <w:szCs w:val="20"/>
                <w:color w:val="auto"/>
              </w:rPr>
            </w:pPr>
            <w:r>
              <w:rPr>
                <w:rFonts w:ascii="Arial" w:cs="Arial" w:eastAsia="Arial" w:hAnsi="Arial"/>
                <w:sz w:val="20"/>
                <w:szCs w:val="20"/>
                <w:color w:val="auto"/>
              </w:rPr>
              <w:t>32,636</w:t>
            </w:r>
          </w:p>
        </w:tc>
        <w:tc>
          <w:tcPr>
            <w:tcW w:w="1040" w:type="dxa"/>
            <w:vAlign w:val="bottom"/>
          </w:tcPr>
          <w:p>
            <w:pPr>
              <w:jc w:val="right"/>
              <w:spacing w:after="0"/>
              <w:rPr>
                <w:sz w:val="20"/>
                <w:szCs w:val="20"/>
                <w:color w:val="auto"/>
              </w:rPr>
            </w:pPr>
            <w:r>
              <w:rPr>
                <w:rFonts w:ascii="Arial" w:cs="Arial" w:eastAsia="Arial" w:hAnsi="Arial"/>
                <w:sz w:val="20"/>
                <w:szCs w:val="20"/>
                <w:color w:val="auto"/>
              </w:rPr>
              <w:t>32,636</w:t>
            </w:r>
          </w:p>
        </w:tc>
      </w:tr>
      <w:tr>
        <w:trPr>
          <w:trHeight w:val="23"/>
        </w:trPr>
        <w:tc>
          <w:tcPr>
            <w:tcW w:w="4540" w:type="dxa"/>
            <w:vAlign w:val="bottom"/>
            <w:tcBorders>
              <w:bottom w:val="single" w:sz="8" w:color="0E3C23"/>
            </w:tcBorders>
          </w:tcPr>
          <w:p>
            <w:pPr>
              <w:spacing w:after="0" w:line="20" w:lineRule="exact"/>
              <w:rPr>
                <w:sz w:val="1"/>
                <w:szCs w:val="1"/>
                <w:color w:val="auto"/>
              </w:rPr>
            </w:pPr>
          </w:p>
        </w:tc>
        <w:tc>
          <w:tcPr>
            <w:tcW w:w="1200" w:type="dxa"/>
            <w:vAlign w:val="bottom"/>
            <w:tcBorders>
              <w:bottom w:val="single" w:sz="8" w:color="0E3C23"/>
            </w:tcBorders>
          </w:tcPr>
          <w:p>
            <w:pPr>
              <w:spacing w:after="0" w:line="20" w:lineRule="exact"/>
              <w:rPr>
                <w:sz w:val="1"/>
                <w:szCs w:val="1"/>
                <w:color w:val="auto"/>
              </w:rPr>
            </w:pPr>
          </w:p>
        </w:tc>
        <w:tc>
          <w:tcPr>
            <w:tcW w:w="1120" w:type="dxa"/>
            <w:vAlign w:val="bottom"/>
            <w:tcBorders>
              <w:bottom w:val="single" w:sz="8" w:color="0E3C23"/>
            </w:tcBorders>
          </w:tcPr>
          <w:p>
            <w:pPr>
              <w:spacing w:after="0" w:line="20" w:lineRule="exact"/>
              <w:rPr>
                <w:sz w:val="1"/>
                <w:szCs w:val="1"/>
                <w:color w:val="auto"/>
              </w:rPr>
            </w:pPr>
          </w:p>
        </w:tc>
        <w:tc>
          <w:tcPr>
            <w:tcW w:w="1140" w:type="dxa"/>
            <w:vAlign w:val="bottom"/>
            <w:tcBorders>
              <w:bottom w:val="single" w:sz="8" w:color="0E3C23"/>
            </w:tcBorders>
          </w:tcPr>
          <w:p>
            <w:pPr>
              <w:spacing w:after="0" w:line="20" w:lineRule="exact"/>
              <w:rPr>
                <w:sz w:val="1"/>
                <w:szCs w:val="1"/>
                <w:color w:val="auto"/>
              </w:rPr>
            </w:pPr>
          </w:p>
        </w:tc>
        <w:tc>
          <w:tcPr>
            <w:tcW w:w="1020" w:type="dxa"/>
            <w:vAlign w:val="bottom"/>
            <w:tcBorders>
              <w:bottom w:val="single" w:sz="8" w:color="0E3C23"/>
            </w:tcBorders>
          </w:tcPr>
          <w:p>
            <w:pPr>
              <w:spacing w:after="0" w:line="20" w:lineRule="exact"/>
              <w:rPr>
                <w:sz w:val="1"/>
                <w:szCs w:val="1"/>
                <w:color w:val="auto"/>
              </w:rPr>
            </w:pPr>
          </w:p>
        </w:tc>
        <w:tc>
          <w:tcPr>
            <w:tcW w:w="1040" w:type="dxa"/>
            <w:vAlign w:val="bottom"/>
            <w:tcBorders>
              <w:bottom w:val="single" w:sz="8" w:color="0E3C23"/>
            </w:tcBorders>
          </w:tcPr>
          <w:p>
            <w:pPr>
              <w:spacing w:after="0" w:line="20" w:lineRule="exact"/>
              <w:rPr>
                <w:sz w:val="1"/>
                <w:szCs w:val="1"/>
                <w:color w:val="auto"/>
              </w:rPr>
            </w:pPr>
          </w:p>
        </w:tc>
      </w:tr>
      <w:tr>
        <w:trPr>
          <w:trHeight w:val="237"/>
        </w:trPr>
        <w:tc>
          <w:tcPr>
            <w:tcW w:w="4540" w:type="dxa"/>
            <w:vAlign w:val="bottom"/>
          </w:tcPr>
          <w:p>
            <w:pPr>
              <w:ind w:left="60"/>
              <w:spacing w:after="0"/>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Accelerated vesting of stock options</w:t>
            </w:r>
          </w:p>
        </w:tc>
        <w:tc>
          <w:tcPr>
            <w:tcW w:w="1200" w:type="dxa"/>
            <w:vAlign w:val="bottom"/>
          </w:tcPr>
          <w:p>
            <w:pPr>
              <w:jc w:val="right"/>
              <w:spacing w:after="0"/>
              <w:rPr>
                <w:sz w:val="20"/>
                <w:szCs w:val="20"/>
                <w:color w:val="auto"/>
              </w:rPr>
            </w:pPr>
            <w:r>
              <w:rPr>
                <w:rFonts w:ascii="Arial" w:cs="Arial" w:eastAsia="Arial" w:hAnsi="Arial"/>
                <w:sz w:val="20"/>
                <w:szCs w:val="20"/>
                <w:color w:val="auto"/>
              </w:rPr>
              <w:t>3,285,022</w:t>
            </w:r>
          </w:p>
        </w:tc>
        <w:tc>
          <w:tcPr>
            <w:tcW w:w="1120" w:type="dxa"/>
            <w:vAlign w:val="bottom"/>
          </w:tcPr>
          <w:p>
            <w:pPr>
              <w:jc w:val="right"/>
              <w:spacing w:after="0"/>
              <w:rPr>
                <w:sz w:val="20"/>
                <w:szCs w:val="20"/>
                <w:color w:val="auto"/>
              </w:rPr>
            </w:pPr>
            <w:r>
              <w:rPr>
                <w:rFonts w:ascii="Arial" w:cs="Arial" w:eastAsia="Arial" w:hAnsi="Arial"/>
                <w:sz w:val="20"/>
                <w:szCs w:val="20"/>
                <w:color w:val="auto"/>
              </w:rPr>
              <w:t>794,149</w:t>
            </w:r>
          </w:p>
        </w:tc>
        <w:tc>
          <w:tcPr>
            <w:tcW w:w="1140" w:type="dxa"/>
            <w:vAlign w:val="bottom"/>
          </w:tcPr>
          <w:p>
            <w:pPr>
              <w:jc w:val="right"/>
              <w:spacing w:after="0"/>
              <w:rPr>
                <w:sz w:val="20"/>
                <w:szCs w:val="20"/>
                <w:color w:val="auto"/>
              </w:rPr>
            </w:pPr>
            <w:r>
              <w:rPr>
                <w:rFonts w:ascii="Arial" w:cs="Arial" w:eastAsia="Arial" w:hAnsi="Arial"/>
                <w:sz w:val="20"/>
                <w:szCs w:val="20"/>
                <w:color w:val="auto"/>
              </w:rPr>
              <w:t>934,694</w:t>
            </w:r>
          </w:p>
        </w:tc>
        <w:tc>
          <w:tcPr>
            <w:tcW w:w="1020" w:type="dxa"/>
            <w:vAlign w:val="bottom"/>
          </w:tcPr>
          <w:p>
            <w:pPr>
              <w:jc w:val="right"/>
              <w:spacing w:after="0"/>
              <w:rPr>
                <w:sz w:val="20"/>
                <w:szCs w:val="20"/>
                <w:color w:val="auto"/>
              </w:rPr>
            </w:pPr>
            <w:r>
              <w:rPr>
                <w:rFonts w:ascii="Arial" w:cs="Arial" w:eastAsia="Arial" w:hAnsi="Arial"/>
                <w:sz w:val="20"/>
                <w:szCs w:val="20"/>
                <w:color w:val="auto"/>
              </w:rPr>
              <w:t>618,378</w:t>
            </w:r>
          </w:p>
        </w:tc>
        <w:tc>
          <w:tcPr>
            <w:tcW w:w="1040" w:type="dxa"/>
            <w:vAlign w:val="bottom"/>
          </w:tcPr>
          <w:p>
            <w:pPr>
              <w:jc w:val="right"/>
              <w:spacing w:after="0"/>
              <w:rPr>
                <w:sz w:val="20"/>
                <w:szCs w:val="20"/>
                <w:color w:val="auto"/>
              </w:rPr>
            </w:pPr>
            <w:r>
              <w:rPr>
                <w:rFonts w:ascii="Arial" w:cs="Arial" w:eastAsia="Arial" w:hAnsi="Arial"/>
                <w:sz w:val="20"/>
                <w:szCs w:val="20"/>
                <w:color w:val="auto"/>
              </w:rPr>
              <w:t>660,390</w:t>
            </w:r>
          </w:p>
        </w:tc>
      </w:tr>
      <w:tr>
        <w:trPr>
          <w:trHeight w:val="23"/>
        </w:trPr>
        <w:tc>
          <w:tcPr>
            <w:tcW w:w="4540" w:type="dxa"/>
            <w:vAlign w:val="bottom"/>
            <w:tcBorders>
              <w:bottom w:val="single" w:sz="8" w:color="0E3C23"/>
            </w:tcBorders>
          </w:tcPr>
          <w:p>
            <w:pPr>
              <w:spacing w:after="0" w:line="20" w:lineRule="exact"/>
              <w:rPr>
                <w:sz w:val="1"/>
                <w:szCs w:val="1"/>
                <w:color w:val="auto"/>
              </w:rPr>
            </w:pPr>
          </w:p>
        </w:tc>
        <w:tc>
          <w:tcPr>
            <w:tcW w:w="1200" w:type="dxa"/>
            <w:vAlign w:val="bottom"/>
            <w:tcBorders>
              <w:bottom w:val="single" w:sz="8" w:color="0E3C23"/>
            </w:tcBorders>
          </w:tcPr>
          <w:p>
            <w:pPr>
              <w:spacing w:after="0" w:line="20" w:lineRule="exact"/>
              <w:rPr>
                <w:sz w:val="1"/>
                <w:szCs w:val="1"/>
                <w:color w:val="auto"/>
              </w:rPr>
            </w:pPr>
          </w:p>
        </w:tc>
        <w:tc>
          <w:tcPr>
            <w:tcW w:w="1120" w:type="dxa"/>
            <w:vAlign w:val="bottom"/>
            <w:tcBorders>
              <w:bottom w:val="single" w:sz="8" w:color="0E3C23"/>
            </w:tcBorders>
          </w:tcPr>
          <w:p>
            <w:pPr>
              <w:spacing w:after="0" w:line="20" w:lineRule="exact"/>
              <w:rPr>
                <w:sz w:val="1"/>
                <w:szCs w:val="1"/>
                <w:color w:val="auto"/>
              </w:rPr>
            </w:pPr>
          </w:p>
        </w:tc>
        <w:tc>
          <w:tcPr>
            <w:tcW w:w="1140" w:type="dxa"/>
            <w:vAlign w:val="bottom"/>
            <w:tcBorders>
              <w:bottom w:val="single" w:sz="8" w:color="0E3C23"/>
            </w:tcBorders>
          </w:tcPr>
          <w:p>
            <w:pPr>
              <w:spacing w:after="0" w:line="20" w:lineRule="exact"/>
              <w:rPr>
                <w:sz w:val="1"/>
                <w:szCs w:val="1"/>
                <w:color w:val="auto"/>
              </w:rPr>
            </w:pPr>
          </w:p>
        </w:tc>
        <w:tc>
          <w:tcPr>
            <w:tcW w:w="1020" w:type="dxa"/>
            <w:vAlign w:val="bottom"/>
            <w:tcBorders>
              <w:bottom w:val="single" w:sz="8" w:color="0E3C23"/>
            </w:tcBorders>
          </w:tcPr>
          <w:p>
            <w:pPr>
              <w:spacing w:after="0" w:line="20" w:lineRule="exact"/>
              <w:rPr>
                <w:sz w:val="1"/>
                <w:szCs w:val="1"/>
                <w:color w:val="auto"/>
              </w:rPr>
            </w:pPr>
          </w:p>
        </w:tc>
        <w:tc>
          <w:tcPr>
            <w:tcW w:w="1040" w:type="dxa"/>
            <w:vAlign w:val="bottom"/>
            <w:tcBorders>
              <w:bottom w:val="single" w:sz="8" w:color="0E3C23"/>
            </w:tcBorders>
          </w:tcPr>
          <w:p>
            <w:pPr>
              <w:spacing w:after="0" w:line="20" w:lineRule="exact"/>
              <w:rPr>
                <w:sz w:val="1"/>
                <w:szCs w:val="1"/>
                <w:color w:val="auto"/>
              </w:rPr>
            </w:pPr>
          </w:p>
        </w:tc>
      </w:tr>
      <w:tr>
        <w:trPr>
          <w:trHeight w:val="237"/>
        </w:trPr>
        <w:tc>
          <w:tcPr>
            <w:tcW w:w="4540" w:type="dxa"/>
            <w:vAlign w:val="bottom"/>
          </w:tcPr>
          <w:p>
            <w:pPr>
              <w:ind w:left="60"/>
              <w:spacing w:after="0"/>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Prorated accelerated payment of PSUs</w:t>
            </w:r>
          </w:p>
        </w:tc>
        <w:tc>
          <w:tcPr>
            <w:tcW w:w="1200" w:type="dxa"/>
            <w:vAlign w:val="bottom"/>
          </w:tcPr>
          <w:p>
            <w:pPr>
              <w:jc w:val="right"/>
              <w:spacing w:after="0"/>
              <w:rPr>
                <w:sz w:val="20"/>
                <w:szCs w:val="20"/>
                <w:color w:val="auto"/>
              </w:rPr>
            </w:pPr>
            <w:r>
              <w:rPr>
                <w:rFonts w:ascii="Arial" w:cs="Arial" w:eastAsia="Arial" w:hAnsi="Arial"/>
                <w:sz w:val="20"/>
                <w:szCs w:val="20"/>
                <w:color w:val="auto"/>
              </w:rPr>
              <w:t>9,607,760</w:t>
            </w:r>
          </w:p>
        </w:tc>
        <w:tc>
          <w:tcPr>
            <w:tcW w:w="1120" w:type="dxa"/>
            <w:vAlign w:val="bottom"/>
          </w:tcPr>
          <w:p>
            <w:pPr>
              <w:jc w:val="right"/>
              <w:spacing w:after="0"/>
              <w:rPr>
                <w:sz w:val="20"/>
                <w:szCs w:val="20"/>
                <w:color w:val="auto"/>
              </w:rPr>
            </w:pPr>
            <w:r>
              <w:rPr>
                <w:rFonts w:ascii="Arial" w:cs="Arial" w:eastAsia="Arial" w:hAnsi="Arial"/>
                <w:sz w:val="20"/>
                <w:szCs w:val="20"/>
                <w:color w:val="auto"/>
              </w:rPr>
              <w:t>2,266,505</w:t>
            </w:r>
          </w:p>
        </w:tc>
        <w:tc>
          <w:tcPr>
            <w:tcW w:w="1140" w:type="dxa"/>
            <w:vAlign w:val="bottom"/>
          </w:tcPr>
          <w:p>
            <w:pPr>
              <w:jc w:val="right"/>
              <w:spacing w:after="0"/>
              <w:rPr>
                <w:sz w:val="20"/>
                <w:szCs w:val="20"/>
                <w:color w:val="auto"/>
              </w:rPr>
            </w:pPr>
            <w:r>
              <w:rPr>
                <w:rFonts w:ascii="Arial" w:cs="Arial" w:eastAsia="Arial" w:hAnsi="Arial"/>
                <w:sz w:val="20"/>
                <w:szCs w:val="20"/>
                <w:color w:val="auto"/>
              </w:rPr>
              <w:t>2,729,815</w:t>
            </w:r>
          </w:p>
        </w:tc>
        <w:tc>
          <w:tcPr>
            <w:tcW w:w="1020" w:type="dxa"/>
            <w:vAlign w:val="bottom"/>
          </w:tcPr>
          <w:p>
            <w:pPr>
              <w:jc w:val="right"/>
              <w:spacing w:after="0"/>
              <w:rPr>
                <w:sz w:val="20"/>
                <w:szCs w:val="20"/>
                <w:color w:val="auto"/>
              </w:rPr>
            </w:pPr>
            <w:r>
              <w:rPr>
                <w:rFonts w:ascii="Arial" w:cs="Arial" w:eastAsia="Arial" w:hAnsi="Arial"/>
                <w:sz w:val="20"/>
                <w:szCs w:val="20"/>
                <w:color w:val="auto"/>
              </w:rPr>
              <w:t>1,829,294</w:t>
            </w:r>
          </w:p>
        </w:tc>
        <w:tc>
          <w:tcPr>
            <w:tcW w:w="1040" w:type="dxa"/>
            <w:vAlign w:val="bottom"/>
          </w:tcPr>
          <w:p>
            <w:pPr>
              <w:jc w:val="right"/>
              <w:spacing w:after="0"/>
              <w:rPr>
                <w:sz w:val="20"/>
                <w:szCs w:val="20"/>
                <w:color w:val="auto"/>
              </w:rPr>
            </w:pPr>
            <w:r>
              <w:rPr>
                <w:rFonts w:ascii="Arial" w:cs="Arial" w:eastAsia="Arial" w:hAnsi="Arial"/>
                <w:sz w:val="20"/>
                <w:szCs w:val="20"/>
                <w:color w:val="auto"/>
              </w:rPr>
              <w:t>1,970,816</w:t>
            </w:r>
          </w:p>
        </w:tc>
      </w:tr>
      <w:tr>
        <w:trPr>
          <w:trHeight w:val="23"/>
        </w:trPr>
        <w:tc>
          <w:tcPr>
            <w:tcW w:w="4540" w:type="dxa"/>
            <w:vAlign w:val="bottom"/>
            <w:tcBorders>
              <w:bottom w:val="single" w:sz="8" w:color="0E3C23"/>
            </w:tcBorders>
          </w:tcPr>
          <w:p>
            <w:pPr>
              <w:spacing w:after="0" w:line="20" w:lineRule="exact"/>
              <w:rPr>
                <w:sz w:val="1"/>
                <w:szCs w:val="1"/>
                <w:color w:val="auto"/>
              </w:rPr>
            </w:pPr>
          </w:p>
        </w:tc>
        <w:tc>
          <w:tcPr>
            <w:tcW w:w="1200" w:type="dxa"/>
            <w:vAlign w:val="bottom"/>
            <w:tcBorders>
              <w:bottom w:val="single" w:sz="8" w:color="0E3C23"/>
            </w:tcBorders>
          </w:tcPr>
          <w:p>
            <w:pPr>
              <w:spacing w:after="0" w:line="20" w:lineRule="exact"/>
              <w:rPr>
                <w:sz w:val="1"/>
                <w:szCs w:val="1"/>
                <w:color w:val="auto"/>
              </w:rPr>
            </w:pPr>
          </w:p>
        </w:tc>
        <w:tc>
          <w:tcPr>
            <w:tcW w:w="1120" w:type="dxa"/>
            <w:vAlign w:val="bottom"/>
            <w:tcBorders>
              <w:bottom w:val="single" w:sz="8" w:color="0E3C23"/>
            </w:tcBorders>
          </w:tcPr>
          <w:p>
            <w:pPr>
              <w:spacing w:after="0" w:line="20" w:lineRule="exact"/>
              <w:rPr>
                <w:sz w:val="1"/>
                <w:szCs w:val="1"/>
                <w:color w:val="auto"/>
              </w:rPr>
            </w:pPr>
          </w:p>
        </w:tc>
        <w:tc>
          <w:tcPr>
            <w:tcW w:w="1140" w:type="dxa"/>
            <w:vAlign w:val="bottom"/>
            <w:tcBorders>
              <w:bottom w:val="single" w:sz="8" w:color="0E3C23"/>
            </w:tcBorders>
          </w:tcPr>
          <w:p>
            <w:pPr>
              <w:spacing w:after="0" w:line="20" w:lineRule="exact"/>
              <w:rPr>
                <w:sz w:val="1"/>
                <w:szCs w:val="1"/>
                <w:color w:val="auto"/>
              </w:rPr>
            </w:pPr>
          </w:p>
        </w:tc>
        <w:tc>
          <w:tcPr>
            <w:tcW w:w="1020" w:type="dxa"/>
            <w:vAlign w:val="bottom"/>
            <w:tcBorders>
              <w:bottom w:val="single" w:sz="8" w:color="0E3C23"/>
            </w:tcBorders>
          </w:tcPr>
          <w:p>
            <w:pPr>
              <w:spacing w:after="0" w:line="20" w:lineRule="exact"/>
              <w:rPr>
                <w:sz w:val="1"/>
                <w:szCs w:val="1"/>
                <w:color w:val="auto"/>
              </w:rPr>
            </w:pPr>
          </w:p>
        </w:tc>
        <w:tc>
          <w:tcPr>
            <w:tcW w:w="1040" w:type="dxa"/>
            <w:vAlign w:val="bottom"/>
            <w:tcBorders>
              <w:bottom w:val="single" w:sz="8" w:color="0E3C23"/>
            </w:tcBorders>
          </w:tcPr>
          <w:p>
            <w:pPr>
              <w:spacing w:after="0" w:line="20" w:lineRule="exact"/>
              <w:rPr>
                <w:sz w:val="1"/>
                <w:szCs w:val="1"/>
                <w:color w:val="auto"/>
              </w:rPr>
            </w:pPr>
          </w:p>
        </w:tc>
      </w:tr>
      <w:tr>
        <w:trPr>
          <w:trHeight w:val="237"/>
        </w:trPr>
        <w:tc>
          <w:tcPr>
            <w:tcW w:w="4540" w:type="dxa"/>
            <w:vAlign w:val="bottom"/>
          </w:tcPr>
          <w:p>
            <w:pPr>
              <w:ind w:left="60"/>
              <w:spacing w:after="0"/>
              <w:rPr>
                <w:sz w:val="20"/>
                <w:szCs w:val="20"/>
                <w:color w:val="auto"/>
              </w:rPr>
            </w:pPr>
            <w:r>
              <w:rPr>
                <w:rFonts w:ascii="Arial" w:cs="Arial" w:eastAsia="Arial" w:hAnsi="Arial"/>
                <w:sz w:val="20"/>
                <w:szCs w:val="20"/>
                <w:color w:val="0E3C23"/>
                <w:w w:val="99"/>
              </w:rPr>
              <w:t xml:space="preserve">• </w:t>
            </w:r>
            <w:r>
              <w:rPr>
                <w:rFonts w:ascii="Arial" w:cs="Arial" w:eastAsia="Arial" w:hAnsi="Arial"/>
                <w:sz w:val="20"/>
                <w:szCs w:val="20"/>
                <w:color w:val="000000"/>
                <w:w w:val="99"/>
              </w:rPr>
              <w:t>Accelerated payment of PSUs replacement grant</w:t>
            </w:r>
          </w:p>
        </w:tc>
        <w:tc>
          <w:tcPr>
            <w:tcW w:w="1200" w:type="dxa"/>
            <w:vAlign w:val="bottom"/>
          </w:tcPr>
          <w:p>
            <w:pPr>
              <w:jc w:val="right"/>
              <w:spacing w:after="0"/>
              <w:rPr>
                <w:sz w:val="20"/>
                <w:szCs w:val="20"/>
                <w:color w:val="auto"/>
              </w:rPr>
            </w:pPr>
            <w:r>
              <w:rPr>
                <w:rFonts w:ascii="Arial" w:cs="Arial" w:eastAsia="Arial" w:hAnsi="Arial"/>
                <w:sz w:val="20"/>
                <w:szCs w:val="20"/>
                <w:color w:val="auto"/>
              </w:rPr>
              <w:t>8,860,464</w:t>
            </w:r>
          </w:p>
        </w:tc>
        <w:tc>
          <w:tcPr>
            <w:tcW w:w="1120" w:type="dxa"/>
            <w:vAlign w:val="bottom"/>
          </w:tcPr>
          <w:p>
            <w:pPr>
              <w:jc w:val="right"/>
              <w:spacing w:after="0"/>
              <w:rPr>
                <w:sz w:val="20"/>
                <w:szCs w:val="20"/>
                <w:color w:val="auto"/>
              </w:rPr>
            </w:pPr>
            <w:r>
              <w:rPr>
                <w:rFonts w:ascii="Arial" w:cs="Arial" w:eastAsia="Arial" w:hAnsi="Arial"/>
                <w:sz w:val="20"/>
                <w:szCs w:val="20"/>
                <w:color w:val="auto"/>
              </w:rPr>
              <w:t>2,090,141</w:t>
            </w:r>
          </w:p>
        </w:tc>
        <w:tc>
          <w:tcPr>
            <w:tcW w:w="1140" w:type="dxa"/>
            <w:vAlign w:val="bottom"/>
          </w:tcPr>
          <w:p>
            <w:pPr>
              <w:jc w:val="right"/>
              <w:spacing w:after="0"/>
              <w:rPr>
                <w:sz w:val="20"/>
                <w:szCs w:val="20"/>
                <w:color w:val="auto"/>
              </w:rPr>
            </w:pPr>
            <w:r>
              <w:rPr>
                <w:rFonts w:ascii="Arial" w:cs="Arial" w:eastAsia="Arial" w:hAnsi="Arial"/>
                <w:sz w:val="20"/>
                <w:szCs w:val="20"/>
                <w:color w:val="auto"/>
              </w:rPr>
              <w:t>2,592,194</w:t>
            </w:r>
          </w:p>
        </w:tc>
        <w:tc>
          <w:tcPr>
            <w:tcW w:w="1020" w:type="dxa"/>
            <w:vAlign w:val="bottom"/>
          </w:tcPr>
          <w:p>
            <w:pPr>
              <w:jc w:val="right"/>
              <w:spacing w:after="0"/>
              <w:rPr>
                <w:sz w:val="20"/>
                <w:szCs w:val="20"/>
                <w:color w:val="auto"/>
              </w:rPr>
            </w:pPr>
            <w:r>
              <w:rPr>
                <w:rFonts w:ascii="Arial" w:cs="Arial" w:eastAsia="Arial" w:hAnsi="Arial"/>
                <w:sz w:val="20"/>
                <w:szCs w:val="20"/>
                <w:color w:val="auto"/>
              </w:rPr>
              <w:t>1,746,829</w:t>
            </w:r>
          </w:p>
        </w:tc>
        <w:tc>
          <w:tcPr>
            <w:tcW w:w="1040" w:type="dxa"/>
            <w:vAlign w:val="bottom"/>
          </w:tcPr>
          <w:p>
            <w:pPr>
              <w:jc w:val="right"/>
              <w:spacing w:after="0"/>
              <w:rPr>
                <w:sz w:val="20"/>
                <w:szCs w:val="20"/>
                <w:color w:val="auto"/>
              </w:rPr>
            </w:pPr>
            <w:r>
              <w:rPr>
                <w:rFonts w:ascii="Arial" w:cs="Arial" w:eastAsia="Arial" w:hAnsi="Arial"/>
                <w:sz w:val="20"/>
                <w:szCs w:val="20"/>
                <w:color w:val="auto"/>
              </w:rPr>
              <w:t>1,817,590</w:t>
            </w:r>
          </w:p>
        </w:tc>
      </w:tr>
      <w:tr>
        <w:trPr>
          <w:trHeight w:val="23"/>
        </w:trPr>
        <w:tc>
          <w:tcPr>
            <w:tcW w:w="4540" w:type="dxa"/>
            <w:vAlign w:val="bottom"/>
            <w:tcBorders>
              <w:bottom w:val="single" w:sz="8" w:color="0E3C23"/>
            </w:tcBorders>
          </w:tcPr>
          <w:p>
            <w:pPr>
              <w:spacing w:after="0" w:line="20" w:lineRule="exact"/>
              <w:rPr>
                <w:sz w:val="1"/>
                <w:szCs w:val="1"/>
                <w:color w:val="auto"/>
              </w:rPr>
            </w:pPr>
          </w:p>
        </w:tc>
        <w:tc>
          <w:tcPr>
            <w:tcW w:w="1200" w:type="dxa"/>
            <w:vAlign w:val="bottom"/>
            <w:tcBorders>
              <w:bottom w:val="single" w:sz="8" w:color="0E3C23"/>
            </w:tcBorders>
          </w:tcPr>
          <w:p>
            <w:pPr>
              <w:spacing w:after="0" w:line="20" w:lineRule="exact"/>
              <w:rPr>
                <w:sz w:val="1"/>
                <w:szCs w:val="1"/>
                <w:color w:val="auto"/>
              </w:rPr>
            </w:pPr>
          </w:p>
        </w:tc>
        <w:tc>
          <w:tcPr>
            <w:tcW w:w="1120" w:type="dxa"/>
            <w:vAlign w:val="bottom"/>
            <w:tcBorders>
              <w:bottom w:val="single" w:sz="8" w:color="0E3C23"/>
            </w:tcBorders>
          </w:tcPr>
          <w:p>
            <w:pPr>
              <w:spacing w:after="0" w:line="20" w:lineRule="exact"/>
              <w:rPr>
                <w:sz w:val="1"/>
                <w:szCs w:val="1"/>
                <w:color w:val="auto"/>
              </w:rPr>
            </w:pPr>
          </w:p>
        </w:tc>
        <w:tc>
          <w:tcPr>
            <w:tcW w:w="1140" w:type="dxa"/>
            <w:vAlign w:val="bottom"/>
            <w:tcBorders>
              <w:bottom w:val="single" w:sz="8" w:color="0E3C23"/>
            </w:tcBorders>
          </w:tcPr>
          <w:p>
            <w:pPr>
              <w:spacing w:after="0" w:line="20" w:lineRule="exact"/>
              <w:rPr>
                <w:sz w:val="1"/>
                <w:szCs w:val="1"/>
                <w:color w:val="auto"/>
              </w:rPr>
            </w:pPr>
          </w:p>
        </w:tc>
        <w:tc>
          <w:tcPr>
            <w:tcW w:w="1020" w:type="dxa"/>
            <w:vAlign w:val="bottom"/>
            <w:tcBorders>
              <w:bottom w:val="single" w:sz="8" w:color="0E3C23"/>
            </w:tcBorders>
          </w:tcPr>
          <w:p>
            <w:pPr>
              <w:spacing w:after="0" w:line="20" w:lineRule="exact"/>
              <w:rPr>
                <w:sz w:val="1"/>
                <w:szCs w:val="1"/>
                <w:color w:val="auto"/>
              </w:rPr>
            </w:pPr>
          </w:p>
        </w:tc>
        <w:tc>
          <w:tcPr>
            <w:tcW w:w="1040" w:type="dxa"/>
            <w:vAlign w:val="bottom"/>
            <w:tcBorders>
              <w:bottom w:val="single" w:sz="8" w:color="0E3C23"/>
            </w:tcBorders>
          </w:tcPr>
          <w:p>
            <w:pPr>
              <w:spacing w:after="0" w:line="20" w:lineRule="exact"/>
              <w:rPr>
                <w:sz w:val="1"/>
                <w:szCs w:val="1"/>
                <w:color w:val="auto"/>
              </w:rPr>
            </w:pPr>
          </w:p>
        </w:tc>
      </w:tr>
      <w:tr>
        <w:trPr>
          <w:trHeight w:val="237"/>
        </w:trPr>
        <w:tc>
          <w:tcPr>
            <w:tcW w:w="4540" w:type="dxa"/>
            <w:vAlign w:val="bottom"/>
          </w:tcPr>
          <w:p>
            <w:pPr>
              <w:ind w:left="60"/>
              <w:spacing w:after="0"/>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Accelerated vesting of RSUs</w:t>
            </w: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1,372,777</w:t>
            </w:r>
          </w:p>
        </w:tc>
        <w:tc>
          <w:tcPr>
            <w:tcW w:w="1140" w:type="dxa"/>
            <w:vAlign w:val="bottom"/>
          </w:tcPr>
          <w:p>
            <w:pPr>
              <w:jc w:val="right"/>
              <w:spacing w:after="0"/>
              <w:rPr>
                <w:sz w:val="20"/>
                <w:szCs w:val="20"/>
                <w:color w:val="auto"/>
              </w:rPr>
            </w:pPr>
            <w:r>
              <w:rPr>
                <w:rFonts w:ascii="Arial" w:cs="Arial" w:eastAsia="Arial" w:hAnsi="Arial"/>
                <w:sz w:val="20"/>
                <w:szCs w:val="20"/>
                <w:color w:val="auto"/>
              </w:rPr>
              <w:t>2,059,065</w:t>
            </w:r>
          </w:p>
        </w:tc>
        <w:tc>
          <w:tcPr>
            <w:tcW w:w="1020" w:type="dxa"/>
            <w:vAlign w:val="bottom"/>
          </w:tcPr>
          <w:p>
            <w:pPr>
              <w:jc w:val="right"/>
              <w:spacing w:after="0"/>
              <w:rPr>
                <w:sz w:val="20"/>
                <w:szCs w:val="20"/>
                <w:color w:val="auto"/>
              </w:rPr>
            </w:pPr>
            <w:r>
              <w:rPr>
                <w:rFonts w:ascii="Arial" w:cs="Arial" w:eastAsia="Arial" w:hAnsi="Arial"/>
                <w:sz w:val="20"/>
                <w:szCs w:val="20"/>
                <w:color w:val="auto"/>
              </w:rPr>
              <w:t>1,029,533</w:t>
            </w:r>
          </w:p>
        </w:tc>
        <w:tc>
          <w:tcPr>
            <w:tcW w:w="1040" w:type="dxa"/>
            <w:vAlign w:val="bottom"/>
          </w:tcPr>
          <w:p>
            <w:pPr>
              <w:jc w:val="right"/>
              <w:spacing w:after="0"/>
              <w:rPr>
                <w:sz w:val="20"/>
                <w:szCs w:val="20"/>
                <w:color w:val="auto"/>
              </w:rPr>
            </w:pPr>
            <w:r>
              <w:rPr>
                <w:rFonts w:ascii="Arial" w:cs="Arial" w:eastAsia="Arial" w:hAnsi="Arial"/>
                <w:sz w:val="20"/>
                <w:szCs w:val="20"/>
                <w:color w:val="auto"/>
              </w:rPr>
              <w:t>617,679</w:t>
            </w:r>
          </w:p>
        </w:tc>
      </w:tr>
      <w:tr>
        <w:trPr>
          <w:trHeight w:val="23"/>
        </w:trPr>
        <w:tc>
          <w:tcPr>
            <w:tcW w:w="4540" w:type="dxa"/>
            <w:vAlign w:val="bottom"/>
            <w:tcBorders>
              <w:bottom w:val="single" w:sz="8" w:color="0E3C23"/>
            </w:tcBorders>
          </w:tcPr>
          <w:p>
            <w:pPr>
              <w:spacing w:after="0" w:line="20" w:lineRule="exact"/>
              <w:rPr>
                <w:sz w:val="1"/>
                <w:szCs w:val="1"/>
                <w:color w:val="auto"/>
              </w:rPr>
            </w:pPr>
          </w:p>
        </w:tc>
        <w:tc>
          <w:tcPr>
            <w:tcW w:w="1200" w:type="dxa"/>
            <w:vAlign w:val="bottom"/>
            <w:tcBorders>
              <w:bottom w:val="single" w:sz="8" w:color="0E3C23"/>
            </w:tcBorders>
          </w:tcPr>
          <w:p>
            <w:pPr>
              <w:spacing w:after="0" w:line="20" w:lineRule="exact"/>
              <w:rPr>
                <w:sz w:val="1"/>
                <w:szCs w:val="1"/>
                <w:color w:val="auto"/>
              </w:rPr>
            </w:pPr>
          </w:p>
        </w:tc>
        <w:tc>
          <w:tcPr>
            <w:tcW w:w="1120" w:type="dxa"/>
            <w:vAlign w:val="bottom"/>
            <w:tcBorders>
              <w:bottom w:val="single" w:sz="8" w:color="0E3C23"/>
            </w:tcBorders>
          </w:tcPr>
          <w:p>
            <w:pPr>
              <w:spacing w:after="0" w:line="20" w:lineRule="exact"/>
              <w:rPr>
                <w:sz w:val="1"/>
                <w:szCs w:val="1"/>
                <w:color w:val="auto"/>
              </w:rPr>
            </w:pPr>
          </w:p>
        </w:tc>
        <w:tc>
          <w:tcPr>
            <w:tcW w:w="1140" w:type="dxa"/>
            <w:vAlign w:val="bottom"/>
            <w:tcBorders>
              <w:bottom w:val="single" w:sz="8" w:color="0E3C23"/>
            </w:tcBorders>
          </w:tcPr>
          <w:p>
            <w:pPr>
              <w:spacing w:after="0" w:line="20" w:lineRule="exact"/>
              <w:rPr>
                <w:sz w:val="1"/>
                <w:szCs w:val="1"/>
                <w:color w:val="auto"/>
              </w:rPr>
            </w:pPr>
          </w:p>
        </w:tc>
        <w:tc>
          <w:tcPr>
            <w:tcW w:w="1020" w:type="dxa"/>
            <w:vAlign w:val="bottom"/>
            <w:tcBorders>
              <w:bottom w:val="single" w:sz="8" w:color="0E3C23"/>
            </w:tcBorders>
          </w:tcPr>
          <w:p>
            <w:pPr>
              <w:spacing w:after="0" w:line="20" w:lineRule="exact"/>
              <w:rPr>
                <w:sz w:val="1"/>
                <w:szCs w:val="1"/>
                <w:color w:val="auto"/>
              </w:rPr>
            </w:pPr>
          </w:p>
        </w:tc>
        <w:tc>
          <w:tcPr>
            <w:tcW w:w="1040" w:type="dxa"/>
            <w:vAlign w:val="bottom"/>
            <w:tcBorders>
              <w:bottom w:val="single" w:sz="8" w:color="0E3C23"/>
            </w:tcBorders>
          </w:tcPr>
          <w:p>
            <w:pPr>
              <w:spacing w:after="0" w:line="20" w:lineRule="exact"/>
              <w:rPr>
                <w:sz w:val="1"/>
                <w:szCs w:val="1"/>
                <w:color w:val="auto"/>
              </w:rPr>
            </w:pPr>
          </w:p>
        </w:tc>
      </w:tr>
      <w:tr>
        <w:trPr>
          <w:trHeight w:val="259"/>
        </w:trPr>
        <w:tc>
          <w:tcPr>
            <w:tcW w:w="4540" w:type="dxa"/>
            <w:vAlign w:val="bottom"/>
            <w:tcBorders>
              <w:bottom w:val="single" w:sz="8" w:color="0E3C23"/>
            </w:tcBorders>
          </w:tcPr>
          <w:p>
            <w:pPr>
              <w:ind w:left="60"/>
              <w:spacing w:after="0" w:line="259" w:lineRule="exact"/>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Prorated annual cash bonus</w:t>
            </w:r>
            <w:r>
              <w:rPr>
                <w:rFonts w:ascii="Arial" w:cs="Arial" w:eastAsia="Arial" w:hAnsi="Arial"/>
                <w:sz w:val="25"/>
                <w:szCs w:val="25"/>
                <w:color w:val="000000"/>
                <w:vertAlign w:val="superscript"/>
              </w:rPr>
              <w:t>(1)</w:t>
            </w:r>
          </w:p>
        </w:tc>
        <w:tc>
          <w:tcPr>
            <w:tcW w:w="120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4,640,000</w:t>
            </w:r>
          </w:p>
        </w:tc>
        <w:tc>
          <w:tcPr>
            <w:tcW w:w="112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1,596,600</w:t>
            </w:r>
          </w:p>
        </w:tc>
        <w:tc>
          <w:tcPr>
            <w:tcW w:w="114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1,793,880</w:t>
            </w:r>
          </w:p>
        </w:tc>
        <w:tc>
          <w:tcPr>
            <w:tcW w:w="102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665,000</w:t>
            </w:r>
          </w:p>
        </w:tc>
        <w:tc>
          <w:tcPr>
            <w:tcW w:w="104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608,400</w:t>
            </w:r>
          </w:p>
        </w:tc>
      </w:tr>
      <w:tr>
        <w:trPr>
          <w:trHeight w:val="241"/>
        </w:trPr>
        <w:tc>
          <w:tcPr>
            <w:tcW w:w="4540" w:type="dxa"/>
            <w:vAlign w:val="bottom"/>
          </w:tcPr>
          <w:p>
            <w:pPr>
              <w:ind w:left="60"/>
              <w:spacing w:after="0"/>
              <w:rPr>
                <w:sz w:val="20"/>
                <w:szCs w:val="20"/>
                <w:color w:val="auto"/>
              </w:rPr>
            </w:pPr>
            <w:r>
              <w:rPr>
                <w:rFonts w:ascii="Arial" w:cs="Arial" w:eastAsia="Arial" w:hAnsi="Arial"/>
                <w:sz w:val="20"/>
                <w:szCs w:val="20"/>
                <w:b w:val="1"/>
                <w:bCs w:val="1"/>
                <w:color w:val="auto"/>
              </w:rPr>
              <w:t>Total</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33,965,882</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11,346,008</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13,566,964</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8,651,670</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8,276,311</w:t>
            </w:r>
          </w:p>
        </w:tc>
      </w:tr>
      <w:tr>
        <w:trPr>
          <w:trHeight w:val="34"/>
        </w:trPr>
        <w:tc>
          <w:tcPr>
            <w:tcW w:w="4540" w:type="dxa"/>
            <w:vAlign w:val="bottom"/>
            <w:tcBorders>
              <w:bottom w:val="single" w:sz="8" w:color="0E3C23"/>
            </w:tcBorders>
          </w:tcPr>
          <w:p>
            <w:pPr>
              <w:spacing w:after="0"/>
              <w:rPr>
                <w:sz w:val="2"/>
                <w:szCs w:val="2"/>
                <w:color w:val="auto"/>
              </w:rPr>
            </w:pPr>
          </w:p>
        </w:tc>
        <w:tc>
          <w:tcPr>
            <w:tcW w:w="120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140" w:type="dxa"/>
            <w:vAlign w:val="bottom"/>
            <w:tcBorders>
              <w:bottom w:val="single" w:sz="8" w:color="0E3C23"/>
            </w:tcBorders>
          </w:tcPr>
          <w:p>
            <w:pPr>
              <w:spacing w:after="0"/>
              <w:rPr>
                <w:sz w:val="2"/>
                <w:szCs w:val="2"/>
                <w:color w:val="auto"/>
              </w:rPr>
            </w:pPr>
          </w:p>
        </w:tc>
        <w:tc>
          <w:tcPr>
            <w:tcW w:w="1020" w:type="dxa"/>
            <w:vAlign w:val="bottom"/>
            <w:tcBorders>
              <w:bottom w:val="single" w:sz="8" w:color="0E3C23"/>
            </w:tcBorders>
          </w:tcPr>
          <w:p>
            <w:pPr>
              <w:spacing w:after="0"/>
              <w:rPr>
                <w:sz w:val="2"/>
                <w:szCs w:val="2"/>
                <w:color w:val="auto"/>
              </w:rPr>
            </w:pPr>
          </w:p>
        </w:tc>
        <w:tc>
          <w:tcPr>
            <w:tcW w:w="1040" w:type="dxa"/>
            <w:vAlign w:val="bottom"/>
            <w:tcBorders>
              <w:bottom w:val="single" w:sz="8" w:color="0E3C23"/>
            </w:tcBorders>
          </w:tcPr>
          <w:p>
            <w:pPr>
              <w:spacing w:after="0"/>
              <w:rPr>
                <w:sz w:val="2"/>
                <w:szCs w:val="2"/>
                <w:color w:val="auto"/>
              </w:rPr>
            </w:pPr>
          </w:p>
        </w:tc>
      </w:tr>
    </w:tbl>
    <w:p>
      <w:pPr>
        <w:spacing w:after="0" w:line="77" w:lineRule="exact"/>
        <w:rPr>
          <w:sz w:val="20"/>
          <w:szCs w:val="20"/>
          <w:color w:val="auto"/>
        </w:rPr>
      </w:pPr>
    </w:p>
    <w:p>
      <w:pPr>
        <w:jc w:val="both"/>
        <w:ind w:left="580" w:right="200" w:hanging="402"/>
        <w:spacing w:after="0" w:line="248" w:lineRule="auto"/>
        <w:tabs>
          <w:tab w:leader="none" w:pos="5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Pursuant to the Severance Protection Plan, Ms. Hemmer and Mr. Carrasco receive a prorated target annual cash bonus under this scenario. Mr. Fish, Ms. Rankin, and Mr. Morris receive a prorated maximum annual cash bonus under this scenario pursuant to their 2017 Employment Agreements. The 2017 Employment Agreements provided for this enhanced treatment partially on account of similar terms in pre-existing employment agreements that executives were agreeing to terminate in order to support the Company’s transition toward a more standardized and flexible approach to severance protections.</w:t>
      </w:r>
    </w:p>
    <w:p>
      <w:pPr>
        <w:sectPr>
          <w:pgSz w:w="13320" w:h="16920" w:orient="portrait"/>
          <w:cols w:equalWidth="0" w:num="1">
            <w:col w:w="104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-207010</wp:posOffset>
            </wp:positionV>
            <wp:extent cx="538480" cy="1619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51">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63" w:name="page64"/>
    <w:bookmarkEnd w:id="63"/>
    <w:p>
      <w:pPr>
        <w:ind w:left="180"/>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Chief Executive Officer Pay Ratio</w:t>
      </w:r>
    </w:p>
    <w:p>
      <w:pPr>
        <w:spacing w:after="0" w:line="102" w:lineRule="exact"/>
        <w:rPr>
          <w:sz w:val="20"/>
          <w:szCs w:val="20"/>
          <w:color w:val="auto"/>
        </w:rPr>
      </w:pPr>
    </w:p>
    <w:p>
      <w:pPr>
        <w:jc w:val="both"/>
        <w:ind w:left="180" w:right="200"/>
        <w:spacing w:after="0" w:line="259" w:lineRule="auto"/>
        <w:rPr>
          <w:sz w:val="20"/>
          <w:szCs w:val="20"/>
          <w:color w:val="auto"/>
        </w:rPr>
      </w:pPr>
      <w:r>
        <w:rPr>
          <w:rFonts w:ascii="Arial" w:cs="Arial" w:eastAsia="Arial" w:hAnsi="Arial"/>
          <w:sz w:val="19"/>
          <w:szCs w:val="19"/>
          <w:color w:val="auto"/>
        </w:rPr>
        <w:t>In 2025, we reconducted our analysis to identify the Company’s median employee, based on total annual compensation for all employees other than our Chief Executive Officer, in accordance with SEC Regulation S-K, Item 402(u) (the “Median Employee”). To select the Median Employee, we determined the actual taxable compensation paid to each listed employee in 2024 and converted to U.S. dollars at appropriate exchange rates for non-U.S. employees. We did not apply any cost-of-living adjustments, nor did we use any form of statistical sampling. The Median Employee, a Shift Maintenance Supervisor in the U.S., was identified from a list of Company employees as of December 1, 2024. Out of a total worldwide employee population of 61,817 on that date, the list included 58,862 employees and excluded the Chief Executive Officer and 2,954 non-U.S. employees. The number of employees excluded from the list of Company employees comprised 4.8% of our total employee population on such date, and the breakdown of the number of excluded employees and the respective jurisdiction of those employees is as follows: India — 1,509; Spain — 703; Portugal — 443; Ireland — 143; France — 75; Germany — 67; Belgium — 10; Netherlands — 3; and Luxembourg — 1. Of the Company employees that were included on the list of employees as of December 1, 2024, for purposes of identifying the Median Employee, approximately 92.1% of these total employees work in the U.S., 5.3% work in Canada, and 2.6% work in United Kingdom. Over 99% of these individuals are full-time employees. Any temporary or seasonal employees are included; any subcontracted workers are not employees and are excluded. For 2024, total annual compensation for the Median Employee was $85,147.91. The annual compensation of our Chief Executive Officer was $17,097,120, for a ratio of 1:201. These values were calculated in accordance with SEC Regulation S-K, Item 402(c)(2)(x) requirements for reporting total compensation in the Summary Compensation Table.</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Equity Compensation Plan Table</w:t>
      </w:r>
    </w:p>
    <w:p>
      <w:pPr>
        <w:spacing w:after="0" w:line="102" w:lineRule="exact"/>
        <w:rPr>
          <w:sz w:val="20"/>
          <w:szCs w:val="20"/>
          <w:color w:val="auto"/>
        </w:rPr>
      </w:pPr>
    </w:p>
    <w:p>
      <w:pPr>
        <w:jc w:val="both"/>
        <w:ind w:left="180" w:right="200"/>
        <w:spacing w:after="0" w:line="265" w:lineRule="auto"/>
        <w:rPr>
          <w:sz w:val="20"/>
          <w:szCs w:val="20"/>
          <w:color w:val="auto"/>
        </w:rPr>
      </w:pPr>
      <w:r>
        <w:rPr>
          <w:rFonts w:ascii="Arial" w:cs="Arial" w:eastAsia="Arial" w:hAnsi="Arial"/>
          <w:sz w:val="19"/>
          <w:szCs w:val="19"/>
          <w:color w:val="auto"/>
        </w:rPr>
        <w:t>The following table provides information as of December 31, 2024 about the number of shares to be issued upon vesting or exercise of equity awards and shares remaining available for issuance under our equity compensation plans.</w:t>
      </w:r>
    </w:p>
    <w:p>
      <w:pPr>
        <w:spacing w:after="0" w:line="83"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0E3C23"/>
              </w:rPr>
              <w:t>Number of</w:t>
            </w:r>
          </w:p>
        </w:tc>
      </w:tr>
      <w:tr>
        <w:trPr>
          <w:trHeight w:val="160"/>
        </w:trPr>
        <w:tc>
          <w:tcPr>
            <w:tcW w:w="5220" w:type="dxa"/>
            <w:vAlign w:val="bottom"/>
          </w:tcPr>
          <w:p>
            <w:pPr>
              <w:spacing w:after="0"/>
              <w:rPr>
                <w:sz w:val="13"/>
                <w:szCs w:val="13"/>
                <w:color w:val="auto"/>
              </w:rPr>
            </w:pPr>
          </w:p>
        </w:tc>
        <w:tc>
          <w:tcPr>
            <w:tcW w:w="1660" w:type="dxa"/>
            <w:vAlign w:val="bottom"/>
          </w:tcPr>
          <w:p>
            <w:pPr>
              <w:jc w:val="right"/>
              <w:ind w:right="37"/>
              <w:spacing w:after="0" w:line="160" w:lineRule="exact"/>
              <w:rPr>
                <w:sz w:val="20"/>
                <w:szCs w:val="20"/>
                <w:color w:val="auto"/>
              </w:rPr>
            </w:pPr>
            <w:r>
              <w:rPr>
                <w:rFonts w:ascii="Arial" w:cs="Arial" w:eastAsia="Arial" w:hAnsi="Arial"/>
                <w:sz w:val="16"/>
                <w:szCs w:val="16"/>
                <w:b w:val="1"/>
                <w:bCs w:val="1"/>
                <w:color w:val="0E3C23"/>
              </w:rPr>
              <w:t>Number of</w:t>
            </w:r>
          </w:p>
        </w:tc>
        <w:tc>
          <w:tcPr>
            <w:tcW w:w="1560" w:type="dxa"/>
            <w:vAlign w:val="bottom"/>
          </w:tcPr>
          <w:p>
            <w:pPr>
              <w:spacing w:after="0"/>
              <w:rPr>
                <w:sz w:val="13"/>
                <w:szCs w:val="13"/>
                <w:color w:val="auto"/>
              </w:rPr>
            </w:pPr>
          </w:p>
        </w:tc>
        <w:tc>
          <w:tcPr>
            <w:tcW w:w="162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Securities</w:t>
            </w:r>
          </w:p>
        </w:tc>
      </w:tr>
      <w:tr>
        <w:trPr>
          <w:trHeight w:val="160"/>
        </w:trPr>
        <w:tc>
          <w:tcPr>
            <w:tcW w:w="5220" w:type="dxa"/>
            <w:vAlign w:val="bottom"/>
          </w:tcPr>
          <w:p>
            <w:pPr>
              <w:spacing w:after="0"/>
              <w:rPr>
                <w:sz w:val="13"/>
                <w:szCs w:val="13"/>
                <w:color w:val="auto"/>
              </w:rPr>
            </w:pPr>
          </w:p>
        </w:tc>
        <w:tc>
          <w:tcPr>
            <w:tcW w:w="1660" w:type="dxa"/>
            <w:vAlign w:val="bottom"/>
          </w:tcPr>
          <w:p>
            <w:pPr>
              <w:jc w:val="right"/>
              <w:ind w:right="37"/>
              <w:spacing w:after="0" w:line="160" w:lineRule="exact"/>
              <w:rPr>
                <w:sz w:val="20"/>
                <w:szCs w:val="20"/>
                <w:color w:val="auto"/>
              </w:rPr>
            </w:pPr>
            <w:r>
              <w:rPr>
                <w:rFonts w:ascii="Arial" w:cs="Arial" w:eastAsia="Arial" w:hAnsi="Arial"/>
                <w:sz w:val="16"/>
                <w:szCs w:val="16"/>
                <w:b w:val="1"/>
                <w:bCs w:val="1"/>
                <w:color w:val="0E3C23"/>
              </w:rPr>
              <w:t>Securities to be</w:t>
            </w:r>
          </w:p>
        </w:tc>
        <w:tc>
          <w:tcPr>
            <w:tcW w:w="1560" w:type="dxa"/>
            <w:vAlign w:val="bottom"/>
          </w:tcPr>
          <w:p>
            <w:pPr>
              <w:spacing w:after="0"/>
              <w:rPr>
                <w:sz w:val="13"/>
                <w:szCs w:val="13"/>
                <w:color w:val="auto"/>
              </w:rPr>
            </w:pPr>
          </w:p>
        </w:tc>
        <w:tc>
          <w:tcPr>
            <w:tcW w:w="162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Remaining</w:t>
            </w:r>
          </w:p>
        </w:tc>
      </w:tr>
      <w:tr>
        <w:trPr>
          <w:trHeight w:val="160"/>
        </w:trPr>
        <w:tc>
          <w:tcPr>
            <w:tcW w:w="5220" w:type="dxa"/>
            <w:vAlign w:val="bottom"/>
          </w:tcPr>
          <w:p>
            <w:pPr>
              <w:spacing w:after="0"/>
              <w:rPr>
                <w:sz w:val="13"/>
                <w:szCs w:val="13"/>
                <w:color w:val="auto"/>
              </w:rPr>
            </w:pPr>
          </w:p>
        </w:tc>
        <w:tc>
          <w:tcPr>
            <w:tcW w:w="1660" w:type="dxa"/>
            <w:vAlign w:val="bottom"/>
          </w:tcPr>
          <w:p>
            <w:pPr>
              <w:jc w:val="right"/>
              <w:ind w:right="37"/>
              <w:spacing w:after="0" w:line="160" w:lineRule="exact"/>
              <w:rPr>
                <w:sz w:val="20"/>
                <w:szCs w:val="20"/>
                <w:color w:val="auto"/>
              </w:rPr>
            </w:pPr>
            <w:r>
              <w:rPr>
                <w:rFonts w:ascii="Arial" w:cs="Arial" w:eastAsia="Arial" w:hAnsi="Arial"/>
                <w:sz w:val="16"/>
                <w:szCs w:val="16"/>
                <w:b w:val="1"/>
                <w:bCs w:val="1"/>
                <w:color w:val="0E3C23"/>
              </w:rPr>
              <w:t>Issued Upon</w:t>
            </w:r>
          </w:p>
        </w:tc>
        <w:tc>
          <w:tcPr>
            <w:tcW w:w="1560" w:type="dxa"/>
            <w:vAlign w:val="bottom"/>
          </w:tcPr>
          <w:p>
            <w:pPr>
              <w:jc w:val="right"/>
              <w:ind w:right="36"/>
              <w:spacing w:after="0" w:line="160" w:lineRule="exact"/>
              <w:rPr>
                <w:sz w:val="20"/>
                <w:szCs w:val="20"/>
                <w:color w:val="auto"/>
              </w:rPr>
            </w:pPr>
            <w:r>
              <w:rPr>
                <w:rFonts w:ascii="Arial" w:cs="Arial" w:eastAsia="Arial" w:hAnsi="Arial"/>
                <w:sz w:val="16"/>
                <w:szCs w:val="16"/>
                <w:b w:val="1"/>
                <w:bCs w:val="1"/>
                <w:color w:val="0E3C23"/>
              </w:rPr>
              <w:t>Weighted-Average</w:t>
            </w:r>
          </w:p>
        </w:tc>
        <w:tc>
          <w:tcPr>
            <w:tcW w:w="162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Available for</w:t>
            </w:r>
          </w:p>
        </w:tc>
      </w:tr>
      <w:tr>
        <w:trPr>
          <w:trHeight w:val="160"/>
        </w:trPr>
        <w:tc>
          <w:tcPr>
            <w:tcW w:w="5220" w:type="dxa"/>
            <w:vAlign w:val="bottom"/>
          </w:tcPr>
          <w:p>
            <w:pPr>
              <w:spacing w:after="0"/>
              <w:rPr>
                <w:sz w:val="13"/>
                <w:szCs w:val="13"/>
                <w:color w:val="auto"/>
              </w:rPr>
            </w:pPr>
          </w:p>
        </w:tc>
        <w:tc>
          <w:tcPr>
            <w:tcW w:w="1660" w:type="dxa"/>
            <w:vAlign w:val="bottom"/>
          </w:tcPr>
          <w:p>
            <w:pPr>
              <w:jc w:val="right"/>
              <w:ind w:right="37"/>
              <w:spacing w:after="0" w:line="160" w:lineRule="exact"/>
              <w:rPr>
                <w:sz w:val="20"/>
                <w:szCs w:val="20"/>
                <w:color w:val="auto"/>
              </w:rPr>
            </w:pPr>
            <w:r>
              <w:rPr>
                <w:rFonts w:ascii="Arial" w:cs="Arial" w:eastAsia="Arial" w:hAnsi="Arial"/>
                <w:sz w:val="16"/>
                <w:szCs w:val="16"/>
                <w:b w:val="1"/>
                <w:bCs w:val="1"/>
                <w:color w:val="0E3C23"/>
              </w:rPr>
              <w:t>Exercise</w:t>
            </w:r>
          </w:p>
        </w:tc>
        <w:tc>
          <w:tcPr>
            <w:tcW w:w="1560" w:type="dxa"/>
            <w:vAlign w:val="bottom"/>
          </w:tcPr>
          <w:p>
            <w:pPr>
              <w:jc w:val="right"/>
              <w:ind w:right="36"/>
              <w:spacing w:after="0" w:line="160" w:lineRule="exact"/>
              <w:rPr>
                <w:sz w:val="20"/>
                <w:szCs w:val="20"/>
                <w:color w:val="auto"/>
              </w:rPr>
            </w:pPr>
            <w:r>
              <w:rPr>
                <w:rFonts w:ascii="Arial" w:cs="Arial" w:eastAsia="Arial" w:hAnsi="Arial"/>
                <w:sz w:val="16"/>
                <w:szCs w:val="16"/>
                <w:b w:val="1"/>
                <w:bCs w:val="1"/>
                <w:color w:val="0E3C23"/>
              </w:rPr>
              <w:t>Exercise Price of</w:t>
            </w:r>
          </w:p>
        </w:tc>
        <w:tc>
          <w:tcPr>
            <w:tcW w:w="162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Future Issuance</w:t>
            </w:r>
          </w:p>
        </w:tc>
      </w:tr>
      <w:tr>
        <w:trPr>
          <w:trHeight w:val="160"/>
        </w:trPr>
        <w:tc>
          <w:tcPr>
            <w:tcW w:w="5220" w:type="dxa"/>
            <w:vAlign w:val="bottom"/>
          </w:tcPr>
          <w:p>
            <w:pPr>
              <w:spacing w:after="0"/>
              <w:rPr>
                <w:sz w:val="13"/>
                <w:szCs w:val="13"/>
                <w:color w:val="auto"/>
              </w:rPr>
            </w:pPr>
          </w:p>
        </w:tc>
        <w:tc>
          <w:tcPr>
            <w:tcW w:w="1660" w:type="dxa"/>
            <w:vAlign w:val="bottom"/>
          </w:tcPr>
          <w:p>
            <w:pPr>
              <w:jc w:val="right"/>
              <w:ind w:right="37"/>
              <w:spacing w:after="0" w:line="160" w:lineRule="exact"/>
              <w:rPr>
                <w:sz w:val="20"/>
                <w:szCs w:val="20"/>
                <w:color w:val="auto"/>
              </w:rPr>
            </w:pPr>
            <w:r>
              <w:rPr>
                <w:rFonts w:ascii="Arial" w:cs="Arial" w:eastAsia="Arial" w:hAnsi="Arial"/>
                <w:sz w:val="16"/>
                <w:szCs w:val="16"/>
                <w:b w:val="1"/>
                <w:bCs w:val="1"/>
                <w:color w:val="0E3C23"/>
              </w:rPr>
              <w:t>of Outstanding</w:t>
            </w:r>
          </w:p>
        </w:tc>
        <w:tc>
          <w:tcPr>
            <w:tcW w:w="1560" w:type="dxa"/>
            <w:vAlign w:val="bottom"/>
          </w:tcPr>
          <w:p>
            <w:pPr>
              <w:jc w:val="right"/>
              <w:ind w:right="36"/>
              <w:spacing w:after="0" w:line="160" w:lineRule="exact"/>
              <w:rPr>
                <w:sz w:val="20"/>
                <w:szCs w:val="20"/>
                <w:color w:val="auto"/>
              </w:rPr>
            </w:pPr>
            <w:r>
              <w:rPr>
                <w:rFonts w:ascii="Arial" w:cs="Arial" w:eastAsia="Arial" w:hAnsi="Arial"/>
                <w:sz w:val="16"/>
                <w:szCs w:val="16"/>
                <w:b w:val="1"/>
                <w:bCs w:val="1"/>
                <w:color w:val="0E3C23"/>
              </w:rPr>
              <w:t>Outstanding</w:t>
            </w:r>
          </w:p>
        </w:tc>
        <w:tc>
          <w:tcPr>
            <w:tcW w:w="162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Under Equity</w:t>
            </w:r>
          </w:p>
        </w:tc>
      </w:tr>
      <w:tr>
        <w:trPr>
          <w:trHeight w:val="183"/>
        </w:trPr>
        <w:tc>
          <w:tcPr>
            <w:tcW w:w="5220" w:type="dxa"/>
            <w:vAlign w:val="bottom"/>
            <w:tcBorders>
              <w:bottom w:val="single" w:sz="8" w:color="0E3C23"/>
            </w:tcBorders>
          </w:tcPr>
          <w:p>
            <w:pPr>
              <w:ind w:left="60"/>
              <w:spacing w:after="0" w:line="183" w:lineRule="exact"/>
              <w:rPr>
                <w:sz w:val="20"/>
                <w:szCs w:val="20"/>
                <w:color w:val="auto"/>
              </w:rPr>
            </w:pPr>
            <w:r>
              <w:rPr>
                <w:rFonts w:ascii="Arial" w:cs="Arial" w:eastAsia="Arial" w:hAnsi="Arial"/>
                <w:sz w:val="16"/>
                <w:szCs w:val="16"/>
                <w:b w:val="1"/>
                <w:bCs w:val="1"/>
                <w:color w:val="0E3C23"/>
              </w:rPr>
              <w:t>Plan Category</w:t>
            </w:r>
          </w:p>
        </w:tc>
        <w:tc>
          <w:tcPr>
            <w:tcW w:w="1660" w:type="dxa"/>
            <w:vAlign w:val="bottom"/>
            <w:tcBorders>
              <w:bottom w:val="single" w:sz="8" w:color="0E3C23"/>
            </w:tcBorders>
          </w:tcPr>
          <w:p>
            <w:pPr>
              <w:jc w:val="right"/>
              <w:ind w:right="37"/>
              <w:spacing w:after="0" w:line="183" w:lineRule="exact"/>
              <w:rPr>
                <w:sz w:val="20"/>
                <w:szCs w:val="20"/>
                <w:color w:val="auto"/>
              </w:rPr>
            </w:pPr>
            <w:r>
              <w:rPr>
                <w:rFonts w:ascii="Arial" w:cs="Arial" w:eastAsia="Arial" w:hAnsi="Arial"/>
                <w:sz w:val="16"/>
                <w:szCs w:val="16"/>
                <w:b w:val="1"/>
                <w:bCs w:val="1"/>
                <w:color w:val="0E3C23"/>
              </w:rPr>
              <w:t>Options and Rights</w:t>
            </w:r>
          </w:p>
        </w:tc>
        <w:tc>
          <w:tcPr>
            <w:tcW w:w="1560" w:type="dxa"/>
            <w:vAlign w:val="bottom"/>
            <w:tcBorders>
              <w:bottom w:val="single" w:sz="8" w:color="0E3C23"/>
            </w:tcBorders>
          </w:tcPr>
          <w:p>
            <w:pPr>
              <w:jc w:val="right"/>
              <w:ind w:right="36"/>
              <w:spacing w:after="0" w:line="183" w:lineRule="exact"/>
              <w:rPr>
                <w:sz w:val="20"/>
                <w:szCs w:val="20"/>
                <w:color w:val="auto"/>
              </w:rPr>
            </w:pPr>
            <w:r>
              <w:rPr>
                <w:rFonts w:ascii="Arial" w:cs="Arial" w:eastAsia="Arial" w:hAnsi="Arial"/>
                <w:sz w:val="16"/>
                <w:szCs w:val="16"/>
                <w:b w:val="1"/>
                <w:bCs w:val="1"/>
                <w:color w:val="0E3C23"/>
                <w:w w:val="96"/>
              </w:rPr>
              <w:t>Options and Rights</w:t>
            </w:r>
          </w:p>
        </w:tc>
        <w:tc>
          <w:tcPr>
            <w:tcW w:w="1620" w:type="dxa"/>
            <w:vAlign w:val="bottom"/>
            <w:tcBorders>
              <w:bottom w:val="single" w:sz="8" w:color="0E3C23"/>
            </w:tcBorders>
          </w:tcPr>
          <w:p>
            <w:pPr>
              <w:jc w:val="right"/>
              <w:spacing w:after="0" w:line="183" w:lineRule="exact"/>
              <w:rPr>
                <w:sz w:val="20"/>
                <w:szCs w:val="20"/>
                <w:color w:val="auto"/>
              </w:rPr>
            </w:pPr>
            <w:r>
              <w:rPr>
                <w:rFonts w:ascii="Arial" w:cs="Arial" w:eastAsia="Arial" w:hAnsi="Arial"/>
                <w:sz w:val="16"/>
                <w:szCs w:val="16"/>
                <w:b w:val="1"/>
                <w:bCs w:val="1"/>
                <w:color w:val="0E3C23"/>
                <w:w w:val="97"/>
              </w:rPr>
              <w:t>Compensation Plans</w:t>
            </w:r>
          </w:p>
        </w:tc>
      </w:tr>
      <w:tr>
        <w:trPr>
          <w:trHeight w:val="349"/>
        </w:trPr>
        <w:tc>
          <w:tcPr>
            <w:tcW w:w="5220" w:type="dxa"/>
            <w:vAlign w:val="bottom"/>
          </w:tcPr>
          <w:p>
            <w:pPr>
              <w:ind w:left="60"/>
              <w:spacing w:after="0"/>
              <w:rPr>
                <w:sz w:val="20"/>
                <w:szCs w:val="20"/>
                <w:color w:val="auto"/>
              </w:rPr>
            </w:pPr>
            <w:r>
              <w:rPr>
                <w:rFonts w:ascii="Arial" w:cs="Arial" w:eastAsia="Arial" w:hAnsi="Arial"/>
                <w:sz w:val="20"/>
                <w:szCs w:val="20"/>
                <w:color w:val="auto"/>
                <w:w w:val="98"/>
              </w:rPr>
              <w:t>Equity compensation plans approved by security holders</w:t>
            </w:r>
            <w:r>
              <w:rPr>
                <w:rFonts w:ascii="Arial" w:cs="Arial" w:eastAsia="Arial" w:hAnsi="Arial"/>
                <w:sz w:val="25"/>
                <w:szCs w:val="25"/>
                <w:color w:val="auto"/>
                <w:w w:val="98"/>
                <w:vertAlign w:val="superscript"/>
              </w:rPr>
              <w:t>(1)</w:t>
            </w:r>
          </w:p>
        </w:tc>
        <w:tc>
          <w:tcPr>
            <w:tcW w:w="1660" w:type="dxa"/>
            <w:vAlign w:val="bottom"/>
          </w:tcPr>
          <w:p>
            <w:pPr>
              <w:jc w:val="right"/>
              <w:ind w:right="137"/>
              <w:spacing w:after="0"/>
              <w:rPr>
                <w:sz w:val="20"/>
                <w:szCs w:val="20"/>
                <w:color w:val="auto"/>
              </w:rPr>
            </w:pPr>
            <w:r>
              <w:rPr>
                <w:rFonts w:ascii="Arial" w:cs="Arial" w:eastAsia="Arial" w:hAnsi="Arial"/>
                <w:sz w:val="20"/>
                <w:szCs w:val="20"/>
                <w:color w:val="auto"/>
              </w:rPr>
              <w:t>3,858,444</w:t>
            </w:r>
            <w:r>
              <w:rPr>
                <w:rFonts w:ascii="Arial" w:cs="Arial" w:eastAsia="Arial" w:hAnsi="Arial"/>
                <w:sz w:val="25"/>
                <w:szCs w:val="25"/>
                <w:color w:val="auto"/>
                <w:vertAlign w:val="superscript"/>
              </w:rPr>
              <w:t>(2)</w:t>
            </w:r>
          </w:p>
        </w:tc>
        <w:tc>
          <w:tcPr>
            <w:tcW w:w="1560" w:type="dxa"/>
            <w:vAlign w:val="bottom"/>
          </w:tcPr>
          <w:p>
            <w:pPr>
              <w:jc w:val="right"/>
              <w:ind w:right="196"/>
              <w:spacing w:after="0"/>
              <w:rPr>
                <w:sz w:val="20"/>
                <w:szCs w:val="20"/>
                <w:color w:val="auto"/>
              </w:rPr>
            </w:pPr>
            <w:r>
              <w:rPr>
                <w:rFonts w:ascii="Arial" w:cs="Arial" w:eastAsia="Arial" w:hAnsi="Arial"/>
                <w:sz w:val="20"/>
                <w:szCs w:val="20"/>
                <w:color w:val="auto"/>
              </w:rPr>
              <w:t>$129.15</w:t>
            </w:r>
            <w:r>
              <w:rPr>
                <w:rFonts w:ascii="Arial" w:cs="Arial" w:eastAsia="Arial" w:hAnsi="Arial"/>
                <w:sz w:val="25"/>
                <w:szCs w:val="25"/>
                <w:color w:val="auto"/>
                <w:vertAlign w:val="superscript"/>
              </w:rPr>
              <w:t>(3)</w:t>
            </w:r>
          </w:p>
        </w:tc>
        <w:tc>
          <w:tcPr>
            <w:tcW w:w="1620" w:type="dxa"/>
            <w:vAlign w:val="bottom"/>
          </w:tcPr>
          <w:p>
            <w:pPr>
              <w:jc w:val="right"/>
              <w:ind w:right="78"/>
              <w:spacing w:after="0"/>
              <w:rPr>
                <w:sz w:val="20"/>
                <w:szCs w:val="20"/>
                <w:color w:val="auto"/>
              </w:rPr>
            </w:pPr>
            <w:r>
              <w:rPr>
                <w:rFonts w:ascii="Arial" w:cs="Arial" w:eastAsia="Arial" w:hAnsi="Arial"/>
                <w:sz w:val="20"/>
                <w:szCs w:val="20"/>
                <w:color w:val="auto"/>
              </w:rPr>
              <w:t>14,925,134</w:t>
            </w:r>
            <w:r>
              <w:rPr>
                <w:rFonts w:ascii="Arial" w:cs="Arial" w:eastAsia="Arial" w:hAnsi="Arial"/>
                <w:sz w:val="25"/>
                <w:szCs w:val="25"/>
                <w:color w:val="auto"/>
                <w:vertAlign w:val="superscript"/>
              </w:rPr>
              <w:t>(4)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-19685</wp:posOffset>
                </wp:positionV>
                <wp:extent cx="6386195"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0121">
                          <a:solidFill>
                            <a:srgbClr val="0E3C23"/>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pt,-1.5499pt" to="511.75pt,-1.5499pt" o:allowincell="f" strokecolor="#0E3C23" strokeweight="0.7969pt"/>
            </w:pict>
          </mc:Fallback>
        </mc:AlternateContent>
      </w:r>
    </w:p>
    <w:p>
      <w:pPr>
        <w:ind w:left="580" w:right="200" w:hanging="402"/>
        <w:spacing w:after="0" w:line="239" w:lineRule="auto"/>
        <w:tabs>
          <w:tab w:leader="none" w:pos="5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Includes our 2014 Stock Incentive Plan, 2023 Stock Incentive Plan and Employee Stock Purchase Plan (“ESPP”). No additional awards may be granted under our 2014 Stock Incentive Plan.</w:t>
      </w:r>
    </w:p>
    <w:p>
      <w:pPr>
        <w:spacing w:after="0" w:line="76" w:lineRule="exact"/>
        <w:rPr>
          <w:rFonts w:ascii="Arial" w:cs="Arial" w:eastAsia="Arial" w:hAnsi="Arial"/>
          <w:sz w:val="20"/>
          <w:szCs w:val="20"/>
          <w:color w:val="auto"/>
        </w:rPr>
      </w:pPr>
    </w:p>
    <w:p>
      <w:pPr>
        <w:jc w:val="both"/>
        <w:ind w:left="580" w:right="200" w:hanging="402"/>
        <w:spacing w:after="0" w:line="278"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options outstanding for 2,374,402 shares of Common Stock; 183 235 shares of Common Stock to be issued in connection with deferred compensation obligations; 472,265 shares underlying unvested RSUs and 828,542 shares of Common Stock that would be issued on account of outstanding PSUs if the target performance level is achieved. Assuming, instead, that the maximum performance level was achieved on such PSUs, the amount of Common Stock that would be issued on account of outstanding awards would increase by 828,542 shares.</w:t>
      </w:r>
    </w:p>
    <w:p>
      <w:pPr>
        <w:spacing w:after="0" w:line="42" w:lineRule="exact"/>
        <w:rPr>
          <w:rFonts w:ascii="Arial" w:cs="Arial" w:eastAsia="Arial" w:hAnsi="Arial"/>
          <w:sz w:val="18"/>
          <w:szCs w:val="18"/>
          <w:color w:val="auto"/>
        </w:rPr>
      </w:pPr>
    </w:p>
    <w:p>
      <w:pPr>
        <w:jc w:val="both"/>
        <w:ind w:left="580" w:right="200"/>
        <w:spacing w:after="0" w:line="259" w:lineRule="auto"/>
        <w:rPr>
          <w:rFonts w:ascii="Arial" w:cs="Arial" w:eastAsia="Arial" w:hAnsi="Arial"/>
          <w:sz w:val="18"/>
          <w:szCs w:val="18"/>
          <w:color w:val="auto"/>
        </w:rPr>
      </w:pPr>
      <w:r>
        <w:rPr>
          <w:rFonts w:ascii="Arial" w:cs="Arial" w:eastAsia="Arial" w:hAnsi="Arial"/>
          <w:sz w:val="19"/>
          <w:szCs w:val="19"/>
          <w:color w:val="auto"/>
        </w:rPr>
        <w:t>The total number of shares subject to outstanding awards in the table above includes 262,680 shares on account of PSUs, at target, with the performance period ended December 31, 2024. The determination of achievement of performance results on such PSUs was performed by the MD&amp;C Committee in January 2025, and the Company exceeded target performance criteria on the TSR PSUs and the Cash Flow PSUs, yielding an overall 151.39% payout. A total of 261,344 shares of Common Stock were issued on account of such PSUs in January 2025, net of units deferred, of which 172,944 shares of Common Stock were included in the first column of the table above.</w:t>
      </w:r>
    </w:p>
    <w:p>
      <w:pPr>
        <w:spacing w:after="0" w:line="62" w:lineRule="exact"/>
        <w:rPr>
          <w:rFonts w:ascii="Arial" w:cs="Arial" w:eastAsia="Arial" w:hAnsi="Arial"/>
          <w:sz w:val="18"/>
          <w:szCs w:val="18"/>
          <w:color w:val="auto"/>
        </w:rPr>
      </w:pPr>
    </w:p>
    <w:p>
      <w:pPr>
        <w:jc w:val="both"/>
        <w:ind w:left="580" w:right="200"/>
        <w:spacing w:after="0" w:line="243" w:lineRule="auto"/>
        <w:rPr>
          <w:rFonts w:ascii="Arial" w:cs="Arial" w:eastAsia="Arial" w:hAnsi="Arial"/>
          <w:sz w:val="18"/>
          <w:szCs w:val="18"/>
          <w:color w:val="auto"/>
        </w:rPr>
      </w:pPr>
      <w:r>
        <w:rPr>
          <w:rFonts w:ascii="Arial" w:cs="Arial" w:eastAsia="Arial" w:hAnsi="Arial"/>
          <w:sz w:val="20"/>
          <w:szCs w:val="20"/>
          <w:color w:val="auto"/>
        </w:rPr>
        <w:t>Excludes purchase rights that accrue under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the purchase price is not yet known.</w:t>
      </w:r>
    </w:p>
    <w:p>
      <w:pPr>
        <w:spacing w:after="0" w:line="74" w:lineRule="exact"/>
        <w:rPr>
          <w:rFonts w:ascii="Arial" w:cs="Arial" w:eastAsia="Arial" w:hAnsi="Arial"/>
          <w:sz w:val="18"/>
          <w:szCs w:val="18"/>
          <w:color w:val="auto"/>
        </w:rPr>
      </w:pPr>
    </w:p>
    <w:p>
      <w:pPr>
        <w:ind w:left="580" w:right="200" w:hanging="402"/>
        <w:spacing w:after="0" w:line="239" w:lineRule="auto"/>
        <w:tabs>
          <w:tab w:leader="none" w:pos="5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Excludes PSUs and RSUs because those awards do not have exercise prices associated with them. Also excludes purchase rights under the ESPP for the reasons described in note (2) above.</w:t>
      </w:r>
    </w:p>
    <w:p>
      <w:pPr>
        <w:spacing w:after="0" w:line="76" w:lineRule="exact"/>
        <w:rPr>
          <w:rFonts w:ascii="Arial" w:cs="Arial" w:eastAsia="Arial" w:hAnsi="Arial"/>
          <w:sz w:val="20"/>
          <w:szCs w:val="20"/>
          <w:color w:val="auto"/>
        </w:rPr>
      </w:pPr>
    </w:p>
    <w:p>
      <w:pPr>
        <w:jc w:val="both"/>
        <w:ind w:left="580" w:right="200" w:hanging="402"/>
        <w:spacing w:after="0" w:line="261" w:lineRule="auto"/>
        <w:tabs>
          <w:tab w:leader="none" w:pos="5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shares remaining available include 1,387,827 shares under our ESPP and 13,537,307 shares under our 2023 Stock Incentive Plan, assuming payout of PSUs at maximum. Assuming payout of PSUs at target, the number of shares remaining available for issuance under our 2023 Stock Incentive Plan would be 14,365,849.</w:t>
      </w:r>
    </w:p>
    <w:p>
      <w:pPr>
        <w:spacing w:after="0" w:line="392"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58</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52">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53">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sectPr>
      </w:pPr>
    </w:p>
    <w:bookmarkStart w:id="64" w:name="page65"/>
    <w:bookmarkEnd w:id="64"/>
    <w:p>
      <w:pPr>
        <w:ind w:left="798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259"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PAY VERSUS PERFORMANCE</w:t>
      </w:r>
    </w:p>
    <w:p>
      <w:pPr>
        <w:spacing w:after="0" w:line="142" w:lineRule="exact"/>
        <w:rPr>
          <w:sz w:val="20"/>
          <w:szCs w:val="20"/>
          <w:color w:val="auto"/>
        </w:rPr>
      </w:pPr>
    </w:p>
    <w:p>
      <w:pPr>
        <w:jc w:val="both"/>
        <w:ind w:left="180" w:right="200"/>
        <w:spacing w:after="0" w:line="247" w:lineRule="auto"/>
        <w:rPr>
          <w:sz w:val="20"/>
          <w:szCs w:val="20"/>
          <w:color w:val="auto"/>
        </w:rPr>
      </w:pPr>
      <w:r>
        <w:rPr>
          <w:rFonts w:ascii="Arial" w:cs="Arial" w:eastAsia="Arial" w:hAnsi="Arial"/>
          <w:sz w:val="20"/>
          <w:szCs w:val="20"/>
          <w:color w:val="auto"/>
        </w:rPr>
        <w:t xml:space="preserve">We are required to calculate and present the following compensation information in the tabular format prescribed by the SEC. The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xml:space="preserve"> and other executive compensation tables above should be read in conjunction with this section to gain a complete understanding of our executive compensation philosophy, programs and decisions.</w:t>
      </w:r>
    </w:p>
    <w:p>
      <w:pPr>
        <w:spacing w:after="0" w:line="131" w:lineRule="exact"/>
        <w:rPr>
          <w:sz w:val="20"/>
          <w:szCs w:val="20"/>
          <w:color w:val="auto"/>
        </w:rPr>
      </w:pPr>
    </w:p>
    <w:p>
      <w:pPr>
        <w:jc w:val="both"/>
        <w:ind w:left="180" w:right="200"/>
        <w:spacing w:after="0" w:line="280" w:lineRule="auto"/>
        <w:rPr>
          <w:sz w:val="20"/>
          <w:szCs w:val="20"/>
          <w:color w:val="auto"/>
        </w:rPr>
      </w:pPr>
      <w:r>
        <w:rPr>
          <w:rFonts w:ascii="Arial" w:cs="Arial" w:eastAsia="Arial" w:hAnsi="Arial"/>
          <w:sz w:val="18"/>
          <w:szCs w:val="18"/>
          <w:color w:val="auto"/>
        </w:rPr>
        <w:t>The tables and discussion below refer to an SEC-prescribed calculation of compensation actually paid, referred to as “CAP”. However, CAP does not correlate to the total amount of compensation that the executive realized during the year. CAP is a detailed calculation that includes adjustments to Total Compensation as reported in the Summary Compensation Table (the “SCT”) to reflect the increase (or decrease) in value of equity compensation over the course of the year, including equity compensation granted in prior years and equity compensation remaining unvested as of year-end. The equity compensation values used to determine CAP are calculated in accordance with ASC Topic 718, based on various methodologies and assumptions. The amount of compensation that the executive will actually realize when such equity awards vest or options are exercised may be materially different from the amounts used in the CAP calculation.</w:t>
      </w:r>
    </w:p>
    <w:p>
      <w:pPr>
        <w:spacing w:after="0" w:line="104" w:lineRule="exact"/>
        <w:rPr>
          <w:sz w:val="20"/>
          <w:szCs w:val="20"/>
          <w:color w:val="auto"/>
        </w:rPr>
      </w:pPr>
    </w:p>
    <w:p>
      <w:pPr>
        <w:jc w:val="both"/>
        <w:ind w:left="180" w:right="200"/>
        <w:spacing w:after="0" w:line="249" w:lineRule="auto"/>
        <w:rPr>
          <w:sz w:val="20"/>
          <w:szCs w:val="20"/>
          <w:color w:val="auto"/>
        </w:rPr>
      </w:pPr>
      <w:r>
        <w:rPr>
          <w:rFonts w:ascii="Arial" w:cs="Arial" w:eastAsia="Arial" w:hAnsi="Arial"/>
          <w:sz w:val="20"/>
          <w:szCs w:val="20"/>
          <w:color w:val="auto"/>
        </w:rPr>
        <w:t xml:space="preserve">The table below includes our Operating EBITDA annual cash incentive performance measure as the Company Selected Measure (“CSM”) that management believes is the most important annual financial performance measure used to link executive pay and Company performance in 2024. This measure is also discussed in our </w:t>
      </w:r>
      <w:r>
        <w:rPr>
          <w:rFonts w:ascii="Arial" w:cs="Arial" w:eastAsia="Arial" w:hAnsi="Arial"/>
          <w:sz w:val="20"/>
          <w:szCs w:val="20"/>
          <w:i w:val="1"/>
          <w:iCs w:val="1"/>
          <w:color w:val="auto"/>
        </w:rPr>
        <w:t>Compensation Discussion and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Analysis </w:t>
      </w:r>
      <w:r>
        <w:rPr>
          <w:rFonts w:ascii="Arial" w:cs="Arial" w:eastAsia="Arial" w:hAnsi="Arial"/>
          <w:sz w:val="20"/>
          <w:szCs w:val="20"/>
          <w:color w:val="auto"/>
        </w:rPr>
        <w:t>and is generally defined as the Company’s income from operations, excluding depreciation, depletion and</w:t>
      </w:r>
      <w:r>
        <w:rPr>
          <w:rFonts w:ascii="Arial" w:cs="Arial" w:eastAsia="Arial" w:hAnsi="Arial"/>
          <w:sz w:val="20"/>
          <w:szCs w:val="20"/>
          <w:i w:val="1"/>
          <w:iCs w:val="1"/>
          <w:color w:val="auto"/>
        </w:rPr>
        <w:t xml:space="preserve"> </w:t>
      </w:r>
      <w:r>
        <w:rPr>
          <w:rFonts w:ascii="Arial" w:cs="Arial" w:eastAsia="Arial" w:hAnsi="Arial"/>
          <w:sz w:val="20"/>
          <w:szCs w:val="20"/>
          <w:color w:val="auto"/>
        </w:rPr>
        <w:t>amortization, “Restructuring” and “(Gain) Loss from Divestitures, Asset Impairments and Unusual Items, Net” reported in our Annual Report on Form 10-K, and also excluding the impacts of our recycling brokerage business. Operating EBITDA presented in this proxy statement is a non-GAAP measure and is defined differently than Operating EBITDA reported in the Company’s quarterly earnings press release. See Appendix A for approved adjustments to the Operating EBITDA incentive performance measure results and a reconciliation of this non-GAAP measure to the most comparable GAAP measure.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Pay Versus Performance Table</w:t>
      </w:r>
    </w:p>
    <w:p>
      <w:pPr>
        <w:spacing w:after="0" w:line="113"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16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E3C23"/>
                <w:w w:val="97"/>
              </w:rPr>
              <w:t>Value of Initial</w:t>
            </w: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60"/>
        </w:trPr>
        <w:tc>
          <w:tcPr>
            <w:tcW w:w="1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gridSpan w:val="2"/>
          </w:tcPr>
          <w:p>
            <w:pPr>
              <w:ind w:left="180"/>
              <w:spacing w:after="0" w:line="160" w:lineRule="exact"/>
              <w:rPr>
                <w:sz w:val="20"/>
                <w:szCs w:val="20"/>
                <w:color w:val="auto"/>
              </w:rPr>
            </w:pPr>
            <w:r>
              <w:rPr>
                <w:rFonts w:ascii="Arial" w:cs="Arial" w:eastAsia="Arial" w:hAnsi="Arial"/>
                <w:sz w:val="16"/>
                <w:szCs w:val="16"/>
                <w:b w:val="1"/>
                <w:bCs w:val="1"/>
                <w:color w:val="0E3C23"/>
              </w:rPr>
              <w:t>Fixed $100</w:t>
            </w: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1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gridSpan w:val="2"/>
          </w:tcPr>
          <w:p>
            <w:pPr>
              <w:ind w:left="180"/>
              <w:spacing w:after="0" w:line="150" w:lineRule="exact"/>
              <w:rPr>
                <w:sz w:val="20"/>
                <w:szCs w:val="20"/>
                <w:color w:val="auto"/>
              </w:rPr>
            </w:pPr>
            <w:r>
              <w:rPr>
                <w:rFonts w:ascii="Arial" w:cs="Arial" w:eastAsia="Arial" w:hAnsi="Arial"/>
                <w:sz w:val="16"/>
                <w:szCs w:val="16"/>
                <w:b w:val="1"/>
                <w:bCs w:val="1"/>
                <w:color w:val="0E3C23"/>
              </w:rPr>
              <w:t>Investment</w:t>
            </w: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5"/>
        </w:trPr>
        <w:tc>
          <w:tcPr>
            <w:tcW w:w="16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0E3C23"/>
                <w:w w:val="92"/>
              </w:rPr>
              <w:t>Average SCT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0E3C23"/>
              </w:rPr>
              <w:t>Average</w:t>
            </w:r>
          </w:p>
        </w:tc>
        <w:tc>
          <w:tcPr>
            <w:tcW w:w="1140" w:type="dxa"/>
            <w:vAlign w:val="bottom"/>
            <w:tcBorders>
              <w:bottom w:val="single" w:sz="8" w:color="0E3C23"/>
            </w:tcBorders>
            <w:gridSpan w:val="2"/>
          </w:tcPr>
          <w:p>
            <w:pPr>
              <w:jc w:val="right"/>
              <w:ind w:right="69"/>
              <w:spacing w:after="0" w:line="217" w:lineRule="exact"/>
              <w:rPr>
                <w:sz w:val="20"/>
                <w:szCs w:val="20"/>
                <w:color w:val="auto"/>
              </w:rPr>
            </w:pPr>
            <w:r>
              <w:rPr>
                <w:rFonts w:ascii="Arial" w:cs="Arial" w:eastAsia="Arial" w:hAnsi="Arial"/>
                <w:sz w:val="16"/>
                <w:szCs w:val="16"/>
                <w:b w:val="1"/>
                <w:bCs w:val="1"/>
                <w:color w:val="0E3C23"/>
              </w:rPr>
              <w:t>Based on:</w:t>
            </w:r>
            <w:r>
              <w:rPr>
                <w:rFonts w:ascii="Arial" w:cs="Arial" w:eastAsia="Arial" w:hAnsi="Arial"/>
                <w:sz w:val="19"/>
                <w:szCs w:val="19"/>
                <w:b w:val="1"/>
                <w:bCs w:val="1"/>
                <w:color w:val="0E3C23"/>
                <w:vertAlign w:val="superscript"/>
              </w:rPr>
              <w:t>(3)</w:t>
            </w: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60"/>
        </w:trPr>
        <w:tc>
          <w:tcPr>
            <w:tcW w:w="1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Total for</w:t>
            </w:r>
          </w:p>
        </w:tc>
        <w:tc>
          <w:tcPr>
            <w:tcW w:w="104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Non-CEO</w:t>
            </w:r>
          </w:p>
        </w:tc>
        <w:tc>
          <w:tcPr>
            <w:tcW w:w="560" w:type="dxa"/>
            <w:vAlign w:val="bottom"/>
          </w:tcPr>
          <w:p>
            <w:pPr>
              <w:spacing w:after="0"/>
              <w:rPr>
                <w:sz w:val="13"/>
                <w:szCs w:val="13"/>
                <w:color w:val="auto"/>
              </w:rPr>
            </w:pPr>
          </w:p>
        </w:tc>
        <w:tc>
          <w:tcPr>
            <w:tcW w:w="58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Peer</w:t>
            </w:r>
          </w:p>
        </w:tc>
        <w:tc>
          <w:tcPr>
            <w:tcW w:w="1040" w:type="dxa"/>
            <w:vAlign w:val="bottom"/>
          </w:tcPr>
          <w:p>
            <w:pPr>
              <w:spacing w:after="0"/>
              <w:rPr>
                <w:sz w:val="13"/>
                <w:szCs w:val="13"/>
                <w:color w:val="auto"/>
              </w:rPr>
            </w:pPr>
          </w:p>
        </w:tc>
        <w:tc>
          <w:tcPr>
            <w:tcW w:w="1040" w:type="dxa"/>
            <w:vAlign w:val="bottom"/>
          </w:tcPr>
          <w:p>
            <w:pPr>
              <w:jc w:val="right"/>
              <w:spacing w:after="0" w:line="160" w:lineRule="exact"/>
              <w:rPr>
                <w:sz w:val="20"/>
                <w:szCs w:val="20"/>
                <w:color w:val="auto"/>
              </w:rPr>
            </w:pPr>
            <w:r>
              <w:rPr>
                <w:rFonts w:ascii="Arial" w:cs="Arial" w:eastAsia="Arial" w:hAnsi="Arial"/>
                <w:sz w:val="16"/>
                <w:szCs w:val="16"/>
                <w:b w:val="1"/>
                <w:bCs w:val="1"/>
                <w:color w:val="0E3C23"/>
              </w:rPr>
              <w:t>CSM:</w:t>
            </w:r>
          </w:p>
        </w:tc>
      </w:tr>
      <w:tr>
        <w:trPr>
          <w:trHeight w:val="150"/>
        </w:trPr>
        <w:tc>
          <w:tcPr>
            <w:tcW w:w="1600" w:type="dxa"/>
            <w:vAlign w:val="bottom"/>
          </w:tcPr>
          <w:p>
            <w:pPr>
              <w:spacing w:after="0"/>
              <w:rPr>
                <w:sz w:val="13"/>
                <w:szCs w:val="13"/>
                <w:color w:val="auto"/>
              </w:rPr>
            </w:pPr>
          </w:p>
        </w:tc>
        <w:tc>
          <w:tcPr>
            <w:tcW w:w="2120" w:type="dxa"/>
            <w:vAlign w:val="bottom"/>
          </w:tcPr>
          <w:p>
            <w:pPr>
              <w:jc w:val="right"/>
              <w:spacing w:after="0" w:line="150" w:lineRule="exact"/>
              <w:rPr>
                <w:sz w:val="20"/>
                <w:szCs w:val="20"/>
                <w:color w:val="auto"/>
              </w:rPr>
            </w:pPr>
            <w:r>
              <w:rPr>
                <w:rFonts w:ascii="Arial" w:cs="Arial" w:eastAsia="Arial" w:hAnsi="Arial"/>
                <w:sz w:val="16"/>
                <w:szCs w:val="16"/>
                <w:b w:val="1"/>
                <w:bCs w:val="1"/>
                <w:color w:val="0E3C23"/>
              </w:rPr>
              <w:t>SCT Total</w:t>
            </w:r>
          </w:p>
        </w:tc>
        <w:tc>
          <w:tcPr>
            <w:tcW w:w="1040" w:type="dxa"/>
            <w:vAlign w:val="bottom"/>
          </w:tcPr>
          <w:p>
            <w:pPr>
              <w:spacing w:after="0"/>
              <w:rPr>
                <w:sz w:val="13"/>
                <w:szCs w:val="13"/>
                <w:color w:val="auto"/>
              </w:rPr>
            </w:pPr>
          </w:p>
        </w:tc>
        <w:tc>
          <w:tcPr>
            <w:tcW w:w="1040" w:type="dxa"/>
            <w:vAlign w:val="bottom"/>
          </w:tcPr>
          <w:p>
            <w:pPr>
              <w:jc w:val="right"/>
              <w:spacing w:after="0" w:line="150" w:lineRule="exact"/>
              <w:rPr>
                <w:sz w:val="20"/>
                <w:szCs w:val="20"/>
                <w:color w:val="auto"/>
              </w:rPr>
            </w:pPr>
            <w:r>
              <w:rPr>
                <w:rFonts w:ascii="Arial" w:cs="Arial" w:eastAsia="Arial" w:hAnsi="Arial"/>
                <w:sz w:val="16"/>
                <w:szCs w:val="16"/>
                <w:b w:val="1"/>
                <w:bCs w:val="1"/>
                <w:color w:val="0E3C23"/>
              </w:rPr>
              <w:t>Non-CEO</w:t>
            </w:r>
          </w:p>
        </w:tc>
        <w:tc>
          <w:tcPr>
            <w:tcW w:w="1040" w:type="dxa"/>
            <w:vAlign w:val="bottom"/>
          </w:tcPr>
          <w:p>
            <w:pPr>
              <w:jc w:val="right"/>
              <w:spacing w:after="0" w:line="150" w:lineRule="exact"/>
              <w:rPr>
                <w:sz w:val="20"/>
                <w:szCs w:val="20"/>
                <w:color w:val="auto"/>
              </w:rPr>
            </w:pPr>
            <w:r>
              <w:rPr>
                <w:rFonts w:ascii="Arial" w:cs="Arial" w:eastAsia="Arial" w:hAnsi="Arial"/>
                <w:sz w:val="16"/>
                <w:szCs w:val="16"/>
                <w:b w:val="1"/>
                <w:bCs w:val="1"/>
                <w:color w:val="0E3C23"/>
              </w:rPr>
              <w:t>NEOs</w:t>
            </w:r>
          </w:p>
        </w:tc>
        <w:tc>
          <w:tcPr>
            <w:tcW w:w="560" w:type="dxa"/>
            <w:vAlign w:val="bottom"/>
          </w:tcPr>
          <w:p>
            <w:pPr>
              <w:ind w:left="200"/>
              <w:spacing w:after="0" w:line="150" w:lineRule="exact"/>
              <w:rPr>
                <w:sz w:val="20"/>
                <w:szCs w:val="20"/>
                <w:color w:val="auto"/>
              </w:rPr>
            </w:pPr>
            <w:r>
              <w:rPr>
                <w:rFonts w:ascii="Arial" w:cs="Arial" w:eastAsia="Arial" w:hAnsi="Arial"/>
                <w:sz w:val="16"/>
                <w:szCs w:val="16"/>
                <w:b w:val="1"/>
                <w:bCs w:val="1"/>
                <w:color w:val="0E3C23"/>
              </w:rPr>
              <w:t>WM</w:t>
            </w:r>
          </w:p>
        </w:tc>
        <w:tc>
          <w:tcPr>
            <w:tcW w:w="580" w:type="dxa"/>
            <w:vAlign w:val="bottom"/>
          </w:tcPr>
          <w:p>
            <w:pPr>
              <w:jc w:val="right"/>
              <w:spacing w:after="0" w:line="150" w:lineRule="exact"/>
              <w:rPr>
                <w:sz w:val="20"/>
                <w:szCs w:val="20"/>
                <w:color w:val="auto"/>
              </w:rPr>
            </w:pPr>
            <w:r>
              <w:rPr>
                <w:rFonts w:ascii="Arial" w:cs="Arial" w:eastAsia="Arial" w:hAnsi="Arial"/>
                <w:sz w:val="16"/>
                <w:szCs w:val="16"/>
                <w:b w:val="1"/>
                <w:bCs w:val="1"/>
                <w:color w:val="0E3C23"/>
              </w:rPr>
              <w:t>Group</w:t>
            </w:r>
          </w:p>
        </w:tc>
        <w:tc>
          <w:tcPr>
            <w:tcW w:w="1040" w:type="dxa"/>
            <w:vAlign w:val="bottom"/>
          </w:tcPr>
          <w:p>
            <w:pPr>
              <w:spacing w:after="0"/>
              <w:rPr>
                <w:sz w:val="13"/>
                <w:szCs w:val="13"/>
                <w:color w:val="auto"/>
              </w:rPr>
            </w:pPr>
          </w:p>
        </w:tc>
        <w:tc>
          <w:tcPr>
            <w:tcW w:w="1040" w:type="dxa"/>
            <w:vAlign w:val="bottom"/>
          </w:tcPr>
          <w:p>
            <w:pPr>
              <w:ind w:left="280"/>
              <w:spacing w:after="0" w:line="150" w:lineRule="exact"/>
              <w:rPr>
                <w:sz w:val="20"/>
                <w:szCs w:val="20"/>
                <w:color w:val="auto"/>
              </w:rPr>
            </w:pPr>
            <w:r>
              <w:rPr>
                <w:rFonts w:ascii="Arial" w:cs="Arial" w:eastAsia="Arial" w:hAnsi="Arial"/>
                <w:sz w:val="16"/>
                <w:szCs w:val="16"/>
                <w:b w:val="1"/>
                <w:bCs w:val="1"/>
                <w:color w:val="0E3C23"/>
                <w:w w:val="97"/>
              </w:rPr>
              <w:t>Operating</w:t>
            </w:r>
          </w:p>
        </w:tc>
      </w:tr>
      <w:tr>
        <w:trPr>
          <w:trHeight w:val="169"/>
        </w:trPr>
        <w:tc>
          <w:tcPr>
            <w:tcW w:w="1600" w:type="dxa"/>
            <w:vAlign w:val="bottom"/>
          </w:tcPr>
          <w:p>
            <w:pPr>
              <w:spacing w:after="0"/>
              <w:rPr>
                <w:sz w:val="14"/>
                <w:szCs w:val="14"/>
                <w:color w:val="auto"/>
              </w:rPr>
            </w:pPr>
          </w:p>
        </w:tc>
        <w:tc>
          <w:tcPr>
            <w:tcW w:w="2120" w:type="dxa"/>
            <w:vAlign w:val="bottom"/>
          </w:tcPr>
          <w:p>
            <w:pPr>
              <w:jc w:val="right"/>
              <w:spacing w:after="0" w:line="169" w:lineRule="exact"/>
              <w:rPr>
                <w:sz w:val="20"/>
                <w:szCs w:val="20"/>
                <w:color w:val="auto"/>
              </w:rPr>
            </w:pPr>
            <w:r>
              <w:rPr>
                <w:rFonts w:ascii="Arial" w:cs="Arial" w:eastAsia="Arial" w:hAnsi="Arial"/>
                <w:sz w:val="16"/>
                <w:szCs w:val="16"/>
                <w:b w:val="1"/>
                <w:bCs w:val="1"/>
                <w:color w:val="0E3C23"/>
              </w:rPr>
              <w:t>to CEO</w:t>
            </w:r>
            <w:r>
              <w:rPr>
                <w:rFonts w:ascii="Arial" w:cs="Arial" w:eastAsia="Arial" w:hAnsi="Arial"/>
                <w:sz w:val="19"/>
                <w:szCs w:val="19"/>
                <w:b w:val="1"/>
                <w:bCs w:val="1"/>
                <w:color w:val="0E3C23"/>
                <w:vertAlign w:val="superscript"/>
              </w:rPr>
              <w:t>(1)</w:t>
            </w:r>
          </w:p>
        </w:tc>
        <w:tc>
          <w:tcPr>
            <w:tcW w:w="1040" w:type="dxa"/>
            <w:vAlign w:val="bottom"/>
          </w:tcPr>
          <w:p>
            <w:pPr>
              <w:jc w:val="right"/>
              <w:spacing w:after="0" w:line="169" w:lineRule="exact"/>
              <w:rPr>
                <w:sz w:val="20"/>
                <w:szCs w:val="20"/>
                <w:color w:val="auto"/>
              </w:rPr>
            </w:pPr>
            <w:r>
              <w:rPr>
                <w:rFonts w:ascii="Arial" w:cs="Arial" w:eastAsia="Arial" w:hAnsi="Arial"/>
                <w:sz w:val="16"/>
                <w:szCs w:val="16"/>
                <w:b w:val="1"/>
                <w:bCs w:val="1"/>
                <w:color w:val="0E3C23"/>
                <w:w w:val="92"/>
              </w:rPr>
              <w:t>CEO CAP</w:t>
            </w:r>
            <w:r>
              <w:rPr>
                <w:rFonts w:ascii="Arial" w:cs="Arial" w:eastAsia="Arial" w:hAnsi="Arial"/>
                <w:sz w:val="19"/>
                <w:szCs w:val="19"/>
                <w:b w:val="1"/>
                <w:bCs w:val="1"/>
                <w:color w:val="0E3C23"/>
                <w:w w:val="92"/>
                <w:vertAlign w:val="superscript"/>
              </w:rPr>
              <w:t>(1)(2)</w:t>
            </w:r>
          </w:p>
        </w:tc>
        <w:tc>
          <w:tcPr>
            <w:tcW w:w="1040" w:type="dxa"/>
            <w:vAlign w:val="bottom"/>
          </w:tcPr>
          <w:p>
            <w:pPr>
              <w:jc w:val="right"/>
              <w:spacing w:after="0" w:line="169" w:lineRule="exact"/>
              <w:rPr>
                <w:sz w:val="20"/>
                <w:szCs w:val="20"/>
                <w:color w:val="auto"/>
              </w:rPr>
            </w:pPr>
            <w:r>
              <w:rPr>
                <w:rFonts w:ascii="Arial" w:cs="Arial" w:eastAsia="Arial" w:hAnsi="Arial"/>
                <w:sz w:val="16"/>
                <w:szCs w:val="16"/>
                <w:b w:val="1"/>
                <w:bCs w:val="1"/>
                <w:color w:val="0E3C23"/>
              </w:rPr>
              <w:t>NEOs</w:t>
            </w:r>
            <w:r>
              <w:rPr>
                <w:rFonts w:ascii="Arial" w:cs="Arial" w:eastAsia="Arial" w:hAnsi="Arial"/>
                <w:sz w:val="19"/>
                <w:szCs w:val="19"/>
                <w:b w:val="1"/>
                <w:bCs w:val="1"/>
                <w:color w:val="0E3C23"/>
                <w:vertAlign w:val="superscript"/>
              </w:rPr>
              <w:t>(1)</w:t>
            </w:r>
          </w:p>
        </w:tc>
        <w:tc>
          <w:tcPr>
            <w:tcW w:w="1040" w:type="dxa"/>
            <w:vAlign w:val="bottom"/>
          </w:tcPr>
          <w:p>
            <w:pPr>
              <w:jc w:val="right"/>
              <w:spacing w:after="0" w:line="169" w:lineRule="exact"/>
              <w:rPr>
                <w:sz w:val="20"/>
                <w:szCs w:val="20"/>
                <w:color w:val="auto"/>
              </w:rPr>
            </w:pPr>
            <w:r>
              <w:rPr>
                <w:rFonts w:ascii="Arial" w:cs="Arial" w:eastAsia="Arial" w:hAnsi="Arial"/>
                <w:sz w:val="19"/>
                <w:szCs w:val="19"/>
                <w:b w:val="1"/>
                <w:bCs w:val="1"/>
                <w:color w:val="0E3C23"/>
                <w:vertAlign w:val="subscript"/>
              </w:rPr>
              <w:t>CAP</w:t>
            </w:r>
            <w:r>
              <w:rPr>
                <w:rFonts w:ascii="Arial" w:cs="Arial" w:eastAsia="Arial" w:hAnsi="Arial"/>
                <w:sz w:val="8"/>
                <w:szCs w:val="8"/>
                <w:b w:val="1"/>
                <w:bCs w:val="1"/>
                <w:color w:val="0E3C23"/>
              </w:rPr>
              <w:t>(1)(2)</w:t>
            </w:r>
          </w:p>
        </w:tc>
        <w:tc>
          <w:tcPr>
            <w:tcW w:w="560" w:type="dxa"/>
            <w:vAlign w:val="bottom"/>
          </w:tcPr>
          <w:p>
            <w:pPr>
              <w:ind w:left="180"/>
              <w:spacing w:after="0" w:line="169" w:lineRule="exact"/>
              <w:rPr>
                <w:sz w:val="20"/>
                <w:szCs w:val="20"/>
                <w:color w:val="auto"/>
              </w:rPr>
            </w:pPr>
            <w:r>
              <w:rPr>
                <w:rFonts w:ascii="Arial" w:cs="Arial" w:eastAsia="Arial" w:hAnsi="Arial"/>
                <w:sz w:val="16"/>
                <w:szCs w:val="16"/>
                <w:b w:val="1"/>
                <w:bCs w:val="1"/>
                <w:color w:val="0E3C23"/>
              </w:rPr>
              <w:t>TSR</w:t>
            </w:r>
          </w:p>
        </w:tc>
        <w:tc>
          <w:tcPr>
            <w:tcW w:w="580" w:type="dxa"/>
            <w:vAlign w:val="bottom"/>
          </w:tcPr>
          <w:p>
            <w:pPr>
              <w:jc w:val="right"/>
              <w:spacing w:after="0" w:line="169" w:lineRule="exact"/>
              <w:rPr>
                <w:sz w:val="20"/>
                <w:szCs w:val="20"/>
                <w:color w:val="auto"/>
              </w:rPr>
            </w:pPr>
            <w:r>
              <w:rPr>
                <w:rFonts w:ascii="Arial" w:cs="Arial" w:eastAsia="Arial" w:hAnsi="Arial"/>
                <w:sz w:val="16"/>
                <w:szCs w:val="16"/>
                <w:b w:val="1"/>
                <w:bCs w:val="1"/>
                <w:color w:val="0E3C23"/>
              </w:rPr>
              <w:t>TSR</w:t>
            </w:r>
          </w:p>
        </w:tc>
        <w:tc>
          <w:tcPr>
            <w:tcW w:w="1040" w:type="dxa"/>
            <w:vAlign w:val="bottom"/>
          </w:tcPr>
          <w:p>
            <w:pPr>
              <w:ind w:left="180"/>
              <w:spacing w:after="0" w:line="169" w:lineRule="exact"/>
              <w:rPr>
                <w:sz w:val="20"/>
                <w:szCs w:val="20"/>
                <w:color w:val="auto"/>
              </w:rPr>
            </w:pPr>
            <w:r>
              <w:rPr>
                <w:rFonts w:ascii="Arial" w:cs="Arial" w:eastAsia="Arial" w:hAnsi="Arial"/>
                <w:sz w:val="16"/>
                <w:szCs w:val="16"/>
                <w:b w:val="1"/>
                <w:bCs w:val="1"/>
                <w:color w:val="0E3C23"/>
                <w:w w:val="97"/>
              </w:rPr>
              <w:t>Net Income</w:t>
            </w:r>
          </w:p>
        </w:tc>
        <w:tc>
          <w:tcPr>
            <w:tcW w:w="1040" w:type="dxa"/>
            <w:vAlign w:val="bottom"/>
          </w:tcPr>
          <w:p>
            <w:pPr>
              <w:jc w:val="right"/>
              <w:spacing w:after="0" w:line="169" w:lineRule="exact"/>
              <w:rPr>
                <w:sz w:val="20"/>
                <w:szCs w:val="20"/>
                <w:color w:val="auto"/>
              </w:rPr>
            </w:pPr>
            <w:r>
              <w:rPr>
                <w:rFonts w:ascii="Arial" w:cs="Arial" w:eastAsia="Arial" w:hAnsi="Arial"/>
                <w:sz w:val="16"/>
                <w:szCs w:val="16"/>
                <w:b w:val="1"/>
                <w:bCs w:val="1"/>
                <w:color w:val="0E3C23"/>
              </w:rPr>
              <w:t>EBITDA</w:t>
            </w:r>
          </w:p>
        </w:tc>
      </w:tr>
      <w:tr>
        <w:trPr>
          <w:trHeight w:val="184"/>
        </w:trPr>
        <w:tc>
          <w:tcPr>
            <w:tcW w:w="1600" w:type="dxa"/>
            <w:vAlign w:val="bottom"/>
          </w:tcPr>
          <w:p>
            <w:pPr>
              <w:ind w:left="60"/>
              <w:spacing w:after="0"/>
              <w:rPr>
                <w:sz w:val="20"/>
                <w:szCs w:val="20"/>
                <w:color w:val="auto"/>
              </w:rPr>
            </w:pPr>
            <w:r>
              <w:rPr>
                <w:rFonts w:ascii="Arial" w:cs="Arial" w:eastAsia="Arial" w:hAnsi="Arial"/>
                <w:sz w:val="16"/>
                <w:szCs w:val="16"/>
                <w:b w:val="1"/>
                <w:bCs w:val="1"/>
                <w:color w:val="0E3C23"/>
              </w:rPr>
              <w:t>Year</w:t>
            </w:r>
          </w:p>
        </w:tc>
        <w:tc>
          <w:tcPr>
            <w:tcW w:w="2120" w:type="dxa"/>
            <w:vAlign w:val="bottom"/>
          </w:tcPr>
          <w:p>
            <w:pPr>
              <w:jc w:val="right"/>
              <w:spacing w:after="0"/>
              <w:rPr>
                <w:sz w:val="20"/>
                <w:szCs w:val="20"/>
                <w:color w:val="auto"/>
              </w:rPr>
            </w:pPr>
            <w:r>
              <w:rPr>
                <w:rFonts w:ascii="Arial" w:cs="Arial" w:eastAsia="Arial" w:hAnsi="Arial"/>
                <w:sz w:val="16"/>
                <w:szCs w:val="16"/>
                <w:b w:val="1"/>
                <w:bCs w:val="1"/>
                <w:color w:val="0E3C23"/>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0E3C23"/>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0E3C23"/>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0E3C23"/>
              </w:rPr>
              <w:t>($)</w:t>
            </w:r>
          </w:p>
        </w:tc>
        <w:tc>
          <w:tcPr>
            <w:tcW w:w="560" w:type="dxa"/>
            <w:vAlign w:val="bottom"/>
          </w:tcPr>
          <w:p>
            <w:pPr>
              <w:jc w:val="right"/>
              <w:ind w:right="12"/>
              <w:spacing w:after="0"/>
              <w:rPr>
                <w:sz w:val="20"/>
                <w:szCs w:val="20"/>
                <w:color w:val="auto"/>
              </w:rPr>
            </w:pPr>
            <w:r>
              <w:rPr>
                <w:rFonts w:ascii="Arial" w:cs="Arial" w:eastAsia="Arial" w:hAnsi="Arial"/>
                <w:sz w:val="16"/>
                <w:szCs w:val="16"/>
                <w:b w:val="1"/>
                <w:bCs w:val="1"/>
                <w:color w:val="0E3C23"/>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0E3C23"/>
              </w:rPr>
              <w: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0E3C23"/>
                <w:w w:val="93"/>
              </w:rPr>
              <w:t>($ in billions)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0E3C23"/>
                <w:w w:val="97"/>
              </w:rPr>
              <w:t>($ in billions)</w:t>
            </w:r>
          </w:p>
        </w:tc>
      </w:tr>
      <w:tr>
        <w:trPr>
          <w:trHeight w:val="24"/>
        </w:trPr>
        <w:tc>
          <w:tcPr>
            <w:tcW w:w="1600" w:type="dxa"/>
            <w:vAlign w:val="bottom"/>
            <w:tcBorders>
              <w:bottom w:val="single" w:sz="8" w:color="0E3C23"/>
            </w:tcBorders>
          </w:tcPr>
          <w:p>
            <w:pPr>
              <w:spacing w:after="0"/>
              <w:rPr>
                <w:sz w:val="2"/>
                <w:szCs w:val="2"/>
                <w:color w:val="auto"/>
              </w:rPr>
            </w:pPr>
          </w:p>
        </w:tc>
        <w:tc>
          <w:tcPr>
            <w:tcW w:w="2120" w:type="dxa"/>
            <w:vAlign w:val="bottom"/>
            <w:tcBorders>
              <w:bottom w:val="single" w:sz="8" w:color="0E3C23"/>
            </w:tcBorders>
          </w:tcPr>
          <w:p>
            <w:pPr>
              <w:spacing w:after="0"/>
              <w:rPr>
                <w:sz w:val="2"/>
                <w:szCs w:val="2"/>
                <w:color w:val="auto"/>
              </w:rPr>
            </w:pPr>
          </w:p>
        </w:tc>
        <w:tc>
          <w:tcPr>
            <w:tcW w:w="1040" w:type="dxa"/>
            <w:vAlign w:val="bottom"/>
            <w:tcBorders>
              <w:bottom w:val="single" w:sz="8" w:color="0E3C23"/>
            </w:tcBorders>
          </w:tcPr>
          <w:p>
            <w:pPr>
              <w:spacing w:after="0"/>
              <w:rPr>
                <w:sz w:val="2"/>
                <w:szCs w:val="2"/>
                <w:color w:val="auto"/>
              </w:rPr>
            </w:pPr>
          </w:p>
        </w:tc>
        <w:tc>
          <w:tcPr>
            <w:tcW w:w="1040" w:type="dxa"/>
            <w:vAlign w:val="bottom"/>
            <w:tcBorders>
              <w:bottom w:val="single" w:sz="8" w:color="0E3C23"/>
            </w:tcBorders>
          </w:tcPr>
          <w:p>
            <w:pPr>
              <w:spacing w:after="0"/>
              <w:rPr>
                <w:sz w:val="2"/>
                <w:szCs w:val="2"/>
                <w:color w:val="auto"/>
              </w:rPr>
            </w:pPr>
          </w:p>
        </w:tc>
        <w:tc>
          <w:tcPr>
            <w:tcW w:w="1040" w:type="dxa"/>
            <w:vAlign w:val="bottom"/>
            <w:tcBorders>
              <w:bottom w:val="single" w:sz="8" w:color="0E3C23"/>
            </w:tcBorders>
          </w:tcPr>
          <w:p>
            <w:pPr>
              <w:spacing w:after="0"/>
              <w:rPr>
                <w:sz w:val="2"/>
                <w:szCs w:val="2"/>
                <w:color w:val="auto"/>
              </w:rPr>
            </w:pPr>
          </w:p>
        </w:tc>
        <w:tc>
          <w:tcPr>
            <w:tcW w:w="560" w:type="dxa"/>
            <w:vAlign w:val="bottom"/>
            <w:tcBorders>
              <w:bottom w:val="single" w:sz="8" w:color="0E3C23"/>
            </w:tcBorders>
          </w:tcPr>
          <w:p>
            <w:pPr>
              <w:spacing w:after="0"/>
              <w:rPr>
                <w:sz w:val="2"/>
                <w:szCs w:val="2"/>
                <w:color w:val="auto"/>
              </w:rPr>
            </w:pPr>
          </w:p>
        </w:tc>
        <w:tc>
          <w:tcPr>
            <w:tcW w:w="580" w:type="dxa"/>
            <w:vAlign w:val="bottom"/>
            <w:tcBorders>
              <w:bottom w:val="single" w:sz="8" w:color="0E3C23"/>
            </w:tcBorders>
          </w:tcPr>
          <w:p>
            <w:pPr>
              <w:spacing w:after="0"/>
              <w:rPr>
                <w:sz w:val="2"/>
                <w:szCs w:val="2"/>
                <w:color w:val="auto"/>
              </w:rPr>
            </w:pPr>
          </w:p>
        </w:tc>
        <w:tc>
          <w:tcPr>
            <w:tcW w:w="1040" w:type="dxa"/>
            <w:vAlign w:val="bottom"/>
            <w:tcBorders>
              <w:bottom w:val="single" w:sz="8" w:color="0E3C23"/>
            </w:tcBorders>
          </w:tcPr>
          <w:p>
            <w:pPr>
              <w:spacing w:after="0"/>
              <w:rPr>
                <w:sz w:val="2"/>
                <w:szCs w:val="2"/>
                <w:color w:val="auto"/>
              </w:rPr>
            </w:pPr>
          </w:p>
        </w:tc>
        <w:tc>
          <w:tcPr>
            <w:tcW w:w="1040" w:type="dxa"/>
            <w:vAlign w:val="bottom"/>
            <w:tcBorders>
              <w:bottom w:val="single" w:sz="8" w:color="0E3C23"/>
            </w:tcBorders>
          </w:tcPr>
          <w:p>
            <w:pPr>
              <w:spacing w:after="0"/>
              <w:rPr>
                <w:sz w:val="2"/>
                <w:szCs w:val="2"/>
                <w:color w:val="auto"/>
              </w:rPr>
            </w:pPr>
          </w:p>
        </w:tc>
      </w:tr>
      <w:tr>
        <w:trPr>
          <w:trHeight w:val="244"/>
        </w:trPr>
        <w:tc>
          <w:tcPr>
            <w:tcW w:w="1600" w:type="dxa"/>
            <w:vAlign w:val="bottom"/>
            <w:tcBorders>
              <w:bottom w:val="single" w:sz="8" w:color="0E3C23"/>
            </w:tcBorders>
          </w:tcPr>
          <w:p>
            <w:pPr>
              <w:ind w:left="60"/>
              <w:spacing w:after="0"/>
              <w:rPr>
                <w:sz w:val="20"/>
                <w:szCs w:val="20"/>
                <w:color w:val="auto"/>
              </w:rPr>
            </w:pPr>
            <w:r>
              <w:rPr>
                <w:rFonts w:ascii="Arial" w:cs="Arial" w:eastAsia="Arial" w:hAnsi="Arial"/>
                <w:sz w:val="20"/>
                <w:szCs w:val="20"/>
                <w:color w:val="auto"/>
              </w:rPr>
              <w:t>2024</w:t>
            </w:r>
          </w:p>
        </w:tc>
        <w:tc>
          <w:tcPr>
            <w:tcW w:w="212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17,097,120</w:t>
            </w:r>
          </w:p>
        </w:tc>
        <w:tc>
          <w:tcPr>
            <w:tcW w:w="104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w w:val="95"/>
              </w:rPr>
              <w:t>24,501,038</w:t>
            </w:r>
          </w:p>
        </w:tc>
        <w:tc>
          <w:tcPr>
            <w:tcW w:w="1040" w:type="dxa"/>
            <w:vAlign w:val="bottom"/>
            <w:tcBorders>
              <w:bottom w:val="single" w:sz="8" w:color="0E3C23"/>
            </w:tcBorders>
          </w:tcPr>
          <w:p>
            <w:pPr>
              <w:jc w:val="center"/>
              <w:spacing w:after="0"/>
              <w:rPr>
                <w:sz w:val="20"/>
                <w:szCs w:val="20"/>
                <w:color w:val="auto"/>
              </w:rPr>
            </w:pPr>
            <w:r>
              <w:rPr>
                <w:rFonts w:ascii="Arial" w:cs="Arial" w:eastAsia="Arial" w:hAnsi="Arial"/>
                <w:sz w:val="20"/>
                <w:szCs w:val="20"/>
                <w:color w:val="auto"/>
                <w:w w:val="94"/>
              </w:rPr>
              <w:t>4,851,561</w:t>
            </w:r>
          </w:p>
        </w:tc>
        <w:tc>
          <w:tcPr>
            <w:tcW w:w="104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6,672,509</w:t>
            </w:r>
          </w:p>
        </w:tc>
        <w:tc>
          <w:tcPr>
            <w:tcW w:w="560" w:type="dxa"/>
            <w:vAlign w:val="bottom"/>
            <w:tcBorders>
              <w:bottom w:val="single" w:sz="8" w:color="0E3C23"/>
            </w:tcBorders>
          </w:tcPr>
          <w:p>
            <w:pPr>
              <w:jc w:val="right"/>
              <w:ind w:right="52"/>
              <w:spacing w:after="0"/>
              <w:rPr>
                <w:sz w:val="20"/>
                <w:szCs w:val="20"/>
                <w:color w:val="auto"/>
              </w:rPr>
            </w:pPr>
            <w:r>
              <w:rPr>
                <w:rFonts w:ascii="Arial" w:cs="Arial" w:eastAsia="Arial" w:hAnsi="Arial"/>
                <w:sz w:val="20"/>
                <w:szCs w:val="20"/>
                <w:color w:val="auto"/>
              </w:rPr>
              <w:t>192</w:t>
            </w:r>
          </w:p>
        </w:tc>
        <w:tc>
          <w:tcPr>
            <w:tcW w:w="580" w:type="dxa"/>
            <w:vAlign w:val="bottom"/>
            <w:tcBorders>
              <w:bottom w:val="single" w:sz="8" w:color="0E3C23"/>
            </w:tcBorders>
          </w:tcPr>
          <w:p>
            <w:pPr>
              <w:jc w:val="right"/>
              <w:ind w:right="69"/>
              <w:spacing w:after="0"/>
              <w:rPr>
                <w:sz w:val="20"/>
                <w:szCs w:val="20"/>
                <w:color w:val="auto"/>
              </w:rPr>
            </w:pPr>
            <w:r>
              <w:rPr>
                <w:rFonts w:ascii="Arial" w:cs="Arial" w:eastAsia="Arial" w:hAnsi="Arial"/>
                <w:sz w:val="20"/>
                <w:szCs w:val="20"/>
                <w:color w:val="auto"/>
              </w:rPr>
              <w:t>198</w:t>
            </w:r>
          </w:p>
        </w:tc>
        <w:tc>
          <w:tcPr>
            <w:tcW w:w="1040" w:type="dxa"/>
            <w:vAlign w:val="bottom"/>
            <w:tcBorders>
              <w:bottom w:val="single" w:sz="8" w:color="0E3C23"/>
            </w:tcBorders>
          </w:tcPr>
          <w:p>
            <w:pPr>
              <w:jc w:val="center"/>
              <w:spacing w:after="0"/>
              <w:rPr>
                <w:sz w:val="20"/>
                <w:szCs w:val="20"/>
                <w:color w:val="auto"/>
              </w:rPr>
            </w:pPr>
            <w:r>
              <w:rPr>
                <w:rFonts w:ascii="Arial" w:cs="Arial" w:eastAsia="Arial" w:hAnsi="Arial"/>
                <w:sz w:val="20"/>
                <w:szCs w:val="20"/>
                <w:color w:val="auto"/>
                <w:w w:val="95"/>
              </w:rPr>
              <w:t>2.746</w:t>
            </w:r>
          </w:p>
        </w:tc>
        <w:tc>
          <w:tcPr>
            <w:tcW w:w="1040" w:type="dxa"/>
            <w:vAlign w:val="bottom"/>
            <w:tcBorders>
              <w:bottom w:val="single" w:sz="8" w:color="0E3C23"/>
            </w:tcBorders>
          </w:tcPr>
          <w:p>
            <w:pPr>
              <w:ind w:left="280"/>
              <w:spacing w:after="0"/>
              <w:rPr>
                <w:sz w:val="20"/>
                <w:szCs w:val="20"/>
                <w:color w:val="auto"/>
              </w:rPr>
            </w:pPr>
            <w:r>
              <w:rPr>
                <w:rFonts w:ascii="Arial" w:cs="Arial" w:eastAsia="Arial" w:hAnsi="Arial"/>
                <w:sz w:val="20"/>
                <w:szCs w:val="20"/>
                <w:color w:val="auto"/>
              </w:rPr>
              <w:t>6.472</w:t>
            </w:r>
          </w:p>
        </w:tc>
      </w:tr>
      <w:tr>
        <w:trPr>
          <w:trHeight w:val="239"/>
        </w:trPr>
        <w:tc>
          <w:tcPr>
            <w:tcW w:w="1600" w:type="dxa"/>
            <w:vAlign w:val="bottom"/>
            <w:tcBorders>
              <w:bottom w:val="single" w:sz="8" w:color="0E3C23"/>
            </w:tcBorders>
          </w:tcPr>
          <w:p>
            <w:pPr>
              <w:ind w:left="60"/>
              <w:spacing w:after="0"/>
              <w:rPr>
                <w:sz w:val="20"/>
                <w:szCs w:val="20"/>
                <w:color w:val="auto"/>
              </w:rPr>
            </w:pPr>
            <w:r>
              <w:rPr>
                <w:rFonts w:ascii="Arial" w:cs="Arial" w:eastAsia="Arial" w:hAnsi="Arial"/>
                <w:sz w:val="20"/>
                <w:szCs w:val="20"/>
                <w:color w:val="auto"/>
              </w:rPr>
              <w:t>2023</w:t>
            </w:r>
          </w:p>
        </w:tc>
        <w:tc>
          <w:tcPr>
            <w:tcW w:w="212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14,628,854</w:t>
            </w:r>
          </w:p>
        </w:tc>
        <w:tc>
          <w:tcPr>
            <w:tcW w:w="104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w w:val="95"/>
              </w:rPr>
              <w:t>26,638,740</w:t>
            </w:r>
          </w:p>
        </w:tc>
        <w:tc>
          <w:tcPr>
            <w:tcW w:w="1040" w:type="dxa"/>
            <w:vAlign w:val="bottom"/>
            <w:tcBorders>
              <w:bottom w:val="single" w:sz="8" w:color="0E3C23"/>
            </w:tcBorders>
          </w:tcPr>
          <w:p>
            <w:pPr>
              <w:jc w:val="center"/>
              <w:spacing w:after="0"/>
              <w:rPr>
                <w:sz w:val="20"/>
                <w:szCs w:val="20"/>
                <w:color w:val="auto"/>
              </w:rPr>
            </w:pPr>
            <w:r>
              <w:rPr>
                <w:rFonts w:ascii="Arial" w:cs="Arial" w:eastAsia="Arial" w:hAnsi="Arial"/>
                <w:sz w:val="20"/>
                <w:szCs w:val="20"/>
                <w:color w:val="auto"/>
                <w:w w:val="94"/>
              </w:rPr>
              <w:t>3,971,546</w:t>
            </w:r>
          </w:p>
        </w:tc>
        <w:tc>
          <w:tcPr>
            <w:tcW w:w="104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6,550,505</w:t>
            </w:r>
          </w:p>
        </w:tc>
        <w:tc>
          <w:tcPr>
            <w:tcW w:w="560" w:type="dxa"/>
            <w:vAlign w:val="bottom"/>
            <w:tcBorders>
              <w:bottom w:val="single" w:sz="8" w:color="0E3C23"/>
            </w:tcBorders>
          </w:tcPr>
          <w:p>
            <w:pPr>
              <w:jc w:val="right"/>
              <w:ind w:right="52"/>
              <w:spacing w:after="0"/>
              <w:rPr>
                <w:sz w:val="20"/>
                <w:szCs w:val="20"/>
                <w:color w:val="auto"/>
              </w:rPr>
            </w:pPr>
            <w:r>
              <w:rPr>
                <w:rFonts w:ascii="Arial" w:cs="Arial" w:eastAsia="Arial" w:hAnsi="Arial"/>
                <w:sz w:val="20"/>
                <w:szCs w:val="20"/>
                <w:color w:val="auto"/>
              </w:rPr>
              <w:t>168</w:t>
            </w:r>
          </w:p>
        </w:tc>
        <w:tc>
          <w:tcPr>
            <w:tcW w:w="580" w:type="dxa"/>
            <w:vAlign w:val="bottom"/>
            <w:tcBorders>
              <w:bottom w:val="single" w:sz="8" w:color="0E3C23"/>
            </w:tcBorders>
          </w:tcPr>
          <w:p>
            <w:pPr>
              <w:jc w:val="right"/>
              <w:ind w:right="69"/>
              <w:spacing w:after="0"/>
              <w:rPr>
                <w:sz w:val="20"/>
                <w:szCs w:val="20"/>
                <w:color w:val="auto"/>
              </w:rPr>
            </w:pPr>
            <w:r>
              <w:rPr>
                <w:rFonts w:ascii="Arial" w:cs="Arial" w:eastAsia="Arial" w:hAnsi="Arial"/>
                <w:sz w:val="20"/>
                <w:szCs w:val="20"/>
                <w:color w:val="auto"/>
              </w:rPr>
              <w:t>166</w:t>
            </w:r>
          </w:p>
        </w:tc>
        <w:tc>
          <w:tcPr>
            <w:tcW w:w="1040" w:type="dxa"/>
            <w:vAlign w:val="bottom"/>
            <w:tcBorders>
              <w:bottom w:val="single" w:sz="8" w:color="0E3C23"/>
            </w:tcBorders>
          </w:tcPr>
          <w:p>
            <w:pPr>
              <w:jc w:val="center"/>
              <w:spacing w:after="0"/>
              <w:rPr>
                <w:sz w:val="20"/>
                <w:szCs w:val="20"/>
                <w:color w:val="auto"/>
              </w:rPr>
            </w:pPr>
            <w:r>
              <w:rPr>
                <w:rFonts w:ascii="Arial" w:cs="Arial" w:eastAsia="Arial" w:hAnsi="Arial"/>
                <w:sz w:val="20"/>
                <w:szCs w:val="20"/>
                <w:color w:val="auto"/>
                <w:w w:val="95"/>
              </w:rPr>
              <w:t>2.304</w:t>
            </w:r>
          </w:p>
        </w:tc>
        <w:tc>
          <w:tcPr>
            <w:tcW w:w="1040" w:type="dxa"/>
            <w:vAlign w:val="bottom"/>
            <w:tcBorders>
              <w:bottom w:val="single" w:sz="8" w:color="0E3C23"/>
            </w:tcBorders>
          </w:tcPr>
          <w:p>
            <w:pPr>
              <w:ind w:left="280"/>
              <w:spacing w:after="0"/>
              <w:rPr>
                <w:sz w:val="20"/>
                <w:szCs w:val="20"/>
                <w:color w:val="auto"/>
              </w:rPr>
            </w:pPr>
            <w:r>
              <w:rPr>
                <w:rFonts w:ascii="Arial" w:cs="Arial" w:eastAsia="Arial" w:hAnsi="Arial"/>
                <w:sz w:val="20"/>
                <w:szCs w:val="20"/>
                <w:color w:val="auto"/>
              </w:rPr>
              <w:t>5.892</w:t>
            </w:r>
          </w:p>
        </w:tc>
      </w:tr>
      <w:tr>
        <w:trPr>
          <w:trHeight w:val="239"/>
        </w:trPr>
        <w:tc>
          <w:tcPr>
            <w:tcW w:w="1600" w:type="dxa"/>
            <w:vAlign w:val="bottom"/>
            <w:tcBorders>
              <w:bottom w:val="single" w:sz="8" w:color="0E3C23"/>
            </w:tcBorders>
          </w:tcPr>
          <w:p>
            <w:pPr>
              <w:ind w:left="60"/>
              <w:spacing w:after="0"/>
              <w:rPr>
                <w:sz w:val="20"/>
                <w:szCs w:val="20"/>
                <w:color w:val="auto"/>
              </w:rPr>
            </w:pPr>
            <w:r>
              <w:rPr>
                <w:rFonts w:ascii="Arial" w:cs="Arial" w:eastAsia="Arial" w:hAnsi="Arial"/>
                <w:sz w:val="20"/>
                <w:szCs w:val="20"/>
                <w:color w:val="auto"/>
              </w:rPr>
              <w:t>2022</w:t>
            </w:r>
          </w:p>
        </w:tc>
        <w:tc>
          <w:tcPr>
            <w:tcW w:w="212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14,820,684</w:t>
            </w:r>
          </w:p>
        </w:tc>
        <w:tc>
          <w:tcPr>
            <w:tcW w:w="104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w w:val="95"/>
              </w:rPr>
              <w:t>13,037,001</w:t>
            </w:r>
          </w:p>
        </w:tc>
        <w:tc>
          <w:tcPr>
            <w:tcW w:w="1040" w:type="dxa"/>
            <w:vAlign w:val="bottom"/>
            <w:tcBorders>
              <w:bottom w:val="single" w:sz="8" w:color="0E3C23"/>
            </w:tcBorders>
          </w:tcPr>
          <w:p>
            <w:pPr>
              <w:jc w:val="center"/>
              <w:spacing w:after="0"/>
              <w:rPr>
                <w:sz w:val="20"/>
                <w:szCs w:val="20"/>
                <w:color w:val="auto"/>
              </w:rPr>
            </w:pPr>
            <w:r>
              <w:rPr>
                <w:rFonts w:ascii="Arial" w:cs="Arial" w:eastAsia="Arial" w:hAnsi="Arial"/>
                <w:sz w:val="20"/>
                <w:szCs w:val="20"/>
                <w:color w:val="auto"/>
                <w:w w:val="94"/>
              </w:rPr>
              <w:t>5,202,091</w:t>
            </w:r>
          </w:p>
        </w:tc>
        <w:tc>
          <w:tcPr>
            <w:tcW w:w="104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4,823,249</w:t>
            </w:r>
          </w:p>
        </w:tc>
        <w:tc>
          <w:tcPr>
            <w:tcW w:w="560" w:type="dxa"/>
            <w:vAlign w:val="bottom"/>
            <w:tcBorders>
              <w:bottom w:val="single" w:sz="8" w:color="0E3C23"/>
            </w:tcBorders>
          </w:tcPr>
          <w:p>
            <w:pPr>
              <w:jc w:val="right"/>
              <w:ind w:right="52"/>
              <w:spacing w:after="0"/>
              <w:rPr>
                <w:sz w:val="20"/>
                <w:szCs w:val="20"/>
                <w:color w:val="auto"/>
              </w:rPr>
            </w:pPr>
            <w:r>
              <w:rPr>
                <w:rFonts w:ascii="Arial" w:cs="Arial" w:eastAsia="Arial" w:hAnsi="Arial"/>
                <w:sz w:val="20"/>
                <w:szCs w:val="20"/>
                <w:color w:val="auto"/>
              </w:rPr>
              <w:t>145</w:t>
            </w:r>
          </w:p>
        </w:tc>
        <w:tc>
          <w:tcPr>
            <w:tcW w:w="580" w:type="dxa"/>
            <w:vAlign w:val="bottom"/>
            <w:tcBorders>
              <w:bottom w:val="single" w:sz="8" w:color="0E3C23"/>
            </w:tcBorders>
          </w:tcPr>
          <w:p>
            <w:pPr>
              <w:jc w:val="right"/>
              <w:ind w:right="69"/>
              <w:spacing w:after="0"/>
              <w:rPr>
                <w:sz w:val="20"/>
                <w:szCs w:val="20"/>
                <w:color w:val="auto"/>
              </w:rPr>
            </w:pPr>
            <w:r>
              <w:rPr>
                <w:rFonts w:ascii="Arial" w:cs="Arial" w:eastAsia="Arial" w:hAnsi="Arial"/>
                <w:sz w:val="20"/>
                <w:szCs w:val="20"/>
                <w:color w:val="auto"/>
              </w:rPr>
              <w:t>141</w:t>
            </w:r>
          </w:p>
        </w:tc>
        <w:tc>
          <w:tcPr>
            <w:tcW w:w="1040" w:type="dxa"/>
            <w:vAlign w:val="bottom"/>
            <w:tcBorders>
              <w:bottom w:val="single" w:sz="8" w:color="0E3C23"/>
            </w:tcBorders>
          </w:tcPr>
          <w:p>
            <w:pPr>
              <w:jc w:val="center"/>
              <w:spacing w:after="0"/>
              <w:rPr>
                <w:sz w:val="20"/>
                <w:szCs w:val="20"/>
                <w:color w:val="auto"/>
              </w:rPr>
            </w:pPr>
            <w:r>
              <w:rPr>
                <w:rFonts w:ascii="Arial" w:cs="Arial" w:eastAsia="Arial" w:hAnsi="Arial"/>
                <w:sz w:val="20"/>
                <w:szCs w:val="20"/>
                <w:color w:val="auto"/>
                <w:w w:val="95"/>
              </w:rPr>
              <w:t>2.238</w:t>
            </w:r>
          </w:p>
        </w:tc>
        <w:tc>
          <w:tcPr>
            <w:tcW w:w="1040" w:type="dxa"/>
            <w:vAlign w:val="bottom"/>
            <w:tcBorders>
              <w:bottom w:val="single" w:sz="8" w:color="0E3C23"/>
            </w:tcBorders>
          </w:tcPr>
          <w:p>
            <w:pPr>
              <w:ind w:left="280"/>
              <w:spacing w:after="0"/>
              <w:rPr>
                <w:sz w:val="20"/>
                <w:szCs w:val="20"/>
                <w:color w:val="auto"/>
              </w:rPr>
            </w:pPr>
            <w:r>
              <w:rPr>
                <w:rFonts w:ascii="Arial" w:cs="Arial" w:eastAsia="Arial" w:hAnsi="Arial"/>
                <w:sz w:val="20"/>
                <w:szCs w:val="20"/>
                <w:color w:val="auto"/>
              </w:rPr>
              <w:t>5.475</w:t>
            </w:r>
          </w:p>
        </w:tc>
      </w:tr>
      <w:tr>
        <w:trPr>
          <w:trHeight w:val="239"/>
        </w:trPr>
        <w:tc>
          <w:tcPr>
            <w:tcW w:w="1600" w:type="dxa"/>
            <w:vAlign w:val="bottom"/>
            <w:tcBorders>
              <w:bottom w:val="single" w:sz="8" w:color="0E3C23"/>
            </w:tcBorders>
          </w:tcPr>
          <w:p>
            <w:pPr>
              <w:ind w:left="60"/>
              <w:spacing w:after="0"/>
              <w:rPr>
                <w:sz w:val="20"/>
                <w:szCs w:val="20"/>
                <w:color w:val="auto"/>
              </w:rPr>
            </w:pPr>
            <w:r>
              <w:rPr>
                <w:rFonts w:ascii="Arial" w:cs="Arial" w:eastAsia="Arial" w:hAnsi="Arial"/>
                <w:sz w:val="20"/>
                <w:szCs w:val="20"/>
                <w:color w:val="auto"/>
              </w:rPr>
              <w:t>2021</w:t>
            </w:r>
          </w:p>
        </w:tc>
        <w:tc>
          <w:tcPr>
            <w:tcW w:w="212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13,057,363</w:t>
            </w:r>
          </w:p>
        </w:tc>
        <w:tc>
          <w:tcPr>
            <w:tcW w:w="104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w w:val="95"/>
              </w:rPr>
              <w:t>44,273,994</w:t>
            </w:r>
          </w:p>
        </w:tc>
        <w:tc>
          <w:tcPr>
            <w:tcW w:w="1040" w:type="dxa"/>
            <w:vAlign w:val="bottom"/>
            <w:tcBorders>
              <w:bottom w:val="single" w:sz="8" w:color="0E3C23"/>
            </w:tcBorders>
          </w:tcPr>
          <w:p>
            <w:pPr>
              <w:jc w:val="center"/>
              <w:spacing w:after="0"/>
              <w:rPr>
                <w:sz w:val="20"/>
                <w:szCs w:val="20"/>
                <w:color w:val="auto"/>
              </w:rPr>
            </w:pPr>
            <w:r>
              <w:rPr>
                <w:rFonts w:ascii="Arial" w:cs="Arial" w:eastAsia="Arial" w:hAnsi="Arial"/>
                <w:sz w:val="20"/>
                <w:szCs w:val="20"/>
                <w:color w:val="auto"/>
                <w:w w:val="94"/>
              </w:rPr>
              <w:t>3,637,383</w:t>
            </w:r>
          </w:p>
        </w:tc>
        <w:tc>
          <w:tcPr>
            <w:tcW w:w="104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w w:val="95"/>
              </w:rPr>
              <w:t>10,803,402</w:t>
            </w:r>
          </w:p>
        </w:tc>
        <w:tc>
          <w:tcPr>
            <w:tcW w:w="560" w:type="dxa"/>
            <w:vAlign w:val="bottom"/>
            <w:tcBorders>
              <w:bottom w:val="single" w:sz="8" w:color="0E3C23"/>
            </w:tcBorders>
          </w:tcPr>
          <w:p>
            <w:pPr>
              <w:jc w:val="right"/>
              <w:ind w:right="52"/>
              <w:spacing w:after="0"/>
              <w:rPr>
                <w:sz w:val="20"/>
                <w:szCs w:val="20"/>
                <w:color w:val="auto"/>
              </w:rPr>
            </w:pPr>
            <w:r>
              <w:rPr>
                <w:rFonts w:ascii="Arial" w:cs="Arial" w:eastAsia="Arial" w:hAnsi="Arial"/>
                <w:sz w:val="20"/>
                <w:szCs w:val="20"/>
                <w:color w:val="auto"/>
              </w:rPr>
              <w:t>152</w:t>
            </w:r>
          </w:p>
        </w:tc>
        <w:tc>
          <w:tcPr>
            <w:tcW w:w="580" w:type="dxa"/>
            <w:vAlign w:val="bottom"/>
            <w:tcBorders>
              <w:bottom w:val="single" w:sz="8" w:color="0E3C23"/>
            </w:tcBorders>
          </w:tcPr>
          <w:p>
            <w:pPr>
              <w:jc w:val="right"/>
              <w:ind w:right="69"/>
              <w:spacing w:after="0"/>
              <w:rPr>
                <w:sz w:val="20"/>
                <w:szCs w:val="20"/>
                <w:color w:val="auto"/>
              </w:rPr>
            </w:pPr>
            <w:r>
              <w:rPr>
                <w:rFonts w:ascii="Arial" w:cs="Arial" w:eastAsia="Arial" w:hAnsi="Arial"/>
                <w:sz w:val="20"/>
                <w:szCs w:val="20"/>
                <w:color w:val="auto"/>
              </w:rPr>
              <w:t>149</w:t>
            </w:r>
          </w:p>
        </w:tc>
        <w:tc>
          <w:tcPr>
            <w:tcW w:w="1040" w:type="dxa"/>
            <w:vAlign w:val="bottom"/>
            <w:tcBorders>
              <w:bottom w:val="single" w:sz="8" w:color="0E3C23"/>
            </w:tcBorders>
          </w:tcPr>
          <w:p>
            <w:pPr>
              <w:jc w:val="center"/>
              <w:spacing w:after="0"/>
              <w:rPr>
                <w:sz w:val="20"/>
                <w:szCs w:val="20"/>
                <w:color w:val="auto"/>
              </w:rPr>
            </w:pPr>
            <w:r>
              <w:rPr>
                <w:rFonts w:ascii="Arial" w:cs="Arial" w:eastAsia="Arial" w:hAnsi="Arial"/>
                <w:sz w:val="20"/>
                <w:szCs w:val="20"/>
                <w:color w:val="auto"/>
                <w:w w:val="95"/>
              </w:rPr>
              <w:t>1.816</w:t>
            </w:r>
          </w:p>
        </w:tc>
        <w:tc>
          <w:tcPr>
            <w:tcW w:w="1040" w:type="dxa"/>
            <w:vAlign w:val="bottom"/>
            <w:tcBorders>
              <w:bottom w:val="single" w:sz="8" w:color="0E3C23"/>
            </w:tcBorders>
          </w:tcPr>
          <w:p>
            <w:pPr>
              <w:ind w:left="280"/>
              <w:spacing w:after="0"/>
              <w:rPr>
                <w:sz w:val="20"/>
                <w:szCs w:val="20"/>
                <w:color w:val="auto"/>
              </w:rPr>
            </w:pPr>
            <w:r>
              <w:rPr>
                <w:rFonts w:ascii="Arial" w:cs="Arial" w:eastAsia="Arial" w:hAnsi="Arial"/>
                <w:sz w:val="20"/>
                <w:szCs w:val="20"/>
                <w:color w:val="auto"/>
              </w:rPr>
              <w:t>4.961</w:t>
            </w:r>
          </w:p>
        </w:tc>
      </w:tr>
      <w:tr>
        <w:trPr>
          <w:trHeight w:val="233"/>
        </w:trPr>
        <w:tc>
          <w:tcPr>
            <w:tcW w:w="1600" w:type="dxa"/>
            <w:vAlign w:val="bottom"/>
          </w:tcPr>
          <w:p>
            <w:pPr>
              <w:ind w:left="60"/>
              <w:spacing w:after="0"/>
              <w:rPr>
                <w:sz w:val="20"/>
                <w:szCs w:val="20"/>
                <w:color w:val="auto"/>
              </w:rPr>
            </w:pPr>
            <w:r>
              <w:rPr>
                <w:rFonts w:ascii="Arial" w:cs="Arial" w:eastAsia="Arial" w:hAnsi="Arial"/>
                <w:sz w:val="20"/>
                <w:szCs w:val="20"/>
                <w:color w:val="auto"/>
              </w:rPr>
              <w:t>2020</w:t>
            </w:r>
          </w:p>
        </w:tc>
        <w:tc>
          <w:tcPr>
            <w:tcW w:w="2120" w:type="dxa"/>
            <w:vAlign w:val="bottom"/>
          </w:tcPr>
          <w:p>
            <w:pPr>
              <w:jc w:val="right"/>
              <w:spacing w:after="0"/>
              <w:rPr>
                <w:sz w:val="20"/>
                <w:szCs w:val="20"/>
                <w:color w:val="auto"/>
              </w:rPr>
            </w:pPr>
            <w:r>
              <w:rPr>
                <w:rFonts w:ascii="Arial" w:cs="Arial" w:eastAsia="Arial" w:hAnsi="Arial"/>
                <w:sz w:val="20"/>
                <w:szCs w:val="20"/>
                <w:color w:val="auto"/>
              </w:rPr>
              <w:t>12,373,925</w:t>
            </w:r>
          </w:p>
        </w:tc>
        <w:tc>
          <w:tcPr>
            <w:tcW w:w="1040" w:type="dxa"/>
            <w:vAlign w:val="bottom"/>
          </w:tcPr>
          <w:p>
            <w:pPr>
              <w:jc w:val="right"/>
              <w:spacing w:after="0"/>
              <w:rPr>
                <w:sz w:val="20"/>
                <w:szCs w:val="20"/>
                <w:color w:val="auto"/>
              </w:rPr>
            </w:pPr>
            <w:r>
              <w:rPr>
                <w:rFonts w:ascii="Arial" w:cs="Arial" w:eastAsia="Arial" w:hAnsi="Arial"/>
                <w:sz w:val="20"/>
                <w:szCs w:val="20"/>
                <w:color w:val="auto"/>
                <w:w w:val="95"/>
              </w:rPr>
              <w:t>15,824,928</w:t>
            </w:r>
          </w:p>
        </w:tc>
        <w:tc>
          <w:tcPr>
            <w:tcW w:w="1040" w:type="dxa"/>
            <w:vAlign w:val="bottom"/>
          </w:tcPr>
          <w:p>
            <w:pPr>
              <w:jc w:val="center"/>
              <w:spacing w:after="0"/>
              <w:rPr>
                <w:sz w:val="20"/>
                <w:szCs w:val="20"/>
                <w:color w:val="auto"/>
              </w:rPr>
            </w:pPr>
            <w:r>
              <w:rPr>
                <w:rFonts w:ascii="Arial" w:cs="Arial" w:eastAsia="Arial" w:hAnsi="Arial"/>
                <w:sz w:val="20"/>
                <w:szCs w:val="20"/>
                <w:color w:val="auto"/>
                <w:w w:val="94"/>
              </w:rPr>
              <w:t>3,372,614</w:t>
            </w:r>
          </w:p>
        </w:tc>
        <w:tc>
          <w:tcPr>
            <w:tcW w:w="1040" w:type="dxa"/>
            <w:vAlign w:val="bottom"/>
          </w:tcPr>
          <w:p>
            <w:pPr>
              <w:jc w:val="right"/>
              <w:spacing w:after="0"/>
              <w:rPr>
                <w:sz w:val="20"/>
                <w:szCs w:val="20"/>
                <w:color w:val="auto"/>
              </w:rPr>
            </w:pPr>
            <w:r>
              <w:rPr>
                <w:rFonts w:ascii="Arial" w:cs="Arial" w:eastAsia="Arial" w:hAnsi="Arial"/>
                <w:sz w:val="20"/>
                <w:szCs w:val="20"/>
                <w:color w:val="auto"/>
              </w:rPr>
              <w:t>4,308,433</w:t>
            </w:r>
          </w:p>
        </w:tc>
        <w:tc>
          <w:tcPr>
            <w:tcW w:w="560" w:type="dxa"/>
            <w:vAlign w:val="bottom"/>
          </w:tcPr>
          <w:p>
            <w:pPr>
              <w:jc w:val="right"/>
              <w:ind w:right="52"/>
              <w:spacing w:after="0"/>
              <w:rPr>
                <w:sz w:val="20"/>
                <w:szCs w:val="20"/>
                <w:color w:val="auto"/>
              </w:rPr>
            </w:pPr>
            <w:r>
              <w:rPr>
                <w:rFonts w:ascii="Arial" w:cs="Arial" w:eastAsia="Arial" w:hAnsi="Arial"/>
                <w:sz w:val="20"/>
                <w:szCs w:val="20"/>
                <w:color w:val="auto"/>
              </w:rPr>
              <w:t>105</w:t>
            </w:r>
          </w:p>
        </w:tc>
        <w:tc>
          <w:tcPr>
            <w:tcW w:w="580" w:type="dxa"/>
            <w:vAlign w:val="bottom"/>
          </w:tcPr>
          <w:p>
            <w:pPr>
              <w:jc w:val="right"/>
              <w:ind w:right="69"/>
              <w:spacing w:after="0"/>
              <w:rPr>
                <w:sz w:val="20"/>
                <w:szCs w:val="20"/>
                <w:color w:val="auto"/>
              </w:rPr>
            </w:pPr>
            <w:r>
              <w:rPr>
                <w:rFonts w:ascii="Arial" w:cs="Arial" w:eastAsia="Arial" w:hAnsi="Arial"/>
                <w:sz w:val="20"/>
                <w:szCs w:val="20"/>
                <w:color w:val="auto"/>
              </w:rPr>
              <w:t>107</w:t>
            </w:r>
          </w:p>
        </w:tc>
        <w:tc>
          <w:tcPr>
            <w:tcW w:w="1040" w:type="dxa"/>
            <w:vAlign w:val="bottom"/>
          </w:tcPr>
          <w:p>
            <w:pPr>
              <w:jc w:val="center"/>
              <w:spacing w:after="0"/>
              <w:rPr>
                <w:sz w:val="20"/>
                <w:szCs w:val="20"/>
                <w:color w:val="auto"/>
              </w:rPr>
            </w:pPr>
            <w:r>
              <w:rPr>
                <w:rFonts w:ascii="Arial" w:cs="Arial" w:eastAsia="Arial" w:hAnsi="Arial"/>
                <w:sz w:val="20"/>
                <w:szCs w:val="20"/>
                <w:color w:val="auto"/>
                <w:w w:val="95"/>
              </w:rPr>
              <w:t>1.496</w:t>
            </w:r>
          </w:p>
        </w:tc>
        <w:tc>
          <w:tcPr>
            <w:tcW w:w="1040" w:type="dxa"/>
            <w:vAlign w:val="bottom"/>
          </w:tcPr>
          <w:p>
            <w:pPr>
              <w:ind w:left="280"/>
              <w:spacing w:after="0"/>
              <w:rPr>
                <w:sz w:val="20"/>
                <w:szCs w:val="20"/>
                <w:color w:val="auto"/>
              </w:rPr>
            </w:pPr>
            <w:r>
              <w:rPr>
                <w:rFonts w:ascii="Arial" w:cs="Arial" w:eastAsia="Arial" w:hAnsi="Arial"/>
                <w:sz w:val="20"/>
                <w:szCs w:val="20"/>
                <w:color w:val="auto"/>
              </w:rPr>
              <w:t>4.371</w:t>
            </w:r>
          </w:p>
        </w:tc>
      </w:tr>
      <w:tr>
        <w:trPr>
          <w:trHeight w:val="38"/>
        </w:trPr>
        <w:tc>
          <w:tcPr>
            <w:tcW w:w="1600" w:type="dxa"/>
            <w:vAlign w:val="bottom"/>
            <w:tcBorders>
              <w:bottom w:val="single" w:sz="8" w:color="0E3C23"/>
            </w:tcBorders>
          </w:tcPr>
          <w:p>
            <w:pPr>
              <w:spacing w:after="0"/>
              <w:rPr>
                <w:sz w:val="3"/>
                <w:szCs w:val="3"/>
                <w:color w:val="auto"/>
              </w:rPr>
            </w:pPr>
          </w:p>
        </w:tc>
        <w:tc>
          <w:tcPr>
            <w:tcW w:w="2120" w:type="dxa"/>
            <w:vAlign w:val="bottom"/>
            <w:tcBorders>
              <w:bottom w:val="single" w:sz="8" w:color="0E3C23"/>
            </w:tcBorders>
          </w:tcPr>
          <w:p>
            <w:pPr>
              <w:spacing w:after="0"/>
              <w:rPr>
                <w:sz w:val="3"/>
                <w:szCs w:val="3"/>
                <w:color w:val="auto"/>
              </w:rPr>
            </w:pPr>
          </w:p>
        </w:tc>
        <w:tc>
          <w:tcPr>
            <w:tcW w:w="1040" w:type="dxa"/>
            <w:vAlign w:val="bottom"/>
            <w:tcBorders>
              <w:bottom w:val="single" w:sz="8" w:color="0E3C23"/>
            </w:tcBorders>
          </w:tcPr>
          <w:p>
            <w:pPr>
              <w:spacing w:after="0"/>
              <w:rPr>
                <w:sz w:val="3"/>
                <w:szCs w:val="3"/>
                <w:color w:val="auto"/>
              </w:rPr>
            </w:pPr>
          </w:p>
        </w:tc>
        <w:tc>
          <w:tcPr>
            <w:tcW w:w="1040" w:type="dxa"/>
            <w:vAlign w:val="bottom"/>
            <w:tcBorders>
              <w:bottom w:val="single" w:sz="8" w:color="0E3C23"/>
            </w:tcBorders>
          </w:tcPr>
          <w:p>
            <w:pPr>
              <w:spacing w:after="0"/>
              <w:rPr>
                <w:sz w:val="3"/>
                <w:szCs w:val="3"/>
                <w:color w:val="auto"/>
              </w:rPr>
            </w:pPr>
          </w:p>
        </w:tc>
        <w:tc>
          <w:tcPr>
            <w:tcW w:w="1040" w:type="dxa"/>
            <w:vAlign w:val="bottom"/>
            <w:tcBorders>
              <w:bottom w:val="single" w:sz="8" w:color="0E3C23"/>
            </w:tcBorders>
          </w:tcPr>
          <w:p>
            <w:pPr>
              <w:spacing w:after="0"/>
              <w:rPr>
                <w:sz w:val="3"/>
                <w:szCs w:val="3"/>
                <w:color w:val="auto"/>
              </w:rPr>
            </w:pPr>
          </w:p>
        </w:tc>
        <w:tc>
          <w:tcPr>
            <w:tcW w:w="560" w:type="dxa"/>
            <w:vAlign w:val="bottom"/>
            <w:tcBorders>
              <w:bottom w:val="single" w:sz="8" w:color="0E3C23"/>
            </w:tcBorders>
          </w:tcPr>
          <w:p>
            <w:pPr>
              <w:spacing w:after="0"/>
              <w:rPr>
                <w:sz w:val="3"/>
                <w:szCs w:val="3"/>
                <w:color w:val="auto"/>
              </w:rPr>
            </w:pPr>
          </w:p>
        </w:tc>
        <w:tc>
          <w:tcPr>
            <w:tcW w:w="580" w:type="dxa"/>
            <w:vAlign w:val="bottom"/>
            <w:tcBorders>
              <w:bottom w:val="single" w:sz="8" w:color="0E3C23"/>
            </w:tcBorders>
          </w:tcPr>
          <w:p>
            <w:pPr>
              <w:spacing w:after="0"/>
              <w:rPr>
                <w:sz w:val="3"/>
                <w:szCs w:val="3"/>
                <w:color w:val="auto"/>
              </w:rPr>
            </w:pPr>
          </w:p>
        </w:tc>
        <w:tc>
          <w:tcPr>
            <w:tcW w:w="1040" w:type="dxa"/>
            <w:vAlign w:val="bottom"/>
            <w:tcBorders>
              <w:bottom w:val="single" w:sz="8" w:color="0E3C23"/>
            </w:tcBorders>
          </w:tcPr>
          <w:p>
            <w:pPr>
              <w:spacing w:after="0"/>
              <w:rPr>
                <w:sz w:val="3"/>
                <w:szCs w:val="3"/>
                <w:color w:val="auto"/>
              </w:rPr>
            </w:pPr>
          </w:p>
        </w:tc>
        <w:tc>
          <w:tcPr>
            <w:tcW w:w="1040" w:type="dxa"/>
            <w:vAlign w:val="bottom"/>
            <w:tcBorders>
              <w:bottom w:val="single" w:sz="8" w:color="0E3C23"/>
            </w:tcBorders>
          </w:tcPr>
          <w:p>
            <w:pPr>
              <w:spacing w:after="0"/>
              <w:rPr>
                <w:sz w:val="3"/>
                <w:szCs w:val="3"/>
                <w:color w:val="auto"/>
              </w:rPr>
            </w:pPr>
          </w:p>
        </w:tc>
      </w:tr>
    </w:tbl>
    <w:p>
      <w:pPr>
        <w:spacing w:after="0" w:line="77" w:lineRule="exact"/>
        <w:rPr>
          <w:sz w:val="20"/>
          <w:szCs w:val="20"/>
          <w:color w:val="auto"/>
        </w:rPr>
      </w:pPr>
    </w:p>
    <w:p>
      <w:pPr>
        <w:jc w:val="both"/>
        <w:ind w:left="580" w:right="200" w:hanging="402"/>
        <w:spacing w:after="0" w:line="264" w:lineRule="auto"/>
        <w:tabs>
          <w:tab w:leader="none" w:pos="5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For all periods shown in the table above, the Company’s CEO was Mr. James C. Fish, Jr. The Non-CEO NEOs for purposes of the 2024 and 2023 disclosures include Ms. Devina A. Rankin, Mr. John C. Morris, Jr., Ms. Tara J. Hemmer and Mr. Rafael E. Carrasco. The Non-CEO NEOs for purposes of the 2022 and 2020 disclosures include Ms. Rankin, Mr. Morris, Ms. Hemmer and Mr. Steven R. Batchelor, the Company’s retired Senior Vice President — Operations. The Non-CEO NEOs for purposes of the 2021 disclosures include Ms. Rankin, Mr. Morris, Ms. Hemmer and Mr. Charles C. Boettcher, Executive Vice President &amp; Chief Legal Officer.</w:t>
      </w:r>
    </w:p>
    <w:p>
      <w:pPr>
        <w:spacing w:after="0" w:line="114" w:lineRule="exact"/>
        <w:rPr>
          <w:rFonts w:ascii="Arial" w:cs="Arial" w:eastAsia="Arial" w:hAnsi="Arial"/>
          <w:sz w:val="19"/>
          <w:szCs w:val="19"/>
          <w:color w:val="auto"/>
        </w:rPr>
      </w:pPr>
    </w:p>
    <w:p>
      <w:pPr>
        <w:ind w:left="580" w:right="200" w:hanging="402"/>
        <w:spacing w:after="0" w:line="244" w:lineRule="auto"/>
        <w:tabs>
          <w:tab w:leader="none" w:pos="5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To calculate 2024 CAP, we made specified adjustments to Total Compensation as reported in the SCT, as set forth below:</w:t>
      </w:r>
    </w:p>
    <w:p>
      <w:pPr>
        <w:sectPr>
          <w:pgSz w:w="13320" w:h="16920" w:orient="portrait"/>
          <w:cols w:equalWidth="0" w:num="1">
            <w:col w:w="104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-207010</wp:posOffset>
            </wp:positionV>
            <wp:extent cx="538480" cy="1619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54">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65" w:name="page66"/>
    <w:bookmarkEnd w:id="65"/>
    <w:p>
      <w:pPr>
        <w:ind w:left="180"/>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Adjustments to CEO’s SCT Total Compensation to Calculate CAP:</w:t>
      </w:r>
    </w:p>
    <w:p>
      <w:pPr>
        <w:spacing w:after="0" w:line="137"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88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0E3C23"/>
              </w:rPr>
              <w:t>2024</w:t>
            </w:r>
          </w:p>
        </w:tc>
      </w:tr>
      <w:tr>
        <w:trPr>
          <w:trHeight w:val="24"/>
        </w:trPr>
        <w:tc>
          <w:tcPr>
            <w:tcW w:w="8880" w:type="dxa"/>
            <w:vAlign w:val="bottom"/>
          </w:tcPr>
          <w:p>
            <w:pPr>
              <w:spacing w:after="0"/>
              <w:rPr>
                <w:sz w:val="2"/>
                <w:szCs w:val="2"/>
                <w:color w:val="auto"/>
              </w:rPr>
            </w:pPr>
          </w:p>
        </w:tc>
        <w:tc>
          <w:tcPr>
            <w:tcW w:w="1180" w:type="dxa"/>
            <w:vAlign w:val="bottom"/>
            <w:tcBorders>
              <w:bottom w:val="single" w:sz="8" w:color="0E3C23"/>
            </w:tcBorders>
          </w:tcPr>
          <w:p>
            <w:pPr>
              <w:spacing w:after="0"/>
              <w:rPr>
                <w:sz w:val="2"/>
                <w:szCs w:val="2"/>
                <w:color w:val="auto"/>
              </w:rPr>
            </w:pPr>
          </w:p>
        </w:tc>
      </w:tr>
      <w:tr>
        <w:trPr>
          <w:trHeight w:val="246"/>
        </w:trPr>
        <w:tc>
          <w:tcPr>
            <w:tcW w:w="8880" w:type="dxa"/>
            <w:vAlign w:val="bottom"/>
            <w:tcBorders>
              <w:bottom w:val="single" w:sz="8" w:color="0E3C23"/>
            </w:tcBorders>
          </w:tcPr>
          <w:p>
            <w:pPr>
              <w:ind w:left="60"/>
              <w:spacing w:after="0"/>
              <w:rPr>
                <w:sz w:val="20"/>
                <w:szCs w:val="20"/>
                <w:color w:val="auto"/>
              </w:rPr>
            </w:pPr>
            <w:r>
              <w:rPr>
                <w:rFonts w:ascii="Arial" w:cs="Arial" w:eastAsia="Arial" w:hAnsi="Arial"/>
                <w:sz w:val="20"/>
                <w:szCs w:val="20"/>
                <w:b w:val="1"/>
                <w:bCs w:val="1"/>
                <w:color w:val="auto"/>
              </w:rPr>
              <w:t>SCT Total Compensation</w:t>
            </w:r>
          </w:p>
        </w:tc>
        <w:tc>
          <w:tcPr>
            <w:tcW w:w="1180" w:type="dxa"/>
            <w:vAlign w:val="bottom"/>
            <w:tcBorders>
              <w:bottom w:val="single" w:sz="8" w:color="0E3C23"/>
            </w:tcBorders>
          </w:tcPr>
          <w:p>
            <w:pPr>
              <w:jc w:val="right"/>
              <w:spacing w:after="0"/>
              <w:rPr>
                <w:sz w:val="20"/>
                <w:szCs w:val="20"/>
                <w:color w:val="auto"/>
              </w:rPr>
            </w:pPr>
            <w:r>
              <w:rPr>
                <w:rFonts w:ascii="Arial" w:cs="Arial" w:eastAsia="Arial" w:hAnsi="Arial"/>
                <w:sz w:val="20"/>
                <w:szCs w:val="20"/>
                <w:b w:val="1"/>
                <w:bCs w:val="1"/>
                <w:color w:val="auto"/>
              </w:rPr>
              <w:t>17,097,120</w:t>
            </w:r>
          </w:p>
        </w:tc>
      </w:tr>
      <w:tr>
        <w:trPr>
          <w:trHeight w:val="239"/>
        </w:trPr>
        <w:tc>
          <w:tcPr>
            <w:tcW w:w="8880" w:type="dxa"/>
            <w:vAlign w:val="bottom"/>
            <w:tcBorders>
              <w:bottom w:val="single" w:sz="8" w:color="0E3C23"/>
            </w:tcBorders>
          </w:tcPr>
          <w:p>
            <w:pPr>
              <w:ind w:left="60"/>
              <w:spacing w:after="0"/>
              <w:rPr>
                <w:sz w:val="20"/>
                <w:szCs w:val="20"/>
                <w:color w:val="auto"/>
              </w:rPr>
            </w:pPr>
            <w:r>
              <w:rPr>
                <w:rFonts w:ascii="Arial" w:cs="Arial" w:eastAsia="Arial" w:hAnsi="Arial"/>
                <w:sz w:val="20"/>
                <w:szCs w:val="20"/>
                <w:b w:val="1"/>
                <w:bCs w:val="1"/>
                <w:color w:val="auto"/>
              </w:rPr>
              <w:t>Deduction from SCT Total Compensation, in dollars</w:t>
            </w:r>
          </w:p>
        </w:tc>
        <w:tc>
          <w:tcPr>
            <w:tcW w:w="1180" w:type="dxa"/>
            <w:vAlign w:val="bottom"/>
            <w:tcBorders>
              <w:bottom w:val="single" w:sz="8" w:color="0E3C23"/>
            </w:tcBorders>
          </w:tcPr>
          <w:p>
            <w:pPr>
              <w:spacing w:after="0"/>
              <w:rPr>
                <w:sz w:val="20"/>
                <w:szCs w:val="20"/>
                <w:color w:val="auto"/>
              </w:rPr>
            </w:pPr>
          </w:p>
        </w:tc>
      </w:tr>
      <w:tr>
        <w:trPr>
          <w:trHeight w:val="231"/>
        </w:trPr>
        <w:tc>
          <w:tcPr>
            <w:tcW w:w="8880" w:type="dxa"/>
            <w:vAlign w:val="bottom"/>
          </w:tcPr>
          <w:p>
            <w:pPr>
              <w:ind w:left="60"/>
              <w:spacing w:after="0"/>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Grant date fair values of equity awards reported in the</w:t>
            </w:r>
          </w:p>
        </w:tc>
        <w:tc>
          <w:tcPr>
            <w:tcW w:w="1180" w:type="dxa"/>
            <w:vAlign w:val="bottom"/>
          </w:tcPr>
          <w:p>
            <w:pPr>
              <w:spacing w:after="0"/>
              <w:rPr>
                <w:sz w:val="20"/>
                <w:szCs w:val="20"/>
                <w:color w:val="auto"/>
              </w:rPr>
            </w:pPr>
          </w:p>
        </w:tc>
      </w:tr>
      <w:tr>
        <w:trPr>
          <w:trHeight w:val="248"/>
        </w:trPr>
        <w:tc>
          <w:tcPr>
            <w:tcW w:w="8880" w:type="dxa"/>
            <w:vAlign w:val="bottom"/>
            <w:tcBorders>
              <w:bottom w:val="single" w:sz="8" w:color="0E3C23"/>
            </w:tcBorders>
          </w:tcPr>
          <w:p>
            <w:pPr>
              <w:ind w:left="260"/>
              <w:spacing w:after="0"/>
              <w:rPr>
                <w:sz w:val="20"/>
                <w:szCs w:val="20"/>
                <w:color w:val="auto"/>
              </w:rPr>
            </w:pPr>
            <w:r>
              <w:rPr>
                <w:rFonts w:ascii="Arial" w:cs="Arial" w:eastAsia="Arial" w:hAnsi="Arial"/>
                <w:sz w:val="20"/>
                <w:szCs w:val="20"/>
                <w:color w:val="auto"/>
              </w:rPr>
              <w:t>“Stock Awards” and “Options Awards” columns in the SCT</w:t>
            </w:r>
          </w:p>
        </w:tc>
        <w:tc>
          <w:tcPr>
            <w:tcW w:w="1180" w:type="dxa"/>
            <w:vAlign w:val="bottom"/>
            <w:tcBorders>
              <w:bottom w:val="single" w:sz="8" w:color="0E3C23"/>
            </w:tcBorders>
          </w:tcPr>
          <w:p>
            <w:pPr>
              <w:jc w:val="right"/>
              <w:spacing w:after="0"/>
              <w:rPr>
                <w:sz w:val="20"/>
                <w:szCs w:val="20"/>
                <w:color w:val="auto"/>
              </w:rPr>
            </w:pPr>
            <w:r>
              <w:rPr>
                <w:rFonts w:ascii="Arial" w:cs="Arial" w:eastAsia="Arial" w:hAnsi="Arial"/>
                <w:sz w:val="20"/>
                <w:szCs w:val="20"/>
                <w:b w:val="1"/>
                <w:bCs w:val="1"/>
                <w:color w:val="auto"/>
              </w:rPr>
              <w:t>12,242,110</w:t>
            </w:r>
          </w:p>
        </w:tc>
      </w:tr>
      <w:tr>
        <w:trPr>
          <w:trHeight w:val="239"/>
        </w:trPr>
        <w:tc>
          <w:tcPr>
            <w:tcW w:w="8880" w:type="dxa"/>
            <w:vAlign w:val="bottom"/>
            <w:tcBorders>
              <w:bottom w:val="single" w:sz="8" w:color="0E3C23"/>
            </w:tcBorders>
          </w:tcPr>
          <w:p>
            <w:pPr>
              <w:ind w:left="60"/>
              <w:spacing w:after="0"/>
              <w:rPr>
                <w:sz w:val="20"/>
                <w:szCs w:val="20"/>
                <w:color w:val="auto"/>
              </w:rPr>
            </w:pPr>
            <w:r>
              <w:rPr>
                <w:rFonts w:ascii="Arial" w:cs="Arial" w:eastAsia="Arial" w:hAnsi="Arial"/>
                <w:sz w:val="20"/>
                <w:szCs w:val="20"/>
                <w:b w:val="1"/>
                <w:bCs w:val="1"/>
                <w:color w:val="auto"/>
              </w:rPr>
              <w:t>Additions to SCT Total Compensation, in dollars:</w:t>
            </w:r>
          </w:p>
        </w:tc>
        <w:tc>
          <w:tcPr>
            <w:tcW w:w="1180" w:type="dxa"/>
            <w:vAlign w:val="bottom"/>
            <w:tcBorders>
              <w:bottom w:val="single" w:sz="8" w:color="0E3C23"/>
            </w:tcBorders>
          </w:tcPr>
          <w:p>
            <w:pPr>
              <w:spacing w:after="0"/>
              <w:rPr>
                <w:sz w:val="20"/>
                <w:szCs w:val="20"/>
                <w:color w:val="auto"/>
              </w:rPr>
            </w:pPr>
          </w:p>
        </w:tc>
      </w:tr>
      <w:tr>
        <w:trPr>
          <w:trHeight w:val="244"/>
        </w:trPr>
        <w:tc>
          <w:tcPr>
            <w:tcW w:w="8880" w:type="dxa"/>
            <w:vAlign w:val="bottom"/>
            <w:tcBorders>
              <w:bottom w:val="single" w:sz="8" w:color="0E3C23"/>
            </w:tcBorders>
          </w:tcPr>
          <w:p>
            <w:pPr>
              <w:ind w:left="60"/>
              <w:spacing w:after="0" w:line="244" w:lineRule="exact"/>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Fair value of stock awards granted during the year, as of 12/31</w:t>
            </w:r>
            <w:r>
              <w:rPr>
                <w:rFonts w:ascii="Arial" w:cs="Arial" w:eastAsia="Arial" w:hAnsi="Arial"/>
                <w:sz w:val="25"/>
                <w:szCs w:val="25"/>
                <w:color w:val="000000"/>
                <w:vertAlign w:val="superscript"/>
              </w:rPr>
              <w:t>(a)</w:t>
            </w:r>
          </w:p>
        </w:tc>
        <w:tc>
          <w:tcPr>
            <w:tcW w:w="118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9,603,806</w:t>
            </w:r>
          </w:p>
        </w:tc>
      </w:tr>
      <w:tr>
        <w:trPr>
          <w:trHeight w:val="239"/>
        </w:trPr>
        <w:tc>
          <w:tcPr>
            <w:tcW w:w="8880" w:type="dxa"/>
            <w:vAlign w:val="bottom"/>
            <w:tcBorders>
              <w:bottom w:val="single" w:sz="8" w:color="0E3C23"/>
            </w:tcBorders>
          </w:tcPr>
          <w:p>
            <w:pPr>
              <w:ind w:left="60"/>
              <w:spacing w:after="0" w:line="239" w:lineRule="exact"/>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Fair value of option awards granted during the year, as of 12/31</w:t>
            </w:r>
            <w:r>
              <w:rPr>
                <w:rFonts w:ascii="Arial" w:cs="Arial" w:eastAsia="Arial" w:hAnsi="Arial"/>
                <w:sz w:val="25"/>
                <w:szCs w:val="25"/>
                <w:color w:val="000000"/>
                <w:vertAlign w:val="superscript"/>
              </w:rPr>
              <w:t>(b)</w:t>
            </w:r>
          </w:p>
        </w:tc>
        <w:tc>
          <w:tcPr>
            <w:tcW w:w="1180" w:type="dxa"/>
            <w:vAlign w:val="bottom"/>
            <w:tcBorders>
              <w:bottom w:val="single" w:sz="8" w:color="0E3C23"/>
            </w:tcBorders>
          </w:tcPr>
          <w:p>
            <w:pPr>
              <w:jc w:val="right"/>
              <w:spacing w:after="0" w:line="227" w:lineRule="exact"/>
              <w:rPr>
                <w:sz w:val="20"/>
                <w:szCs w:val="20"/>
                <w:color w:val="auto"/>
              </w:rPr>
            </w:pPr>
            <w:r>
              <w:rPr>
                <w:rFonts w:ascii="Arial" w:cs="Arial" w:eastAsia="Arial" w:hAnsi="Arial"/>
                <w:sz w:val="20"/>
                <w:szCs w:val="20"/>
                <w:color w:val="auto"/>
              </w:rPr>
              <w:t>1,676,850</w:t>
            </w:r>
          </w:p>
        </w:tc>
      </w:tr>
      <w:tr>
        <w:trPr>
          <w:trHeight w:val="239"/>
        </w:trPr>
        <w:tc>
          <w:tcPr>
            <w:tcW w:w="8880" w:type="dxa"/>
            <w:vAlign w:val="bottom"/>
            <w:tcBorders>
              <w:bottom w:val="single" w:sz="8" w:color="0E3C23"/>
            </w:tcBorders>
          </w:tcPr>
          <w:p>
            <w:pPr>
              <w:ind w:left="60"/>
              <w:spacing w:after="0" w:line="239" w:lineRule="exact"/>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Change in fair value of prior years’ stock awards unvested at 12/31</w:t>
            </w:r>
            <w:r>
              <w:rPr>
                <w:rFonts w:ascii="Arial" w:cs="Arial" w:eastAsia="Arial" w:hAnsi="Arial"/>
                <w:sz w:val="25"/>
                <w:szCs w:val="25"/>
                <w:color w:val="000000"/>
                <w:vertAlign w:val="superscript"/>
              </w:rPr>
              <w:t>(a)</w:t>
            </w:r>
          </w:p>
        </w:tc>
        <w:tc>
          <w:tcPr>
            <w:tcW w:w="1180" w:type="dxa"/>
            <w:vAlign w:val="bottom"/>
            <w:tcBorders>
              <w:bottom w:val="single" w:sz="8" w:color="0E3C23"/>
            </w:tcBorders>
          </w:tcPr>
          <w:p>
            <w:pPr>
              <w:jc w:val="right"/>
              <w:spacing w:after="0" w:line="227" w:lineRule="exact"/>
              <w:rPr>
                <w:sz w:val="20"/>
                <w:szCs w:val="20"/>
                <w:color w:val="auto"/>
              </w:rPr>
            </w:pPr>
            <w:r>
              <w:rPr>
                <w:rFonts w:ascii="Arial" w:cs="Arial" w:eastAsia="Arial" w:hAnsi="Arial"/>
                <w:sz w:val="20"/>
                <w:szCs w:val="20"/>
                <w:color w:val="auto"/>
              </w:rPr>
              <w:t>268,511</w:t>
            </w:r>
          </w:p>
        </w:tc>
      </w:tr>
      <w:tr>
        <w:trPr>
          <w:trHeight w:val="239"/>
        </w:trPr>
        <w:tc>
          <w:tcPr>
            <w:tcW w:w="8880" w:type="dxa"/>
            <w:vAlign w:val="bottom"/>
            <w:tcBorders>
              <w:bottom w:val="single" w:sz="8" w:color="0E3C23"/>
            </w:tcBorders>
          </w:tcPr>
          <w:p>
            <w:pPr>
              <w:ind w:left="60"/>
              <w:spacing w:after="0" w:line="239" w:lineRule="exact"/>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Change in fair value of prior years’ option awards unvested at 12/31</w:t>
            </w:r>
            <w:r>
              <w:rPr>
                <w:rFonts w:ascii="Arial" w:cs="Arial" w:eastAsia="Arial" w:hAnsi="Arial"/>
                <w:sz w:val="25"/>
                <w:szCs w:val="25"/>
                <w:color w:val="000000"/>
                <w:vertAlign w:val="superscript"/>
              </w:rPr>
              <w:t>(b)</w:t>
            </w:r>
          </w:p>
        </w:tc>
        <w:tc>
          <w:tcPr>
            <w:tcW w:w="1180" w:type="dxa"/>
            <w:vAlign w:val="bottom"/>
            <w:tcBorders>
              <w:bottom w:val="single" w:sz="8" w:color="0E3C23"/>
            </w:tcBorders>
          </w:tcPr>
          <w:p>
            <w:pPr>
              <w:jc w:val="right"/>
              <w:spacing w:after="0" w:line="227" w:lineRule="exact"/>
              <w:rPr>
                <w:sz w:val="20"/>
                <w:szCs w:val="20"/>
                <w:color w:val="auto"/>
              </w:rPr>
            </w:pPr>
            <w:r>
              <w:rPr>
                <w:rFonts w:ascii="Arial" w:cs="Arial" w:eastAsia="Arial" w:hAnsi="Arial"/>
                <w:sz w:val="20"/>
                <w:szCs w:val="20"/>
                <w:color w:val="auto"/>
              </w:rPr>
              <w:t>932,612</w:t>
            </w:r>
          </w:p>
        </w:tc>
      </w:tr>
      <w:tr>
        <w:trPr>
          <w:trHeight w:val="239"/>
        </w:trPr>
        <w:tc>
          <w:tcPr>
            <w:tcW w:w="8880" w:type="dxa"/>
            <w:vAlign w:val="bottom"/>
            <w:tcBorders>
              <w:bottom w:val="single" w:sz="8" w:color="0E3C23"/>
            </w:tcBorders>
          </w:tcPr>
          <w:p>
            <w:pPr>
              <w:ind w:left="60"/>
              <w:spacing w:after="0" w:line="239" w:lineRule="exact"/>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Change in fair value of prior years’ stock awards vesting during the year</w:t>
            </w:r>
            <w:r>
              <w:rPr>
                <w:rFonts w:ascii="Arial" w:cs="Arial" w:eastAsia="Arial" w:hAnsi="Arial"/>
                <w:sz w:val="25"/>
                <w:szCs w:val="25"/>
                <w:color w:val="000000"/>
                <w:vertAlign w:val="superscript"/>
              </w:rPr>
              <w:t>(a)</w:t>
            </w:r>
          </w:p>
        </w:tc>
        <w:tc>
          <w:tcPr>
            <w:tcW w:w="1180" w:type="dxa"/>
            <w:vAlign w:val="bottom"/>
            <w:tcBorders>
              <w:bottom w:val="single" w:sz="8" w:color="0E3C23"/>
            </w:tcBorders>
          </w:tcPr>
          <w:p>
            <w:pPr>
              <w:jc w:val="right"/>
              <w:spacing w:after="0" w:line="227" w:lineRule="exact"/>
              <w:rPr>
                <w:sz w:val="20"/>
                <w:szCs w:val="20"/>
                <w:color w:val="auto"/>
              </w:rPr>
            </w:pPr>
            <w:r>
              <w:rPr>
                <w:rFonts w:ascii="Arial" w:cs="Arial" w:eastAsia="Arial" w:hAnsi="Arial"/>
                <w:sz w:val="20"/>
                <w:szCs w:val="20"/>
                <w:color w:val="auto"/>
              </w:rPr>
              <w:t>4,628,504</w:t>
            </w:r>
          </w:p>
        </w:tc>
      </w:tr>
      <w:tr>
        <w:trPr>
          <w:trHeight w:val="239"/>
        </w:trPr>
        <w:tc>
          <w:tcPr>
            <w:tcW w:w="8880" w:type="dxa"/>
            <w:vAlign w:val="bottom"/>
            <w:tcBorders>
              <w:bottom w:val="single" w:sz="8" w:color="0E3C23"/>
            </w:tcBorders>
          </w:tcPr>
          <w:p>
            <w:pPr>
              <w:ind w:left="60"/>
              <w:spacing w:after="0" w:line="239" w:lineRule="exact"/>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Change in fair value of prior years’ option awards vesting during the year</w:t>
            </w:r>
            <w:r>
              <w:rPr>
                <w:rFonts w:ascii="Arial" w:cs="Arial" w:eastAsia="Arial" w:hAnsi="Arial"/>
                <w:sz w:val="25"/>
                <w:szCs w:val="25"/>
                <w:color w:val="000000"/>
                <w:vertAlign w:val="superscript"/>
              </w:rPr>
              <w:t>(b)</w:t>
            </w:r>
          </w:p>
        </w:tc>
        <w:tc>
          <w:tcPr>
            <w:tcW w:w="1180" w:type="dxa"/>
            <w:vAlign w:val="bottom"/>
            <w:tcBorders>
              <w:bottom w:val="single" w:sz="8" w:color="0E3C23"/>
            </w:tcBorders>
          </w:tcPr>
          <w:p>
            <w:pPr>
              <w:jc w:val="right"/>
              <w:spacing w:after="0" w:line="227" w:lineRule="exact"/>
              <w:rPr>
                <w:sz w:val="20"/>
                <w:szCs w:val="20"/>
                <w:color w:val="auto"/>
              </w:rPr>
            </w:pPr>
            <w:r>
              <w:rPr>
                <w:rFonts w:ascii="Arial" w:cs="Arial" w:eastAsia="Arial" w:hAnsi="Arial"/>
                <w:sz w:val="20"/>
                <w:szCs w:val="20"/>
                <w:color w:val="auto"/>
              </w:rPr>
              <w:t>1,930,172</w:t>
            </w:r>
          </w:p>
        </w:tc>
      </w:tr>
      <w:tr>
        <w:trPr>
          <w:trHeight w:val="233"/>
        </w:trPr>
        <w:tc>
          <w:tcPr>
            <w:tcW w:w="8880" w:type="dxa"/>
            <w:vAlign w:val="bottom"/>
            <w:tcBorders>
              <w:bottom w:val="single" w:sz="8" w:color="0E3C23"/>
            </w:tcBorders>
          </w:tcPr>
          <w:p>
            <w:pPr>
              <w:ind w:left="60"/>
              <w:spacing w:after="0" w:line="227" w:lineRule="exact"/>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Dividend equivalents paid upon stock awards vesting during the year</w:t>
            </w:r>
          </w:p>
        </w:tc>
        <w:tc>
          <w:tcPr>
            <w:tcW w:w="1180" w:type="dxa"/>
            <w:vAlign w:val="bottom"/>
            <w:tcBorders>
              <w:bottom w:val="single" w:sz="8" w:color="0E3C23"/>
            </w:tcBorders>
          </w:tcPr>
          <w:p>
            <w:pPr>
              <w:jc w:val="right"/>
              <w:spacing w:after="0" w:line="227" w:lineRule="exact"/>
              <w:rPr>
                <w:sz w:val="20"/>
                <w:szCs w:val="20"/>
                <w:color w:val="auto"/>
              </w:rPr>
            </w:pPr>
            <w:r>
              <w:rPr>
                <w:rFonts w:ascii="Arial" w:cs="Arial" w:eastAsia="Arial" w:hAnsi="Arial"/>
                <w:sz w:val="20"/>
                <w:szCs w:val="20"/>
                <w:color w:val="auto"/>
              </w:rPr>
              <w:t>605,573</w:t>
            </w:r>
          </w:p>
        </w:tc>
      </w:tr>
      <w:tr>
        <w:trPr>
          <w:trHeight w:val="241"/>
        </w:trPr>
        <w:tc>
          <w:tcPr>
            <w:tcW w:w="8880" w:type="dxa"/>
            <w:vAlign w:val="bottom"/>
            <w:tcBorders>
              <w:bottom w:val="single" w:sz="8" w:color="0E3C23"/>
            </w:tcBorders>
          </w:tcPr>
          <w:p>
            <w:pPr>
              <w:ind w:left="60"/>
              <w:spacing w:after="0"/>
              <w:rPr>
                <w:sz w:val="20"/>
                <w:szCs w:val="20"/>
                <w:color w:val="auto"/>
              </w:rPr>
            </w:pPr>
            <w:r>
              <w:rPr>
                <w:rFonts w:ascii="Arial" w:cs="Arial" w:eastAsia="Arial" w:hAnsi="Arial"/>
                <w:sz w:val="20"/>
                <w:szCs w:val="20"/>
                <w:b w:val="1"/>
                <w:bCs w:val="1"/>
                <w:color w:val="auto"/>
              </w:rPr>
              <w:t>Total Additions to SCT Total Compensation, in dollars</w:t>
            </w:r>
          </w:p>
        </w:tc>
        <w:tc>
          <w:tcPr>
            <w:tcW w:w="1180" w:type="dxa"/>
            <w:vAlign w:val="bottom"/>
            <w:tcBorders>
              <w:bottom w:val="single" w:sz="8" w:color="0E3C23"/>
            </w:tcBorders>
          </w:tcPr>
          <w:p>
            <w:pPr>
              <w:jc w:val="right"/>
              <w:spacing w:after="0"/>
              <w:rPr>
                <w:sz w:val="20"/>
                <w:szCs w:val="20"/>
                <w:color w:val="auto"/>
              </w:rPr>
            </w:pPr>
            <w:r>
              <w:rPr>
                <w:rFonts w:ascii="Arial" w:cs="Arial" w:eastAsia="Arial" w:hAnsi="Arial"/>
                <w:sz w:val="20"/>
                <w:szCs w:val="20"/>
                <w:b w:val="1"/>
                <w:bCs w:val="1"/>
                <w:color w:val="auto"/>
              </w:rPr>
              <w:t>19,646,028</w:t>
            </w:r>
          </w:p>
        </w:tc>
      </w:tr>
      <w:tr>
        <w:trPr>
          <w:trHeight w:val="235"/>
        </w:trPr>
        <w:tc>
          <w:tcPr>
            <w:tcW w:w="8880" w:type="dxa"/>
            <w:vAlign w:val="bottom"/>
          </w:tcPr>
          <w:p>
            <w:pPr>
              <w:ind w:left="60"/>
              <w:spacing w:after="0"/>
              <w:rPr>
                <w:sz w:val="20"/>
                <w:szCs w:val="20"/>
                <w:color w:val="auto"/>
              </w:rPr>
            </w:pPr>
            <w:r>
              <w:rPr>
                <w:rFonts w:ascii="Arial" w:cs="Arial" w:eastAsia="Arial" w:hAnsi="Arial"/>
                <w:sz w:val="20"/>
                <w:szCs w:val="20"/>
                <w:b w:val="1"/>
                <w:bCs w:val="1"/>
                <w:color w:val="auto"/>
              </w:rPr>
              <w:t>CAP</w:t>
            </w: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24,501,038</w:t>
            </w:r>
          </w:p>
        </w:tc>
      </w:tr>
      <w:tr>
        <w:trPr>
          <w:trHeight w:val="34"/>
        </w:trPr>
        <w:tc>
          <w:tcPr>
            <w:tcW w:w="8880" w:type="dxa"/>
            <w:vAlign w:val="bottom"/>
            <w:tcBorders>
              <w:bottom w:val="single" w:sz="8" w:color="0E3C23"/>
            </w:tcBorders>
          </w:tcPr>
          <w:p>
            <w:pPr>
              <w:spacing w:after="0"/>
              <w:rPr>
                <w:sz w:val="2"/>
                <w:szCs w:val="2"/>
                <w:color w:val="auto"/>
              </w:rPr>
            </w:pPr>
          </w:p>
        </w:tc>
        <w:tc>
          <w:tcPr>
            <w:tcW w:w="1180" w:type="dxa"/>
            <w:vAlign w:val="bottom"/>
            <w:tcBorders>
              <w:bottom w:val="single" w:sz="8" w:color="0E3C23"/>
            </w:tcBorders>
          </w:tcPr>
          <w:p>
            <w:pPr>
              <w:spacing w:after="0"/>
              <w:rPr>
                <w:sz w:val="2"/>
                <w:szCs w:val="2"/>
                <w:color w:val="auto"/>
              </w:rPr>
            </w:pPr>
          </w:p>
        </w:tc>
      </w:tr>
    </w:tbl>
    <w:p>
      <w:pPr>
        <w:spacing w:after="0" w:line="178"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0E3C23"/>
        </w:rPr>
        <w:t>Adjustments to Non-CEO NEOs Average SCT Total Compensation to Calculate Average CAP:</w:t>
      </w:r>
    </w:p>
    <w:p>
      <w:pPr>
        <w:spacing w:after="0" w:line="160"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90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E3C23"/>
              </w:rPr>
              <w:t>2024</w:t>
            </w:r>
          </w:p>
        </w:tc>
      </w:tr>
      <w:tr>
        <w:trPr>
          <w:trHeight w:val="24"/>
        </w:trPr>
        <w:tc>
          <w:tcPr>
            <w:tcW w:w="9000" w:type="dxa"/>
            <w:vAlign w:val="bottom"/>
          </w:tcPr>
          <w:p>
            <w:pPr>
              <w:spacing w:after="0"/>
              <w:rPr>
                <w:sz w:val="2"/>
                <w:szCs w:val="2"/>
                <w:color w:val="auto"/>
              </w:rPr>
            </w:pPr>
          </w:p>
        </w:tc>
        <w:tc>
          <w:tcPr>
            <w:tcW w:w="1060" w:type="dxa"/>
            <w:vAlign w:val="bottom"/>
            <w:tcBorders>
              <w:bottom w:val="single" w:sz="8" w:color="0E3C23"/>
            </w:tcBorders>
          </w:tcPr>
          <w:p>
            <w:pPr>
              <w:spacing w:after="0"/>
              <w:rPr>
                <w:sz w:val="2"/>
                <w:szCs w:val="2"/>
                <w:color w:val="auto"/>
              </w:rPr>
            </w:pPr>
          </w:p>
        </w:tc>
      </w:tr>
      <w:tr>
        <w:trPr>
          <w:trHeight w:val="246"/>
        </w:trPr>
        <w:tc>
          <w:tcPr>
            <w:tcW w:w="9000" w:type="dxa"/>
            <w:vAlign w:val="bottom"/>
            <w:tcBorders>
              <w:bottom w:val="single" w:sz="8" w:color="0E3C23"/>
            </w:tcBorders>
          </w:tcPr>
          <w:p>
            <w:pPr>
              <w:ind w:left="60"/>
              <w:spacing w:after="0"/>
              <w:rPr>
                <w:sz w:val="20"/>
                <w:szCs w:val="20"/>
                <w:color w:val="auto"/>
              </w:rPr>
            </w:pPr>
            <w:r>
              <w:rPr>
                <w:rFonts w:ascii="Arial" w:cs="Arial" w:eastAsia="Arial" w:hAnsi="Arial"/>
                <w:sz w:val="20"/>
                <w:szCs w:val="20"/>
                <w:b w:val="1"/>
                <w:bCs w:val="1"/>
                <w:color w:val="auto"/>
              </w:rPr>
              <w:t>SCT Total Compensation</w:t>
            </w:r>
          </w:p>
        </w:tc>
        <w:tc>
          <w:tcPr>
            <w:tcW w:w="1060" w:type="dxa"/>
            <w:vAlign w:val="bottom"/>
            <w:tcBorders>
              <w:bottom w:val="single" w:sz="8" w:color="0E3C23"/>
            </w:tcBorders>
          </w:tcPr>
          <w:p>
            <w:pPr>
              <w:jc w:val="right"/>
              <w:spacing w:after="0"/>
              <w:rPr>
                <w:sz w:val="20"/>
                <w:szCs w:val="20"/>
                <w:color w:val="auto"/>
              </w:rPr>
            </w:pPr>
            <w:r>
              <w:rPr>
                <w:rFonts w:ascii="Arial" w:cs="Arial" w:eastAsia="Arial" w:hAnsi="Arial"/>
                <w:sz w:val="20"/>
                <w:szCs w:val="20"/>
                <w:b w:val="1"/>
                <w:bCs w:val="1"/>
                <w:color w:val="auto"/>
              </w:rPr>
              <w:t>4,851,561</w:t>
            </w:r>
          </w:p>
        </w:tc>
      </w:tr>
      <w:tr>
        <w:trPr>
          <w:trHeight w:val="239"/>
        </w:trPr>
        <w:tc>
          <w:tcPr>
            <w:tcW w:w="9000" w:type="dxa"/>
            <w:vAlign w:val="bottom"/>
            <w:tcBorders>
              <w:bottom w:val="single" w:sz="8" w:color="0E3C23"/>
            </w:tcBorders>
          </w:tcPr>
          <w:p>
            <w:pPr>
              <w:ind w:left="60"/>
              <w:spacing w:after="0"/>
              <w:rPr>
                <w:sz w:val="20"/>
                <w:szCs w:val="20"/>
                <w:color w:val="auto"/>
              </w:rPr>
            </w:pPr>
            <w:r>
              <w:rPr>
                <w:rFonts w:ascii="Arial" w:cs="Arial" w:eastAsia="Arial" w:hAnsi="Arial"/>
                <w:sz w:val="20"/>
                <w:szCs w:val="20"/>
                <w:b w:val="1"/>
                <w:bCs w:val="1"/>
                <w:color w:val="auto"/>
              </w:rPr>
              <w:t>Deduction from SCT Total Compensation, in dollars</w:t>
            </w:r>
          </w:p>
        </w:tc>
        <w:tc>
          <w:tcPr>
            <w:tcW w:w="1060" w:type="dxa"/>
            <w:vAlign w:val="bottom"/>
            <w:tcBorders>
              <w:bottom w:val="single" w:sz="8" w:color="0E3C23"/>
            </w:tcBorders>
          </w:tcPr>
          <w:p>
            <w:pPr>
              <w:spacing w:after="0"/>
              <w:rPr>
                <w:sz w:val="20"/>
                <w:szCs w:val="20"/>
                <w:color w:val="auto"/>
              </w:rPr>
            </w:pPr>
          </w:p>
        </w:tc>
      </w:tr>
      <w:tr>
        <w:trPr>
          <w:trHeight w:val="231"/>
        </w:trPr>
        <w:tc>
          <w:tcPr>
            <w:tcW w:w="9000" w:type="dxa"/>
            <w:vAlign w:val="bottom"/>
          </w:tcPr>
          <w:p>
            <w:pPr>
              <w:ind w:left="60"/>
              <w:spacing w:after="0"/>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Grant date fair values of equity awards reported in the</w:t>
            </w:r>
          </w:p>
        </w:tc>
        <w:tc>
          <w:tcPr>
            <w:tcW w:w="1060" w:type="dxa"/>
            <w:vAlign w:val="bottom"/>
          </w:tcPr>
          <w:p>
            <w:pPr>
              <w:spacing w:after="0"/>
              <w:rPr>
                <w:sz w:val="20"/>
                <w:szCs w:val="20"/>
                <w:color w:val="auto"/>
              </w:rPr>
            </w:pPr>
          </w:p>
        </w:tc>
      </w:tr>
      <w:tr>
        <w:trPr>
          <w:trHeight w:val="248"/>
        </w:trPr>
        <w:tc>
          <w:tcPr>
            <w:tcW w:w="9000" w:type="dxa"/>
            <w:vAlign w:val="bottom"/>
            <w:tcBorders>
              <w:bottom w:val="single" w:sz="8" w:color="0E3C23"/>
            </w:tcBorders>
          </w:tcPr>
          <w:p>
            <w:pPr>
              <w:ind w:left="260"/>
              <w:spacing w:after="0"/>
              <w:rPr>
                <w:sz w:val="20"/>
                <w:szCs w:val="20"/>
                <w:color w:val="auto"/>
              </w:rPr>
            </w:pPr>
            <w:r>
              <w:rPr>
                <w:rFonts w:ascii="Arial" w:cs="Arial" w:eastAsia="Arial" w:hAnsi="Arial"/>
                <w:sz w:val="20"/>
                <w:szCs w:val="20"/>
                <w:color w:val="auto"/>
              </w:rPr>
              <w:t>“Stock Awards” and “Options Awards” columns in the SCT</w:t>
            </w:r>
          </w:p>
        </w:tc>
        <w:tc>
          <w:tcPr>
            <w:tcW w:w="1060" w:type="dxa"/>
            <w:vAlign w:val="bottom"/>
            <w:tcBorders>
              <w:bottom w:val="single" w:sz="8" w:color="0E3C23"/>
            </w:tcBorders>
          </w:tcPr>
          <w:p>
            <w:pPr>
              <w:jc w:val="right"/>
              <w:spacing w:after="0"/>
              <w:rPr>
                <w:sz w:val="20"/>
                <w:szCs w:val="20"/>
                <w:color w:val="auto"/>
              </w:rPr>
            </w:pPr>
            <w:r>
              <w:rPr>
                <w:rFonts w:ascii="Arial" w:cs="Arial" w:eastAsia="Arial" w:hAnsi="Arial"/>
                <w:sz w:val="20"/>
                <w:szCs w:val="20"/>
                <w:b w:val="1"/>
                <w:bCs w:val="1"/>
                <w:color w:val="auto"/>
              </w:rPr>
              <w:t>2,903,563</w:t>
            </w:r>
          </w:p>
        </w:tc>
      </w:tr>
      <w:tr>
        <w:trPr>
          <w:trHeight w:val="239"/>
        </w:trPr>
        <w:tc>
          <w:tcPr>
            <w:tcW w:w="9000" w:type="dxa"/>
            <w:vAlign w:val="bottom"/>
            <w:tcBorders>
              <w:bottom w:val="single" w:sz="8" w:color="0E3C23"/>
            </w:tcBorders>
          </w:tcPr>
          <w:p>
            <w:pPr>
              <w:ind w:left="60"/>
              <w:spacing w:after="0"/>
              <w:rPr>
                <w:sz w:val="20"/>
                <w:szCs w:val="20"/>
                <w:color w:val="auto"/>
              </w:rPr>
            </w:pPr>
            <w:r>
              <w:rPr>
                <w:rFonts w:ascii="Arial" w:cs="Arial" w:eastAsia="Arial" w:hAnsi="Arial"/>
                <w:sz w:val="20"/>
                <w:szCs w:val="20"/>
                <w:b w:val="1"/>
                <w:bCs w:val="1"/>
                <w:color w:val="auto"/>
              </w:rPr>
              <w:t>Additions to SCT Total Compensation, in dollars:</w:t>
            </w:r>
          </w:p>
        </w:tc>
        <w:tc>
          <w:tcPr>
            <w:tcW w:w="1060" w:type="dxa"/>
            <w:vAlign w:val="bottom"/>
            <w:tcBorders>
              <w:bottom w:val="single" w:sz="8" w:color="0E3C23"/>
            </w:tcBorders>
          </w:tcPr>
          <w:p>
            <w:pPr>
              <w:spacing w:after="0"/>
              <w:rPr>
                <w:sz w:val="20"/>
                <w:szCs w:val="20"/>
                <w:color w:val="auto"/>
              </w:rPr>
            </w:pPr>
          </w:p>
        </w:tc>
      </w:tr>
      <w:tr>
        <w:trPr>
          <w:trHeight w:val="244"/>
        </w:trPr>
        <w:tc>
          <w:tcPr>
            <w:tcW w:w="9000" w:type="dxa"/>
            <w:vAlign w:val="bottom"/>
            <w:tcBorders>
              <w:bottom w:val="single" w:sz="8" w:color="0E3C23"/>
            </w:tcBorders>
          </w:tcPr>
          <w:p>
            <w:pPr>
              <w:ind w:left="60"/>
              <w:spacing w:after="0" w:line="244" w:lineRule="exact"/>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Fair value of stock awards granted during the year, as of 12/31</w:t>
            </w:r>
            <w:r>
              <w:rPr>
                <w:rFonts w:ascii="Arial" w:cs="Arial" w:eastAsia="Arial" w:hAnsi="Arial"/>
                <w:sz w:val="25"/>
                <w:szCs w:val="25"/>
                <w:color w:val="000000"/>
                <w:vertAlign w:val="superscript"/>
              </w:rPr>
              <w:t>(a)</w:t>
            </w:r>
          </w:p>
        </w:tc>
        <w:tc>
          <w:tcPr>
            <w:tcW w:w="1060" w:type="dxa"/>
            <w:vAlign w:val="bottom"/>
            <w:tcBorders>
              <w:bottom w:val="single" w:sz="8" w:color="0E3C23"/>
            </w:tcBorders>
          </w:tcPr>
          <w:p>
            <w:pPr>
              <w:jc w:val="right"/>
              <w:spacing w:after="0"/>
              <w:rPr>
                <w:sz w:val="20"/>
                <w:szCs w:val="20"/>
                <w:color w:val="auto"/>
              </w:rPr>
            </w:pPr>
            <w:r>
              <w:rPr>
                <w:rFonts w:ascii="Arial" w:cs="Arial" w:eastAsia="Arial" w:hAnsi="Arial"/>
                <w:sz w:val="20"/>
                <w:szCs w:val="20"/>
                <w:color w:val="auto"/>
              </w:rPr>
              <w:t>2,277,817</w:t>
            </w:r>
          </w:p>
        </w:tc>
      </w:tr>
      <w:tr>
        <w:trPr>
          <w:trHeight w:val="239"/>
        </w:trPr>
        <w:tc>
          <w:tcPr>
            <w:tcW w:w="9000" w:type="dxa"/>
            <w:vAlign w:val="bottom"/>
            <w:tcBorders>
              <w:bottom w:val="single" w:sz="8" w:color="0E3C23"/>
            </w:tcBorders>
          </w:tcPr>
          <w:p>
            <w:pPr>
              <w:ind w:left="60"/>
              <w:spacing w:after="0" w:line="239" w:lineRule="exact"/>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Fair value of option awards granted during the year, as of 12/31</w:t>
            </w:r>
            <w:r>
              <w:rPr>
                <w:rFonts w:ascii="Arial" w:cs="Arial" w:eastAsia="Arial" w:hAnsi="Arial"/>
                <w:sz w:val="25"/>
                <w:szCs w:val="25"/>
                <w:color w:val="000000"/>
                <w:vertAlign w:val="superscript"/>
              </w:rPr>
              <w:t>(b)</w:t>
            </w:r>
          </w:p>
        </w:tc>
        <w:tc>
          <w:tcPr>
            <w:tcW w:w="1060" w:type="dxa"/>
            <w:vAlign w:val="bottom"/>
            <w:tcBorders>
              <w:bottom w:val="single" w:sz="8" w:color="0E3C23"/>
            </w:tcBorders>
          </w:tcPr>
          <w:p>
            <w:pPr>
              <w:jc w:val="right"/>
              <w:spacing w:after="0" w:line="227" w:lineRule="exact"/>
              <w:rPr>
                <w:sz w:val="20"/>
                <w:szCs w:val="20"/>
                <w:color w:val="auto"/>
              </w:rPr>
            </w:pPr>
            <w:r>
              <w:rPr>
                <w:rFonts w:ascii="Arial" w:cs="Arial" w:eastAsia="Arial" w:hAnsi="Arial"/>
                <w:sz w:val="20"/>
                <w:szCs w:val="20"/>
                <w:color w:val="auto"/>
              </w:rPr>
              <w:t>397,712</w:t>
            </w:r>
          </w:p>
        </w:tc>
      </w:tr>
      <w:tr>
        <w:trPr>
          <w:trHeight w:val="239"/>
        </w:trPr>
        <w:tc>
          <w:tcPr>
            <w:tcW w:w="9000" w:type="dxa"/>
            <w:vAlign w:val="bottom"/>
            <w:tcBorders>
              <w:bottom w:val="single" w:sz="8" w:color="0E3C23"/>
            </w:tcBorders>
          </w:tcPr>
          <w:p>
            <w:pPr>
              <w:ind w:left="60"/>
              <w:spacing w:after="0" w:line="239" w:lineRule="exact"/>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Change in fair value of prior years’ stock awards unvested at 12/31</w:t>
            </w:r>
            <w:r>
              <w:rPr>
                <w:rFonts w:ascii="Arial" w:cs="Arial" w:eastAsia="Arial" w:hAnsi="Arial"/>
                <w:sz w:val="25"/>
                <w:szCs w:val="25"/>
                <w:color w:val="000000"/>
                <w:vertAlign w:val="superscript"/>
              </w:rPr>
              <w:t>(a)</w:t>
            </w:r>
          </w:p>
        </w:tc>
        <w:tc>
          <w:tcPr>
            <w:tcW w:w="1060" w:type="dxa"/>
            <w:vAlign w:val="bottom"/>
            <w:tcBorders>
              <w:bottom w:val="single" w:sz="8" w:color="0E3C23"/>
            </w:tcBorders>
          </w:tcPr>
          <w:p>
            <w:pPr>
              <w:jc w:val="right"/>
              <w:spacing w:after="0" w:line="227" w:lineRule="exact"/>
              <w:rPr>
                <w:sz w:val="20"/>
                <w:szCs w:val="20"/>
                <w:color w:val="auto"/>
              </w:rPr>
            </w:pPr>
            <w:r>
              <w:rPr>
                <w:rFonts w:ascii="Arial" w:cs="Arial" w:eastAsia="Arial" w:hAnsi="Arial"/>
                <w:sz w:val="20"/>
                <w:szCs w:val="20"/>
                <w:color w:val="auto"/>
              </w:rPr>
              <w:t>204,056</w:t>
            </w:r>
          </w:p>
        </w:tc>
      </w:tr>
      <w:tr>
        <w:trPr>
          <w:trHeight w:val="239"/>
        </w:trPr>
        <w:tc>
          <w:tcPr>
            <w:tcW w:w="9000" w:type="dxa"/>
            <w:vAlign w:val="bottom"/>
            <w:tcBorders>
              <w:bottom w:val="single" w:sz="8" w:color="0E3C23"/>
            </w:tcBorders>
          </w:tcPr>
          <w:p>
            <w:pPr>
              <w:ind w:left="60"/>
              <w:spacing w:after="0" w:line="239" w:lineRule="exact"/>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Change in fair value of prior years’ option awards unvested at 12/31</w:t>
            </w:r>
            <w:r>
              <w:rPr>
                <w:rFonts w:ascii="Arial" w:cs="Arial" w:eastAsia="Arial" w:hAnsi="Arial"/>
                <w:sz w:val="25"/>
                <w:szCs w:val="25"/>
                <w:color w:val="000000"/>
                <w:vertAlign w:val="superscript"/>
              </w:rPr>
              <w:t>(b)</w:t>
            </w:r>
          </w:p>
        </w:tc>
        <w:tc>
          <w:tcPr>
            <w:tcW w:w="1060" w:type="dxa"/>
            <w:vAlign w:val="bottom"/>
            <w:tcBorders>
              <w:bottom w:val="single" w:sz="8" w:color="0E3C23"/>
            </w:tcBorders>
          </w:tcPr>
          <w:p>
            <w:pPr>
              <w:jc w:val="right"/>
              <w:spacing w:after="0" w:line="227" w:lineRule="exact"/>
              <w:rPr>
                <w:sz w:val="20"/>
                <w:szCs w:val="20"/>
                <w:color w:val="auto"/>
              </w:rPr>
            </w:pPr>
            <w:r>
              <w:rPr>
                <w:rFonts w:ascii="Arial" w:cs="Arial" w:eastAsia="Arial" w:hAnsi="Arial"/>
                <w:sz w:val="20"/>
                <w:szCs w:val="20"/>
                <w:color w:val="auto"/>
              </w:rPr>
              <w:t>213,402</w:t>
            </w:r>
          </w:p>
        </w:tc>
      </w:tr>
      <w:tr>
        <w:trPr>
          <w:trHeight w:val="239"/>
        </w:trPr>
        <w:tc>
          <w:tcPr>
            <w:tcW w:w="9000" w:type="dxa"/>
            <w:vAlign w:val="bottom"/>
            <w:tcBorders>
              <w:bottom w:val="single" w:sz="8" w:color="0E3C23"/>
            </w:tcBorders>
          </w:tcPr>
          <w:p>
            <w:pPr>
              <w:ind w:left="60"/>
              <w:spacing w:after="0" w:line="239" w:lineRule="exact"/>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Change in fair value of prior years’ stock awards vesting during the year</w:t>
            </w:r>
            <w:r>
              <w:rPr>
                <w:rFonts w:ascii="Arial" w:cs="Arial" w:eastAsia="Arial" w:hAnsi="Arial"/>
                <w:sz w:val="25"/>
                <w:szCs w:val="25"/>
                <w:color w:val="000000"/>
                <w:vertAlign w:val="superscript"/>
              </w:rPr>
              <w:t>(a)</w:t>
            </w:r>
          </w:p>
        </w:tc>
        <w:tc>
          <w:tcPr>
            <w:tcW w:w="1060" w:type="dxa"/>
            <w:vAlign w:val="bottom"/>
            <w:tcBorders>
              <w:bottom w:val="single" w:sz="8" w:color="0E3C23"/>
            </w:tcBorders>
          </w:tcPr>
          <w:p>
            <w:pPr>
              <w:jc w:val="right"/>
              <w:spacing w:after="0" w:line="227" w:lineRule="exact"/>
              <w:rPr>
                <w:sz w:val="20"/>
                <w:szCs w:val="20"/>
                <w:color w:val="auto"/>
              </w:rPr>
            </w:pPr>
            <w:r>
              <w:rPr>
                <w:rFonts w:ascii="Arial" w:cs="Arial" w:eastAsia="Arial" w:hAnsi="Arial"/>
                <w:sz w:val="20"/>
                <w:szCs w:val="20"/>
                <w:color w:val="auto"/>
              </w:rPr>
              <w:t>1,086,996</w:t>
            </w:r>
          </w:p>
        </w:tc>
      </w:tr>
      <w:tr>
        <w:trPr>
          <w:trHeight w:val="239"/>
        </w:trPr>
        <w:tc>
          <w:tcPr>
            <w:tcW w:w="9000" w:type="dxa"/>
            <w:vAlign w:val="bottom"/>
            <w:tcBorders>
              <w:bottom w:val="single" w:sz="8" w:color="0E3C23"/>
            </w:tcBorders>
          </w:tcPr>
          <w:p>
            <w:pPr>
              <w:ind w:left="60"/>
              <w:spacing w:after="0" w:line="239" w:lineRule="exact"/>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Change in fair value of prior years’ option awards vesting during the year</w:t>
            </w:r>
            <w:r>
              <w:rPr>
                <w:rFonts w:ascii="Arial" w:cs="Arial" w:eastAsia="Arial" w:hAnsi="Arial"/>
                <w:sz w:val="25"/>
                <w:szCs w:val="25"/>
                <w:color w:val="000000"/>
                <w:vertAlign w:val="superscript"/>
              </w:rPr>
              <w:t>(b)</w:t>
            </w:r>
          </w:p>
        </w:tc>
        <w:tc>
          <w:tcPr>
            <w:tcW w:w="1060" w:type="dxa"/>
            <w:vAlign w:val="bottom"/>
            <w:tcBorders>
              <w:bottom w:val="single" w:sz="8" w:color="0E3C23"/>
            </w:tcBorders>
          </w:tcPr>
          <w:p>
            <w:pPr>
              <w:jc w:val="right"/>
              <w:spacing w:after="0" w:line="227" w:lineRule="exact"/>
              <w:rPr>
                <w:sz w:val="20"/>
                <w:szCs w:val="20"/>
                <w:color w:val="auto"/>
              </w:rPr>
            </w:pPr>
            <w:r>
              <w:rPr>
                <w:rFonts w:ascii="Arial" w:cs="Arial" w:eastAsia="Arial" w:hAnsi="Arial"/>
                <w:sz w:val="20"/>
                <w:szCs w:val="20"/>
                <w:color w:val="auto"/>
              </w:rPr>
              <w:t>401,999</w:t>
            </w:r>
          </w:p>
        </w:tc>
      </w:tr>
      <w:tr>
        <w:trPr>
          <w:trHeight w:val="233"/>
        </w:trPr>
        <w:tc>
          <w:tcPr>
            <w:tcW w:w="9000" w:type="dxa"/>
            <w:vAlign w:val="bottom"/>
            <w:tcBorders>
              <w:bottom w:val="single" w:sz="8" w:color="0E3C23"/>
            </w:tcBorders>
          </w:tcPr>
          <w:p>
            <w:pPr>
              <w:ind w:left="60"/>
              <w:spacing w:after="0" w:line="227" w:lineRule="exact"/>
              <w:rPr>
                <w:sz w:val="20"/>
                <w:szCs w:val="20"/>
                <w:color w:val="auto"/>
              </w:rPr>
            </w:pPr>
            <w:r>
              <w:rPr>
                <w:rFonts w:ascii="Arial" w:cs="Arial" w:eastAsia="Arial" w:hAnsi="Arial"/>
                <w:sz w:val="20"/>
                <w:szCs w:val="20"/>
                <w:color w:val="0E3C23"/>
              </w:rPr>
              <w:t xml:space="preserve">• </w:t>
            </w:r>
            <w:r>
              <w:rPr>
                <w:rFonts w:ascii="Arial" w:cs="Arial" w:eastAsia="Arial" w:hAnsi="Arial"/>
                <w:sz w:val="20"/>
                <w:szCs w:val="20"/>
                <w:color w:val="000000"/>
              </w:rPr>
              <w:t>Dividend equivalents paid upon stock awards vesting during the year</w:t>
            </w:r>
          </w:p>
        </w:tc>
        <w:tc>
          <w:tcPr>
            <w:tcW w:w="1060" w:type="dxa"/>
            <w:vAlign w:val="bottom"/>
            <w:tcBorders>
              <w:bottom w:val="single" w:sz="8" w:color="0E3C23"/>
            </w:tcBorders>
          </w:tcPr>
          <w:p>
            <w:pPr>
              <w:jc w:val="right"/>
              <w:spacing w:after="0" w:line="227" w:lineRule="exact"/>
              <w:rPr>
                <w:sz w:val="20"/>
                <w:szCs w:val="20"/>
                <w:color w:val="auto"/>
              </w:rPr>
            </w:pPr>
            <w:r>
              <w:rPr>
                <w:rFonts w:ascii="Arial" w:cs="Arial" w:eastAsia="Arial" w:hAnsi="Arial"/>
                <w:sz w:val="20"/>
                <w:szCs w:val="20"/>
                <w:color w:val="auto"/>
              </w:rPr>
              <w:t>145,529</w:t>
            </w:r>
          </w:p>
        </w:tc>
      </w:tr>
      <w:tr>
        <w:trPr>
          <w:trHeight w:val="241"/>
        </w:trPr>
        <w:tc>
          <w:tcPr>
            <w:tcW w:w="9000" w:type="dxa"/>
            <w:vAlign w:val="bottom"/>
            <w:tcBorders>
              <w:bottom w:val="single" w:sz="8" w:color="0E3C23"/>
            </w:tcBorders>
          </w:tcPr>
          <w:p>
            <w:pPr>
              <w:ind w:left="60"/>
              <w:spacing w:after="0"/>
              <w:rPr>
                <w:sz w:val="20"/>
                <w:szCs w:val="20"/>
                <w:color w:val="auto"/>
              </w:rPr>
            </w:pPr>
            <w:r>
              <w:rPr>
                <w:rFonts w:ascii="Arial" w:cs="Arial" w:eastAsia="Arial" w:hAnsi="Arial"/>
                <w:sz w:val="20"/>
                <w:szCs w:val="20"/>
                <w:b w:val="1"/>
                <w:bCs w:val="1"/>
                <w:color w:val="auto"/>
              </w:rPr>
              <w:t>Total Additions to SCT Total Compensation, in dollars</w:t>
            </w:r>
          </w:p>
        </w:tc>
        <w:tc>
          <w:tcPr>
            <w:tcW w:w="1060" w:type="dxa"/>
            <w:vAlign w:val="bottom"/>
            <w:tcBorders>
              <w:bottom w:val="single" w:sz="8" w:color="0E3C23"/>
            </w:tcBorders>
          </w:tcPr>
          <w:p>
            <w:pPr>
              <w:jc w:val="right"/>
              <w:spacing w:after="0"/>
              <w:rPr>
                <w:sz w:val="20"/>
                <w:szCs w:val="20"/>
                <w:color w:val="auto"/>
              </w:rPr>
            </w:pPr>
            <w:r>
              <w:rPr>
                <w:rFonts w:ascii="Arial" w:cs="Arial" w:eastAsia="Arial" w:hAnsi="Arial"/>
                <w:sz w:val="20"/>
                <w:szCs w:val="20"/>
                <w:b w:val="1"/>
                <w:bCs w:val="1"/>
                <w:color w:val="auto"/>
              </w:rPr>
              <w:t>4,724,511</w:t>
            </w:r>
          </w:p>
        </w:tc>
      </w:tr>
      <w:tr>
        <w:trPr>
          <w:trHeight w:val="235"/>
        </w:trPr>
        <w:tc>
          <w:tcPr>
            <w:tcW w:w="9000" w:type="dxa"/>
            <w:vAlign w:val="bottom"/>
          </w:tcPr>
          <w:p>
            <w:pPr>
              <w:ind w:left="60"/>
              <w:spacing w:after="0"/>
              <w:rPr>
                <w:sz w:val="20"/>
                <w:szCs w:val="20"/>
                <w:color w:val="auto"/>
              </w:rPr>
            </w:pPr>
            <w:r>
              <w:rPr>
                <w:rFonts w:ascii="Arial" w:cs="Arial" w:eastAsia="Arial" w:hAnsi="Arial"/>
                <w:sz w:val="20"/>
                <w:szCs w:val="20"/>
                <w:b w:val="1"/>
                <w:bCs w:val="1"/>
                <w:color w:val="auto"/>
              </w:rPr>
              <w:t>CAP</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6,672,509</w:t>
            </w:r>
          </w:p>
        </w:tc>
      </w:tr>
      <w:tr>
        <w:trPr>
          <w:trHeight w:val="34"/>
        </w:trPr>
        <w:tc>
          <w:tcPr>
            <w:tcW w:w="9000" w:type="dxa"/>
            <w:vAlign w:val="bottom"/>
            <w:tcBorders>
              <w:bottom w:val="single" w:sz="8" w:color="0E3C23"/>
            </w:tcBorders>
          </w:tcPr>
          <w:p>
            <w:pPr>
              <w:spacing w:after="0"/>
              <w:rPr>
                <w:sz w:val="2"/>
                <w:szCs w:val="2"/>
                <w:color w:val="auto"/>
              </w:rPr>
            </w:pPr>
          </w:p>
        </w:tc>
        <w:tc>
          <w:tcPr>
            <w:tcW w:w="1060" w:type="dxa"/>
            <w:vAlign w:val="bottom"/>
            <w:tcBorders>
              <w:bottom w:val="single" w:sz="8" w:color="0E3C23"/>
            </w:tcBorders>
          </w:tcPr>
          <w:p>
            <w:pPr>
              <w:spacing w:after="0"/>
              <w:rPr>
                <w:sz w:val="2"/>
                <w:szCs w:val="2"/>
                <w:color w:val="auto"/>
              </w:rPr>
            </w:pPr>
          </w:p>
        </w:tc>
      </w:tr>
    </w:tbl>
    <w:p>
      <w:pPr>
        <w:spacing w:after="0" w:line="77" w:lineRule="exact"/>
        <w:rPr>
          <w:sz w:val="20"/>
          <w:szCs w:val="20"/>
          <w:color w:val="auto"/>
        </w:rPr>
      </w:pPr>
    </w:p>
    <w:p>
      <w:pPr>
        <w:jc w:val="both"/>
        <w:ind w:left="980" w:right="200" w:hanging="403"/>
        <w:spacing w:after="0" w:line="280" w:lineRule="auto"/>
        <w:tabs>
          <w:tab w:leader="none" w:pos="979"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Stock awards for all NEOs include annual grants of TSR PSUs and Cash Flow PSUs. The fair value of an unvested TSR PSU is calculated using a multifactor Monte Carlo model, and because total shareholder return is a market condition, projected achievement is embedded in the fair value. The fair value of an unvested Cash Flow PSU is equal to the average of the high and low market price of our Common Stock on the given date; we then multiply the fair value of a Cash Flow PSU by our projection, for accounting purposes, of the probable outcome of the Cash Flow Generation performance measure applicable to such PSUs, based on results to-date and forecast. The following grid summarizes the projected probable outcomes utilized to calculate the value of unvested Cash Flow PSUs at year-end for years prior to the end of the performance period for purposes of 2024 CAP:</w:t>
      </w:r>
    </w:p>
    <w:p>
      <w:pPr>
        <w:sectPr>
          <w:pgSz w:w="13320" w:h="16920" w:orient="portrait"/>
          <w:cols w:equalWidth="0" w:num="1">
            <w:col w:w="104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60</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55">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56">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66" w:name="page67"/>
    <w:bookmarkEnd w:id="66"/>
    <w:p>
      <w:pPr>
        <w:ind w:left="798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pacing w:after="0" w:line="273"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6660" w:type="dxa"/>
            <w:vAlign w:val="bottom"/>
          </w:tcPr>
          <w:p>
            <w:pPr>
              <w:ind w:left="60"/>
              <w:spacing w:after="0"/>
              <w:rPr>
                <w:sz w:val="20"/>
                <w:szCs w:val="20"/>
                <w:color w:val="auto"/>
              </w:rPr>
            </w:pPr>
            <w:r>
              <w:rPr>
                <w:rFonts w:ascii="Arial" w:cs="Arial" w:eastAsia="Arial" w:hAnsi="Arial"/>
                <w:sz w:val="16"/>
                <w:szCs w:val="16"/>
                <w:b w:val="1"/>
                <w:bCs w:val="1"/>
                <w:color w:val="0E3C23"/>
              </w:rPr>
              <w:t>Projected Payout of Unvested Cash Flow PSUs at Year-End</w:t>
            </w:r>
          </w:p>
        </w:tc>
        <w:tc>
          <w:tcPr>
            <w:tcW w:w="1340" w:type="dxa"/>
            <w:vAlign w:val="bottom"/>
          </w:tcPr>
          <w:p>
            <w:pPr>
              <w:jc w:val="right"/>
              <w:ind w:right="107"/>
              <w:spacing w:after="0"/>
              <w:rPr>
                <w:sz w:val="20"/>
                <w:szCs w:val="20"/>
                <w:color w:val="auto"/>
              </w:rPr>
            </w:pPr>
            <w:r>
              <w:rPr>
                <w:rFonts w:ascii="Arial" w:cs="Arial" w:eastAsia="Arial" w:hAnsi="Arial"/>
                <w:sz w:val="16"/>
                <w:szCs w:val="16"/>
                <w:b w:val="1"/>
                <w:bCs w:val="1"/>
                <w:color w:val="0E3C23"/>
              </w:rPr>
              <w:t>2024</w:t>
            </w:r>
          </w:p>
        </w:tc>
        <w:tc>
          <w:tcPr>
            <w:tcW w:w="460" w:type="dxa"/>
            <w:vAlign w:val="bottom"/>
          </w:tcPr>
          <w:p>
            <w:pPr>
              <w:ind w:left="40"/>
              <w:spacing w:after="0"/>
              <w:rPr>
                <w:sz w:val="20"/>
                <w:szCs w:val="20"/>
                <w:color w:val="auto"/>
              </w:rPr>
            </w:pPr>
            <w:r>
              <w:rPr>
                <w:rFonts w:ascii="Arial" w:cs="Arial" w:eastAsia="Arial" w:hAnsi="Arial"/>
                <w:sz w:val="16"/>
                <w:szCs w:val="16"/>
                <w:b w:val="1"/>
                <w:bCs w:val="1"/>
                <w:color w:val="0E3C23"/>
              </w:rPr>
              <w:t>2023</w:t>
            </w:r>
          </w:p>
        </w:tc>
        <w:tc>
          <w:tcPr>
            <w:tcW w:w="80" w:type="dxa"/>
            <w:vAlign w:val="bottom"/>
          </w:tcPr>
          <w:p>
            <w:pPr>
              <w:spacing w:after="0"/>
              <w:rPr>
                <w:sz w:val="16"/>
                <w:szCs w:val="16"/>
                <w:color w:val="auto"/>
              </w:rPr>
            </w:pPr>
          </w:p>
        </w:tc>
      </w:tr>
      <w:tr>
        <w:trPr>
          <w:trHeight w:val="44"/>
        </w:trPr>
        <w:tc>
          <w:tcPr>
            <w:tcW w:w="6660" w:type="dxa"/>
            <w:vAlign w:val="bottom"/>
            <w:tcBorders>
              <w:bottom w:val="single" w:sz="8" w:color="0E3C23"/>
            </w:tcBorders>
          </w:tcPr>
          <w:p>
            <w:pPr>
              <w:spacing w:after="0"/>
              <w:rPr>
                <w:sz w:val="3"/>
                <w:szCs w:val="3"/>
                <w:color w:val="auto"/>
              </w:rPr>
            </w:pPr>
          </w:p>
        </w:tc>
        <w:tc>
          <w:tcPr>
            <w:tcW w:w="1340" w:type="dxa"/>
            <w:vAlign w:val="bottom"/>
            <w:tcBorders>
              <w:bottom w:val="single" w:sz="8" w:color="0E3C23"/>
            </w:tcBorders>
          </w:tcPr>
          <w:p>
            <w:pPr>
              <w:spacing w:after="0"/>
              <w:rPr>
                <w:sz w:val="3"/>
                <w:szCs w:val="3"/>
                <w:color w:val="auto"/>
              </w:rPr>
            </w:pPr>
          </w:p>
        </w:tc>
        <w:tc>
          <w:tcPr>
            <w:tcW w:w="460" w:type="dxa"/>
            <w:vAlign w:val="bottom"/>
            <w:tcBorders>
              <w:bottom w:val="single" w:sz="8" w:color="0E3C23"/>
            </w:tcBorders>
          </w:tcPr>
          <w:p>
            <w:pPr>
              <w:spacing w:after="0"/>
              <w:rPr>
                <w:sz w:val="3"/>
                <w:szCs w:val="3"/>
                <w:color w:val="auto"/>
              </w:rPr>
            </w:pPr>
          </w:p>
        </w:tc>
        <w:tc>
          <w:tcPr>
            <w:tcW w:w="80" w:type="dxa"/>
            <w:vAlign w:val="bottom"/>
          </w:tcPr>
          <w:p>
            <w:pPr>
              <w:spacing w:after="0"/>
              <w:rPr>
                <w:sz w:val="3"/>
                <w:szCs w:val="3"/>
                <w:color w:val="auto"/>
              </w:rPr>
            </w:pPr>
          </w:p>
        </w:tc>
      </w:tr>
      <w:tr>
        <w:trPr>
          <w:trHeight w:val="257"/>
        </w:trPr>
        <w:tc>
          <w:tcPr>
            <w:tcW w:w="6660" w:type="dxa"/>
            <w:vAlign w:val="bottom"/>
          </w:tcPr>
          <w:p>
            <w:pPr>
              <w:ind w:left="60"/>
              <w:spacing w:after="0"/>
              <w:rPr>
                <w:sz w:val="20"/>
                <w:szCs w:val="20"/>
                <w:color w:val="auto"/>
              </w:rPr>
            </w:pPr>
            <w:r>
              <w:rPr>
                <w:rFonts w:ascii="Arial" w:cs="Arial" w:eastAsia="Arial" w:hAnsi="Arial"/>
                <w:sz w:val="20"/>
                <w:szCs w:val="20"/>
                <w:color w:val="auto"/>
              </w:rPr>
              <w:t>Cash Flow PSUs with 3-year Performance Period Ended 12/31/2024</w:t>
            </w:r>
          </w:p>
        </w:tc>
        <w:tc>
          <w:tcPr>
            <w:tcW w:w="1340" w:type="dxa"/>
            <w:vAlign w:val="bottom"/>
          </w:tcPr>
          <w:p>
            <w:pPr>
              <w:spacing w:after="0"/>
              <w:rPr>
                <w:sz w:val="22"/>
                <w:szCs w:val="22"/>
                <w:color w:val="auto"/>
              </w:rPr>
            </w:pPr>
          </w:p>
        </w:tc>
        <w:tc>
          <w:tcPr>
            <w:tcW w:w="540" w:type="dxa"/>
            <w:vAlign w:val="bottom"/>
            <w:gridSpan w:val="2"/>
          </w:tcPr>
          <w:p>
            <w:pPr>
              <w:ind w:left="60"/>
              <w:spacing w:after="0"/>
              <w:rPr>
                <w:sz w:val="20"/>
                <w:szCs w:val="20"/>
                <w:color w:val="auto"/>
              </w:rPr>
            </w:pPr>
            <w:r>
              <w:rPr>
                <w:rFonts w:ascii="Arial" w:cs="Arial" w:eastAsia="Arial" w:hAnsi="Arial"/>
                <w:sz w:val="20"/>
                <w:szCs w:val="20"/>
                <w:color w:val="auto"/>
                <w:w w:val="89"/>
              </w:rPr>
              <w:t>100%</w:t>
            </w:r>
          </w:p>
        </w:tc>
      </w:tr>
      <w:tr>
        <w:trPr>
          <w:trHeight w:val="33"/>
        </w:trPr>
        <w:tc>
          <w:tcPr>
            <w:tcW w:w="6660" w:type="dxa"/>
            <w:vAlign w:val="bottom"/>
            <w:tcBorders>
              <w:bottom w:val="single" w:sz="8" w:color="0E3C23"/>
            </w:tcBorders>
          </w:tcPr>
          <w:p>
            <w:pPr>
              <w:spacing w:after="0"/>
              <w:rPr>
                <w:sz w:val="2"/>
                <w:szCs w:val="2"/>
                <w:color w:val="auto"/>
              </w:rPr>
            </w:pPr>
          </w:p>
        </w:tc>
        <w:tc>
          <w:tcPr>
            <w:tcW w:w="1340" w:type="dxa"/>
            <w:vAlign w:val="bottom"/>
            <w:tcBorders>
              <w:bottom w:val="single" w:sz="8" w:color="0E3C23"/>
            </w:tcBorders>
          </w:tcPr>
          <w:p>
            <w:pPr>
              <w:spacing w:after="0"/>
              <w:rPr>
                <w:sz w:val="2"/>
                <w:szCs w:val="2"/>
                <w:color w:val="auto"/>
              </w:rPr>
            </w:pPr>
          </w:p>
        </w:tc>
        <w:tc>
          <w:tcPr>
            <w:tcW w:w="460" w:type="dxa"/>
            <w:vAlign w:val="bottom"/>
            <w:tcBorders>
              <w:bottom w:val="single" w:sz="8" w:color="0E3C23"/>
            </w:tcBorders>
          </w:tcPr>
          <w:p>
            <w:pPr>
              <w:spacing w:after="0"/>
              <w:rPr>
                <w:sz w:val="2"/>
                <w:szCs w:val="2"/>
                <w:color w:val="auto"/>
              </w:rPr>
            </w:pPr>
          </w:p>
        </w:tc>
        <w:tc>
          <w:tcPr>
            <w:tcW w:w="80" w:type="dxa"/>
            <w:vAlign w:val="bottom"/>
          </w:tcPr>
          <w:p>
            <w:pPr>
              <w:spacing w:after="0"/>
              <w:rPr>
                <w:sz w:val="2"/>
                <w:szCs w:val="2"/>
                <w:color w:val="auto"/>
              </w:rPr>
            </w:pPr>
          </w:p>
        </w:tc>
      </w:tr>
      <w:tr>
        <w:trPr>
          <w:trHeight w:val="247"/>
        </w:trPr>
        <w:tc>
          <w:tcPr>
            <w:tcW w:w="6660" w:type="dxa"/>
            <w:vAlign w:val="bottom"/>
          </w:tcPr>
          <w:p>
            <w:pPr>
              <w:ind w:left="60"/>
              <w:spacing w:after="0"/>
              <w:rPr>
                <w:sz w:val="20"/>
                <w:szCs w:val="20"/>
                <w:color w:val="auto"/>
              </w:rPr>
            </w:pPr>
            <w:r>
              <w:rPr>
                <w:rFonts w:ascii="Arial" w:cs="Arial" w:eastAsia="Arial" w:hAnsi="Arial"/>
                <w:sz w:val="20"/>
                <w:szCs w:val="20"/>
                <w:color w:val="auto"/>
              </w:rPr>
              <w:t>Cash Flow PSUs with 3-year Performance Period Ended 12/31/2025</w:t>
            </w:r>
          </w:p>
        </w:tc>
        <w:tc>
          <w:tcPr>
            <w:tcW w:w="1340" w:type="dxa"/>
            <w:vAlign w:val="bottom"/>
          </w:tcPr>
          <w:p>
            <w:pPr>
              <w:jc w:val="right"/>
              <w:spacing w:after="0"/>
              <w:rPr>
                <w:sz w:val="20"/>
                <w:szCs w:val="20"/>
                <w:color w:val="auto"/>
              </w:rPr>
            </w:pPr>
            <w:r>
              <w:rPr>
                <w:rFonts w:ascii="Arial" w:cs="Arial" w:eastAsia="Arial" w:hAnsi="Arial"/>
                <w:sz w:val="20"/>
                <w:szCs w:val="20"/>
                <w:color w:val="auto"/>
              </w:rPr>
              <w:t>75%</w:t>
            </w:r>
          </w:p>
        </w:tc>
        <w:tc>
          <w:tcPr>
            <w:tcW w:w="540" w:type="dxa"/>
            <w:vAlign w:val="bottom"/>
            <w:gridSpan w:val="2"/>
          </w:tcPr>
          <w:p>
            <w:pPr>
              <w:ind w:left="60"/>
              <w:spacing w:after="0"/>
              <w:rPr>
                <w:sz w:val="20"/>
                <w:szCs w:val="20"/>
                <w:color w:val="auto"/>
              </w:rPr>
            </w:pPr>
            <w:r>
              <w:rPr>
                <w:rFonts w:ascii="Arial" w:cs="Arial" w:eastAsia="Arial" w:hAnsi="Arial"/>
                <w:sz w:val="20"/>
                <w:szCs w:val="20"/>
                <w:color w:val="auto"/>
                <w:w w:val="89"/>
              </w:rPr>
              <w:t>100%</w:t>
            </w:r>
          </w:p>
        </w:tc>
      </w:tr>
      <w:tr>
        <w:trPr>
          <w:trHeight w:val="33"/>
        </w:trPr>
        <w:tc>
          <w:tcPr>
            <w:tcW w:w="6660" w:type="dxa"/>
            <w:vAlign w:val="bottom"/>
            <w:tcBorders>
              <w:bottom w:val="single" w:sz="8" w:color="0E3C23"/>
            </w:tcBorders>
          </w:tcPr>
          <w:p>
            <w:pPr>
              <w:spacing w:after="0"/>
              <w:rPr>
                <w:sz w:val="2"/>
                <w:szCs w:val="2"/>
                <w:color w:val="auto"/>
              </w:rPr>
            </w:pPr>
          </w:p>
        </w:tc>
        <w:tc>
          <w:tcPr>
            <w:tcW w:w="1340" w:type="dxa"/>
            <w:vAlign w:val="bottom"/>
            <w:tcBorders>
              <w:bottom w:val="single" w:sz="8" w:color="0E3C23"/>
            </w:tcBorders>
          </w:tcPr>
          <w:p>
            <w:pPr>
              <w:spacing w:after="0"/>
              <w:rPr>
                <w:sz w:val="2"/>
                <w:szCs w:val="2"/>
                <w:color w:val="auto"/>
              </w:rPr>
            </w:pPr>
          </w:p>
        </w:tc>
        <w:tc>
          <w:tcPr>
            <w:tcW w:w="460" w:type="dxa"/>
            <w:vAlign w:val="bottom"/>
            <w:tcBorders>
              <w:bottom w:val="single" w:sz="8" w:color="0E3C23"/>
            </w:tcBorders>
          </w:tcPr>
          <w:p>
            <w:pPr>
              <w:spacing w:after="0"/>
              <w:rPr>
                <w:sz w:val="2"/>
                <w:szCs w:val="2"/>
                <w:color w:val="auto"/>
              </w:rPr>
            </w:pPr>
          </w:p>
        </w:tc>
        <w:tc>
          <w:tcPr>
            <w:tcW w:w="80" w:type="dxa"/>
            <w:vAlign w:val="bottom"/>
          </w:tcPr>
          <w:p>
            <w:pPr>
              <w:spacing w:after="0"/>
              <w:rPr>
                <w:sz w:val="2"/>
                <w:szCs w:val="2"/>
                <w:color w:val="auto"/>
              </w:rPr>
            </w:pPr>
          </w:p>
        </w:tc>
      </w:tr>
      <w:tr>
        <w:trPr>
          <w:trHeight w:val="247"/>
        </w:trPr>
        <w:tc>
          <w:tcPr>
            <w:tcW w:w="6660" w:type="dxa"/>
            <w:vAlign w:val="bottom"/>
          </w:tcPr>
          <w:p>
            <w:pPr>
              <w:ind w:left="60"/>
              <w:spacing w:after="0"/>
              <w:rPr>
                <w:sz w:val="20"/>
                <w:szCs w:val="20"/>
                <w:color w:val="auto"/>
              </w:rPr>
            </w:pPr>
            <w:r>
              <w:rPr>
                <w:rFonts w:ascii="Arial" w:cs="Arial" w:eastAsia="Arial" w:hAnsi="Arial"/>
                <w:sz w:val="20"/>
                <w:szCs w:val="20"/>
                <w:color w:val="auto"/>
              </w:rPr>
              <w:t>Cash Flow PSUs with 3-year Performance Period Ended 12/31/2026</w:t>
            </w:r>
          </w:p>
        </w:tc>
        <w:tc>
          <w:tcPr>
            <w:tcW w:w="1340" w:type="dxa"/>
            <w:vAlign w:val="bottom"/>
          </w:tcPr>
          <w:p>
            <w:pPr>
              <w:jc w:val="right"/>
              <w:spacing w:after="0"/>
              <w:rPr>
                <w:sz w:val="20"/>
                <w:szCs w:val="20"/>
                <w:color w:val="auto"/>
              </w:rPr>
            </w:pPr>
            <w:r>
              <w:rPr>
                <w:rFonts w:ascii="Arial" w:cs="Arial" w:eastAsia="Arial" w:hAnsi="Arial"/>
                <w:sz w:val="20"/>
                <w:szCs w:val="20"/>
                <w:color w:val="auto"/>
              </w:rPr>
              <w:t>100%</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8"/>
        </w:trPr>
        <w:tc>
          <w:tcPr>
            <w:tcW w:w="6660" w:type="dxa"/>
            <w:vAlign w:val="bottom"/>
            <w:tcBorders>
              <w:bottom w:val="single" w:sz="8" w:color="0E3C23"/>
            </w:tcBorders>
          </w:tcPr>
          <w:p>
            <w:pPr>
              <w:spacing w:after="0"/>
              <w:rPr>
                <w:sz w:val="3"/>
                <w:szCs w:val="3"/>
                <w:color w:val="auto"/>
              </w:rPr>
            </w:pPr>
          </w:p>
        </w:tc>
        <w:tc>
          <w:tcPr>
            <w:tcW w:w="1340" w:type="dxa"/>
            <w:vAlign w:val="bottom"/>
            <w:tcBorders>
              <w:bottom w:val="single" w:sz="8" w:color="0E3C23"/>
            </w:tcBorders>
          </w:tcPr>
          <w:p>
            <w:pPr>
              <w:spacing w:after="0"/>
              <w:rPr>
                <w:sz w:val="3"/>
                <w:szCs w:val="3"/>
                <w:color w:val="auto"/>
              </w:rPr>
            </w:pPr>
          </w:p>
        </w:tc>
        <w:tc>
          <w:tcPr>
            <w:tcW w:w="460" w:type="dxa"/>
            <w:vAlign w:val="bottom"/>
            <w:tcBorders>
              <w:bottom w:val="single" w:sz="8" w:color="0E3C23"/>
            </w:tcBorders>
          </w:tcPr>
          <w:p>
            <w:pPr>
              <w:spacing w:after="0"/>
              <w:rPr>
                <w:sz w:val="3"/>
                <w:szCs w:val="3"/>
                <w:color w:val="auto"/>
              </w:rPr>
            </w:pPr>
          </w:p>
        </w:tc>
        <w:tc>
          <w:tcPr>
            <w:tcW w:w="80" w:type="dxa"/>
            <w:vAlign w:val="bottom"/>
          </w:tcPr>
          <w:p>
            <w:pPr>
              <w:spacing w:after="0"/>
              <w:rPr>
                <w:sz w:val="3"/>
                <w:szCs w:val="3"/>
                <w:color w:val="auto"/>
              </w:rPr>
            </w:pPr>
          </w:p>
        </w:tc>
      </w:tr>
    </w:tbl>
    <w:p>
      <w:pPr>
        <w:spacing w:after="0" w:line="77" w:lineRule="exact"/>
        <w:rPr>
          <w:sz w:val="20"/>
          <w:szCs w:val="20"/>
          <w:color w:val="auto"/>
        </w:rPr>
      </w:pPr>
    </w:p>
    <w:p>
      <w:pPr>
        <w:jc w:val="both"/>
        <w:ind w:left="980" w:right="200"/>
        <w:spacing w:after="0" w:line="266" w:lineRule="auto"/>
        <w:rPr>
          <w:sz w:val="20"/>
          <w:szCs w:val="20"/>
          <w:color w:val="auto"/>
        </w:rPr>
      </w:pPr>
      <w:r>
        <w:rPr>
          <w:rFonts w:ascii="Arial" w:cs="Arial" w:eastAsia="Arial" w:hAnsi="Arial"/>
          <w:sz w:val="19"/>
          <w:szCs w:val="19"/>
          <w:color w:val="auto"/>
        </w:rPr>
        <w:t>Stock awards also includes RSUs that vested for Mr. Carrasco in 2024 and unvested RSUs that were granted to Ms. Rankin, Mr. Morris, Ms. Hemmer and Mr. Carrasco in 2022 and vested in March 2025. The fair value of an RSU is equal to the average of the high and low market price of our Common Stock on the given date.</w:t>
      </w:r>
    </w:p>
    <w:p>
      <w:pPr>
        <w:spacing w:after="0" w:line="106" w:lineRule="exact"/>
        <w:rPr>
          <w:sz w:val="20"/>
          <w:szCs w:val="20"/>
          <w:color w:val="auto"/>
        </w:rPr>
      </w:pPr>
    </w:p>
    <w:p>
      <w:pPr>
        <w:ind w:left="980" w:hanging="403"/>
        <w:spacing w:after="0"/>
        <w:tabs>
          <w:tab w:leader="none" w:pos="980" w:val="left"/>
        </w:tabs>
        <w:numPr>
          <w:ilvl w:val="1"/>
          <w:numId w:val="40"/>
        </w:numPr>
        <w:rPr>
          <w:rFonts w:ascii="Arial" w:cs="Arial" w:eastAsia="Arial" w:hAnsi="Arial"/>
          <w:sz w:val="20"/>
          <w:szCs w:val="20"/>
          <w:color w:val="auto"/>
        </w:rPr>
      </w:pPr>
      <w:r>
        <w:rPr>
          <w:rFonts w:ascii="Arial" w:cs="Arial" w:eastAsia="Arial" w:hAnsi="Arial"/>
          <w:sz w:val="20"/>
          <w:szCs w:val="20"/>
          <w:color w:val="auto"/>
        </w:rPr>
        <w:t>Option award fair values are calculated using a Black-Scholes option pricing model.</w:t>
      </w:r>
    </w:p>
    <w:p>
      <w:pPr>
        <w:spacing w:after="0" w:line="134" w:lineRule="exact"/>
        <w:rPr>
          <w:rFonts w:ascii="Arial" w:cs="Arial" w:eastAsia="Arial" w:hAnsi="Arial"/>
          <w:sz w:val="20"/>
          <w:szCs w:val="20"/>
          <w:color w:val="auto"/>
        </w:rPr>
      </w:pPr>
    </w:p>
    <w:p>
      <w:pPr>
        <w:jc w:val="both"/>
        <w:ind w:left="580" w:right="200" w:hanging="402"/>
        <w:spacing w:after="0" w:line="265" w:lineRule="auto"/>
        <w:tabs>
          <w:tab w:leader="none" w:pos="581" w:val="left"/>
        </w:tabs>
        <w:numPr>
          <w:ilvl w:val="0"/>
          <w:numId w:val="41"/>
        </w:numPr>
        <w:rPr>
          <w:rFonts w:ascii="Arial" w:cs="Arial" w:eastAsia="Arial" w:hAnsi="Arial"/>
          <w:sz w:val="19"/>
          <w:szCs w:val="19"/>
          <w:color w:val="auto"/>
        </w:rPr>
      </w:pPr>
      <w:r>
        <w:rPr>
          <w:rFonts w:ascii="Arial" w:cs="Arial" w:eastAsia="Arial" w:hAnsi="Arial"/>
          <w:sz w:val="19"/>
          <w:szCs w:val="19"/>
          <w:color w:val="auto"/>
        </w:rPr>
        <w:t>Total shareholder return (“TSR”) is based on a hypothetical $100 investment on December 31, 2019. The TSR amounts shown for 2020 represent the value of that $100 investment on December 31, 2020, and TSR is then calculated, on a cumulative basis, as of December 31, 2021, December 31, 2022, December 31, 2023 and December 31, 2024. The Peer Group TSR refers to the Dow Jones Waste &amp; Disposal Services Index.</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Tabular Disclosure of Most Important Measures to Determine 2024 CAP</w:t>
      </w:r>
    </w:p>
    <w:p>
      <w:pPr>
        <w:spacing w:after="0" w:line="142" w:lineRule="exact"/>
        <w:rPr>
          <w:sz w:val="20"/>
          <w:szCs w:val="20"/>
          <w:color w:val="auto"/>
        </w:rPr>
      </w:pPr>
    </w:p>
    <w:p>
      <w:pPr>
        <w:jc w:val="both"/>
        <w:ind w:left="180" w:right="200"/>
        <w:spacing w:after="0" w:line="246" w:lineRule="auto"/>
        <w:rPr>
          <w:sz w:val="20"/>
          <w:szCs w:val="20"/>
          <w:color w:val="auto"/>
        </w:rPr>
      </w:pPr>
      <w:r>
        <w:rPr>
          <w:rFonts w:ascii="Arial" w:cs="Arial" w:eastAsia="Arial" w:hAnsi="Arial"/>
          <w:sz w:val="20"/>
          <w:szCs w:val="20"/>
          <w:color w:val="auto"/>
        </w:rPr>
        <w:t xml:space="preserve">The five items listed below represent the most important measures used to determine CAP for 2024 for all of our NEOs, as each measure and its impact on executive compensation is further described in our </w:t>
      </w:r>
      <w:r>
        <w:rPr>
          <w:rFonts w:ascii="Arial" w:cs="Arial" w:eastAsia="Arial" w:hAnsi="Arial"/>
          <w:sz w:val="20"/>
          <w:szCs w:val="20"/>
          <w:i w:val="1"/>
          <w:iCs w:val="1"/>
          <w:color w:val="auto"/>
        </w:rPr>
        <w:t>Compensation Discussion and</w:t>
      </w:r>
      <w:r>
        <w:rPr>
          <w:rFonts w:ascii="Arial" w:cs="Arial" w:eastAsia="Arial" w:hAnsi="Arial"/>
          <w:sz w:val="20"/>
          <w:szCs w:val="20"/>
          <w:color w:val="auto"/>
        </w:rPr>
        <w:t xml:space="preserve"> </w:t>
      </w:r>
      <w:r>
        <w:rPr>
          <w:rFonts w:ascii="Arial" w:cs="Arial" w:eastAsia="Arial" w:hAnsi="Arial"/>
          <w:sz w:val="20"/>
          <w:szCs w:val="20"/>
          <w:i w:val="1"/>
          <w:iCs w:val="1"/>
          <w:color w:val="auto"/>
        </w:rPr>
        <w:t>Analysis</w:t>
      </w:r>
      <w:r>
        <w:rPr>
          <w:rFonts w:ascii="Arial" w:cs="Arial" w:eastAsia="Arial" w:hAnsi="Arial"/>
          <w:sz w:val="20"/>
          <w:szCs w:val="20"/>
          <w:color w:val="auto"/>
        </w:rPr>
        <w: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Most Important Performance Measures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21590</wp:posOffset>
                </wp:positionV>
                <wp:extent cx="6386195"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E3C23"/>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pt,1.7pt" to="511.75pt,1.7pt" o:allowincell="f" strokecolor="#0E3C23" strokeweight="0.499pt"/>
            </w:pict>
          </mc:Fallback>
        </mc:AlternateConten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20"/>
          <w:szCs w:val="20"/>
          <w:color w:val="auto"/>
        </w:rPr>
        <w:t>TSR Relative to the S&amp;P 500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23495</wp:posOffset>
                </wp:positionV>
                <wp:extent cx="6386195"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E3C23"/>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pt,1.85pt" to="511.75pt,1.85pt" o:allowincell="f" strokecolor="#0E3C23" strokeweight="0.499pt"/>
            </w:pict>
          </mc:Fallback>
        </mc:AlternateConten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20"/>
          <w:szCs w:val="20"/>
          <w:color w:val="auto"/>
        </w:rPr>
        <w:t>Cash Flow Generation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23495</wp:posOffset>
                </wp:positionV>
                <wp:extent cx="6386195"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E3C23"/>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pt,1.85pt" to="511.75pt,1.85pt" o:allowincell="f" strokecolor="#0E3C23" strokeweight="0.499pt"/>
            </w:pict>
          </mc:Fallback>
        </mc:AlternateConten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20"/>
          <w:szCs w:val="20"/>
          <w:color w:val="auto"/>
        </w:rPr>
        <w:t>Operating EBITDA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23495</wp:posOffset>
                </wp:positionV>
                <wp:extent cx="6386195"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E3C23"/>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pt,1.85pt" to="511.75pt,1.85pt" o:allowincell="f" strokecolor="#0E3C23" strokeweight="0.499pt"/>
            </w:pict>
          </mc:Fallback>
        </mc:AlternateConten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20"/>
          <w:szCs w:val="20"/>
          <w:color w:val="auto"/>
        </w:rPr>
        <w:t>Income from Operations Margin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23495</wp:posOffset>
                </wp:positionV>
                <wp:extent cx="6386195"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E3C23"/>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pt,1.85pt" to="511.75pt,1.85pt" o:allowincell="f" strokecolor="#0E3C23" strokeweight="0.499pt"/>
            </w:pict>
          </mc:Fallback>
        </mc:AlternateConten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20"/>
          <w:szCs w:val="20"/>
          <w:color w:val="auto"/>
        </w:rPr>
        <w:t>Internal Revenue Growth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28575</wp:posOffset>
                </wp:positionV>
                <wp:extent cx="6386195"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0121">
                          <a:solidFill>
                            <a:srgbClr val="0E3C23"/>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pt,2.25pt" to="511.75pt,2.25pt" o:allowincell="f" strokecolor="#0E3C23" strokeweight="0.7969pt"/>
            </w:pict>
          </mc:Fallback>
        </mc:AlternateConten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Narrative Disclosure to Pay Versus Performance Table</w:t>
      </w:r>
    </w:p>
    <w:p>
      <w:pPr>
        <w:spacing w:after="0" w:line="142" w:lineRule="exact"/>
        <w:rPr>
          <w:sz w:val="20"/>
          <w:szCs w:val="20"/>
          <w:color w:val="auto"/>
        </w:rPr>
      </w:pPr>
    </w:p>
    <w:p>
      <w:pPr>
        <w:jc w:val="both"/>
        <w:ind w:left="180" w:right="200"/>
        <w:spacing w:after="0" w:line="246" w:lineRule="auto"/>
        <w:rPr>
          <w:sz w:val="20"/>
          <w:szCs w:val="20"/>
          <w:color w:val="auto"/>
        </w:rPr>
      </w:pPr>
      <w:r>
        <w:rPr>
          <w:rFonts w:ascii="Arial" w:cs="Arial" w:eastAsia="Arial" w:hAnsi="Arial"/>
          <w:sz w:val="20"/>
          <w:szCs w:val="20"/>
          <w:color w:val="auto"/>
        </w:rPr>
        <w:t>The following charts reflect the relationship of CAP over the five-year period ended December 31, 2024 to trends in the Company’s TSR, net income and Operating EBITDA over the same period. In addition, the first chart below reflects that the Company’s TSR is highly-aligned with the Peer Group TSR.</w:t>
      </w:r>
    </w:p>
    <w:p>
      <w:pPr>
        <w:spacing w:after="0" w:line="131" w:lineRule="exact"/>
        <w:rPr>
          <w:sz w:val="20"/>
          <w:szCs w:val="20"/>
          <w:color w:val="auto"/>
        </w:rPr>
      </w:pPr>
    </w:p>
    <w:p>
      <w:pPr>
        <w:jc w:val="both"/>
        <w:ind w:left="180" w:right="200"/>
        <w:spacing w:after="0" w:line="243" w:lineRule="auto"/>
        <w:rPr>
          <w:sz w:val="20"/>
          <w:szCs w:val="20"/>
          <w:color w:val="auto"/>
        </w:rPr>
      </w:pPr>
      <w:r>
        <w:rPr>
          <w:rFonts w:ascii="Arial" w:cs="Arial" w:eastAsia="Arial" w:hAnsi="Arial"/>
          <w:sz w:val="20"/>
          <w:szCs w:val="20"/>
          <w:color w:val="auto"/>
        </w:rPr>
        <w:t>We believe variations in CAP due to use of ASC Topic 718 fair values for four years of outstanding equity grants at specified points in time have resulted in CAP for the four-year period presented not having a direct correlation to Company performance trends. However, we generally believe our CAP, and our CAP relative to our TSR, net income and Operating EBITDA, is reflective of our use of equity incentives that are tied to stock price, strong operational performance and financial results, consistent above-target performance on financial compensation metrics and our TSR relative to the S&amp;P 500 having exceeded the 50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percentile since 2020. Due to the size of our President and CEO’s annual equity incentive award and the fact that nearly three-quarters of our President and CEO’s compensation is tied to such equity incentive awards, above target performance has a more pronounced impact on his CAP, relative to our non-CEO NEOs. Operating EBITDA is identified as our CSM because it is assigned the heaviest weighting, at 50%, in our annual cash incentive awards, making it the most important annual financial performance measure used to link executive pay and Company performance in 2024.</w:t>
      </w:r>
    </w:p>
    <w:p>
      <w:pPr>
        <w:sectPr>
          <w:pgSz w:w="13320" w:h="16920" w:orient="portrait"/>
          <w:cols w:equalWidth="0" w:num="1">
            <w:col w:w="104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-207010</wp:posOffset>
            </wp:positionV>
            <wp:extent cx="538480" cy="1619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57">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67" w:name="page68"/>
    <w:bookmarkEnd w:id="67"/>
    <w:p>
      <w:pPr>
        <w:ind w:left="180"/>
        <w:spacing w:after="0"/>
        <w:rPr>
          <w:sz w:val="20"/>
          <w:szCs w:val="20"/>
          <w:color w:val="auto"/>
        </w:rPr>
      </w:pPr>
      <w:r>
        <w:rPr>
          <w:rFonts w:ascii="Arial" w:cs="Arial" w:eastAsia="Arial" w:hAnsi="Arial"/>
          <w:sz w:val="16"/>
          <w:szCs w:val="16"/>
          <w:b w:val="1"/>
          <w:bCs w:val="1"/>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t>EXECUTIVE COMPENSATION</w:t>
      </w:r>
    </w:p>
    <w:p>
      <w:pPr>
        <w:sectPr>
          <w:pgSz w:w="13320" w:h="16920" w:orient="portrait"/>
          <w:cols w:equalWidth="0" w:num="1">
            <w:col w:w="10440"/>
          </w:cols>
          <w:pgMar w:left="1440" w:top="1232"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761" w:type="dxa"/>
        <w:tblCellMar>
          <w:top w:w="0" w:type="dxa"/>
          <w:left w:w="0" w:type="dxa"/>
          <w:bottom w:w="0" w:type="dxa"/>
          <w:right w:w="0" w:type="dxa"/>
        </w:tblCellMar>
      </w:tblPr>
      <w:tr>
        <w:trPr>
          <w:trHeight w:val="1280"/>
        </w:trPr>
        <w:tc>
          <w:tcPr>
            <w:tcW w:w="218" w:type="dxa"/>
            <w:vAlign w:val="bottom"/>
            <w:textDirection w:val="btLr"/>
          </w:tcPr>
          <w:p>
            <w:pPr>
              <w:spacing w:after="0"/>
              <w:rPr>
                <w:sz w:val="20"/>
                <w:szCs w:val="20"/>
                <w:color w:val="auto"/>
              </w:rPr>
            </w:pPr>
            <w:r>
              <w:rPr>
                <w:rFonts w:ascii="Arial" w:cs="Arial" w:eastAsia="Arial" w:hAnsi="Arial"/>
                <w:sz w:val="19"/>
                <w:szCs w:val="19"/>
                <w:color w:val="auto"/>
              </w:rPr>
              <w:t>CAP in Millions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$45</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17"/>
          <w:szCs w:val="17"/>
          <w:color w:val="auto"/>
        </w:rPr>
        <w:t>$5</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Relationship of CAP to WM TSR and WM TSR to Peer Group TSR</w:t>
      </w:r>
    </w:p>
    <w:p>
      <w:pPr>
        <w:spacing w:after="0" w:line="247"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-50165</wp:posOffset>
            </wp:positionV>
            <wp:extent cx="4468495" cy="18364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58">
                      <a:extLst>
                        <a:ext uri="{28A0092B-C50C-407E-A947-70E740481C1C}"/>
                      </a:extLst>
                    </a:blip>
                    <a:srcRect/>
                    <a:stretch>
                      <a:fillRect/>
                    </a:stretch>
                  </pic:blipFill>
                  <pic:spPr bwMode="auto">
                    <a:xfrm>
                      <a:off x="0" y="0"/>
                      <a:ext cx="4468495" cy="1836420"/>
                    </a:xfrm>
                    <a:prstGeom prst="rect">
                      <a:avLst/>
                    </a:prstGeom>
                    <a:noFill/>
                  </pic:spPr>
                </pic:pic>
              </a:graphicData>
            </a:graphic>
          </wp:anchor>
        </w:drawing>
      </w:r>
    </w:p>
    <w:p>
      <w:pPr>
        <w:spacing w:after="0" w:line="73"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$190</w:t>
      </w:r>
    </w:p>
    <w:p>
      <w:pPr>
        <w:spacing w:after="0" w:line="93"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$180</w:t>
      </w:r>
    </w:p>
    <w:p>
      <w:pPr>
        <w:spacing w:after="0" w:line="93"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$170</w:t>
      </w:r>
    </w:p>
    <w:p>
      <w:pPr>
        <w:spacing w:after="0" w:line="93"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$160</w:t>
      </w:r>
    </w:p>
    <w:p>
      <w:pPr>
        <w:spacing w:after="0" w:line="93"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$150</w:t>
      </w:r>
    </w:p>
    <w:p>
      <w:pPr>
        <w:spacing w:after="0" w:line="92"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$140</w:t>
      </w:r>
    </w:p>
    <w:p>
      <w:pPr>
        <w:spacing w:after="0" w:line="92"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$130</w:t>
      </w:r>
    </w:p>
    <w:p>
      <w:pPr>
        <w:spacing w:after="0" w:line="92"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$120</w:t>
      </w:r>
    </w:p>
    <w:p>
      <w:pPr>
        <w:spacing w:after="0" w:line="92"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$110</w:t>
      </w:r>
    </w:p>
    <w:p>
      <w:pPr>
        <w:spacing w:after="0" w:line="92"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$100</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w w:val="95"/>
              </w:rPr>
              <w:t>2020</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2021</w:t>
            </w:r>
          </w:p>
        </w:tc>
        <w:tc>
          <w:tcPr>
            <w:tcW w:w="1860" w:type="dxa"/>
            <w:vAlign w:val="bottom"/>
            <w:gridSpan w:val="2"/>
          </w:tcPr>
          <w:p>
            <w:pPr>
              <w:jc w:val="right"/>
              <w:ind w:right="415"/>
              <w:spacing w:after="0"/>
              <w:rPr>
                <w:sz w:val="20"/>
                <w:szCs w:val="20"/>
                <w:color w:val="auto"/>
              </w:rPr>
            </w:pPr>
            <w:r>
              <w:rPr>
                <w:rFonts w:ascii="Arial" w:cs="Arial" w:eastAsia="Arial" w:hAnsi="Arial"/>
                <w:sz w:val="17"/>
                <w:szCs w:val="17"/>
                <w:color w:val="auto"/>
              </w:rPr>
              <w:t>2022</w:t>
            </w:r>
          </w:p>
        </w:tc>
        <w:tc>
          <w:tcPr>
            <w:tcW w:w="1400" w:type="dxa"/>
            <w:vAlign w:val="bottom"/>
          </w:tcPr>
          <w:p>
            <w:pPr>
              <w:jc w:val="right"/>
              <w:ind w:right="415"/>
              <w:spacing w:after="0"/>
              <w:rPr>
                <w:sz w:val="20"/>
                <w:szCs w:val="20"/>
                <w:color w:val="auto"/>
              </w:rPr>
            </w:pPr>
            <w:r>
              <w:rPr>
                <w:rFonts w:ascii="Arial" w:cs="Arial" w:eastAsia="Arial" w:hAnsi="Arial"/>
                <w:sz w:val="17"/>
                <w:szCs w:val="17"/>
                <w:color w:val="auto"/>
              </w:rPr>
              <w:t>2023</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348"/>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vMerge w:val="restart"/>
          </w:tcPr>
          <w:p>
            <w:pPr>
              <w:ind w:left="120"/>
              <w:spacing w:after="0"/>
              <w:rPr>
                <w:sz w:val="20"/>
                <w:szCs w:val="20"/>
                <w:color w:val="auto"/>
              </w:rPr>
            </w:pPr>
            <w:r>
              <w:rPr>
                <w:rFonts w:ascii="Arial" w:cs="Arial" w:eastAsia="Arial" w:hAnsi="Arial"/>
                <w:sz w:val="17"/>
                <w:szCs w:val="17"/>
                <w:color w:val="auto"/>
                <w:w w:val="96"/>
              </w:rPr>
              <w:t>CEO CAP</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2"/>
            <w:vMerge w:val="restart"/>
          </w:tcPr>
          <w:p>
            <w:pPr>
              <w:ind w:left="120"/>
              <w:spacing w:after="0"/>
              <w:rPr>
                <w:sz w:val="20"/>
                <w:szCs w:val="20"/>
                <w:color w:val="auto"/>
              </w:rPr>
            </w:pPr>
            <w:r>
              <w:rPr>
                <w:rFonts w:ascii="Arial" w:cs="Arial" w:eastAsia="Arial" w:hAnsi="Arial"/>
                <w:sz w:val="17"/>
                <w:szCs w:val="17"/>
                <w:color w:val="auto"/>
              </w:rPr>
              <w:t>Non-CEO NEO Average CAP</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360" w:type="dxa"/>
            <w:vAlign w:val="bottom"/>
            <w:tcBorders>
              <w:bottom w:val="single" w:sz="8" w:color="E6AF60"/>
            </w:tcBorders>
            <w:shd w:val="clear" w:color="auto" w:fill="E6AF60"/>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shd w:val="clear" w:color="auto" w:fill="6C7E63"/>
          </w:tcPr>
          <w:p>
            <w:pPr>
              <w:spacing w:after="0"/>
              <w:rPr>
                <w:sz w:val="8"/>
                <w:szCs w:val="8"/>
                <w:color w:val="auto"/>
              </w:rPr>
            </w:pPr>
          </w:p>
        </w:tc>
        <w:tc>
          <w:tcPr>
            <w:tcW w:w="2900" w:type="dxa"/>
            <w:vAlign w:val="bottom"/>
            <w:gridSpan w:val="2"/>
            <w:vMerge w:val="continue"/>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900" w:type="dxa"/>
            <w:vAlign w:val="bottom"/>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20" w:type="dxa"/>
            <w:vAlign w:val="bottom"/>
          </w:tcPr>
          <w:p>
            <w:pPr>
              <w:spacing w:after="0"/>
              <w:rPr>
                <w:sz w:val="24"/>
                <w:szCs w:val="24"/>
                <w:color w:val="auto"/>
              </w:rPr>
            </w:pPr>
          </w:p>
        </w:tc>
        <w:tc>
          <w:tcPr>
            <w:tcW w:w="360" w:type="dxa"/>
            <w:vAlign w:val="bottom"/>
            <w:tcBorders>
              <w:bottom w:val="single" w:sz="8" w:color="A5A5A5"/>
            </w:tcBorders>
          </w:tcPr>
          <w:p>
            <w:pPr>
              <w:spacing w:after="0"/>
              <w:rPr>
                <w:sz w:val="24"/>
                <w:szCs w:val="24"/>
                <w:color w:val="auto"/>
              </w:rPr>
            </w:pPr>
          </w:p>
        </w:tc>
        <w:tc>
          <w:tcPr>
            <w:tcW w:w="20" w:type="dxa"/>
            <w:vAlign w:val="bottom"/>
            <w:tcBorders>
              <w:bottom w:val="single" w:sz="8" w:color="A5A5A5"/>
            </w:tcBorders>
          </w:tcPr>
          <w:p>
            <w:pPr>
              <w:spacing w:after="0"/>
              <w:rPr>
                <w:sz w:val="24"/>
                <w:szCs w:val="24"/>
                <w:color w:val="auto"/>
              </w:rPr>
            </w:pPr>
          </w:p>
        </w:tc>
        <w:tc>
          <w:tcPr>
            <w:tcW w:w="880" w:type="dxa"/>
            <w:vAlign w:val="bottom"/>
            <w:vMerge w:val="restart"/>
          </w:tcPr>
          <w:p>
            <w:pPr>
              <w:ind w:left="120"/>
              <w:spacing w:after="0"/>
              <w:rPr>
                <w:sz w:val="20"/>
                <w:szCs w:val="20"/>
                <w:color w:val="auto"/>
              </w:rPr>
            </w:pPr>
            <w:r>
              <w:rPr>
                <w:rFonts w:ascii="Arial" w:cs="Arial" w:eastAsia="Arial" w:hAnsi="Arial"/>
                <w:sz w:val="17"/>
                <w:szCs w:val="17"/>
                <w:color w:val="auto"/>
              </w:rPr>
              <w:t>WM TSR</w:t>
            </w:r>
          </w:p>
        </w:tc>
        <w:tc>
          <w:tcPr>
            <w:tcW w:w="420" w:type="dxa"/>
            <w:vAlign w:val="bottom"/>
          </w:tcPr>
          <w:p>
            <w:pPr>
              <w:spacing w:after="0"/>
              <w:rPr>
                <w:sz w:val="24"/>
                <w:szCs w:val="24"/>
                <w:color w:val="auto"/>
              </w:rPr>
            </w:pPr>
          </w:p>
        </w:tc>
        <w:tc>
          <w:tcPr>
            <w:tcW w:w="360" w:type="dxa"/>
            <w:vAlign w:val="bottom"/>
            <w:tcBorders>
              <w:bottom w:val="single" w:sz="8" w:color="D97B12"/>
            </w:tcBorders>
          </w:tcPr>
          <w:p>
            <w:pPr>
              <w:spacing w:after="0"/>
              <w:rPr>
                <w:sz w:val="24"/>
                <w:szCs w:val="24"/>
                <w:color w:val="auto"/>
              </w:rPr>
            </w:pPr>
          </w:p>
        </w:tc>
        <w:tc>
          <w:tcPr>
            <w:tcW w:w="3900" w:type="dxa"/>
            <w:vAlign w:val="bottom"/>
            <w:gridSpan w:val="3"/>
            <w:vMerge w:val="restart"/>
          </w:tcPr>
          <w:p>
            <w:pPr>
              <w:ind w:left="120"/>
              <w:spacing w:after="0"/>
              <w:rPr>
                <w:sz w:val="20"/>
                <w:szCs w:val="20"/>
                <w:color w:val="auto"/>
              </w:rPr>
            </w:pPr>
            <w:r>
              <w:rPr>
                <w:rFonts w:ascii="Arial" w:cs="Arial" w:eastAsia="Arial" w:hAnsi="Arial"/>
                <w:sz w:val="17"/>
                <w:szCs w:val="17"/>
                <w:color w:val="auto"/>
                <w:w w:val="99"/>
              </w:rPr>
              <w:t>Dow Jones Waste &amp; Disposal Services Index TSR</w:t>
            </w:r>
          </w:p>
        </w:tc>
        <w:tc>
          <w:tcPr>
            <w:tcW w:w="0" w:type="dxa"/>
            <w:vAlign w:val="bottom"/>
          </w:tcPr>
          <w:p>
            <w:pPr>
              <w:spacing w:after="0"/>
              <w:rPr>
                <w:sz w:val="1"/>
                <w:szCs w:val="1"/>
                <w:color w:val="auto"/>
              </w:rPr>
            </w:pPr>
          </w:p>
        </w:tc>
      </w:tr>
      <w:tr>
        <w:trPr>
          <w:trHeight w:val="65"/>
        </w:trPr>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4740"/>
        </w:trPr>
        <w:tc>
          <w:tcPr>
            <w:tcW w:w="207" w:type="dxa"/>
            <w:vAlign w:val="bottom"/>
            <w:textDirection w:val="btLr"/>
          </w:tcPr>
          <w:p>
            <w:pPr>
              <w:spacing w:after="0"/>
              <w:rPr>
                <w:sz w:val="20"/>
                <w:szCs w:val="20"/>
                <w:color w:val="auto"/>
              </w:rPr>
            </w:pPr>
            <w:r>
              <w:rPr>
                <w:rFonts w:ascii="Arial" w:cs="Arial" w:eastAsia="Arial" w:hAnsi="Arial"/>
                <w:sz w:val="18"/>
                <w:szCs w:val="18"/>
                <w:color w:val="auto"/>
              </w:rPr>
              <w:t>TSR (Value of Initial Fixed $100 Investment on 12/31/19)</w:t>
            </w:r>
          </w:p>
        </w:tc>
      </w:tr>
    </w:tbl>
    <w:p>
      <w:pPr>
        <w:spacing w:after="0" w:line="200" w:lineRule="exact"/>
        <w:rPr>
          <w:sz w:val="20"/>
          <w:szCs w:val="20"/>
          <w:color w:val="auto"/>
        </w:rPr>
      </w:pPr>
    </w:p>
    <w:p>
      <w:pPr>
        <w:sectPr>
          <w:pgSz w:w="13320" w:h="16920" w:orient="portrait"/>
          <w:cols w:equalWidth="0" w:num="4">
            <w:col w:w="979" w:space="161"/>
            <w:col w:w="280" w:space="680"/>
            <w:col w:w="7100" w:space="131"/>
            <w:col w:w="1109"/>
          </w:cols>
          <w:pgMar w:left="1440" w:top="1232" w:right="1440" w:bottom="103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765" w:type="dxa"/>
        <w:tblCellMar>
          <w:top w:w="0" w:type="dxa"/>
          <w:left w:w="0" w:type="dxa"/>
          <w:bottom w:w="0" w:type="dxa"/>
          <w:right w:w="0" w:type="dxa"/>
        </w:tblCellMar>
      </w:tblPr>
      <w:tr>
        <w:trPr>
          <w:trHeight w:val="1320"/>
        </w:trPr>
        <w:tc>
          <w:tcPr>
            <w:tcW w:w="218" w:type="dxa"/>
            <w:vAlign w:val="bottom"/>
            <w:textDirection w:val="btLr"/>
          </w:tcPr>
          <w:p>
            <w:pPr>
              <w:spacing w:after="0"/>
              <w:rPr>
                <w:sz w:val="20"/>
                <w:szCs w:val="20"/>
                <w:color w:val="auto"/>
              </w:rPr>
            </w:pPr>
            <w:r>
              <w:rPr>
                <w:rFonts w:ascii="Arial" w:cs="Arial" w:eastAsia="Arial" w:hAnsi="Arial"/>
                <w:sz w:val="19"/>
                <w:szCs w:val="19"/>
                <w:color w:val="auto"/>
              </w:rPr>
              <w:t>CAP in Millions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80"/>
        <w:spacing w:after="0"/>
        <w:rPr>
          <w:sz w:val="20"/>
          <w:szCs w:val="20"/>
          <w:color w:val="auto"/>
        </w:rPr>
      </w:pPr>
      <w:r>
        <w:rPr>
          <w:rFonts w:ascii="Arial" w:cs="Arial" w:eastAsia="Arial" w:hAnsi="Arial"/>
          <w:sz w:val="20"/>
          <w:szCs w:val="20"/>
          <w:b w:val="1"/>
          <w:bCs w:val="1"/>
          <w:color w:val="auto"/>
        </w:rPr>
        <w:t>Relationship of CAP to Net Income and Operating EBITDA</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-53975</wp:posOffset>
            </wp:positionV>
            <wp:extent cx="4468495" cy="1839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59">
                      <a:extLst>
                        <a:ext uri="{28A0092B-C50C-407E-A947-70E740481C1C}"/>
                      </a:extLst>
                    </a:blip>
                    <a:srcRect/>
                    <a:stretch>
                      <a:fillRect/>
                    </a:stretch>
                  </pic:blipFill>
                  <pic:spPr bwMode="auto">
                    <a:xfrm>
                      <a:off x="0" y="0"/>
                      <a:ext cx="4468495" cy="183959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$45</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$40</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$35</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$30</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$25</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$20</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$15</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$10</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tbl>
      <w:tblPr>
        <w:tblLayout w:type="fixed"/>
        <w:tblInd w:w="940" w:type="dxa"/>
        <w:tblCellMar>
          <w:top w:w="0" w:type="dxa"/>
          <w:left w:w="0" w:type="dxa"/>
          <w:bottom w:w="0" w:type="dxa"/>
          <w:right w:w="0" w:type="dxa"/>
        </w:tblCellMar>
      </w:tblPr>
      <w:tr>
        <w:trPr>
          <w:trHeight w:val="225"/>
        </w:trPr>
        <w:tc>
          <w:tcPr>
            <w:tcW w:w="840" w:type="dxa"/>
            <w:vAlign w:val="bottom"/>
          </w:tcPr>
          <w:p>
            <w:pPr>
              <w:jc w:val="right"/>
              <w:ind w:right="375"/>
              <w:spacing w:after="0"/>
              <w:rPr>
                <w:sz w:val="20"/>
                <w:szCs w:val="20"/>
                <w:color w:val="auto"/>
              </w:rPr>
            </w:pPr>
            <w:r>
              <w:rPr>
                <w:rFonts w:ascii="Arial" w:cs="Arial" w:eastAsia="Arial" w:hAnsi="Arial"/>
                <w:sz w:val="17"/>
                <w:szCs w:val="17"/>
                <w:color w:val="auto"/>
                <w:w w:val="95"/>
              </w:rPr>
              <w:t>2020</w:t>
            </w:r>
          </w:p>
        </w:tc>
        <w:tc>
          <w:tcPr>
            <w:tcW w:w="1720" w:type="dxa"/>
            <w:vAlign w:val="bottom"/>
            <w:gridSpan w:val="2"/>
          </w:tcPr>
          <w:p>
            <w:pPr>
              <w:jc w:val="right"/>
              <w:ind w:right="672"/>
              <w:spacing w:after="0"/>
              <w:rPr>
                <w:sz w:val="20"/>
                <w:szCs w:val="20"/>
                <w:color w:val="auto"/>
              </w:rPr>
            </w:pPr>
            <w:r>
              <w:rPr>
                <w:rFonts w:ascii="Arial" w:cs="Arial" w:eastAsia="Arial" w:hAnsi="Arial"/>
                <w:sz w:val="17"/>
                <w:szCs w:val="17"/>
                <w:color w:val="auto"/>
              </w:rPr>
              <w:t>2021</w:t>
            </w:r>
          </w:p>
        </w:tc>
        <w:tc>
          <w:tcPr>
            <w:tcW w:w="20" w:type="dxa"/>
            <w:vAlign w:val="bottom"/>
          </w:tcPr>
          <w:p>
            <w:pPr>
              <w:spacing w:after="0"/>
              <w:rPr>
                <w:sz w:val="19"/>
                <w:szCs w:val="19"/>
                <w:color w:val="auto"/>
              </w:rPr>
            </w:pPr>
          </w:p>
        </w:tc>
        <w:tc>
          <w:tcPr>
            <w:tcW w:w="1120" w:type="dxa"/>
            <w:vAlign w:val="bottom"/>
            <w:gridSpan w:val="2"/>
          </w:tcPr>
          <w:p>
            <w:pPr>
              <w:jc w:val="right"/>
              <w:ind w:right="432"/>
              <w:spacing w:after="0"/>
              <w:rPr>
                <w:sz w:val="20"/>
                <w:szCs w:val="20"/>
                <w:color w:val="auto"/>
              </w:rPr>
            </w:pPr>
            <w:r>
              <w:rPr>
                <w:rFonts w:ascii="Arial" w:cs="Arial" w:eastAsia="Arial" w:hAnsi="Arial"/>
                <w:sz w:val="17"/>
                <w:szCs w:val="17"/>
                <w:color w:val="auto"/>
              </w:rPr>
              <w:t>2022</w:t>
            </w:r>
          </w:p>
        </w:tc>
        <w:tc>
          <w:tcPr>
            <w:tcW w:w="1780" w:type="dxa"/>
            <w:vAlign w:val="bottom"/>
          </w:tcPr>
          <w:p>
            <w:pPr>
              <w:jc w:val="right"/>
              <w:ind w:right="795"/>
              <w:spacing w:after="0"/>
              <w:rPr>
                <w:sz w:val="20"/>
                <w:szCs w:val="20"/>
                <w:color w:val="auto"/>
              </w:rPr>
            </w:pPr>
            <w:r>
              <w:rPr>
                <w:rFonts w:ascii="Arial" w:cs="Arial" w:eastAsia="Arial" w:hAnsi="Arial"/>
                <w:sz w:val="17"/>
                <w:szCs w:val="17"/>
                <w:color w:val="auto"/>
              </w:rPr>
              <w:t>2023</w:t>
            </w:r>
          </w:p>
        </w:tc>
        <w:tc>
          <w:tcPr>
            <w:tcW w:w="520" w:type="dxa"/>
            <w:vAlign w:val="bottom"/>
          </w:tcPr>
          <w:p>
            <w:pPr>
              <w:jc w:val="right"/>
              <w:spacing w:after="0"/>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389"/>
        </w:trPr>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color w:val="auto"/>
              </w:rPr>
              <w:t>CEO CAP</w:t>
            </w:r>
          </w:p>
        </w:tc>
        <w:tc>
          <w:tcPr>
            <w:tcW w:w="340" w:type="dxa"/>
            <w:vAlign w:val="bottom"/>
          </w:tcPr>
          <w:p>
            <w:pPr>
              <w:spacing w:after="0"/>
              <w:rPr>
                <w:sz w:val="24"/>
                <w:szCs w:val="24"/>
                <w:color w:val="auto"/>
              </w:rPr>
            </w:pPr>
          </w:p>
        </w:tc>
        <w:tc>
          <w:tcPr>
            <w:tcW w:w="2560" w:type="dxa"/>
            <w:vAlign w:val="bottom"/>
            <w:gridSpan w:val="2"/>
            <w:vMerge w:val="restart"/>
          </w:tcPr>
          <w:p>
            <w:pPr>
              <w:ind w:left="100"/>
              <w:spacing w:after="0"/>
              <w:rPr>
                <w:sz w:val="20"/>
                <w:szCs w:val="20"/>
                <w:color w:val="auto"/>
              </w:rPr>
            </w:pPr>
            <w:r>
              <w:rPr>
                <w:rFonts w:ascii="Arial" w:cs="Arial" w:eastAsia="Arial" w:hAnsi="Arial"/>
                <w:sz w:val="18"/>
                <w:szCs w:val="18"/>
                <w:color w:val="auto"/>
              </w:rPr>
              <w:t>Non-CEO NEO Average CAP</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840" w:type="dxa"/>
            <w:vAlign w:val="bottom"/>
          </w:tcPr>
          <w:p>
            <w:pPr>
              <w:spacing w:after="0"/>
              <w:rPr>
                <w:sz w:val="8"/>
                <w:szCs w:val="8"/>
                <w:color w:val="auto"/>
              </w:rPr>
            </w:pPr>
          </w:p>
        </w:tc>
        <w:tc>
          <w:tcPr>
            <w:tcW w:w="380" w:type="dxa"/>
            <w:vAlign w:val="bottom"/>
            <w:shd w:val="clear" w:color="auto" w:fill="E6AF60"/>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340" w:type="dxa"/>
            <w:vAlign w:val="bottom"/>
            <w:shd w:val="clear" w:color="auto" w:fill="6C7E63"/>
          </w:tcPr>
          <w:p>
            <w:pPr>
              <w:spacing w:after="0"/>
              <w:rPr>
                <w:sz w:val="8"/>
                <w:szCs w:val="8"/>
                <w:color w:val="auto"/>
              </w:rPr>
            </w:pPr>
          </w:p>
        </w:tc>
        <w:tc>
          <w:tcPr>
            <w:tcW w:w="256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5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840" w:type="dxa"/>
            <w:vAlign w:val="bottom"/>
          </w:tcPr>
          <w:p>
            <w:pPr>
              <w:spacing w:after="0"/>
              <w:rPr>
                <w:sz w:val="18"/>
                <w:szCs w:val="18"/>
                <w:color w:val="auto"/>
              </w:rPr>
            </w:pPr>
          </w:p>
        </w:tc>
        <w:tc>
          <w:tcPr>
            <w:tcW w:w="380" w:type="dxa"/>
            <w:vAlign w:val="bottom"/>
            <w:tcBorders>
              <w:bottom w:val="single" w:sz="8" w:color="A5A5A5"/>
            </w:tcBorders>
          </w:tcPr>
          <w:p>
            <w:pPr>
              <w:spacing w:after="0"/>
              <w:rPr>
                <w:sz w:val="18"/>
                <w:szCs w:val="18"/>
                <w:color w:val="auto"/>
              </w:rPr>
            </w:pPr>
          </w:p>
        </w:tc>
        <w:tc>
          <w:tcPr>
            <w:tcW w:w="1340" w:type="dxa"/>
            <w:vAlign w:val="bottom"/>
            <w:vMerge w:val="restart"/>
          </w:tcPr>
          <w:p>
            <w:pPr>
              <w:ind w:left="10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D97B12"/>
            </w:tcBorders>
          </w:tcPr>
          <w:p>
            <w:pPr>
              <w:spacing w:after="0"/>
              <w:rPr>
                <w:sz w:val="18"/>
                <w:szCs w:val="18"/>
                <w:color w:val="auto"/>
              </w:rPr>
            </w:pPr>
          </w:p>
        </w:tc>
        <w:tc>
          <w:tcPr>
            <w:tcW w:w="340" w:type="dxa"/>
            <w:vAlign w:val="bottom"/>
            <w:tcBorders>
              <w:bottom w:val="single" w:sz="8" w:color="D97B12"/>
            </w:tcBorders>
          </w:tcPr>
          <w:p>
            <w:pPr>
              <w:spacing w:after="0"/>
              <w:rPr>
                <w:sz w:val="18"/>
                <w:szCs w:val="18"/>
                <w:color w:val="auto"/>
              </w:rPr>
            </w:pPr>
          </w:p>
        </w:tc>
        <w:tc>
          <w:tcPr>
            <w:tcW w:w="2560" w:type="dxa"/>
            <w:vAlign w:val="bottom"/>
            <w:gridSpan w:val="2"/>
            <w:vMerge w:val="restart"/>
          </w:tcPr>
          <w:p>
            <w:pPr>
              <w:ind w:left="100"/>
              <w:spacing w:after="0"/>
              <w:rPr>
                <w:sz w:val="20"/>
                <w:szCs w:val="20"/>
                <w:color w:val="auto"/>
              </w:rPr>
            </w:pPr>
            <w:r>
              <w:rPr>
                <w:rFonts w:ascii="Arial" w:cs="Arial" w:eastAsia="Arial" w:hAnsi="Arial"/>
                <w:sz w:val="18"/>
                <w:szCs w:val="18"/>
                <w:color w:val="auto"/>
              </w:rPr>
              <w:t>Operating EBITDA</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56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$6.5</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$5.5</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$4.5</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$3.5</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$2.5</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$1.5</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$0.5</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3520"/>
        </w:trPr>
        <w:tc>
          <w:tcPr>
            <w:tcW w:w="184" w:type="dxa"/>
            <w:vAlign w:val="bottom"/>
            <w:textDirection w:val="btLr"/>
          </w:tcPr>
          <w:p>
            <w:pPr>
              <w:spacing w:after="0"/>
              <w:rPr>
                <w:sz w:val="20"/>
                <w:szCs w:val="20"/>
                <w:color w:val="auto"/>
              </w:rPr>
            </w:pPr>
            <w:r>
              <w:rPr>
                <w:rFonts w:ascii="Arial" w:cs="Arial" w:eastAsia="Arial" w:hAnsi="Arial"/>
                <w:sz w:val="16"/>
                <w:szCs w:val="16"/>
                <w:color w:val="auto"/>
              </w:rPr>
              <w:t>Net Income and Operating EBITDA in Billions</w:t>
            </w:r>
          </w:p>
        </w:tc>
      </w:tr>
    </w:tbl>
    <w:p>
      <w:pPr>
        <w:spacing w:after="0" w:line="752" w:lineRule="exact"/>
        <w:rPr>
          <w:sz w:val="20"/>
          <w:szCs w:val="20"/>
          <w:color w:val="auto"/>
        </w:rPr>
      </w:pPr>
    </w:p>
    <w:p>
      <w:pPr>
        <w:sectPr>
          <w:pgSz w:w="13320" w:h="16920" w:orient="portrait"/>
          <w:cols w:equalWidth="0" w:num="4">
            <w:col w:w="984" w:space="156"/>
            <w:col w:w="6960" w:space="720"/>
            <w:col w:w="460" w:space="79"/>
            <w:col w:w="1081"/>
          </w:cols>
          <w:pgMar w:left="1440" w:top="1232" w:right="1440" w:bottom="103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60">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61">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232" w:right="1440" w:bottom="1036" w:gutter="0" w:footer="0" w:header="0"/>
          <w:type w:val="continuous"/>
        </w:sectPr>
      </w:pPr>
    </w:p>
    <w:bookmarkStart w:id="68" w:name="page69"/>
    <w:bookmarkEnd w:id="68"/>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1027430</wp:posOffset>
            </wp:positionH>
            <wp:positionV relativeFrom="page">
              <wp:posOffset>774065</wp:posOffset>
            </wp:positionV>
            <wp:extent cx="6386830" cy="127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62">
                      <a:extLst>
                        <a:ext uri="{28A0092B-C50C-407E-A947-70E740481C1C}"/>
                      </a:extLst>
                    </a:blip>
                    <a:srcRect/>
                    <a:stretch>
                      <a:fillRect/>
                    </a:stretch>
                  </pic:blipFill>
                  <pic:spPr bwMode="auto">
                    <a:xfrm>
                      <a:off x="0" y="0"/>
                      <a:ext cx="6386830" cy="12700"/>
                    </a:xfrm>
                    <a:prstGeom prst="rect">
                      <a:avLst/>
                    </a:prstGeom>
                    <a:noFill/>
                  </pic:spPr>
                </pic:pic>
              </a:graphicData>
            </a:graphic>
          </wp:anchor>
        </w:drawing>
      </w:r>
    </w:p>
    <w:p>
      <w:pPr>
        <w:ind w:left="180" w:right="820"/>
        <w:spacing w:after="0" w:line="232" w:lineRule="auto"/>
        <w:rPr>
          <w:sz w:val="20"/>
          <w:szCs w:val="20"/>
          <w:color w:val="auto"/>
        </w:rPr>
      </w:pPr>
      <w:r>
        <w:rPr>
          <w:rFonts w:ascii="Arial" w:cs="Arial" w:eastAsia="Arial" w:hAnsi="Arial"/>
          <w:sz w:val="40"/>
          <w:szCs w:val="40"/>
          <w:b w:val="1"/>
          <w:bCs w:val="1"/>
          <w:color w:val="0E3C23"/>
        </w:rPr>
        <w:t>RATIFICATION OF INDEPENDENT REGISTERED PUBLIC ACCOUNTING FIRM</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(ITEM 2 ON THE PROXY CARD)</w:t>
      </w:r>
    </w:p>
    <w:p>
      <w:pPr>
        <w:spacing w:after="0" w:line="142" w:lineRule="exact"/>
        <w:rPr>
          <w:sz w:val="20"/>
          <w:szCs w:val="20"/>
          <w:color w:val="auto"/>
        </w:rPr>
      </w:pPr>
    </w:p>
    <w:p>
      <w:pPr>
        <w:jc w:val="both"/>
        <w:ind w:left="180" w:right="200"/>
        <w:spacing w:after="0" w:line="243" w:lineRule="auto"/>
        <w:rPr>
          <w:sz w:val="20"/>
          <w:szCs w:val="20"/>
          <w:color w:val="auto"/>
        </w:rPr>
      </w:pPr>
      <w:r>
        <w:rPr>
          <w:rFonts w:ascii="Arial" w:cs="Arial" w:eastAsia="Arial" w:hAnsi="Arial"/>
          <w:sz w:val="19"/>
          <w:szCs w:val="19"/>
          <w:color w:val="auto"/>
        </w:rPr>
        <w:t>Our Board of Directors, upon the recommendation of the Audit Committee, has ratified the selection of Ernst &amp; Young LLP to serve as our independent registered public accounting firm for fiscal year 2025, subject to ratification by our stockholders. Representatives of Ernst &amp; Young LLP will attend the Annual Meeting. They will be able to make a statement if they want, and will be available to answer appropriate questions from stockholders.</w:t>
      </w:r>
    </w:p>
    <w:p>
      <w:pPr>
        <w:spacing w:after="0" w:line="101" w:lineRule="exact"/>
        <w:rPr>
          <w:sz w:val="20"/>
          <w:szCs w:val="20"/>
          <w:color w:val="auto"/>
        </w:rPr>
      </w:pPr>
    </w:p>
    <w:p>
      <w:pPr>
        <w:jc w:val="both"/>
        <w:ind w:left="180" w:right="200"/>
        <w:spacing w:after="0" w:line="229" w:lineRule="auto"/>
        <w:rPr>
          <w:sz w:val="20"/>
          <w:szCs w:val="20"/>
          <w:color w:val="auto"/>
        </w:rPr>
      </w:pPr>
      <w:r>
        <w:rPr>
          <w:rFonts w:ascii="Arial" w:cs="Arial" w:eastAsia="Arial" w:hAnsi="Arial"/>
          <w:sz w:val="20"/>
          <w:szCs w:val="20"/>
          <w:color w:val="auto"/>
        </w:rPr>
        <w:t>Although ratification of the selection of Ernst &amp; Young LLP is not required by our By-laws or otherwise, we are submitting the selection to stockholders for ratification because we value our stockholders’ views on our independent registered public accounting firm and as a matter of good governance. If our stockholders do not ratify our selection, it will be considered a direction to our Board and Audit Committee to consider selecting another firm. Even if the selection is ratified, the Audit Committee may, in its discretion, select a different independent registered public accounting firm, subject to ratification by the Board, at any time during the year if it determines that such a change is in the best interests of the Company and our stockholders.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INDEPENDENT REGISTERED PUBLIC ACCOUNTING FIRM FEE INFORMATION</w:t>
      </w:r>
    </w:p>
    <w:p>
      <w:pPr>
        <w:spacing w:after="0" w:line="142" w:lineRule="exact"/>
        <w:rPr>
          <w:sz w:val="20"/>
          <w:szCs w:val="20"/>
          <w:color w:val="auto"/>
        </w:rPr>
      </w:pPr>
    </w:p>
    <w:p>
      <w:pPr>
        <w:jc w:val="both"/>
        <w:ind w:left="180" w:right="200"/>
        <w:spacing w:after="0" w:line="231" w:lineRule="auto"/>
        <w:rPr>
          <w:sz w:val="20"/>
          <w:szCs w:val="20"/>
          <w:color w:val="auto"/>
        </w:rPr>
      </w:pPr>
      <w:r>
        <w:rPr>
          <w:rFonts w:ascii="Arial" w:cs="Arial" w:eastAsia="Arial" w:hAnsi="Arial"/>
          <w:sz w:val="20"/>
          <w:szCs w:val="20"/>
          <w:color w:val="auto"/>
        </w:rPr>
        <w:t>Fees for professional services provided by our independent registered public accounting firm in each of the last two fiscal years, in each of the following categories, were as follows:</w:t>
      </w:r>
    </w:p>
    <w:p>
      <w:pPr>
        <w:spacing w:after="0" w:line="121"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520" w:type="dxa"/>
            <w:vAlign w:val="bottom"/>
          </w:tcPr>
          <w:p>
            <w:pPr>
              <w:jc w:val="right"/>
              <w:ind w:right="26"/>
              <w:spacing w:after="0"/>
              <w:rPr>
                <w:sz w:val="20"/>
                <w:szCs w:val="20"/>
                <w:color w:val="auto"/>
              </w:rPr>
            </w:pPr>
            <w:r>
              <w:rPr>
                <w:rFonts w:ascii="Arial" w:cs="Arial" w:eastAsia="Arial" w:hAnsi="Arial"/>
                <w:sz w:val="16"/>
                <w:szCs w:val="16"/>
                <w:b w:val="1"/>
                <w:bCs w:val="1"/>
                <w:color w:val="0E3C23"/>
              </w:rPr>
              <w:t>2024</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0E3C23"/>
              </w:rPr>
              <w:t>2023</w:t>
            </w:r>
          </w:p>
        </w:tc>
      </w:tr>
      <w:tr>
        <w:trPr>
          <w:trHeight w:val="44"/>
        </w:trPr>
        <w:tc>
          <w:tcPr>
            <w:tcW w:w="5320" w:type="dxa"/>
            <w:vAlign w:val="bottom"/>
            <w:tcBorders>
              <w:bottom w:val="single" w:sz="8" w:color="0E3C23"/>
            </w:tcBorders>
          </w:tcPr>
          <w:p>
            <w:pPr>
              <w:spacing w:after="0"/>
              <w:rPr>
                <w:sz w:val="3"/>
                <w:szCs w:val="3"/>
                <w:color w:val="auto"/>
              </w:rPr>
            </w:pPr>
          </w:p>
        </w:tc>
        <w:tc>
          <w:tcPr>
            <w:tcW w:w="3660" w:type="dxa"/>
            <w:vAlign w:val="bottom"/>
            <w:tcBorders>
              <w:bottom w:val="single" w:sz="8" w:color="0E3C23"/>
            </w:tcBorders>
          </w:tcPr>
          <w:p>
            <w:pPr>
              <w:spacing w:after="0"/>
              <w:rPr>
                <w:sz w:val="3"/>
                <w:szCs w:val="3"/>
                <w:color w:val="auto"/>
              </w:rPr>
            </w:pPr>
          </w:p>
        </w:tc>
        <w:tc>
          <w:tcPr>
            <w:tcW w:w="1080" w:type="dxa"/>
            <w:vAlign w:val="bottom"/>
            <w:tcBorders>
              <w:bottom w:val="single" w:sz="8" w:color="0E3C23"/>
            </w:tcBorders>
            <w:gridSpan w:val="2"/>
          </w:tcPr>
          <w:p>
            <w:pPr>
              <w:spacing w:after="0"/>
              <w:rPr>
                <w:sz w:val="3"/>
                <w:szCs w:val="3"/>
                <w:color w:val="auto"/>
              </w:rPr>
            </w:pPr>
          </w:p>
        </w:tc>
      </w:tr>
      <w:tr>
        <w:trPr>
          <w:trHeight w:val="212"/>
        </w:trPr>
        <w:tc>
          <w:tcPr>
            <w:tcW w:w="53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0E3C23"/>
              </w:rPr>
              <w:t>(In millions)</w:t>
            </w:r>
          </w:p>
        </w:tc>
      </w:tr>
      <w:tr>
        <w:trPr>
          <w:trHeight w:val="325"/>
        </w:trPr>
        <w:tc>
          <w:tcPr>
            <w:tcW w:w="5320" w:type="dxa"/>
            <w:vAlign w:val="bottom"/>
          </w:tcPr>
          <w:p>
            <w:pPr>
              <w:ind w:left="60"/>
              <w:spacing w:after="0"/>
              <w:rPr>
                <w:sz w:val="20"/>
                <w:szCs w:val="20"/>
                <w:color w:val="auto"/>
              </w:rPr>
            </w:pPr>
            <w:r>
              <w:rPr>
                <w:rFonts w:ascii="Arial" w:cs="Arial" w:eastAsia="Arial" w:hAnsi="Arial"/>
                <w:sz w:val="20"/>
                <w:szCs w:val="20"/>
                <w:b w:val="1"/>
                <w:bCs w:val="1"/>
                <w:color w:val="auto"/>
              </w:rPr>
              <w:t>Audit Fees</w:t>
            </w:r>
          </w:p>
        </w:tc>
        <w:tc>
          <w:tcPr>
            <w:tcW w:w="36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20" w:type="dxa"/>
            <w:vAlign w:val="bottom"/>
          </w:tcPr>
          <w:p>
            <w:pPr>
              <w:jc w:val="right"/>
              <w:ind w:right="26"/>
              <w:spacing w:after="0"/>
              <w:rPr>
                <w:sz w:val="20"/>
                <w:szCs w:val="20"/>
                <w:color w:val="auto"/>
              </w:rPr>
            </w:pPr>
            <w:r>
              <w:rPr>
                <w:rFonts w:ascii="Arial" w:cs="Arial" w:eastAsia="Arial" w:hAnsi="Arial"/>
                <w:sz w:val="20"/>
                <w:szCs w:val="20"/>
                <w:b w:val="1"/>
                <w:bCs w:val="1"/>
                <w:color w:val="auto"/>
              </w:rPr>
              <w:t>9.9</w:t>
            </w:r>
          </w:p>
        </w:tc>
        <w:tc>
          <w:tcPr>
            <w:tcW w:w="560" w:type="dxa"/>
            <w:vAlign w:val="bottom"/>
          </w:tcPr>
          <w:p>
            <w:pPr>
              <w:jc w:val="right"/>
              <w:spacing w:after="0"/>
              <w:rPr>
                <w:sz w:val="20"/>
                <w:szCs w:val="20"/>
                <w:color w:val="auto"/>
              </w:rPr>
            </w:pPr>
            <w:r>
              <w:rPr>
                <w:rFonts w:ascii="Arial" w:cs="Arial" w:eastAsia="Arial" w:hAnsi="Arial"/>
                <w:sz w:val="20"/>
                <w:szCs w:val="20"/>
                <w:b w:val="1"/>
                <w:bCs w:val="1"/>
                <w:color w:val="auto"/>
              </w:rPr>
              <w:t>$6.8</w:t>
            </w:r>
          </w:p>
        </w:tc>
      </w:tr>
      <w:tr>
        <w:trPr>
          <w:trHeight w:val="34"/>
        </w:trPr>
        <w:tc>
          <w:tcPr>
            <w:tcW w:w="5320" w:type="dxa"/>
            <w:vAlign w:val="bottom"/>
            <w:tcBorders>
              <w:bottom w:val="single" w:sz="8" w:color="0E3C23"/>
            </w:tcBorders>
          </w:tcPr>
          <w:p>
            <w:pPr>
              <w:spacing w:after="0"/>
              <w:rPr>
                <w:sz w:val="2"/>
                <w:szCs w:val="2"/>
                <w:color w:val="auto"/>
              </w:rPr>
            </w:pPr>
          </w:p>
        </w:tc>
        <w:tc>
          <w:tcPr>
            <w:tcW w:w="3660" w:type="dxa"/>
            <w:vAlign w:val="bottom"/>
            <w:tcBorders>
              <w:bottom w:val="single" w:sz="8" w:color="0E3C23"/>
            </w:tcBorders>
          </w:tcPr>
          <w:p>
            <w:pPr>
              <w:spacing w:after="0"/>
              <w:rPr>
                <w:sz w:val="2"/>
                <w:szCs w:val="2"/>
                <w:color w:val="auto"/>
              </w:rPr>
            </w:pPr>
          </w:p>
        </w:tc>
        <w:tc>
          <w:tcPr>
            <w:tcW w:w="520" w:type="dxa"/>
            <w:vAlign w:val="bottom"/>
            <w:tcBorders>
              <w:bottom w:val="single" w:sz="8" w:color="0E3C23"/>
            </w:tcBorders>
          </w:tcPr>
          <w:p>
            <w:pPr>
              <w:spacing w:after="0"/>
              <w:rPr>
                <w:sz w:val="2"/>
                <w:szCs w:val="2"/>
                <w:color w:val="auto"/>
              </w:rPr>
            </w:pPr>
          </w:p>
        </w:tc>
        <w:tc>
          <w:tcPr>
            <w:tcW w:w="560" w:type="dxa"/>
            <w:vAlign w:val="bottom"/>
            <w:tcBorders>
              <w:bottom w:val="single" w:sz="8" w:color="0E3C23"/>
            </w:tcBorders>
          </w:tcPr>
          <w:p>
            <w:pPr>
              <w:spacing w:after="0"/>
              <w:rPr>
                <w:sz w:val="2"/>
                <w:szCs w:val="2"/>
                <w:color w:val="auto"/>
              </w:rPr>
            </w:pPr>
          </w:p>
        </w:tc>
      </w:tr>
      <w:tr>
        <w:trPr>
          <w:trHeight w:val="262"/>
        </w:trPr>
        <w:tc>
          <w:tcPr>
            <w:tcW w:w="5320" w:type="dxa"/>
            <w:vAlign w:val="bottom"/>
          </w:tcPr>
          <w:p>
            <w:pPr>
              <w:ind w:left="60"/>
              <w:spacing w:after="0"/>
              <w:rPr>
                <w:sz w:val="20"/>
                <w:szCs w:val="20"/>
                <w:color w:val="auto"/>
              </w:rPr>
            </w:pPr>
            <w:r>
              <w:rPr>
                <w:rFonts w:ascii="Arial" w:cs="Arial" w:eastAsia="Arial" w:hAnsi="Arial"/>
                <w:sz w:val="20"/>
                <w:szCs w:val="20"/>
                <w:b w:val="1"/>
                <w:bCs w:val="1"/>
                <w:color w:val="auto"/>
              </w:rPr>
              <w:t>Audit-Related Fees</w:t>
            </w:r>
          </w:p>
        </w:tc>
        <w:tc>
          <w:tcPr>
            <w:tcW w:w="3660" w:type="dxa"/>
            <w:vAlign w:val="bottom"/>
          </w:tcPr>
          <w:p>
            <w:pPr>
              <w:spacing w:after="0"/>
              <w:rPr>
                <w:sz w:val="22"/>
                <w:szCs w:val="22"/>
                <w:color w:val="auto"/>
              </w:rPr>
            </w:pPr>
          </w:p>
        </w:tc>
        <w:tc>
          <w:tcPr>
            <w:tcW w:w="520" w:type="dxa"/>
            <w:vAlign w:val="bottom"/>
          </w:tcPr>
          <w:p>
            <w:pPr>
              <w:jc w:val="right"/>
              <w:ind w:right="26"/>
              <w:spacing w:after="0"/>
              <w:rPr>
                <w:sz w:val="20"/>
                <w:szCs w:val="20"/>
                <w:color w:val="auto"/>
              </w:rPr>
            </w:pPr>
            <w:r>
              <w:rPr>
                <w:rFonts w:ascii="Arial" w:cs="Arial" w:eastAsia="Arial" w:hAnsi="Arial"/>
                <w:sz w:val="20"/>
                <w:szCs w:val="20"/>
                <w:b w:val="1"/>
                <w:bCs w:val="1"/>
                <w:color w:val="auto"/>
              </w:rPr>
              <w:t>0.4</w:t>
            </w:r>
          </w:p>
        </w:tc>
        <w:tc>
          <w:tcPr>
            <w:tcW w:w="560" w:type="dxa"/>
            <w:vAlign w:val="bottom"/>
          </w:tcPr>
          <w:p>
            <w:pPr>
              <w:jc w:val="right"/>
              <w:spacing w:after="0"/>
              <w:rPr>
                <w:sz w:val="20"/>
                <w:szCs w:val="20"/>
                <w:color w:val="auto"/>
              </w:rPr>
            </w:pPr>
            <w:r>
              <w:rPr>
                <w:rFonts w:ascii="Arial" w:cs="Arial" w:eastAsia="Arial" w:hAnsi="Arial"/>
                <w:sz w:val="20"/>
                <w:szCs w:val="20"/>
                <w:b w:val="1"/>
                <w:bCs w:val="1"/>
                <w:color w:val="auto"/>
              </w:rPr>
              <w:t>1.0</w:t>
            </w:r>
          </w:p>
        </w:tc>
      </w:tr>
      <w:tr>
        <w:trPr>
          <w:trHeight w:val="34"/>
        </w:trPr>
        <w:tc>
          <w:tcPr>
            <w:tcW w:w="5320" w:type="dxa"/>
            <w:vAlign w:val="bottom"/>
            <w:tcBorders>
              <w:bottom w:val="single" w:sz="8" w:color="0E3C23"/>
            </w:tcBorders>
          </w:tcPr>
          <w:p>
            <w:pPr>
              <w:spacing w:after="0"/>
              <w:rPr>
                <w:sz w:val="2"/>
                <w:szCs w:val="2"/>
                <w:color w:val="auto"/>
              </w:rPr>
            </w:pPr>
          </w:p>
        </w:tc>
        <w:tc>
          <w:tcPr>
            <w:tcW w:w="3660" w:type="dxa"/>
            <w:vAlign w:val="bottom"/>
            <w:tcBorders>
              <w:bottom w:val="single" w:sz="8" w:color="0E3C23"/>
            </w:tcBorders>
          </w:tcPr>
          <w:p>
            <w:pPr>
              <w:spacing w:after="0"/>
              <w:rPr>
                <w:sz w:val="2"/>
                <w:szCs w:val="2"/>
                <w:color w:val="auto"/>
              </w:rPr>
            </w:pPr>
          </w:p>
        </w:tc>
        <w:tc>
          <w:tcPr>
            <w:tcW w:w="520" w:type="dxa"/>
            <w:vAlign w:val="bottom"/>
            <w:tcBorders>
              <w:bottom w:val="single" w:sz="8" w:color="0E3C23"/>
            </w:tcBorders>
          </w:tcPr>
          <w:p>
            <w:pPr>
              <w:spacing w:after="0"/>
              <w:rPr>
                <w:sz w:val="2"/>
                <w:szCs w:val="2"/>
                <w:color w:val="auto"/>
              </w:rPr>
            </w:pPr>
          </w:p>
        </w:tc>
        <w:tc>
          <w:tcPr>
            <w:tcW w:w="560" w:type="dxa"/>
            <w:vAlign w:val="bottom"/>
            <w:tcBorders>
              <w:bottom w:val="single" w:sz="8" w:color="0E3C23"/>
            </w:tcBorders>
          </w:tcPr>
          <w:p>
            <w:pPr>
              <w:spacing w:after="0"/>
              <w:rPr>
                <w:sz w:val="2"/>
                <w:szCs w:val="2"/>
                <w:color w:val="auto"/>
              </w:rPr>
            </w:pPr>
          </w:p>
        </w:tc>
      </w:tr>
      <w:tr>
        <w:trPr>
          <w:trHeight w:val="262"/>
        </w:trPr>
        <w:tc>
          <w:tcPr>
            <w:tcW w:w="5320" w:type="dxa"/>
            <w:vAlign w:val="bottom"/>
          </w:tcPr>
          <w:p>
            <w:pPr>
              <w:ind w:left="60"/>
              <w:spacing w:after="0"/>
              <w:rPr>
                <w:sz w:val="20"/>
                <w:szCs w:val="20"/>
                <w:color w:val="auto"/>
              </w:rPr>
            </w:pPr>
            <w:r>
              <w:rPr>
                <w:rFonts w:ascii="Arial" w:cs="Arial" w:eastAsia="Arial" w:hAnsi="Arial"/>
                <w:sz w:val="20"/>
                <w:szCs w:val="20"/>
                <w:b w:val="1"/>
                <w:bCs w:val="1"/>
                <w:color w:val="auto"/>
              </w:rPr>
              <w:t>Tax Fees</w:t>
            </w:r>
          </w:p>
        </w:tc>
        <w:tc>
          <w:tcPr>
            <w:tcW w:w="3660" w:type="dxa"/>
            <w:vAlign w:val="bottom"/>
          </w:tcPr>
          <w:p>
            <w:pPr>
              <w:spacing w:after="0"/>
              <w:rPr>
                <w:sz w:val="22"/>
                <w:szCs w:val="22"/>
                <w:color w:val="auto"/>
              </w:rPr>
            </w:pPr>
          </w:p>
        </w:tc>
        <w:tc>
          <w:tcPr>
            <w:tcW w:w="520" w:type="dxa"/>
            <w:vAlign w:val="bottom"/>
          </w:tcPr>
          <w:p>
            <w:pPr>
              <w:jc w:val="right"/>
              <w:ind w:right="26"/>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34"/>
        </w:trPr>
        <w:tc>
          <w:tcPr>
            <w:tcW w:w="5320" w:type="dxa"/>
            <w:vAlign w:val="bottom"/>
            <w:tcBorders>
              <w:bottom w:val="single" w:sz="8" w:color="0E3C23"/>
            </w:tcBorders>
          </w:tcPr>
          <w:p>
            <w:pPr>
              <w:spacing w:after="0"/>
              <w:rPr>
                <w:sz w:val="2"/>
                <w:szCs w:val="2"/>
                <w:color w:val="auto"/>
              </w:rPr>
            </w:pPr>
          </w:p>
        </w:tc>
        <w:tc>
          <w:tcPr>
            <w:tcW w:w="3660" w:type="dxa"/>
            <w:vAlign w:val="bottom"/>
            <w:tcBorders>
              <w:bottom w:val="single" w:sz="8" w:color="0E3C23"/>
            </w:tcBorders>
          </w:tcPr>
          <w:p>
            <w:pPr>
              <w:spacing w:after="0"/>
              <w:rPr>
                <w:sz w:val="2"/>
                <w:szCs w:val="2"/>
                <w:color w:val="auto"/>
              </w:rPr>
            </w:pPr>
          </w:p>
        </w:tc>
        <w:tc>
          <w:tcPr>
            <w:tcW w:w="520" w:type="dxa"/>
            <w:vAlign w:val="bottom"/>
            <w:tcBorders>
              <w:bottom w:val="single" w:sz="8" w:color="0E3C23"/>
            </w:tcBorders>
          </w:tcPr>
          <w:p>
            <w:pPr>
              <w:spacing w:after="0"/>
              <w:rPr>
                <w:sz w:val="2"/>
                <w:szCs w:val="2"/>
                <w:color w:val="auto"/>
              </w:rPr>
            </w:pPr>
          </w:p>
        </w:tc>
        <w:tc>
          <w:tcPr>
            <w:tcW w:w="560" w:type="dxa"/>
            <w:vAlign w:val="bottom"/>
            <w:tcBorders>
              <w:bottom w:val="single" w:sz="8" w:color="0E3C23"/>
            </w:tcBorders>
          </w:tcPr>
          <w:p>
            <w:pPr>
              <w:spacing w:after="0"/>
              <w:rPr>
                <w:sz w:val="2"/>
                <w:szCs w:val="2"/>
                <w:color w:val="auto"/>
              </w:rPr>
            </w:pPr>
          </w:p>
        </w:tc>
      </w:tr>
      <w:tr>
        <w:trPr>
          <w:trHeight w:val="262"/>
        </w:trPr>
        <w:tc>
          <w:tcPr>
            <w:tcW w:w="5320" w:type="dxa"/>
            <w:vAlign w:val="bottom"/>
          </w:tcPr>
          <w:p>
            <w:pPr>
              <w:ind w:left="60"/>
              <w:spacing w:after="0"/>
              <w:rPr>
                <w:sz w:val="20"/>
                <w:szCs w:val="20"/>
                <w:color w:val="auto"/>
              </w:rPr>
            </w:pPr>
            <w:r>
              <w:rPr>
                <w:rFonts w:ascii="Arial" w:cs="Arial" w:eastAsia="Arial" w:hAnsi="Arial"/>
                <w:sz w:val="20"/>
                <w:szCs w:val="20"/>
                <w:b w:val="1"/>
                <w:bCs w:val="1"/>
                <w:color w:val="auto"/>
              </w:rPr>
              <w:t>All Other Fees</w:t>
            </w:r>
          </w:p>
        </w:tc>
        <w:tc>
          <w:tcPr>
            <w:tcW w:w="3660" w:type="dxa"/>
            <w:vAlign w:val="bottom"/>
          </w:tcPr>
          <w:p>
            <w:pPr>
              <w:spacing w:after="0"/>
              <w:rPr>
                <w:sz w:val="22"/>
                <w:szCs w:val="22"/>
                <w:color w:val="auto"/>
              </w:rPr>
            </w:pPr>
          </w:p>
        </w:tc>
        <w:tc>
          <w:tcPr>
            <w:tcW w:w="520" w:type="dxa"/>
            <w:vAlign w:val="bottom"/>
          </w:tcPr>
          <w:p>
            <w:pPr>
              <w:jc w:val="right"/>
              <w:ind w:right="26"/>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34"/>
        </w:trPr>
        <w:tc>
          <w:tcPr>
            <w:tcW w:w="5320" w:type="dxa"/>
            <w:vAlign w:val="bottom"/>
            <w:tcBorders>
              <w:bottom w:val="single" w:sz="8" w:color="0E3C23"/>
            </w:tcBorders>
          </w:tcPr>
          <w:p>
            <w:pPr>
              <w:spacing w:after="0"/>
              <w:rPr>
                <w:sz w:val="2"/>
                <w:szCs w:val="2"/>
                <w:color w:val="auto"/>
              </w:rPr>
            </w:pPr>
          </w:p>
        </w:tc>
        <w:tc>
          <w:tcPr>
            <w:tcW w:w="3660" w:type="dxa"/>
            <w:vAlign w:val="bottom"/>
            <w:tcBorders>
              <w:bottom w:val="single" w:sz="8" w:color="0E3C23"/>
            </w:tcBorders>
          </w:tcPr>
          <w:p>
            <w:pPr>
              <w:spacing w:after="0"/>
              <w:rPr>
                <w:sz w:val="2"/>
                <w:szCs w:val="2"/>
                <w:color w:val="auto"/>
              </w:rPr>
            </w:pPr>
          </w:p>
        </w:tc>
        <w:tc>
          <w:tcPr>
            <w:tcW w:w="520" w:type="dxa"/>
            <w:vAlign w:val="bottom"/>
            <w:tcBorders>
              <w:bottom w:val="single" w:sz="8" w:color="0E3C23"/>
            </w:tcBorders>
          </w:tcPr>
          <w:p>
            <w:pPr>
              <w:spacing w:after="0"/>
              <w:rPr>
                <w:sz w:val="2"/>
                <w:szCs w:val="2"/>
                <w:color w:val="auto"/>
              </w:rPr>
            </w:pPr>
          </w:p>
        </w:tc>
        <w:tc>
          <w:tcPr>
            <w:tcW w:w="560" w:type="dxa"/>
            <w:vAlign w:val="bottom"/>
            <w:tcBorders>
              <w:bottom w:val="single" w:sz="8" w:color="0E3C23"/>
            </w:tcBorders>
          </w:tcPr>
          <w:p>
            <w:pPr>
              <w:spacing w:after="0"/>
              <w:rPr>
                <w:sz w:val="2"/>
                <w:szCs w:val="2"/>
                <w:color w:val="auto"/>
              </w:rPr>
            </w:pPr>
          </w:p>
        </w:tc>
      </w:tr>
      <w:tr>
        <w:trPr>
          <w:trHeight w:val="262"/>
        </w:trPr>
        <w:tc>
          <w:tcPr>
            <w:tcW w:w="5320" w:type="dxa"/>
            <w:vAlign w:val="bottom"/>
          </w:tcPr>
          <w:p>
            <w:pPr>
              <w:ind w:left="60"/>
              <w:spacing w:after="0"/>
              <w:rPr>
                <w:sz w:val="20"/>
                <w:szCs w:val="20"/>
                <w:color w:val="auto"/>
              </w:rPr>
            </w:pPr>
            <w:r>
              <w:rPr>
                <w:rFonts w:ascii="Arial" w:cs="Arial" w:eastAsia="Arial" w:hAnsi="Arial"/>
                <w:sz w:val="20"/>
                <w:szCs w:val="20"/>
                <w:b w:val="1"/>
                <w:bCs w:val="1"/>
                <w:color w:val="auto"/>
              </w:rPr>
              <w:t>Total</w:t>
            </w:r>
          </w:p>
        </w:tc>
        <w:tc>
          <w:tcPr>
            <w:tcW w:w="36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20" w:type="dxa"/>
            <w:vAlign w:val="bottom"/>
          </w:tcPr>
          <w:p>
            <w:pPr>
              <w:jc w:val="right"/>
              <w:ind w:right="26"/>
              <w:spacing w:after="0"/>
              <w:rPr>
                <w:sz w:val="20"/>
                <w:szCs w:val="20"/>
                <w:color w:val="auto"/>
              </w:rPr>
            </w:pPr>
            <w:r>
              <w:rPr>
                <w:rFonts w:ascii="Arial" w:cs="Arial" w:eastAsia="Arial" w:hAnsi="Arial"/>
                <w:sz w:val="20"/>
                <w:szCs w:val="20"/>
                <w:b w:val="1"/>
                <w:bCs w:val="1"/>
                <w:color w:val="auto"/>
                <w:w w:val="97"/>
              </w:rPr>
              <w:t>10.3</w:t>
            </w:r>
          </w:p>
        </w:tc>
        <w:tc>
          <w:tcPr>
            <w:tcW w:w="560" w:type="dxa"/>
            <w:vAlign w:val="bottom"/>
          </w:tcPr>
          <w:p>
            <w:pPr>
              <w:jc w:val="right"/>
              <w:spacing w:after="0"/>
              <w:rPr>
                <w:sz w:val="20"/>
                <w:szCs w:val="20"/>
                <w:color w:val="auto"/>
              </w:rPr>
            </w:pPr>
            <w:r>
              <w:rPr>
                <w:rFonts w:ascii="Arial" w:cs="Arial" w:eastAsia="Arial" w:hAnsi="Arial"/>
                <w:sz w:val="20"/>
                <w:szCs w:val="20"/>
                <w:b w:val="1"/>
                <w:bCs w:val="1"/>
                <w:color w:val="auto"/>
              </w:rPr>
              <w:t>$7.8</w:t>
            </w:r>
          </w:p>
        </w:tc>
      </w:tr>
      <w:tr>
        <w:trPr>
          <w:trHeight w:val="46"/>
        </w:trPr>
        <w:tc>
          <w:tcPr>
            <w:tcW w:w="5320" w:type="dxa"/>
            <w:vAlign w:val="bottom"/>
            <w:tcBorders>
              <w:bottom w:val="single" w:sz="8" w:color="0E3C23"/>
            </w:tcBorders>
          </w:tcPr>
          <w:p>
            <w:pPr>
              <w:spacing w:after="0"/>
              <w:rPr>
                <w:sz w:val="3"/>
                <w:szCs w:val="3"/>
                <w:color w:val="auto"/>
              </w:rPr>
            </w:pPr>
          </w:p>
        </w:tc>
        <w:tc>
          <w:tcPr>
            <w:tcW w:w="3660" w:type="dxa"/>
            <w:vAlign w:val="bottom"/>
            <w:tcBorders>
              <w:bottom w:val="single" w:sz="8" w:color="0E3C23"/>
            </w:tcBorders>
          </w:tcPr>
          <w:p>
            <w:pPr>
              <w:spacing w:after="0"/>
              <w:rPr>
                <w:sz w:val="3"/>
                <w:szCs w:val="3"/>
                <w:color w:val="auto"/>
              </w:rPr>
            </w:pPr>
          </w:p>
        </w:tc>
        <w:tc>
          <w:tcPr>
            <w:tcW w:w="520" w:type="dxa"/>
            <w:vAlign w:val="bottom"/>
            <w:tcBorders>
              <w:bottom w:val="single" w:sz="8" w:color="0E3C23"/>
            </w:tcBorders>
          </w:tcPr>
          <w:p>
            <w:pPr>
              <w:spacing w:after="0"/>
              <w:rPr>
                <w:sz w:val="3"/>
                <w:szCs w:val="3"/>
                <w:color w:val="auto"/>
              </w:rPr>
            </w:pPr>
          </w:p>
        </w:tc>
        <w:tc>
          <w:tcPr>
            <w:tcW w:w="560" w:type="dxa"/>
            <w:vAlign w:val="bottom"/>
            <w:tcBorders>
              <w:bottom w:val="single" w:sz="8" w:color="0E3C23"/>
            </w:tcBorders>
          </w:tcPr>
          <w:p>
            <w:pPr>
              <w:spacing w:after="0"/>
              <w:rPr>
                <w:sz w:val="3"/>
                <w:szCs w:val="3"/>
                <w:color w:val="auto"/>
              </w:rPr>
            </w:pPr>
          </w:p>
        </w:tc>
      </w:tr>
    </w:tbl>
    <w:p>
      <w:pPr>
        <w:spacing w:after="0" w:line="53" w:lineRule="exact"/>
        <w:rPr>
          <w:sz w:val="20"/>
          <w:szCs w:val="20"/>
          <w:color w:val="auto"/>
        </w:rPr>
      </w:pPr>
    </w:p>
    <w:p>
      <w:pPr>
        <w:jc w:val="both"/>
        <w:ind w:left="180" w:right="200"/>
        <w:spacing w:after="0" w:line="230" w:lineRule="auto"/>
        <w:rPr>
          <w:sz w:val="20"/>
          <w:szCs w:val="20"/>
          <w:color w:val="auto"/>
        </w:rPr>
      </w:pPr>
      <w:r>
        <w:rPr>
          <w:rFonts w:ascii="Arial" w:cs="Arial" w:eastAsia="Arial" w:hAnsi="Arial"/>
          <w:sz w:val="20"/>
          <w:szCs w:val="20"/>
          <w:color w:val="auto"/>
        </w:rPr>
        <w:t>Audit fees include fees for the annual audit, reviews of the Company’s Quarterly Reports on Form 10-Q, work performed to support the Company’s debt issuances; acquisitions, including our 2024 acquisition of Stericycle; accounting consultations; and separate subsidiary audits required by statute or regulation. Audit-related fees include attest services related to financial reporting that are not required by statute or regulations.</w:t>
      </w:r>
    </w:p>
    <w:p>
      <w:pPr>
        <w:spacing w:after="0" w:line="102" w:lineRule="exact"/>
        <w:rPr>
          <w:sz w:val="20"/>
          <w:szCs w:val="20"/>
          <w:color w:val="auto"/>
        </w:rPr>
      </w:pPr>
    </w:p>
    <w:p>
      <w:pPr>
        <w:jc w:val="both"/>
        <w:ind w:left="180" w:right="200"/>
        <w:spacing w:after="0" w:line="256" w:lineRule="auto"/>
        <w:rPr>
          <w:sz w:val="20"/>
          <w:szCs w:val="20"/>
          <w:color w:val="auto"/>
        </w:rPr>
      </w:pPr>
      <w:r>
        <w:rPr>
          <w:rFonts w:ascii="Arial" w:cs="Arial" w:eastAsia="Arial" w:hAnsi="Arial"/>
          <w:sz w:val="18"/>
          <w:szCs w:val="18"/>
          <w:color w:val="auto"/>
        </w:rPr>
        <w:t>The Audit Committee has adopted procedures for the approval of Ernst &amp; Young LLP’s services and related fees. At the beginning of each year, all audit and audit-related services, tax fees and other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 has the authority to approve additional services, not previously approved, between Committee meetings. Any additional services approved by the Audit Committee Chair between Committee meetings are reported to the full Audit Committee at the next regularly scheduled meeting. The Audit Committee is updated on the status of all services and related fees at every regular meeting. In 2024 and 2023, the Audit Committee or Audit Committee Chair pre-approved all audit and audit-related services performed by Ernst &amp; Young LLP. As set forth in the Audit Committee Report, the Audit Committee has considered whether the provision of these audit-related services is compatible with maintaining auditor independence and has determined that it is.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24"/>
          <w:szCs w:val="24"/>
          <w:b w:val="1"/>
          <w:bCs w:val="1"/>
          <w:u w:val="single" w:color="auto"/>
          <w:color w:val="0E3C23"/>
        </w:rPr>
        <w:t>VOTE REQUIRED FOR APPROVAL</w:t>
      </w:r>
    </w:p>
    <w:p>
      <w:pPr>
        <w:spacing w:after="0" w:line="142" w:lineRule="exact"/>
        <w:rPr>
          <w:sz w:val="20"/>
          <w:szCs w:val="20"/>
          <w:color w:val="auto"/>
        </w:rPr>
      </w:pPr>
    </w:p>
    <w:p>
      <w:pPr>
        <w:jc w:val="both"/>
        <w:ind w:left="180" w:right="200"/>
        <w:spacing w:after="0" w:line="231" w:lineRule="auto"/>
        <w:rPr>
          <w:sz w:val="20"/>
          <w:szCs w:val="20"/>
          <w:color w:val="auto"/>
        </w:rPr>
      </w:pPr>
      <w:r>
        <w:rPr>
          <w:rFonts w:ascii="Arial" w:cs="Arial" w:eastAsia="Arial" w:hAnsi="Arial"/>
          <w:sz w:val="20"/>
          <w:szCs w:val="20"/>
          <w:color w:val="auto"/>
        </w:rPr>
        <w:t>Approval of this proposal requires the affirmative vote of the holders of a majority of the outstanding shares of Common Stock present at the meeting, in person or represented by proxy, and entitled to vote.</w:t>
      </w:r>
    </w:p>
    <w:p>
      <w:pPr>
        <w:spacing w:after="0" w:line="130" w:lineRule="exact"/>
        <w:rPr>
          <w:sz w:val="20"/>
          <w:szCs w:val="20"/>
          <w:color w:val="auto"/>
        </w:rPr>
      </w:pPr>
    </w:p>
    <w:tbl>
      <w:tblPr>
        <w:tblLayout w:type="fixed"/>
        <w:tblInd w:w="540" w:type="dxa"/>
        <w:tblCellMar>
          <w:top w:w="0" w:type="dxa"/>
          <w:left w:w="0" w:type="dxa"/>
          <w:bottom w:w="0" w:type="dxa"/>
          <w:right w:w="0" w:type="dxa"/>
        </w:tblCellMar>
      </w:tblPr>
      <w:tr>
        <w:trPr>
          <w:trHeight w:val="315"/>
        </w:trPr>
        <w:tc>
          <w:tcPr>
            <w:tcW w:w="1000" w:type="dxa"/>
            <w:vAlign w:val="bottom"/>
            <w:tcBorders>
              <w:top w:val="single" w:sz="8" w:color="0E3C23"/>
            </w:tcBorders>
            <w:vMerge w:val="restart"/>
            <w:shd w:val="clear" w:color="auto" w:fill="0E3C23"/>
          </w:tcPr>
          <w:p>
            <w:pPr>
              <w:ind w:left="180"/>
              <w:spacing w:after="0"/>
              <w:rPr>
                <w:sz w:val="20"/>
                <w:szCs w:val="20"/>
                <w:color w:val="auto"/>
              </w:rPr>
            </w:pPr>
            <w:r>
              <w:rPr>
                <w:rFonts w:ascii="Arial" w:cs="Arial" w:eastAsia="Arial" w:hAnsi="Arial"/>
                <w:sz w:val="32"/>
                <w:szCs w:val="32"/>
                <w:b w:val="1"/>
                <w:bCs w:val="1"/>
                <w:color w:val="FFFFFF"/>
              </w:rPr>
              <w:t>FOR</w:t>
            </w:r>
          </w:p>
        </w:tc>
        <w:tc>
          <w:tcPr>
            <w:tcW w:w="8340" w:type="dxa"/>
            <w:vAlign w:val="bottom"/>
            <w:tcBorders>
              <w:top w:val="single" w:sz="8" w:color="0E3C23"/>
              <w:right w:val="single" w:sz="8" w:color="0E3C23"/>
            </w:tcBorders>
          </w:tcPr>
          <w:p>
            <w:pPr>
              <w:ind w:left="120"/>
              <w:spacing w:after="0"/>
              <w:rPr>
                <w:sz w:val="20"/>
                <w:szCs w:val="20"/>
                <w:color w:val="auto"/>
              </w:rPr>
            </w:pPr>
            <w:r>
              <w:rPr>
                <w:rFonts w:ascii="Arial" w:cs="Arial" w:eastAsia="Arial" w:hAnsi="Arial"/>
                <w:sz w:val="20"/>
                <w:szCs w:val="20"/>
                <w:b w:val="1"/>
                <w:bCs w:val="1"/>
                <w:color w:val="auto"/>
              </w:rPr>
              <w:t>THE BOARD OF DIRECTORS RECOMMENDS THAT YOU VOTE FOR THE</w:t>
            </w:r>
          </w:p>
        </w:tc>
        <w:tc>
          <w:tcPr>
            <w:tcW w:w="0" w:type="dxa"/>
            <w:vAlign w:val="bottom"/>
          </w:tcPr>
          <w:p>
            <w:pPr>
              <w:spacing w:after="0"/>
              <w:rPr>
                <w:sz w:val="1"/>
                <w:szCs w:val="1"/>
                <w:color w:val="auto"/>
              </w:rPr>
            </w:pPr>
          </w:p>
        </w:tc>
      </w:tr>
      <w:tr>
        <w:trPr>
          <w:trHeight w:val="239"/>
        </w:trPr>
        <w:tc>
          <w:tcPr>
            <w:tcW w:w="1000" w:type="dxa"/>
            <w:vAlign w:val="bottom"/>
            <w:vMerge w:val="continue"/>
            <w:shd w:val="clear" w:color="auto" w:fill="0E3C23"/>
          </w:tcPr>
          <w:p>
            <w:pPr>
              <w:spacing w:after="0"/>
              <w:rPr>
                <w:sz w:val="20"/>
                <w:szCs w:val="20"/>
                <w:color w:val="auto"/>
              </w:rPr>
            </w:pPr>
          </w:p>
        </w:tc>
        <w:tc>
          <w:tcPr>
            <w:tcW w:w="8340" w:type="dxa"/>
            <w:vAlign w:val="bottom"/>
            <w:tcBorders>
              <w:right w:val="single" w:sz="8" w:color="0E3C23"/>
            </w:tcBorders>
          </w:tcPr>
          <w:p>
            <w:pPr>
              <w:ind w:left="120"/>
              <w:spacing w:after="0"/>
              <w:rPr>
                <w:sz w:val="20"/>
                <w:szCs w:val="20"/>
                <w:color w:val="auto"/>
              </w:rPr>
            </w:pPr>
            <w:r>
              <w:rPr>
                <w:rFonts w:ascii="Arial" w:cs="Arial" w:eastAsia="Arial" w:hAnsi="Arial"/>
                <w:sz w:val="20"/>
                <w:szCs w:val="20"/>
                <w:b w:val="1"/>
                <w:bCs w:val="1"/>
                <w:color w:val="auto"/>
              </w:rPr>
              <w:t>RATIFICATION OF ERNST &amp; YOUNG LLP AS THE COMPANY’S INDEPENDENT</w:t>
            </w:r>
          </w:p>
        </w:tc>
        <w:tc>
          <w:tcPr>
            <w:tcW w:w="0" w:type="dxa"/>
            <w:vAlign w:val="bottom"/>
          </w:tcPr>
          <w:p>
            <w:pPr>
              <w:spacing w:after="0"/>
              <w:rPr>
                <w:sz w:val="1"/>
                <w:szCs w:val="1"/>
                <w:color w:val="auto"/>
              </w:rPr>
            </w:pPr>
          </w:p>
        </w:tc>
      </w:tr>
      <w:tr>
        <w:trPr>
          <w:trHeight w:val="276"/>
        </w:trPr>
        <w:tc>
          <w:tcPr>
            <w:tcW w:w="1000" w:type="dxa"/>
            <w:vAlign w:val="bottom"/>
            <w:shd w:val="clear" w:color="auto" w:fill="0E3C23"/>
          </w:tcPr>
          <w:p>
            <w:pPr>
              <w:spacing w:after="0"/>
              <w:rPr>
                <w:sz w:val="23"/>
                <w:szCs w:val="23"/>
                <w:color w:val="auto"/>
              </w:rPr>
            </w:pPr>
          </w:p>
        </w:tc>
        <w:tc>
          <w:tcPr>
            <w:tcW w:w="8340" w:type="dxa"/>
            <w:vAlign w:val="bottom"/>
            <w:tcBorders>
              <w:right w:val="single" w:sz="8" w:color="0E3C23"/>
            </w:tcBorders>
          </w:tcPr>
          <w:p>
            <w:pPr>
              <w:ind w:left="120"/>
              <w:spacing w:after="0"/>
              <w:rPr>
                <w:sz w:val="20"/>
                <w:szCs w:val="20"/>
                <w:color w:val="auto"/>
              </w:rPr>
            </w:pPr>
            <w:r>
              <w:rPr>
                <w:rFonts w:ascii="Arial" w:cs="Arial" w:eastAsia="Arial" w:hAnsi="Arial"/>
                <w:sz w:val="20"/>
                <w:szCs w:val="20"/>
                <w:b w:val="1"/>
                <w:bCs w:val="1"/>
                <w:color w:val="auto"/>
              </w:rPr>
              <w:t>REGISTERED PUBLIC ACCOUNTING FIRM FOR FISCAL YEAR 2025.</w:t>
            </w:r>
          </w:p>
        </w:tc>
        <w:tc>
          <w:tcPr>
            <w:tcW w:w="0" w:type="dxa"/>
            <w:vAlign w:val="bottom"/>
          </w:tcPr>
          <w:p>
            <w:pPr>
              <w:spacing w:after="0"/>
              <w:rPr>
                <w:sz w:val="1"/>
                <w:szCs w:val="1"/>
                <w:color w:val="auto"/>
              </w:rPr>
            </w:pPr>
          </w:p>
        </w:tc>
      </w:tr>
      <w:tr>
        <w:trPr>
          <w:trHeight w:val="43"/>
        </w:trPr>
        <w:tc>
          <w:tcPr>
            <w:tcW w:w="1000" w:type="dxa"/>
            <w:vAlign w:val="bottom"/>
            <w:tcBorders>
              <w:bottom w:val="single" w:sz="8" w:color="0E3C23"/>
            </w:tcBorders>
            <w:shd w:val="clear" w:color="auto" w:fill="0E3C23"/>
          </w:tcPr>
          <w:p>
            <w:pPr>
              <w:spacing w:after="0"/>
              <w:rPr>
                <w:sz w:val="3"/>
                <w:szCs w:val="3"/>
                <w:color w:val="auto"/>
              </w:rPr>
            </w:pPr>
          </w:p>
        </w:tc>
        <w:tc>
          <w:tcPr>
            <w:tcW w:w="8340" w:type="dxa"/>
            <w:vAlign w:val="bottom"/>
            <w:tcBorders>
              <w:bottom w:val="single" w:sz="8" w:color="0E3C23"/>
              <w:right w:val="single" w:sz="8" w:color="0E3C23"/>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-246380</wp:posOffset>
            </wp:positionV>
            <wp:extent cx="193040" cy="1873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63">
                      <a:extLst>
                        <a:ext uri="{28A0092B-C50C-407E-A947-70E740481C1C}"/>
                      </a:extLst>
                    </a:blip>
                    <a:srcRect/>
                    <a:stretch>
                      <a:fillRect/>
                    </a:stretch>
                  </pic:blipFill>
                  <pic:spPr bwMode="auto">
                    <a:xfrm>
                      <a:off x="0" y="0"/>
                      <a:ext cx="193040" cy="18732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7680"/>
        <w:spacing w:after="0"/>
        <w:tabs>
          <w:tab w:leader="none" w:pos="972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4227830</wp:posOffset>
            </wp:positionH>
            <wp:positionV relativeFrom="paragraph">
              <wp:posOffset>-219075</wp:posOffset>
            </wp:positionV>
            <wp:extent cx="563880" cy="1873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64">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3320" w:h="16920" w:orient="portrait"/>
          <w:cols w:equalWidth="0" w:num="1">
            <w:col w:w="10440"/>
          </w:cols>
          <w:pgMar w:left="1440" w:top="1440" w:right="1440" w:bottom="1036" w:gutter="0" w:footer="0" w:header="0"/>
        </w:sectPr>
      </w:pPr>
    </w:p>
    <w:bookmarkStart w:id="69" w:name="page70"/>
    <w:bookmarkEnd w:id="69"/>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1027430</wp:posOffset>
            </wp:positionH>
            <wp:positionV relativeFrom="page">
              <wp:posOffset>774065</wp:posOffset>
            </wp:positionV>
            <wp:extent cx="6386830" cy="127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65">
                      <a:extLst>
                        <a:ext uri="{28A0092B-C50C-407E-A947-70E740481C1C}"/>
                      </a:extLst>
                    </a:blip>
                    <a:srcRect/>
                    <a:stretch>
                      <a:fillRect/>
                    </a:stretch>
                  </pic:blipFill>
                  <pic:spPr bwMode="auto">
                    <a:xfrm>
                      <a:off x="0" y="0"/>
                      <a:ext cx="6386830" cy="12700"/>
                    </a:xfrm>
                    <a:prstGeom prst="rect">
                      <a:avLst/>
                    </a:prstGeom>
                    <a:noFill/>
                  </pic:spPr>
                </pic:pic>
              </a:graphicData>
            </a:graphic>
          </wp:anchor>
        </w:drawing>
      </w:r>
    </w:p>
    <w:p>
      <w:pPr>
        <w:ind w:left="180"/>
        <w:spacing w:after="0"/>
        <w:rPr>
          <w:sz w:val="20"/>
          <w:szCs w:val="20"/>
          <w:color w:val="auto"/>
        </w:rPr>
      </w:pPr>
      <w:r>
        <w:rPr>
          <w:rFonts w:ascii="Arial" w:cs="Arial" w:eastAsia="Arial" w:hAnsi="Arial"/>
          <w:sz w:val="40"/>
          <w:szCs w:val="40"/>
          <w:b w:val="1"/>
          <w:bCs w:val="1"/>
          <w:color w:val="0E3C23"/>
        </w:rPr>
        <w:t>ADVISORY VOTE ON EXECUTIVE COMPENSATION</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E3C23"/>
        </w:rPr>
        <w:t>(ITEM 3 ON THE PROXY CARD)</w:t>
      </w:r>
    </w:p>
    <w:p>
      <w:pPr>
        <w:spacing w:after="0" w:line="142" w:lineRule="exact"/>
        <w:rPr>
          <w:sz w:val="20"/>
          <w:szCs w:val="20"/>
          <w:color w:val="auto"/>
        </w:rPr>
      </w:pPr>
    </w:p>
    <w:p>
      <w:pPr>
        <w:jc w:val="both"/>
        <w:ind w:left="180" w:right="200"/>
        <w:spacing w:after="0" w:line="258" w:lineRule="auto"/>
        <w:rPr>
          <w:sz w:val="20"/>
          <w:szCs w:val="20"/>
          <w:color w:val="auto"/>
        </w:rPr>
      </w:pPr>
      <w:r>
        <w:rPr>
          <w:rFonts w:ascii="Arial" w:cs="Arial" w:eastAsia="Arial" w:hAnsi="Arial"/>
          <w:sz w:val="19"/>
          <w:szCs w:val="19"/>
          <w:color w:val="auto"/>
        </w:rPr>
        <w:t>Pursuant to Section 14A of the Exchange Act, stockholders are entitled to an advisory (non-binding) vote on compensation programs for our named executive officers (sometimes referred to as “say on pay”). The Board of Directors has determined that it will include this “say on pay” vote in the Company’s proxy materials annually, pending consideration of future advisory stockholder votes on the frequency of this advisory vote on executive compensation.</w:t>
      </w:r>
    </w:p>
    <w:p>
      <w:pPr>
        <w:spacing w:after="0" w:line="114" w:lineRule="exact"/>
        <w:rPr>
          <w:sz w:val="20"/>
          <w:szCs w:val="20"/>
          <w:color w:val="auto"/>
        </w:rPr>
      </w:pPr>
    </w:p>
    <w:p>
      <w:pPr>
        <w:jc w:val="both"/>
        <w:ind w:left="180" w:right="200"/>
        <w:spacing w:after="0" w:line="242" w:lineRule="auto"/>
        <w:rPr>
          <w:sz w:val="20"/>
          <w:szCs w:val="20"/>
          <w:color w:val="auto"/>
        </w:rPr>
      </w:pPr>
      <w:r>
        <w:rPr>
          <w:rFonts w:ascii="Arial" w:cs="Arial" w:eastAsia="Arial" w:hAnsi="Arial"/>
          <w:sz w:val="20"/>
          <w:szCs w:val="20"/>
          <w:color w:val="auto"/>
        </w:rPr>
        <w:t xml:space="preserve">We encourage stockholders to review the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xml:space="preserve"> included in this Proxy Statement. The Company has designed its executive compensation program to be supportive of, and align with, the strategy of the Company and the creation of stockholder value, while discouraging excessive risk-taking. The following key structural elements and policies, discussed in more detail in the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further the objective of our executive compensation program and evidence our dedication to competitive and reasonable compensation practices that are in the best interests of stockholders:</w:t>
      </w:r>
    </w:p>
    <w:p>
      <w:pPr>
        <w:spacing w:after="0" w:line="129" w:lineRule="exact"/>
        <w:rPr>
          <w:sz w:val="20"/>
          <w:szCs w:val="20"/>
          <w:color w:val="auto"/>
        </w:rPr>
      </w:pPr>
    </w:p>
    <w:p>
      <w:pPr>
        <w:ind w:left="780" w:right="200" w:hanging="203"/>
        <w:spacing w:after="0" w:line="238" w:lineRule="auto"/>
        <w:tabs>
          <w:tab w:leader="none" w:pos="780" w:val="left"/>
        </w:tabs>
        <w:numPr>
          <w:ilvl w:val="0"/>
          <w:numId w:val="42"/>
        </w:numPr>
        <w:rPr>
          <w:rFonts w:ascii="Arial" w:cs="Arial" w:eastAsia="Arial" w:hAnsi="Arial"/>
          <w:sz w:val="20"/>
          <w:szCs w:val="20"/>
          <w:color w:val="0E3C23"/>
        </w:rPr>
      </w:pPr>
      <w:r>
        <w:rPr>
          <w:rFonts w:ascii="Arial" w:cs="Arial" w:eastAsia="Arial" w:hAnsi="Arial"/>
          <w:sz w:val="20"/>
          <w:szCs w:val="20"/>
          <w:color w:val="auto"/>
        </w:rPr>
        <w:t>a significant majority of our named executive’s target compensation is linked to Company performance and long-term equity awards, which aligns executives’ interests with those of stockholders;</w:t>
      </w:r>
    </w:p>
    <w:p>
      <w:pPr>
        <w:spacing w:after="0" w:line="130" w:lineRule="exact"/>
        <w:rPr>
          <w:rFonts w:ascii="Arial" w:cs="Arial" w:eastAsia="Arial" w:hAnsi="Arial"/>
          <w:sz w:val="20"/>
          <w:szCs w:val="20"/>
          <w:color w:val="0E3C23"/>
        </w:rPr>
      </w:pPr>
    </w:p>
    <w:p>
      <w:pPr>
        <w:ind w:left="780" w:right="200" w:hanging="203"/>
        <w:spacing w:after="0" w:line="238" w:lineRule="auto"/>
        <w:tabs>
          <w:tab w:leader="none" w:pos="780" w:val="left"/>
        </w:tabs>
        <w:numPr>
          <w:ilvl w:val="0"/>
          <w:numId w:val="42"/>
        </w:numPr>
        <w:rPr>
          <w:rFonts w:ascii="Arial" w:cs="Arial" w:eastAsia="Arial" w:hAnsi="Arial"/>
          <w:sz w:val="20"/>
          <w:szCs w:val="20"/>
          <w:color w:val="0E3C23"/>
        </w:rPr>
      </w:pPr>
      <w:r>
        <w:rPr>
          <w:rFonts w:ascii="Arial" w:cs="Arial" w:eastAsia="Arial" w:hAnsi="Arial"/>
          <w:sz w:val="20"/>
          <w:szCs w:val="20"/>
          <w:color w:val="auto"/>
        </w:rPr>
        <w:t>our total direct compensation opportunities for named executive officers are targeted to fall in a range around the competitive median;</w:t>
      </w:r>
    </w:p>
    <w:p>
      <w:pPr>
        <w:spacing w:after="0" w:line="130" w:lineRule="exact"/>
        <w:rPr>
          <w:rFonts w:ascii="Arial" w:cs="Arial" w:eastAsia="Arial" w:hAnsi="Arial"/>
          <w:sz w:val="20"/>
          <w:szCs w:val="20"/>
          <w:color w:val="0E3C23"/>
        </w:rPr>
      </w:pPr>
    </w:p>
    <w:p>
      <w:pPr>
        <w:jc w:val="both"/>
        <w:ind w:left="780" w:right="200" w:hanging="203"/>
        <w:spacing w:after="0" w:line="290" w:lineRule="auto"/>
        <w:tabs>
          <w:tab w:leader="none" w:pos="780" w:val="left"/>
        </w:tabs>
        <w:numPr>
          <w:ilvl w:val="0"/>
          <w:numId w:val="42"/>
        </w:numPr>
        <w:rPr>
          <w:rFonts w:ascii="Arial" w:cs="Arial" w:eastAsia="Arial" w:hAnsi="Arial"/>
          <w:sz w:val="18"/>
          <w:szCs w:val="18"/>
          <w:color w:val="0E3C23"/>
        </w:rPr>
      </w:pPr>
      <w:r>
        <w:rPr>
          <w:rFonts w:ascii="Arial" w:cs="Arial" w:eastAsia="Arial" w:hAnsi="Arial"/>
          <w:sz w:val="18"/>
          <w:szCs w:val="18"/>
          <w:color w:val="auto"/>
        </w:rPr>
        <w:t>performance-based awards include threshold, target and maximum payouts correlating to a range of performance outcomes and are based on a variety of indicators of performance, which limits risk-taking behavior;</w:t>
      </w:r>
    </w:p>
    <w:p>
      <w:pPr>
        <w:spacing w:after="0" w:line="86" w:lineRule="exact"/>
        <w:rPr>
          <w:rFonts w:ascii="Arial" w:cs="Arial" w:eastAsia="Arial" w:hAnsi="Arial"/>
          <w:sz w:val="18"/>
          <w:szCs w:val="18"/>
          <w:color w:val="0E3C23"/>
        </w:rPr>
      </w:pPr>
    </w:p>
    <w:p>
      <w:pPr>
        <w:jc w:val="both"/>
        <w:ind w:left="780" w:right="200" w:hanging="203"/>
        <w:spacing w:after="0"/>
        <w:tabs>
          <w:tab w:leader="none" w:pos="780" w:val="left"/>
        </w:tabs>
        <w:numPr>
          <w:ilvl w:val="0"/>
          <w:numId w:val="42"/>
        </w:numPr>
        <w:rPr>
          <w:rFonts w:ascii="Arial" w:cs="Arial" w:eastAsia="Arial" w:hAnsi="Arial"/>
          <w:sz w:val="20"/>
          <w:szCs w:val="20"/>
          <w:color w:val="0E3C23"/>
        </w:rPr>
      </w:pPr>
      <w:r>
        <w:rPr>
          <w:rFonts w:ascii="Arial" w:cs="Arial" w:eastAsia="Arial" w:hAnsi="Arial"/>
          <w:sz w:val="20"/>
          <w:szCs w:val="20"/>
          <w:color w:val="auto"/>
        </w:rPr>
        <w:t>performance stock units with a three-year performance period, as well as stock options that vest over a three-year period, link executives’ interests with long-term performance and reduce incentives to maximize performance in any one year at the expense of future years;</w:t>
      </w:r>
    </w:p>
    <w:p>
      <w:pPr>
        <w:spacing w:after="0" w:line="130" w:lineRule="exact"/>
        <w:rPr>
          <w:rFonts w:ascii="Arial" w:cs="Arial" w:eastAsia="Arial" w:hAnsi="Arial"/>
          <w:sz w:val="20"/>
          <w:szCs w:val="20"/>
          <w:color w:val="0E3C23"/>
        </w:rPr>
      </w:pPr>
    </w:p>
    <w:p>
      <w:pPr>
        <w:ind w:left="780" w:right="200" w:hanging="203"/>
        <w:spacing w:after="0" w:line="238" w:lineRule="auto"/>
        <w:tabs>
          <w:tab w:leader="none" w:pos="780" w:val="left"/>
        </w:tabs>
        <w:numPr>
          <w:ilvl w:val="0"/>
          <w:numId w:val="42"/>
        </w:numPr>
        <w:rPr>
          <w:rFonts w:ascii="Arial" w:cs="Arial" w:eastAsia="Arial" w:hAnsi="Arial"/>
          <w:sz w:val="20"/>
          <w:szCs w:val="20"/>
          <w:color w:val="0E3C23"/>
        </w:rPr>
      </w:pPr>
      <w:r>
        <w:rPr>
          <w:rFonts w:ascii="Arial" w:cs="Arial" w:eastAsia="Arial" w:hAnsi="Arial"/>
          <w:sz w:val="20"/>
          <w:szCs w:val="20"/>
          <w:color w:val="auto"/>
        </w:rPr>
        <w:t>all of our executive officers are subject to stock ownership guidelines, which we believe demonstrates a commitment to, and confidence in, the Company’s long-term prospects;</w:t>
      </w:r>
    </w:p>
    <w:p>
      <w:pPr>
        <w:spacing w:after="0" w:line="130" w:lineRule="exact"/>
        <w:rPr>
          <w:rFonts w:ascii="Arial" w:cs="Arial" w:eastAsia="Arial" w:hAnsi="Arial"/>
          <w:sz w:val="20"/>
          <w:szCs w:val="20"/>
          <w:color w:val="0E3C23"/>
        </w:rPr>
      </w:pPr>
    </w:p>
    <w:p>
      <w:pPr>
        <w:jc w:val="both"/>
        <w:ind w:left="780" w:right="200" w:hanging="203"/>
        <w:spacing w:after="0" w:line="241" w:lineRule="auto"/>
        <w:tabs>
          <w:tab w:leader="none" w:pos="780" w:val="left"/>
        </w:tabs>
        <w:numPr>
          <w:ilvl w:val="0"/>
          <w:numId w:val="42"/>
        </w:numPr>
        <w:rPr>
          <w:rFonts w:ascii="Arial" w:cs="Arial" w:eastAsia="Arial" w:hAnsi="Arial"/>
          <w:sz w:val="20"/>
          <w:szCs w:val="20"/>
          <w:color w:val="0E3C23"/>
        </w:rPr>
      </w:pPr>
      <w:r>
        <w:rPr>
          <w:rFonts w:ascii="Arial" w:cs="Arial" w:eastAsia="Arial" w:hAnsi="Arial"/>
          <w:sz w:val="20"/>
          <w:szCs w:val="20"/>
          <w:color w:val="auto"/>
        </w:rPr>
        <w:t>in addition to adoption of the executive compensation clawback policy mandated by the New York Stock Exchange in 2023, the Company has clawback provisions in its equity award agreements and executive officer employment agreements, and has adopted a clawback policy applicable to annual incentive compensation, designed to recoup compensation when cause and/or misconduct are found; and</w:t>
      </w:r>
    </w:p>
    <w:p>
      <w:pPr>
        <w:spacing w:after="0" w:line="129" w:lineRule="exact"/>
        <w:rPr>
          <w:rFonts w:ascii="Arial" w:cs="Arial" w:eastAsia="Arial" w:hAnsi="Arial"/>
          <w:sz w:val="20"/>
          <w:szCs w:val="20"/>
          <w:color w:val="0E3C23"/>
        </w:rPr>
      </w:pPr>
    </w:p>
    <w:p>
      <w:pPr>
        <w:ind w:left="780" w:right="200" w:hanging="203"/>
        <w:spacing w:after="0" w:line="262" w:lineRule="auto"/>
        <w:tabs>
          <w:tab w:leader="none" w:pos="780" w:val="left"/>
        </w:tabs>
        <w:numPr>
          <w:ilvl w:val="0"/>
          <w:numId w:val="42"/>
        </w:numPr>
        <w:rPr>
          <w:rFonts w:ascii="Arial" w:cs="Arial" w:eastAsia="Arial" w:hAnsi="Arial"/>
          <w:sz w:val="19"/>
          <w:szCs w:val="19"/>
          <w:color w:val="0E3C23"/>
        </w:rPr>
      </w:pPr>
      <w:r>
        <w:rPr>
          <w:rFonts w:ascii="Arial" w:cs="Arial" w:eastAsia="Arial" w:hAnsi="Arial"/>
          <w:sz w:val="19"/>
          <w:szCs w:val="19"/>
          <w:color w:val="auto"/>
        </w:rPr>
        <w:t>the Company has adopted policies that limit executive officer severance benefits and prohibit it from entering into agreements with executive officers that provide for certain death benefits or tax gross-up payments.</w:t>
      </w:r>
    </w:p>
    <w:p>
      <w:pPr>
        <w:spacing w:after="0" w:line="110" w:lineRule="exact"/>
        <w:rPr>
          <w:sz w:val="20"/>
          <w:szCs w:val="20"/>
          <w:color w:val="auto"/>
        </w:rPr>
      </w:pPr>
    </w:p>
    <w:p>
      <w:pPr>
        <w:jc w:val="both"/>
        <w:ind w:left="180" w:right="200"/>
        <w:spacing w:after="0" w:line="238" w:lineRule="auto"/>
        <w:rPr>
          <w:sz w:val="20"/>
          <w:szCs w:val="20"/>
          <w:color w:val="auto"/>
        </w:rPr>
      </w:pPr>
      <w:r>
        <w:rPr>
          <w:rFonts w:ascii="Arial" w:cs="Arial" w:eastAsia="Arial" w:hAnsi="Arial"/>
          <w:sz w:val="20"/>
          <w:szCs w:val="20"/>
          <w:color w:val="auto"/>
        </w:rPr>
        <w:t>The Board strongly endorses the Company’s executive compensation program and recommends that the stockholders vote in favor of the following resolution:</w:t>
      </w:r>
    </w:p>
    <w:p>
      <w:pPr>
        <w:spacing w:after="0" w:line="131" w:lineRule="exact"/>
        <w:rPr>
          <w:sz w:val="20"/>
          <w:szCs w:val="20"/>
          <w:color w:val="auto"/>
        </w:rPr>
      </w:pPr>
    </w:p>
    <w:p>
      <w:pPr>
        <w:jc w:val="both"/>
        <w:ind w:left="180" w:right="200"/>
        <w:spacing w:after="0"/>
        <w:rPr>
          <w:sz w:val="20"/>
          <w:szCs w:val="20"/>
          <w:color w:val="auto"/>
        </w:rPr>
      </w:pPr>
      <w:r>
        <w:rPr>
          <w:rFonts w:ascii="Arial" w:cs="Arial" w:eastAsia="Arial" w:hAnsi="Arial"/>
          <w:sz w:val="20"/>
          <w:szCs w:val="20"/>
          <w:color w:val="auto"/>
        </w:rPr>
        <w:t xml:space="preserve">RESOLVED, that the compensation of the Company’s named executive officers as described in this Proxy Statement under “Executive Compensation,” including the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xml:space="preserve"> and the tabular and narrative disclosure contained in this Proxy Statement, is hereby APPROVED.</w:t>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24"/>
          <w:szCs w:val="24"/>
          <w:b w:val="1"/>
          <w:bCs w:val="1"/>
          <w:u w:val="single" w:color="auto"/>
          <w:color w:val="0E3C23"/>
        </w:rPr>
        <w:t>VOTE REQUIRED FOR APPROVAL</w:t>
      </w:r>
    </w:p>
    <w:p>
      <w:pPr>
        <w:spacing w:after="0" w:line="142" w:lineRule="exact"/>
        <w:rPr>
          <w:sz w:val="20"/>
          <w:szCs w:val="20"/>
          <w:color w:val="auto"/>
        </w:rPr>
      </w:pPr>
    </w:p>
    <w:p>
      <w:pPr>
        <w:jc w:val="both"/>
        <w:ind w:left="180" w:right="200"/>
        <w:spacing w:after="0" w:line="244" w:lineRule="auto"/>
        <w:rPr>
          <w:sz w:val="20"/>
          <w:szCs w:val="20"/>
          <w:color w:val="auto"/>
        </w:rPr>
      </w:pPr>
      <w:r>
        <w:rPr>
          <w:rFonts w:ascii="Arial" w:cs="Arial" w:eastAsia="Arial" w:hAnsi="Arial"/>
          <w:sz w:val="20"/>
          <w:szCs w:val="20"/>
          <w:color w:val="auto"/>
        </w:rPr>
        <w:t>Approval of this proposal requires the affirmative vote of the holders of a majority of the outstanding shares of Common Stock present at the meeting, in person or represented by proxy, and entitled to vote. Because the vote is advisory, it will not be binding, and neither the Board of Directors nor the MD&amp;C Committee will be required to take any action as a result of the outcome of the vote on this proposal. The MD&amp;C Committee will carefully consider the outcome of the vote in connection with future 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111760</wp:posOffset>
            </wp:positionV>
            <wp:extent cx="5930265" cy="5670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66">
                      <a:extLst>
                        <a:ext uri="{28A0092B-C50C-407E-A947-70E740481C1C}"/>
                      </a:extLst>
                    </a:blip>
                    <a:srcRect/>
                    <a:stretch>
                      <a:fillRect/>
                    </a:stretch>
                  </pic:blipFill>
                  <pic:spPr bwMode="auto">
                    <a:xfrm>
                      <a:off x="0" y="0"/>
                      <a:ext cx="5930265" cy="567055"/>
                    </a:xfrm>
                    <a:prstGeom prst="rect">
                      <a:avLst/>
                    </a:prstGeom>
                    <a:noFill/>
                  </pic:spPr>
                </pic:pic>
              </a:graphicData>
            </a:graphic>
          </wp:anchor>
        </w:drawing>
      </w:r>
    </w:p>
    <w:p>
      <w:pPr>
        <w:spacing w:after="0" w:line="228" w:lineRule="exact"/>
        <w:rPr>
          <w:sz w:val="20"/>
          <w:szCs w:val="20"/>
          <w:color w:val="auto"/>
        </w:rPr>
      </w:pPr>
    </w:p>
    <w:p>
      <w:pPr>
        <w:ind w:left="1660" w:right="1260" w:hanging="939"/>
        <w:spacing w:after="0" w:line="206" w:lineRule="auto"/>
        <w:tabs>
          <w:tab w:leader="none" w:pos="1640" w:val="left"/>
        </w:tabs>
        <w:rPr>
          <w:sz w:val="20"/>
          <w:szCs w:val="20"/>
          <w:color w:val="auto"/>
        </w:rPr>
      </w:pPr>
      <w:r>
        <w:rPr>
          <w:rFonts w:ascii="Arial" w:cs="Arial" w:eastAsia="Arial" w:hAnsi="Arial"/>
          <w:sz w:val="32"/>
          <w:szCs w:val="32"/>
          <w:b w:val="1"/>
          <w:bCs w:val="1"/>
          <w:color w:val="FFFFFF"/>
        </w:rPr>
        <w:t>FOR</w:t>
      </w:r>
      <w:r>
        <w:rPr>
          <w:sz w:val="20"/>
          <w:szCs w:val="20"/>
          <w:color w:val="auto"/>
        </w:rPr>
        <w:tab/>
      </w:r>
      <w:r>
        <w:rPr>
          <w:rFonts w:ascii="Arial" w:cs="Arial" w:eastAsia="Arial" w:hAnsi="Arial"/>
          <w:sz w:val="20"/>
          <w:szCs w:val="20"/>
          <w:b w:val="1"/>
          <w:bCs w:val="1"/>
          <w:color w:val="auto"/>
        </w:rPr>
        <w:t>THE BOARD RECOMMENDS THAT YOU VOTE TO APPROVE THE COMPANY’S EXECUTIVE COMPENSATION.</w:t>
      </w:r>
    </w:p>
    <w:p>
      <w:pPr>
        <w:sectPr>
          <w:pgSz w:w="13320" w:h="16920" w:orient="portrait"/>
          <w:cols w:equalWidth="0" w:num="1">
            <w:col w:w="10440"/>
          </w:cols>
          <w:pgMar w:left="1440" w:top="1440" w:right="1440"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67">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-86995</wp:posOffset>
            </wp:positionV>
            <wp:extent cx="42545"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68">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440" w:right="1440" w:bottom="1036" w:gutter="0" w:footer="0" w:header="0"/>
          <w:type w:val="continuous"/>
        </w:sectPr>
      </w:pPr>
    </w:p>
    <w:bookmarkStart w:id="70" w:name="page71"/>
    <w:bookmarkEnd w:id="70"/>
    <w:p>
      <w:pPr>
        <w:spacing w:after="0" w:line="188" w:lineRule="exact"/>
        <w:rPr>
          <w:sz w:val="20"/>
          <w:szCs w:val="20"/>
          <w:color w:val="auto"/>
        </w:rPr>
      </w:pPr>
    </w:p>
    <w:p>
      <w:pPr>
        <w:ind w:left="180"/>
        <w:spacing w:after="0"/>
        <w:rPr>
          <w:sz w:val="20"/>
          <w:szCs w:val="20"/>
          <w:color w:val="auto"/>
        </w:rPr>
      </w:pPr>
      <w:r>
        <w:rPr>
          <w:rFonts w:ascii="Arial" w:cs="Arial" w:eastAsia="Arial" w:hAnsi="Arial"/>
          <w:sz w:val="40"/>
          <w:szCs w:val="40"/>
          <w:b w:val="1"/>
          <w:bCs w:val="1"/>
          <w:color w:val="0E3C23"/>
        </w:rPr>
        <w:t>APPENDIX A</w:t>
      </w:r>
    </w:p>
    <w:p>
      <w:pPr>
        <w:spacing w:after="0" w:line="166" w:lineRule="exact"/>
        <w:rPr>
          <w:sz w:val="20"/>
          <w:szCs w:val="20"/>
          <w:color w:val="auto"/>
        </w:rPr>
      </w:pPr>
    </w:p>
    <w:p>
      <w:pPr>
        <w:jc w:val="both"/>
        <w:ind w:left="180" w:right="200"/>
        <w:spacing w:after="0" w:line="276" w:lineRule="auto"/>
        <w:rPr>
          <w:sz w:val="20"/>
          <w:szCs w:val="20"/>
          <w:color w:val="auto"/>
        </w:rPr>
      </w:pPr>
      <w:r>
        <w:rPr>
          <w:rFonts w:ascii="Arial" w:cs="Arial" w:eastAsia="Arial" w:hAnsi="Arial"/>
          <w:sz w:val="19"/>
          <w:szCs w:val="19"/>
          <w:color w:val="auto"/>
        </w:rPr>
        <w:t>Incentive compensation measures presented in this proxy statement are defined differently than corresponding measures reported in the Company’s quarterly earnings press release. See below for reconciliations of Operating EBITDA, Income from Operations Margin and Cash Flow Generation to the most comparable GAAP measures. Non-GAAP measures should not be considered a substitute for financial measures presented in accordance with GAAP.</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RECONCILIATION OF CERTAIN NON-GAAP MEASURES</w:t>
      </w:r>
    </w:p>
    <w:p>
      <w:pPr>
        <w:spacing w:after="0" w:line="19"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(In Millions)</w:t>
      </w:r>
    </w:p>
    <w:p>
      <w:pPr>
        <w:spacing w:after="0" w:line="19"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(Unaudited)</w:t>
      </w:r>
    </w:p>
    <w:p>
      <w:pPr>
        <w:spacing w:after="0" w:line="126"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4360" w:type="dxa"/>
            <w:vAlign w:val="bottom"/>
            <w:gridSpan w:val="4"/>
          </w:tcPr>
          <w:p>
            <w:pPr>
              <w:jc w:val="right"/>
              <w:ind w:right="586"/>
              <w:spacing w:after="0"/>
              <w:rPr>
                <w:sz w:val="20"/>
                <w:szCs w:val="20"/>
                <w:color w:val="auto"/>
              </w:rPr>
            </w:pPr>
            <w:r>
              <w:rPr>
                <w:rFonts w:ascii="Arial" w:cs="Arial" w:eastAsia="Arial" w:hAnsi="Arial"/>
                <w:sz w:val="16"/>
                <w:szCs w:val="16"/>
                <w:b w:val="1"/>
                <w:bCs w:val="1"/>
                <w:color w:val="0E3C23"/>
              </w:rPr>
              <w:t>Twelve Months Ended December 31, 2024</w:t>
            </w:r>
          </w:p>
        </w:tc>
      </w:tr>
      <w:tr>
        <w:trPr>
          <w:trHeight w:val="44"/>
        </w:trPr>
        <w:tc>
          <w:tcPr>
            <w:tcW w:w="5700" w:type="dxa"/>
            <w:vAlign w:val="bottom"/>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440" w:type="dxa"/>
            <w:vAlign w:val="bottom"/>
            <w:tcBorders>
              <w:bottom w:val="single" w:sz="8" w:color="0E3C23"/>
            </w:tcBorders>
          </w:tcPr>
          <w:p>
            <w:pPr>
              <w:spacing w:after="0"/>
              <w:rPr>
                <w:sz w:val="3"/>
                <w:szCs w:val="3"/>
                <w:color w:val="auto"/>
              </w:rPr>
            </w:pPr>
          </w:p>
        </w:tc>
        <w:tc>
          <w:tcPr>
            <w:tcW w:w="880" w:type="dxa"/>
            <w:vAlign w:val="bottom"/>
            <w:tcBorders>
              <w:bottom w:val="single" w:sz="8" w:color="0E3C23"/>
            </w:tcBorders>
          </w:tcPr>
          <w:p>
            <w:pPr>
              <w:spacing w:after="0"/>
              <w:rPr>
                <w:sz w:val="3"/>
                <w:szCs w:val="3"/>
                <w:color w:val="auto"/>
              </w:rPr>
            </w:pPr>
          </w:p>
        </w:tc>
      </w:tr>
      <w:tr>
        <w:trPr>
          <w:trHeight w:val="188"/>
        </w:trPr>
        <w:tc>
          <w:tcPr>
            <w:tcW w:w="5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jc w:val="right"/>
              <w:ind w:right="26"/>
              <w:spacing w:after="0"/>
              <w:rPr>
                <w:sz w:val="20"/>
                <w:szCs w:val="20"/>
                <w:color w:val="auto"/>
              </w:rPr>
            </w:pPr>
            <w:r>
              <w:rPr>
                <w:rFonts w:ascii="Arial" w:cs="Arial" w:eastAsia="Arial" w:hAnsi="Arial"/>
                <w:sz w:val="16"/>
                <w:szCs w:val="16"/>
                <w:b w:val="1"/>
                <w:bCs w:val="1"/>
                <w:color w:val="0E3C23"/>
              </w:rPr>
              <w:t>Income from</w:t>
            </w:r>
          </w:p>
        </w:tc>
        <w:tc>
          <w:tcPr>
            <w:tcW w:w="1440" w:type="dxa"/>
            <w:vAlign w:val="bottom"/>
          </w:tcPr>
          <w:p>
            <w:pPr>
              <w:jc w:val="right"/>
              <w:ind w:right="26"/>
              <w:spacing w:after="0"/>
              <w:rPr>
                <w:sz w:val="20"/>
                <w:szCs w:val="20"/>
                <w:color w:val="auto"/>
              </w:rPr>
            </w:pPr>
            <w:r>
              <w:rPr>
                <w:rFonts w:ascii="Arial" w:cs="Arial" w:eastAsia="Arial" w:hAnsi="Arial"/>
                <w:sz w:val="16"/>
                <w:szCs w:val="16"/>
                <w:b w:val="1"/>
                <w:bCs w:val="1"/>
                <w:color w:val="0E3C23"/>
              </w:rPr>
              <w:t>Depreciation and</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E3C23"/>
              </w:rPr>
              <w:t>Operating</w:t>
            </w:r>
          </w:p>
        </w:tc>
      </w:tr>
      <w:tr>
        <w:trPr>
          <w:trHeight w:val="184"/>
        </w:trPr>
        <w:tc>
          <w:tcPr>
            <w:tcW w:w="5700" w:type="dxa"/>
            <w:vAlign w:val="bottom"/>
          </w:tcPr>
          <w:p>
            <w:pPr>
              <w:spacing w:after="0"/>
              <w:rPr>
                <w:sz w:val="15"/>
                <w:szCs w:val="15"/>
                <w:color w:val="auto"/>
              </w:rPr>
            </w:pPr>
          </w:p>
        </w:tc>
        <w:tc>
          <w:tcPr>
            <w:tcW w:w="920" w:type="dxa"/>
            <w:vAlign w:val="bottom"/>
          </w:tcPr>
          <w:p>
            <w:pPr>
              <w:jc w:val="right"/>
              <w:ind w:right="26"/>
              <w:spacing w:after="0"/>
              <w:rPr>
                <w:sz w:val="20"/>
                <w:szCs w:val="20"/>
                <w:color w:val="auto"/>
              </w:rPr>
            </w:pPr>
            <w:r>
              <w:rPr>
                <w:rFonts w:ascii="Arial" w:cs="Arial" w:eastAsia="Arial" w:hAnsi="Arial"/>
                <w:sz w:val="16"/>
                <w:szCs w:val="16"/>
                <w:b w:val="1"/>
                <w:bCs w:val="1"/>
                <w:color w:val="0E3C23"/>
              </w:rPr>
              <w:t>Revenue</w:t>
            </w:r>
          </w:p>
        </w:tc>
        <w:tc>
          <w:tcPr>
            <w:tcW w:w="1120" w:type="dxa"/>
            <w:vAlign w:val="bottom"/>
          </w:tcPr>
          <w:p>
            <w:pPr>
              <w:jc w:val="right"/>
              <w:ind w:right="26"/>
              <w:spacing w:after="0"/>
              <w:rPr>
                <w:sz w:val="20"/>
                <w:szCs w:val="20"/>
                <w:color w:val="auto"/>
              </w:rPr>
            </w:pPr>
            <w:r>
              <w:rPr>
                <w:rFonts w:ascii="Arial" w:cs="Arial" w:eastAsia="Arial" w:hAnsi="Arial"/>
                <w:sz w:val="16"/>
                <w:szCs w:val="16"/>
                <w:b w:val="1"/>
                <w:bCs w:val="1"/>
                <w:color w:val="0E3C23"/>
              </w:rPr>
              <w:t>Operations</w:t>
            </w:r>
          </w:p>
        </w:tc>
        <w:tc>
          <w:tcPr>
            <w:tcW w:w="1440" w:type="dxa"/>
            <w:vAlign w:val="bottom"/>
          </w:tcPr>
          <w:p>
            <w:pPr>
              <w:jc w:val="right"/>
              <w:ind w:right="26"/>
              <w:spacing w:after="0"/>
              <w:rPr>
                <w:sz w:val="20"/>
                <w:szCs w:val="20"/>
                <w:color w:val="auto"/>
              </w:rPr>
            </w:pPr>
            <w:r>
              <w:rPr>
                <w:rFonts w:ascii="Arial" w:cs="Arial" w:eastAsia="Arial" w:hAnsi="Arial"/>
                <w:sz w:val="16"/>
                <w:szCs w:val="16"/>
                <w:b w:val="1"/>
                <w:bCs w:val="1"/>
                <w:color w:val="0E3C23"/>
              </w:rPr>
              <w:t>amortization</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E3C23"/>
              </w:rPr>
              <w:t>EBITDA</w:t>
            </w:r>
          </w:p>
        </w:tc>
      </w:tr>
      <w:tr>
        <w:trPr>
          <w:trHeight w:val="44"/>
        </w:trPr>
        <w:tc>
          <w:tcPr>
            <w:tcW w:w="570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440" w:type="dxa"/>
            <w:vAlign w:val="bottom"/>
            <w:tcBorders>
              <w:bottom w:val="single" w:sz="8" w:color="0E3C23"/>
            </w:tcBorders>
          </w:tcPr>
          <w:p>
            <w:pPr>
              <w:spacing w:after="0"/>
              <w:rPr>
                <w:sz w:val="3"/>
                <w:szCs w:val="3"/>
                <w:color w:val="auto"/>
              </w:rPr>
            </w:pPr>
          </w:p>
        </w:tc>
        <w:tc>
          <w:tcPr>
            <w:tcW w:w="880" w:type="dxa"/>
            <w:vAlign w:val="bottom"/>
            <w:tcBorders>
              <w:bottom w:val="single" w:sz="8" w:color="0E3C23"/>
            </w:tcBorders>
          </w:tcPr>
          <w:p>
            <w:pPr>
              <w:spacing w:after="0"/>
              <w:rPr>
                <w:sz w:val="3"/>
                <w:szCs w:val="3"/>
                <w:color w:val="auto"/>
              </w:rPr>
            </w:pPr>
          </w:p>
        </w:tc>
      </w:tr>
      <w:tr>
        <w:trPr>
          <w:trHeight w:val="257"/>
        </w:trPr>
        <w:tc>
          <w:tcPr>
            <w:tcW w:w="5700" w:type="dxa"/>
            <w:vAlign w:val="bottom"/>
          </w:tcPr>
          <w:p>
            <w:pPr>
              <w:ind w:left="60"/>
              <w:spacing w:after="0"/>
              <w:rPr>
                <w:sz w:val="20"/>
                <w:szCs w:val="20"/>
                <w:color w:val="auto"/>
              </w:rPr>
            </w:pPr>
            <w:r>
              <w:rPr>
                <w:rFonts w:ascii="Arial" w:cs="Arial" w:eastAsia="Arial" w:hAnsi="Arial"/>
                <w:sz w:val="20"/>
                <w:szCs w:val="20"/>
                <w:color w:val="auto"/>
              </w:rPr>
              <w:t>As reported amounts</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$22,063</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$4,063</w:t>
            </w:r>
          </w:p>
        </w:tc>
        <w:tc>
          <w:tcPr>
            <w:tcW w:w="1440" w:type="dxa"/>
            <w:vAlign w:val="bottom"/>
          </w:tcPr>
          <w:p>
            <w:pPr>
              <w:jc w:val="right"/>
              <w:ind w:right="326"/>
              <w:spacing w:after="0"/>
              <w:rPr>
                <w:sz w:val="20"/>
                <w:szCs w:val="20"/>
                <w:color w:val="auto"/>
              </w:rPr>
            </w:pPr>
            <w:r>
              <w:rPr>
                <w:rFonts w:ascii="Arial" w:cs="Arial" w:eastAsia="Arial" w:hAnsi="Arial"/>
                <w:sz w:val="20"/>
                <w:szCs w:val="20"/>
                <w:color w:val="auto"/>
              </w:rPr>
              <w:t>$2,267</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$6,330</w:t>
            </w:r>
          </w:p>
        </w:tc>
      </w:tr>
      <w:tr>
        <w:trPr>
          <w:trHeight w:val="33"/>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r>
        <w:trPr>
          <w:trHeight w:val="247"/>
        </w:trPr>
        <w:tc>
          <w:tcPr>
            <w:tcW w:w="5700" w:type="dxa"/>
            <w:vAlign w:val="bottom"/>
          </w:tcPr>
          <w:p>
            <w:pPr>
              <w:ind w:left="60"/>
              <w:spacing w:after="0"/>
              <w:rPr>
                <w:sz w:val="20"/>
                <w:szCs w:val="20"/>
                <w:color w:val="auto"/>
              </w:rPr>
            </w:pPr>
            <w:r>
              <w:rPr>
                <w:rFonts w:ascii="Arial" w:cs="Arial" w:eastAsia="Arial" w:hAnsi="Arial"/>
                <w:sz w:val="20"/>
                <w:szCs w:val="20"/>
                <w:color w:val="auto"/>
              </w:rPr>
              <w:t>Adjustments:</w:t>
            </w: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33"/>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r>
        <w:trPr>
          <w:trHeight w:val="247"/>
        </w:trPr>
        <w:tc>
          <w:tcPr>
            <w:tcW w:w="5700" w:type="dxa"/>
            <w:vAlign w:val="bottom"/>
          </w:tcPr>
          <w:p>
            <w:pPr>
              <w:ind w:left="260"/>
              <w:spacing w:after="0"/>
              <w:rPr>
                <w:sz w:val="20"/>
                <w:szCs w:val="20"/>
                <w:color w:val="auto"/>
              </w:rPr>
            </w:pPr>
            <w:r>
              <w:rPr>
                <w:rFonts w:ascii="Arial" w:cs="Arial" w:eastAsia="Arial" w:hAnsi="Arial"/>
                <w:sz w:val="20"/>
                <w:szCs w:val="20"/>
                <w:color w:val="auto"/>
              </w:rPr>
              <w:t>LESS: Net impacts of recycling brokerage business</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795</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28</w:t>
            </w:r>
          </w:p>
        </w:tc>
        <w:tc>
          <w:tcPr>
            <w:tcW w:w="1440" w:type="dxa"/>
            <w:vAlign w:val="bottom"/>
          </w:tcPr>
          <w:p>
            <w:pPr>
              <w:jc w:val="right"/>
              <w:ind w:right="326"/>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28</w:t>
            </w:r>
          </w:p>
        </w:tc>
      </w:tr>
      <w:tr>
        <w:trPr>
          <w:trHeight w:val="33"/>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r>
        <w:trPr>
          <w:trHeight w:val="247"/>
        </w:trPr>
        <w:tc>
          <w:tcPr>
            <w:tcW w:w="5700" w:type="dxa"/>
            <w:vAlign w:val="bottom"/>
          </w:tcPr>
          <w:p>
            <w:pPr>
              <w:ind w:left="260"/>
              <w:spacing w:after="0"/>
              <w:rPr>
                <w:sz w:val="20"/>
                <w:szCs w:val="20"/>
                <w:color w:val="auto"/>
              </w:rPr>
            </w:pPr>
            <w:r>
              <w:rPr>
                <w:rFonts w:ascii="Arial" w:cs="Arial" w:eastAsia="Arial" w:hAnsi="Arial"/>
                <w:sz w:val="20"/>
                <w:szCs w:val="20"/>
                <w:color w:val="auto"/>
              </w:rPr>
              <w:t>LESS: Post-closing contributions from Stericycle acquisition</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403</w:t>
            </w:r>
          </w:p>
        </w:tc>
        <w:tc>
          <w:tcPr>
            <w:tcW w:w="1120" w:type="dxa"/>
            <w:vAlign w:val="bottom"/>
          </w:tcPr>
          <w:p>
            <w:pPr>
              <w:jc w:val="right"/>
              <w:ind w:right="126"/>
              <w:spacing w:after="0"/>
              <w:rPr>
                <w:sz w:val="20"/>
                <w:szCs w:val="20"/>
                <w:color w:val="auto"/>
              </w:rPr>
            </w:pPr>
            <w:r>
              <w:rPr>
                <w:rFonts w:ascii="Arial" w:cs="Arial" w:eastAsia="Arial" w:hAnsi="Arial"/>
                <w:sz w:val="20"/>
                <w:szCs w:val="20"/>
                <w:color w:val="auto"/>
              </w:rPr>
              <w:t>(69)</w:t>
            </w:r>
          </w:p>
        </w:tc>
        <w:tc>
          <w:tcPr>
            <w:tcW w:w="1440" w:type="dxa"/>
            <w:vAlign w:val="bottom"/>
          </w:tcPr>
          <w:p>
            <w:pPr>
              <w:jc w:val="right"/>
              <w:ind w:right="326"/>
              <w:spacing w:after="0"/>
              <w:rPr>
                <w:sz w:val="20"/>
                <w:szCs w:val="20"/>
                <w:color w:val="auto"/>
              </w:rPr>
            </w:pPr>
            <w:r>
              <w:rPr>
                <w:rFonts w:ascii="Arial" w:cs="Arial" w:eastAsia="Arial" w:hAnsi="Arial"/>
                <w:sz w:val="20"/>
                <w:szCs w:val="20"/>
                <w:color w:val="auto"/>
              </w:rPr>
              <w:t>73</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4</w:t>
            </w:r>
          </w:p>
        </w:tc>
      </w:tr>
      <w:tr>
        <w:trPr>
          <w:trHeight w:val="33"/>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r>
        <w:trPr>
          <w:trHeight w:val="247"/>
        </w:trPr>
        <w:tc>
          <w:tcPr>
            <w:tcW w:w="5700" w:type="dxa"/>
            <w:vAlign w:val="bottom"/>
          </w:tcPr>
          <w:p>
            <w:pPr>
              <w:ind w:left="260"/>
              <w:spacing w:after="0"/>
              <w:rPr>
                <w:sz w:val="20"/>
                <w:szCs w:val="20"/>
                <w:color w:val="auto"/>
              </w:rPr>
            </w:pPr>
            <w:r>
              <w:rPr>
                <w:rFonts w:ascii="Arial" w:cs="Arial" w:eastAsia="Arial" w:hAnsi="Arial"/>
                <w:sz w:val="20"/>
                <w:szCs w:val="20"/>
                <w:color w:val="auto"/>
                <w:w w:val="97"/>
              </w:rPr>
              <w:t>ADD: “Restructuring” and “(Gain) Loss from Divestitures, Asset</w:t>
            </w: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9"/>
        </w:trPr>
        <w:tc>
          <w:tcPr>
            <w:tcW w:w="5700" w:type="dxa"/>
            <w:vAlign w:val="bottom"/>
          </w:tcPr>
          <w:p>
            <w:pPr>
              <w:ind w:left="460"/>
              <w:spacing w:after="0"/>
              <w:rPr>
                <w:sz w:val="20"/>
                <w:szCs w:val="20"/>
                <w:color w:val="auto"/>
              </w:rPr>
            </w:pPr>
            <w:r>
              <w:rPr>
                <w:rFonts w:ascii="Arial" w:cs="Arial" w:eastAsia="Arial" w:hAnsi="Arial"/>
                <w:sz w:val="20"/>
                <w:szCs w:val="20"/>
                <w:color w:val="auto"/>
              </w:rPr>
              <w:t>Impairments and Unusual Items, Net”</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86</w:t>
            </w:r>
          </w:p>
        </w:tc>
        <w:tc>
          <w:tcPr>
            <w:tcW w:w="1440" w:type="dxa"/>
            <w:vAlign w:val="bottom"/>
          </w:tcPr>
          <w:p>
            <w:pPr>
              <w:jc w:val="right"/>
              <w:ind w:right="326"/>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86</w:t>
            </w:r>
          </w:p>
        </w:tc>
      </w:tr>
      <w:tr>
        <w:trPr>
          <w:trHeight w:val="33"/>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r>
        <w:trPr>
          <w:trHeight w:val="246"/>
        </w:trPr>
        <w:tc>
          <w:tcPr>
            <w:tcW w:w="5700" w:type="dxa"/>
            <w:vAlign w:val="bottom"/>
          </w:tcPr>
          <w:p>
            <w:pPr>
              <w:ind w:left="260"/>
              <w:spacing w:after="0"/>
              <w:rPr>
                <w:sz w:val="20"/>
                <w:szCs w:val="20"/>
                <w:color w:val="auto"/>
              </w:rPr>
            </w:pPr>
            <w:r>
              <w:rPr>
                <w:rFonts w:ascii="Arial" w:cs="Arial" w:eastAsia="Arial" w:hAnsi="Arial"/>
                <w:sz w:val="20"/>
                <w:szCs w:val="20"/>
                <w:color w:val="auto"/>
              </w:rPr>
              <w:t>ADD: Stericycle transaction and integration costs</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88</w:t>
            </w:r>
          </w:p>
        </w:tc>
        <w:tc>
          <w:tcPr>
            <w:tcW w:w="1440" w:type="dxa"/>
            <w:vAlign w:val="bottom"/>
          </w:tcPr>
          <w:p>
            <w:pPr>
              <w:jc w:val="right"/>
              <w:ind w:right="326"/>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88</w:t>
            </w:r>
          </w:p>
        </w:tc>
      </w:tr>
      <w:tr>
        <w:trPr>
          <w:trHeight w:val="33"/>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r>
        <w:trPr>
          <w:trHeight w:val="250"/>
        </w:trPr>
        <w:tc>
          <w:tcPr>
            <w:tcW w:w="5700" w:type="dxa"/>
            <w:vAlign w:val="bottom"/>
          </w:tcPr>
          <w:p>
            <w:pPr>
              <w:ind w:left="60"/>
              <w:spacing w:after="0"/>
              <w:rPr>
                <w:sz w:val="20"/>
                <w:szCs w:val="20"/>
                <w:color w:val="auto"/>
              </w:rPr>
            </w:pPr>
            <w:r>
              <w:rPr>
                <w:rFonts w:ascii="Arial" w:cs="Arial" w:eastAsia="Arial" w:hAnsi="Arial"/>
                <w:sz w:val="20"/>
                <w:szCs w:val="20"/>
                <w:b w:val="1"/>
                <w:bCs w:val="1"/>
                <w:color w:val="auto"/>
              </w:rPr>
              <w:t>Calculated Performance Amounts</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$20,865</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$4,278</w:t>
            </w:r>
          </w:p>
        </w:tc>
        <w:tc>
          <w:tcPr>
            <w:tcW w:w="1440" w:type="dxa"/>
            <w:vAlign w:val="bottom"/>
          </w:tcPr>
          <w:p>
            <w:pPr>
              <w:jc w:val="right"/>
              <w:ind w:right="326"/>
              <w:spacing w:after="0"/>
              <w:rPr>
                <w:sz w:val="20"/>
                <w:szCs w:val="20"/>
                <w:color w:val="auto"/>
              </w:rPr>
            </w:pPr>
            <w:r>
              <w:rPr>
                <w:rFonts w:ascii="Arial" w:cs="Arial" w:eastAsia="Arial" w:hAnsi="Arial"/>
                <w:sz w:val="20"/>
                <w:szCs w:val="20"/>
                <w:color w:val="auto"/>
              </w:rPr>
              <w:t>$2,194</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$6,472</w:t>
            </w:r>
          </w:p>
        </w:tc>
      </w:tr>
      <w:tr>
        <w:trPr>
          <w:trHeight w:val="29"/>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r>
        <w:trPr>
          <w:trHeight w:val="284"/>
        </w:trPr>
        <w:tc>
          <w:tcPr>
            <w:tcW w:w="5700" w:type="dxa"/>
            <w:vAlign w:val="bottom"/>
            <w:tcBorders>
              <w:bottom w:val="single" w:sz="8" w:color="0E3C23"/>
            </w:tcBorders>
          </w:tcPr>
          <w:p>
            <w:pPr>
              <w:ind w:left="60"/>
              <w:spacing w:after="0" w:line="284" w:lineRule="exact"/>
              <w:rPr>
                <w:sz w:val="20"/>
                <w:szCs w:val="20"/>
                <w:color w:val="auto"/>
              </w:rPr>
            </w:pPr>
            <w:r>
              <w:rPr>
                <w:rFonts w:ascii="Arial" w:cs="Arial" w:eastAsia="Arial" w:hAnsi="Arial"/>
                <w:sz w:val="20"/>
                <w:szCs w:val="20"/>
                <w:b w:val="1"/>
                <w:bCs w:val="1"/>
                <w:color w:val="auto"/>
              </w:rPr>
              <w:t>Income from Operations Margin Performance Measure</w:t>
            </w:r>
            <w:r>
              <w:rPr>
                <w:rFonts w:ascii="Arial" w:cs="Arial" w:eastAsia="Arial" w:hAnsi="Arial"/>
                <w:sz w:val="25"/>
                <w:szCs w:val="25"/>
                <w:b w:val="1"/>
                <w:bCs w:val="1"/>
                <w:color w:val="auto"/>
                <w:vertAlign w:val="superscript"/>
              </w:rPr>
              <w:t>(a)</w:t>
            </w:r>
          </w:p>
        </w:tc>
        <w:tc>
          <w:tcPr>
            <w:tcW w:w="920" w:type="dxa"/>
            <w:vAlign w:val="bottom"/>
            <w:tcBorders>
              <w:bottom w:val="single" w:sz="8" w:color="0E3C23"/>
            </w:tcBorders>
          </w:tcPr>
          <w:p>
            <w:pPr>
              <w:spacing w:after="0"/>
              <w:rPr>
                <w:sz w:val="24"/>
                <w:szCs w:val="24"/>
                <w:color w:val="auto"/>
              </w:rPr>
            </w:pPr>
          </w:p>
        </w:tc>
        <w:tc>
          <w:tcPr>
            <w:tcW w:w="1120" w:type="dxa"/>
            <w:vAlign w:val="bottom"/>
            <w:tcBorders>
              <w:bottom w:val="single" w:sz="8" w:color="0E3C23"/>
            </w:tcBorders>
          </w:tcPr>
          <w:p>
            <w:pPr>
              <w:jc w:val="right"/>
              <w:ind w:right="26"/>
              <w:spacing w:after="0"/>
              <w:rPr>
                <w:sz w:val="20"/>
                <w:szCs w:val="20"/>
                <w:color w:val="auto"/>
              </w:rPr>
            </w:pPr>
            <w:r>
              <w:rPr>
                <w:rFonts w:ascii="Arial" w:cs="Arial" w:eastAsia="Arial" w:hAnsi="Arial"/>
                <w:sz w:val="20"/>
                <w:szCs w:val="20"/>
                <w:color w:val="auto"/>
              </w:rPr>
              <w:t>20.5%</w:t>
            </w:r>
          </w:p>
        </w:tc>
        <w:tc>
          <w:tcPr>
            <w:tcW w:w="1440" w:type="dxa"/>
            <w:vAlign w:val="bottom"/>
            <w:tcBorders>
              <w:bottom w:val="single" w:sz="8" w:color="0E3C23"/>
            </w:tcBorders>
          </w:tcPr>
          <w:p>
            <w:pPr>
              <w:spacing w:after="0"/>
              <w:rPr>
                <w:sz w:val="24"/>
                <w:szCs w:val="24"/>
                <w:color w:val="auto"/>
              </w:rPr>
            </w:pPr>
          </w:p>
        </w:tc>
        <w:tc>
          <w:tcPr>
            <w:tcW w:w="880" w:type="dxa"/>
            <w:vAlign w:val="bottom"/>
            <w:tcBorders>
              <w:bottom w:val="single" w:sz="8" w:color="0E3C23"/>
            </w:tcBorders>
          </w:tcPr>
          <w:p>
            <w:pPr>
              <w:spacing w:after="0"/>
              <w:rPr>
                <w:sz w:val="24"/>
                <w:szCs w:val="24"/>
                <w:color w:val="auto"/>
              </w:rPr>
            </w:pPr>
          </w:p>
        </w:tc>
      </w:tr>
      <w:tr>
        <w:trPr>
          <w:trHeight w:val="471"/>
        </w:trPr>
        <w:tc>
          <w:tcPr>
            <w:tcW w:w="5700" w:type="dxa"/>
            <w:vAlign w:val="bottom"/>
          </w:tcPr>
          <w:p>
            <w:pPr>
              <w:spacing w:after="0"/>
              <w:rPr>
                <w:sz w:val="24"/>
                <w:szCs w:val="24"/>
                <w:color w:val="auto"/>
              </w:rPr>
            </w:pPr>
          </w:p>
        </w:tc>
        <w:tc>
          <w:tcPr>
            <w:tcW w:w="4360" w:type="dxa"/>
            <w:vAlign w:val="bottom"/>
            <w:gridSpan w:val="4"/>
          </w:tcPr>
          <w:p>
            <w:pPr>
              <w:jc w:val="right"/>
              <w:ind w:right="586"/>
              <w:spacing w:after="0"/>
              <w:rPr>
                <w:sz w:val="20"/>
                <w:szCs w:val="20"/>
                <w:color w:val="auto"/>
              </w:rPr>
            </w:pPr>
            <w:r>
              <w:rPr>
                <w:rFonts w:ascii="Arial" w:cs="Arial" w:eastAsia="Arial" w:hAnsi="Arial"/>
                <w:sz w:val="16"/>
                <w:szCs w:val="16"/>
                <w:b w:val="1"/>
                <w:bCs w:val="1"/>
                <w:color w:val="0E3C23"/>
              </w:rPr>
              <w:t>Twelve Months Ended December 31, 2023</w:t>
            </w:r>
          </w:p>
        </w:tc>
      </w:tr>
      <w:tr>
        <w:trPr>
          <w:trHeight w:val="44"/>
        </w:trPr>
        <w:tc>
          <w:tcPr>
            <w:tcW w:w="5700" w:type="dxa"/>
            <w:vAlign w:val="bottom"/>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440" w:type="dxa"/>
            <w:vAlign w:val="bottom"/>
            <w:tcBorders>
              <w:bottom w:val="single" w:sz="8" w:color="0E3C23"/>
            </w:tcBorders>
          </w:tcPr>
          <w:p>
            <w:pPr>
              <w:spacing w:after="0"/>
              <w:rPr>
                <w:sz w:val="3"/>
                <w:szCs w:val="3"/>
                <w:color w:val="auto"/>
              </w:rPr>
            </w:pPr>
          </w:p>
        </w:tc>
        <w:tc>
          <w:tcPr>
            <w:tcW w:w="880" w:type="dxa"/>
            <w:vAlign w:val="bottom"/>
            <w:tcBorders>
              <w:bottom w:val="single" w:sz="8" w:color="0E3C23"/>
            </w:tcBorders>
          </w:tcPr>
          <w:p>
            <w:pPr>
              <w:spacing w:after="0"/>
              <w:rPr>
                <w:sz w:val="3"/>
                <w:szCs w:val="3"/>
                <w:color w:val="auto"/>
              </w:rPr>
            </w:pPr>
          </w:p>
        </w:tc>
      </w:tr>
      <w:tr>
        <w:trPr>
          <w:trHeight w:val="188"/>
        </w:trPr>
        <w:tc>
          <w:tcPr>
            <w:tcW w:w="5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jc w:val="right"/>
              <w:ind w:right="26"/>
              <w:spacing w:after="0"/>
              <w:rPr>
                <w:sz w:val="20"/>
                <w:szCs w:val="20"/>
                <w:color w:val="auto"/>
              </w:rPr>
            </w:pPr>
            <w:r>
              <w:rPr>
                <w:rFonts w:ascii="Arial" w:cs="Arial" w:eastAsia="Arial" w:hAnsi="Arial"/>
                <w:sz w:val="16"/>
                <w:szCs w:val="16"/>
                <w:b w:val="1"/>
                <w:bCs w:val="1"/>
                <w:color w:val="0E3C23"/>
              </w:rPr>
              <w:t>Income from</w:t>
            </w:r>
          </w:p>
        </w:tc>
        <w:tc>
          <w:tcPr>
            <w:tcW w:w="1440" w:type="dxa"/>
            <w:vAlign w:val="bottom"/>
          </w:tcPr>
          <w:p>
            <w:pPr>
              <w:jc w:val="right"/>
              <w:ind w:right="26"/>
              <w:spacing w:after="0"/>
              <w:rPr>
                <w:sz w:val="20"/>
                <w:szCs w:val="20"/>
                <w:color w:val="auto"/>
              </w:rPr>
            </w:pPr>
            <w:r>
              <w:rPr>
                <w:rFonts w:ascii="Arial" w:cs="Arial" w:eastAsia="Arial" w:hAnsi="Arial"/>
                <w:sz w:val="16"/>
                <w:szCs w:val="16"/>
                <w:b w:val="1"/>
                <w:bCs w:val="1"/>
                <w:color w:val="0E3C23"/>
              </w:rPr>
              <w:t>Depreciation and</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E3C23"/>
              </w:rPr>
              <w:t>Operating</w:t>
            </w:r>
          </w:p>
        </w:tc>
      </w:tr>
      <w:tr>
        <w:trPr>
          <w:trHeight w:val="184"/>
        </w:trPr>
        <w:tc>
          <w:tcPr>
            <w:tcW w:w="5700" w:type="dxa"/>
            <w:vAlign w:val="bottom"/>
          </w:tcPr>
          <w:p>
            <w:pPr>
              <w:spacing w:after="0"/>
              <w:rPr>
                <w:sz w:val="15"/>
                <w:szCs w:val="15"/>
                <w:color w:val="auto"/>
              </w:rPr>
            </w:pPr>
          </w:p>
        </w:tc>
        <w:tc>
          <w:tcPr>
            <w:tcW w:w="920" w:type="dxa"/>
            <w:vAlign w:val="bottom"/>
          </w:tcPr>
          <w:p>
            <w:pPr>
              <w:jc w:val="right"/>
              <w:ind w:right="26"/>
              <w:spacing w:after="0"/>
              <w:rPr>
                <w:sz w:val="20"/>
                <w:szCs w:val="20"/>
                <w:color w:val="auto"/>
              </w:rPr>
            </w:pPr>
            <w:r>
              <w:rPr>
                <w:rFonts w:ascii="Arial" w:cs="Arial" w:eastAsia="Arial" w:hAnsi="Arial"/>
                <w:sz w:val="16"/>
                <w:szCs w:val="16"/>
                <w:b w:val="1"/>
                <w:bCs w:val="1"/>
                <w:color w:val="0E3C23"/>
              </w:rPr>
              <w:t>Revenue</w:t>
            </w:r>
          </w:p>
        </w:tc>
        <w:tc>
          <w:tcPr>
            <w:tcW w:w="1120" w:type="dxa"/>
            <w:vAlign w:val="bottom"/>
          </w:tcPr>
          <w:p>
            <w:pPr>
              <w:jc w:val="right"/>
              <w:ind w:right="26"/>
              <w:spacing w:after="0"/>
              <w:rPr>
                <w:sz w:val="20"/>
                <w:szCs w:val="20"/>
                <w:color w:val="auto"/>
              </w:rPr>
            </w:pPr>
            <w:r>
              <w:rPr>
                <w:rFonts w:ascii="Arial" w:cs="Arial" w:eastAsia="Arial" w:hAnsi="Arial"/>
                <w:sz w:val="16"/>
                <w:szCs w:val="16"/>
                <w:b w:val="1"/>
                <w:bCs w:val="1"/>
                <w:color w:val="0E3C23"/>
              </w:rPr>
              <w:t>Operations</w:t>
            </w:r>
          </w:p>
        </w:tc>
        <w:tc>
          <w:tcPr>
            <w:tcW w:w="1440" w:type="dxa"/>
            <w:vAlign w:val="bottom"/>
          </w:tcPr>
          <w:p>
            <w:pPr>
              <w:jc w:val="right"/>
              <w:ind w:right="26"/>
              <w:spacing w:after="0"/>
              <w:rPr>
                <w:sz w:val="20"/>
                <w:szCs w:val="20"/>
                <w:color w:val="auto"/>
              </w:rPr>
            </w:pPr>
            <w:r>
              <w:rPr>
                <w:rFonts w:ascii="Arial" w:cs="Arial" w:eastAsia="Arial" w:hAnsi="Arial"/>
                <w:sz w:val="16"/>
                <w:szCs w:val="16"/>
                <w:b w:val="1"/>
                <w:bCs w:val="1"/>
                <w:color w:val="0E3C23"/>
              </w:rPr>
              <w:t>amortization</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E3C23"/>
              </w:rPr>
              <w:t>EBITDA</w:t>
            </w:r>
          </w:p>
        </w:tc>
      </w:tr>
      <w:tr>
        <w:trPr>
          <w:trHeight w:val="44"/>
        </w:trPr>
        <w:tc>
          <w:tcPr>
            <w:tcW w:w="570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440" w:type="dxa"/>
            <w:vAlign w:val="bottom"/>
            <w:tcBorders>
              <w:bottom w:val="single" w:sz="8" w:color="0E3C23"/>
            </w:tcBorders>
          </w:tcPr>
          <w:p>
            <w:pPr>
              <w:spacing w:after="0"/>
              <w:rPr>
                <w:sz w:val="3"/>
                <w:szCs w:val="3"/>
                <w:color w:val="auto"/>
              </w:rPr>
            </w:pPr>
          </w:p>
        </w:tc>
        <w:tc>
          <w:tcPr>
            <w:tcW w:w="880" w:type="dxa"/>
            <w:vAlign w:val="bottom"/>
            <w:tcBorders>
              <w:bottom w:val="single" w:sz="8" w:color="0E3C23"/>
            </w:tcBorders>
          </w:tcPr>
          <w:p>
            <w:pPr>
              <w:spacing w:after="0"/>
              <w:rPr>
                <w:sz w:val="3"/>
                <w:szCs w:val="3"/>
                <w:color w:val="auto"/>
              </w:rPr>
            </w:pPr>
          </w:p>
        </w:tc>
      </w:tr>
      <w:tr>
        <w:trPr>
          <w:trHeight w:val="257"/>
        </w:trPr>
        <w:tc>
          <w:tcPr>
            <w:tcW w:w="5700" w:type="dxa"/>
            <w:vAlign w:val="bottom"/>
          </w:tcPr>
          <w:p>
            <w:pPr>
              <w:ind w:left="60"/>
              <w:spacing w:after="0"/>
              <w:rPr>
                <w:sz w:val="20"/>
                <w:szCs w:val="20"/>
                <w:color w:val="auto"/>
              </w:rPr>
            </w:pPr>
            <w:r>
              <w:rPr>
                <w:rFonts w:ascii="Arial" w:cs="Arial" w:eastAsia="Arial" w:hAnsi="Arial"/>
                <w:sz w:val="20"/>
                <w:szCs w:val="20"/>
                <w:color w:val="auto"/>
              </w:rPr>
              <w:t>As reported amounts</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$20,426</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$3,575</w:t>
            </w:r>
          </w:p>
        </w:tc>
        <w:tc>
          <w:tcPr>
            <w:tcW w:w="1440" w:type="dxa"/>
            <w:vAlign w:val="bottom"/>
          </w:tcPr>
          <w:p>
            <w:pPr>
              <w:jc w:val="right"/>
              <w:ind w:right="326"/>
              <w:spacing w:after="0"/>
              <w:rPr>
                <w:sz w:val="20"/>
                <w:szCs w:val="20"/>
                <w:color w:val="auto"/>
              </w:rPr>
            </w:pPr>
            <w:r>
              <w:rPr>
                <w:rFonts w:ascii="Arial" w:cs="Arial" w:eastAsia="Arial" w:hAnsi="Arial"/>
                <w:sz w:val="20"/>
                <w:szCs w:val="20"/>
                <w:color w:val="auto"/>
              </w:rPr>
              <w:t>$2,071</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$5,646</w:t>
            </w:r>
          </w:p>
        </w:tc>
      </w:tr>
      <w:tr>
        <w:trPr>
          <w:trHeight w:val="33"/>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r>
        <w:trPr>
          <w:trHeight w:val="247"/>
        </w:trPr>
        <w:tc>
          <w:tcPr>
            <w:tcW w:w="5700" w:type="dxa"/>
            <w:vAlign w:val="bottom"/>
          </w:tcPr>
          <w:p>
            <w:pPr>
              <w:ind w:left="60"/>
              <w:spacing w:after="0"/>
              <w:rPr>
                <w:sz w:val="20"/>
                <w:szCs w:val="20"/>
                <w:color w:val="auto"/>
              </w:rPr>
            </w:pPr>
            <w:r>
              <w:rPr>
                <w:rFonts w:ascii="Arial" w:cs="Arial" w:eastAsia="Arial" w:hAnsi="Arial"/>
                <w:sz w:val="20"/>
                <w:szCs w:val="20"/>
                <w:color w:val="auto"/>
              </w:rPr>
              <w:t>Adjustments:</w:t>
            </w: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33"/>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r>
        <w:trPr>
          <w:trHeight w:val="247"/>
        </w:trPr>
        <w:tc>
          <w:tcPr>
            <w:tcW w:w="5700" w:type="dxa"/>
            <w:vAlign w:val="bottom"/>
          </w:tcPr>
          <w:p>
            <w:pPr>
              <w:ind w:left="260"/>
              <w:spacing w:after="0"/>
              <w:rPr>
                <w:sz w:val="20"/>
                <w:szCs w:val="20"/>
                <w:color w:val="auto"/>
              </w:rPr>
            </w:pPr>
            <w:r>
              <w:rPr>
                <w:rFonts w:ascii="Arial" w:cs="Arial" w:eastAsia="Arial" w:hAnsi="Arial"/>
                <w:sz w:val="20"/>
                <w:szCs w:val="20"/>
                <w:color w:val="auto"/>
              </w:rPr>
              <w:t>LESS: Net impacts of recycling brokerage business</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622</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w:t>
            </w:r>
          </w:p>
        </w:tc>
        <w:tc>
          <w:tcPr>
            <w:tcW w:w="1440" w:type="dxa"/>
            <w:vAlign w:val="bottom"/>
          </w:tcPr>
          <w:p>
            <w:pPr>
              <w:jc w:val="right"/>
              <w:ind w:right="326"/>
              <w:spacing w:after="0"/>
              <w:rPr>
                <w:sz w:val="20"/>
                <w:szCs w:val="20"/>
                <w:color w:val="auto"/>
              </w:rPr>
            </w:pPr>
            <w:r>
              <w:rPr>
                <w:rFonts w:ascii="Arial" w:cs="Arial" w:eastAsia="Arial" w:hAnsi="Arial"/>
                <w:sz w:val="20"/>
                <w:szCs w:val="20"/>
                <w:color w:val="auto"/>
              </w:rPr>
              <w:t>1</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1</w:t>
            </w:r>
          </w:p>
        </w:tc>
      </w:tr>
      <w:tr>
        <w:trPr>
          <w:trHeight w:val="33"/>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r>
        <w:trPr>
          <w:trHeight w:val="247"/>
        </w:trPr>
        <w:tc>
          <w:tcPr>
            <w:tcW w:w="5700" w:type="dxa"/>
            <w:vAlign w:val="bottom"/>
          </w:tcPr>
          <w:p>
            <w:pPr>
              <w:ind w:left="260"/>
              <w:spacing w:after="0"/>
              <w:rPr>
                <w:sz w:val="20"/>
                <w:szCs w:val="20"/>
                <w:color w:val="auto"/>
              </w:rPr>
            </w:pPr>
            <w:r>
              <w:rPr>
                <w:rFonts w:ascii="Arial" w:cs="Arial" w:eastAsia="Arial" w:hAnsi="Arial"/>
                <w:sz w:val="20"/>
                <w:szCs w:val="20"/>
                <w:color w:val="auto"/>
                <w:w w:val="97"/>
              </w:rPr>
              <w:t>ADD: “Restructuring” and “(Gain) Loss from Divestitures, Asset</w:t>
            </w: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9"/>
        </w:trPr>
        <w:tc>
          <w:tcPr>
            <w:tcW w:w="5700" w:type="dxa"/>
            <w:vAlign w:val="bottom"/>
          </w:tcPr>
          <w:p>
            <w:pPr>
              <w:ind w:left="460"/>
              <w:spacing w:after="0"/>
              <w:rPr>
                <w:sz w:val="20"/>
                <w:szCs w:val="20"/>
                <w:color w:val="auto"/>
              </w:rPr>
            </w:pPr>
            <w:r>
              <w:rPr>
                <w:rFonts w:ascii="Arial" w:cs="Arial" w:eastAsia="Arial" w:hAnsi="Arial"/>
                <w:sz w:val="20"/>
                <w:szCs w:val="20"/>
                <w:color w:val="auto"/>
              </w:rPr>
              <w:t>Impairments and Unusual Items, Net”</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247</w:t>
            </w:r>
          </w:p>
        </w:tc>
        <w:tc>
          <w:tcPr>
            <w:tcW w:w="1440" w:type="dxa"/>
            <w:vAlign w:val="bottom"/>
          </w:tcPr>
          <w:p>
            <w:pPr>
              <w:jc w:val="right"/>
              <w:ind w:right="326"/>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247</w:t>
            </w:r>
          </w:p>
        </w:tc>
      </w:tr>
      <w:tr>
        <w:trPr>
          <w:trHeight w:val="33"/>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r>
        <w:trPr>
          <w:trHeight w:val="250"/>
        </w:trPr>
        <w:tc>
          <w:tcPr>
            <w:tcW w:w="5700" w:type="dxa"/>
            <w:vAlign w:val="bottom"/>
          </w:tcPr>
          <w:p>
            <w:pPr>
              <w:ind w:left="60"/>
              <w:spacing w:after="0"/>
              <w:rPr>
                <w:sz w:val="20"/>
                <w:szCs w:val="20"/>
                <w:color w:val="auto"/>
              </w:rPr>
            </w:pPr>
            <w:r>
              <w:rPr>
                <w:rFonts w:ascii="Arial" w:cs="Arial" w:eastAsia="Arial" w:hAnsi="Arial"/>
                <w:sz w:val="20"/>
                <w:szCs w:val="20"/>
                <w:b w:val="1"/>
                <w:bCs w:val="1"/>
                <w:color w:val="auto"/>
              </w:rPr>
              <w:t>Calculated Performance Amounts</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$19,804</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$3,822</w:t>
            </w:r>
          </w:p>
        </w:tc>
        <w:tc>
          <w:tcPr>
            <w:tcW w:w="1440" w:type="dxa"/>
            <w:vAlign w:val="bottom"/>
          </w:tcPr>
          <w:p>
            <w:pPr>
              <w:jc w:val="right"/>
              <w:ind w:right="326"/>
              <w:spacing w:after="0"/>
              <w:rPr>
                <w:sz w:val="20"/>
                <w:szCs w:val="20"/>
                <w:color w:val="auto"/>
              </w:rPr>
            </w:pPr>
            <w:r>
              <w:rPr>
                <w:rFonts w:ascii="Arial" w:cs="Arial" w:eastAsia="Arial" w:hAnsi="Arial"/>
                <w:sz w:val="20"/>
                <w:szCs w:val="20"/>
                <w:color w:val="auto"/>
              </w:rPr>
              <w:t>$2,070</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$5,892</w:t>
            </w:r>
          </w:p>
        </w:tc>
      </w:tr>
      <w:tr>
        <w:trPr>
          <w:trHeight w:val="34"/>
        </w:trPr>
        <w:tc>
          <w:tcPr>
            <w:tcW w:w="5700" w:type="dxa"/>
            <w:vAlign w:val="bottom"/>
            <w:tcBorders>
              <w:bottom w:val="single" w:sz="8" w:color="0E3C23"/>
            </w:tcBorders>
          </w:tcPr>
          <w:p>
            <w:pPr>
              <w:spacing w:after="0"/>
              <w:rPr>
                <w:sz w:val="2"/>
                <w:szCs w:val="2"/>
                <w:color w:val="auto"/>
              </w:rPr>
            </w:pPr>
          </w:p>
        </w:tc>
        <w:tc>
          <w:tcPr>
            <w:tcW w:w="4360" w:type="dxa"/>
            <w:vAlign w:val="bottom"/>
            <w:tcBorders>
              <w:bottom w:val="single" w:sz="8" w:color="0E3C23"/>
            </w:tcBorders>
            <w:gridSpan w:val="4"/>
          </w:tcPr>
          <w:p>
            <w:pPr>
              <w:spacing w:after="0"/>
              <w:rPr>
                <w:sz w:val="2"/>
                <w:szCs w:val="2"/>
                <w:color w:val="auto"/>
              </w:rPr>
            </w:pPr>
          </w:p>
        </w:tc>
      </w:tr>
      <w:tr>
        <w:trPr>
          <w:trHeight w:val="471"/>
        </w:trPr>
        <w:tc>
          <w:tcPr>
            <w:tcW w:w="5700" w:type="dxa"/>
            <w:vAlign w:val="bottom"/>
          </w:tcPr>
          <w:p>
            <w:pPr>
              <w:spacing w:after="0"/>
              <w:rPr>
                <w:sz w:val="24"/>
                <w:szCs w:val="24"/>
                <w:color w:val="auto"/>
              </w:rPr>
            </w:pPr>
          </w:p>
        </w:tc>
        <w:tc>
          <w:tcPr>
            <w:tcW w:w="4360" w:type="dxa"/>
            <w:vAlign w:val="bottom"/>
            <w:gridSpan w:val="4"/>
          </w:tcPr>
          <w:p>
            <w:pPr>
              <w:jc w:val="right"/>
              <w:ind w:right="586"/>
              <w:spacing w:after="0"/>
              <w:rPr>
                <w:sz w:val="20"/>
                <w:szCs w:val="20"/>
                <w:color w:val="auto"/>
              </w:rPr>
            </w:pPr>
            <w:r>
              <w:rPr>
                <w:rFonts w:ascii="Arial" w:cs="Arial" w:eastAsia="Arial" w:hAnsi="Arial"/>
                <w:sz w:val="16"/>
                <w:szCs w:val="16"/>
                <w:b w:val="1"/>
                <w:bCs w:val="1"/>
                <w:color w:val="0E3C23"/>
              </w:rPr>
              <w:t>Twelve Months Ended December 31, 2022</w:t>
            </w:r>
          </w:p>
        </w:tc>
      </w:tr>
      <w:tr>
        <w:trPr>
          <w:trHeight w:val="44"/>
        </w:trPr>
        <w:tc>
          <w:tcPr>
            <w:tcW w:w="5700" w:type="dxa"/>
            <w:vAlign w:val="bottom"/>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440" w:type="dxa"/>
            <w:vAlign w:val="bottom"/>
            <w:tcBorders>
              <w:bottom w:val="single" w:sz="8" w:color="0E3C23"/>
            </w:tcBorders>
          </w:tcPr>
          <w:p>
            <w:pPr>
              <w:spacing w:after="0"/>
              <w:rPr>
                <w:sz w:val="3"/>
                <w:szCs w:val="3"/>
                <w:color w:val="auto"/>
              </w:rPr>
            </w:pPr>
          </w:p>
        </w:tc>
        <w:tc>
          <w:tcPr>
            <w:tcW w:w="880" w:type="dxa"/>
            <w:vAlign w:val="bottom"/>
            <w:tcBorders>
              <w:bottom w:val="single" w:sz="8" w:color="0E3C23"/>
            </w:tcBorders>
          </w:tcPr>
          <w:p>
            <w:pPr>
              <w:spacing w:after="0"/>
              <w:rPr>
                <w:sz w:val="3"/>
                <w:szCs w:val="3"/>
                <w:color w:val="auto"/>
              </w:rPr>
            </w:pPr>
          </w:p>
        </w:tc>
      </w:tr>
      <w:tr>
        <w:trPr>
          <w:trHeight w:val="188"/>
        </w:trPr>
        <w:tc>
          <w:tcPr>
            <w:tcW w:w="5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jc w:val="right"/>
              <w:ind w:right="26"/>
              <w:spacing w:after="0"/>
              <w:rPr>
                <w:sz w:val="20"/>
                <w:szCs w:val="20"/>
                <w:color w:val="auto"/>
              </w:rPr>
            </w:pPr>
            <w:r>
              <w:rPr>
                <w:rFonts w:ascii="Arial" w:cs="Arial" w:eastAsia="Arial" w:hAnsi="Arial"/>
                <w:sz w:val="16"/>
                <w:szCs w:val="16"/>
                <w:b w:val="1"/>
                <w:bCs w:val="1"/>
                <w:color w:val="0E3C23"/>
              </w:rPr>
              <w:t>Income from</w:t>
            </w:r>
          </w:p>
        </w:tc>
        <w:tc>
          <w:tcPr>
            <w:tcW w:w="1440" w:type="dxa"/>
            <w:vAlign w:val="bottom"/>
          </w:tcPr>
          <w:p>
            <w:pPr>
              <w:jc w:val="right"/>
              <w:ind w:right="26"/>
              <w:spacing w:after="0"/>
              <w:rPr>
                <w:sz w:val="20"/>
                <w:szCs w:val="20"/>
                <w:color w:val="auto"/>
              </w:rPr>
            </w:pPr>
            <w:r>
              <w:rPr>
                <w:rFonts w:ascii="Arial" w:cs="Arial" w:eastAsia="Arial" w:hAnsi="Arial"/>
                <w:sz w:val="16"/>
                <w:szCs w:val="16"/>
                <w:b w:val="1"/>
                <w:bCs w:val="1"/>
                <w:color w:val="0E3C23"/>
              </w:rPr>
              <w:t>Depreciation and</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E3C23"/>
              </w:rPr>
              <w:t>Operating</w:t>
            </w:r>
          </w:p>
        </w:tc>
      </w:tr>
      <w:tr>
        <w:trPr>
          <w:trHeight w:val="184"/>
        </w:trPr>
        <w:tc>
          <w:tcPr>
            <w:tcW w:w="5700" w:type="dxa"/>
            <w:vAlign w:val="bottom"/>
          </w:tcPr>
          <w:p>
            <w:pPr>
              <w:spacing w:after="0"/>
              <w:rPr>
                <w:sz w:val="15"/>
                <w:szCs w:val="15"/>
                <w:color w:val="auto"/>
              </w:rPr>
            </w:pPr>
          </w:p>
        </w:tc>
        <w:tc>
          <w:tcPr>
            <w:tcW w:w="920" w:type="dxa"/>
            <w:vAlign w:val="bottom"/>
          </w:tcPr>
          <w:p>
            <w:pPr>
              <w:jc w:val="right"/>
              <w:ind w:right="26"/>
              <w:spacing w:after="0"/>
              <w:rPr>
                <w:sz w:val="20"/>
                <w:szCs w:val="20"/>
                <w:color w:val="auto"/>
              </w:rPr>
            </w:pPr>
            <w:r>
              <w:rPr>
                <w:rFonts w:ascii="Arial" w:cs="Arial" w:eastAsia="Arial" w:hAnsi="Arial"/>
                <w:sz w:val="16"/>
                <w:szCs w:val="16"/>
                <w:b w:val="1"/>
                <w:bCs w:val="1"/>
                <w:color w:val="0E3C23"/>
              </w:rPr>
              <w:t>Revenue</w:t>
            </w:r>
          </w:p>
        </w:tc>
        <w:tc>
          <w:tcPr>
            <w:tcW w:w="1120" w:type="dxa"/>
            <w:vAlign w:val="bottom"/>
          </w:tcPr>
          <w:p>
            <w:pPr>
              <w:jc w:val="right"/>
              <w:ind w:right="26"/>
              <w:spacing w:after="0"/>
              <w:rPr>
                <w:sz w:val="20"/>
                <w:szCs w:val="20"/>
                <w:color w:val="auto"/>
              </w:rPr>
            </w:pPr>
            <w:r>
              <w:rPr>
                <w:rFonts w:ascii="Arial" w:cs="Arial" w:eastAsia="Arial" w:hAnsi="Arial"/>
                <w:sz w:val="16"/>
                <w:szCs w:val="16"/>
                <w:b w:val="1"/>
                <w:bCs w:val="1"/>
                <w:color w:val="0E3C23"/>
              </w:rPr>
              <w:t>Operations</w:t>
            </w:r>
          </w:p>
        </w:tc>
        <w:tc>
          <w:tcPr>
            <w:tcW w:w="1440" w:type="dxa"/>
            <w:vAlign w:val="bottom"/>
          </w:tcPr>
          <w:p>
            <w:pPr>
              <w:jc w:val="right"/>
              <w:ind w:right="26"/>
              <w:spacing w:after="0"/>
              <w:rPr>
                <w:sz w:val="20"/>
                <w:szCs w:val="20"/>
                <w:color w:val="auto"/>
              </w:rPr>
            </w:pPr>
            <w:r>
              <w:rPr>
                <w:rFonts w:ascii="Arial" w:cs="Arial" w:eastAsia="Arial" w:hAnsi="Arial"/>
                <w:sz w:val="16"/>
                <w:szCs w:val="16"/>
                <w:b w:val="1"/>
                <w:bCs w:val="1"/>
                <w:color w:val="0E3C23"/>
              </w:rPr>
              <w:t>amortization</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E3C23"/>
              </w:rPr>
              <w:t>EBITDA</w:t>
            </w:r>
          </w:p>
        </w:tc>
      </w:tr>
      <w:tr>
        <w:trPr>
          <w:trHeight w:val="44"/>
        </w:trPr>
        <w:tc>
          <w:tcPr>
            <w:tcW w:w="570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440" w:type="dxa"/>
            <w:vAlign w:val="bottom"/>
            <w:tcBorders>
              <w:bottom w:val="single" w:sz="8" w:color="0E3C23"/>
            </w:tcBorders>
          </w:tcPr>
          <w:p>
            <w:pPr>
              <w:spacing w:after="0"/>
              <w:rPr>
                <w:sz w:val="3"/>
                <w:szCs w:val="3"/>
                <w:color w:val="auto"/>
              </w:rPr>
            </w:pPr>
          </w:p>
        </w:tc>
        <w:tc>
          <w:tcPr>
            <w:tcW w:w="880" w:type="dxa"/>
            <w:vAlign w:val="bottom"/>
            <w:tcBorders>
              <w:bottom w:val="single" w:sz="8" w:color="0E3C23"/>
            </w:tcBorders>
          </w:tcPr>
          <w:p>
            <w:pPr>
              <w:spacing w:after="0"/>
              <w:rPr>
                <w:sz w:val="3"/>
                <w:szCs w:val="3"/>
                <w:color w:val="auto"/>
              </w:rPr>
            </w:pPr>
          </w:p>
        </w:tc>
      </w:tr>
      <w:tr>
        <w:trPr>
          <w:trHeight w:val="257"/>
        </w:trPr>
        <w:tc>
          <w:tcPr>
            <w:tcW w:w="5700" w:type="dxa"/>
            <w:vAlign w:val="bottom"/>
          </w:tcPr>
          <w:p>
            <w:pPr>
              <w:ind w:left="60"/>
              <w:spacing w:after="0"/>
              <w:rPr>
                <w:sz w:val="20"/>
                <w:szCs w:val="20"/>
                <w:color w:val="auto"/>
              </w:rPr>
            </w:pPr>
            <w:r>
              <w:rPr>
                <w:rFonts w:ascii="Arial" w:cs="Arial" w:eastAsia="Arial" w:hAnsi="Arial"/>
                <w:sz w:val="20"/>
                <w:szCs w:val="20"/>
                <w:color w:val="auto"/>
              </w:rPr>
              <w:t>As reported amounts</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$19,698</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$3,365</w:t>
            </w:r>
          </w:p>
        </w:tc>
        <w:tc>
          <w:tcPr>
            <w:tcW w:w="1440" w:type="dxa"/>
            <w:vAlign w:val="bottom"/>
          </w:tcPr>
          <w:p>
            <w:pPr>
              <w:jc w:val="right"/>
              <w:ind w:right="326"/>
              <w:spacing w:after="0"/>
              <w:rPr>
                <w:sz w:val="20"/>
                <w:szCs w:val="20"/>
                <w:color w:val="auto"/>
              </w:rPr>
            </w:pPr>
            <w:r>
              <w:rPr>
                <w:rFonts w:ascii="Arial" w:cs="Arial" w:eastAsia="Arial" w:hAnsi="Arial"/>
                <w:sz w:val="20"/>
                <w:szCs w:val="20"/>
                <w:color w:val="auto"/>
              </w:rPr>
              <w:t>$2,038</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$5,403</w:t>
            </w:r>
          </w:p>
        </w:tc>
      </w:tr>
      <w:tr>
        <w:trPr>
          <w:trHeight w:val="33"/>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r>
        <w:trPr>
          <w:trHeight w:val="247"/>
        </w:trPr>
        <w:tc>
          <w:tcPr>
            <w:tcW w:w="5700" w:type="dxa"/>
            <w:vAlign w:val="bottom"/>
          </w:tcPr>
          <w:p>
            <w:pPr>
              <w:ind w:left="60"/>
              <w:spacing w:after="0"/>
              <w:rPr>
                <w:sz w:val="20"/>
                <w:szCs w:val="20"/>
                <w:color w:val="auto"/>
              </w:rPr>
            </w:pPr>
            <w:r>
              <w:rPr>
                <w:rFonts w:ascii="Arial" w:cs="Arial" w:eastAsia="Arial" w:hAnsi="Arial"/>
                <w:sz w:val="20"/>
                <w:szCs w:val="20"/>
                <w:color w:val="auto"/>
              </w:rPr>
              <w:t>Adjustments:</w:t>
            </w: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33"/>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r>
        <w:trPr>
          <w:trHeight w:val="247"/>
        </w:trPr>
        <w:tc>
          <w:tcPr>
            <w:tcW w:w="5700" w:type="dxa"/>
            <w:vAlign w:val="bottom"/>
          </w:tcPr>
          <w:p>
            <w:pPr>
              <w:ind w:left="260"/>
              <w:spacing w:after="0"/>
              <w:rPr>
                <w:sz w:val="20"/>
                <w:szCs w:val="20"/>
                <w:color w:val="auto"/>
              </w:rPr>
            </w:pPr>
            <w:r>
              <w:rPr>
                <w:rFonts w:ascii="Arial" w:cs="Arial" w:eastAsia="Arial" w:hAnsi="Arial"/>
                <w:sz w:val="20"/>
                <w:szCs w:val="20"/>
                <w:color w:val="auto"/>
              </w:rPr>
              <w:t>LESS: Net impacts of recycling brokerage business</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779</w:t>
            </w:r>
          </w:p>
        </w:tc>
        <w:tc>
          <w:tcPr>
            <w:tcW w:w="1120" w:type="dxa"/>
            <w:vAlign w:val="bottom"/>
          </w:tcPr>
          <w:p>
            <w:pPr>
              <w:jc w:val="right"/>
              <w:ind w:right="126"/>
              <w:spacing w:after="0"/>
              <w:rPr>
                <w:sz w:val="20"/>
                <w:szCs w:val="20"/>
                <w:color w:val="auto"/>
              </w:rPr>
            </w:pPr>
            <w:r>
              <w:rPr>
                <w:rFonts w:ascii="Arial" w:cs="Arial" w:eastAsia="Arial" w:hAnsi="Arial"/>
                <w:sz w:val="20"/>
                <w:szCs w:val="20"/>
                <w:color w:val="auto"/>
              </w:rPr>
              <w:t>(9)</w:t>
            </w:r>
          </w:p>
        </w:tc>
        <w:tc>
          <w:tcPr>
            <w:tcW w:w="1440" w:type="dxa"/>
            <w:vAlign w:val="bottom"/>
          </w:tcPr>
          <w:p>
            <w:pPr>
              <w:jc w:val="right"/>
              <w:ind w:right="326"/>
              <w:spacing w:after="0"/>
              <w:rPr>
                <w:sz w:val="20"/>
                <w:szCs w:val="20"/>
                <w:color w:val="auto"/>
              </w:rPr>
            </w:pPr>
            <w:r>
              <w:rPr>
                <w:rFonts w:ascii="Arial" w:cs="Arial" w:eastAsia="Arial" w:hAnsi="Arial"/>
                <w:sz w:val="20"/>
                <w:szCs w:val="20"/>
                <w:color w:val="auto"/>
              </w:rPr>
              <w:t>2</w:t>
            </w:r>
          </w:p>
        </w:tc>
        <w:tc>
          <w:tcPr>
            <w:tcW w:w="88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33"/>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r>
        <w:trPr>
          <w:trHeight w:val="247"/>
        </w:trPr>
        <w:tc>
          <w:tcPr>
            <w:tcW w:w="5700" w:type="dxa"/>
            <w:vAlign w:val="bottom"/>
          </w:tcPr>
          <w:p>
            <w:pPr>
              <w:ind w:left="260"/>
              <w:spacing w:after="0"/>
              <w:rPr>
                <w:sz w:val="20"/>
                <w:szCs w:val="20"/>
                <w:color w:val="auto"/>
              </w:rPr>
            </w:pPr>
            <w:r>
              <w:rPr>
                <w:rFonts w:ascii="Arial" w:cs="Arial" w:eastAsia="Arial" w:hAnsi="Arial"/>
                <w:sz w:val="20"/>
                <w:szCs w:val="20"/>
                <w:color w:val="auto"/>
                <w:w w:val="97"/>
              </w:rPr>
              <w:t>ADD: “Restructuring” and “(Gain) Loss from Divestitures, Asset</w:t>
            </w: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9"/>
        </w:trPr>
        <w:tc>
          <w:tcPr>
            <w:tcW w:w="5700" w:type="dxa"/>
            <w:vAlign w:val="bottom"/>
          </w:tcPr>
          <w:p>
            <w:pPr>
              <w:ind w:left="460"/>
              <w:spacing w:after="0"/>
              <w:rPr>
                <w:sz w:val="20"/>
                <w:szCs w:val="20"/>
                <w:color w:val="auto"/>
              </w:rPr>
            </w:pPr>
            <w:r>
              <w:rPr>
                <w:rFonts w:ascii="Arial" w:cs="Arial" w:eastAsia="Arial" w:hAnsi="Arial"/>
                <w:sz w:val="20"/>
                <w:szCs w:val="20"/>
                <w:color w:val="auto"/>
              </w:rPr>
              <w:t>Impairments and Unusual Items, Net”</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63</w:t>
            </w:r>
          </w:p>
        </w:tc>
        <w:tc>
          <w:tcPr>
            <w:tcW w:w="1440" w:type="dxa"/>
            <w:vAlign w:val="bottom"/>
          </w:tcPr>
          <w:p>
            <w:pPr>
              <w:jc w:val="right"/>
              <w:ind w:right="326"/>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63</w:t>
            </w:r>
          </w:p>
        </w:tc>
      </w:tr>
      <w:tr>
        <w:trPr>
          <w:trHeight w:val="33"/>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r>
        <w:trPr>
          <w:trHeight w:val="279"/>
        </w:trPr>
        <w:tc>
          <w:tcPr>
            <w:tcW w:w="5700" w:type="dxa"/>
            <w:vAlign w:val="bottom"/>
            <w:tcBorders>
              <w:bottom w:val="single" w:sz="8" w:color="0E3C23"/>
            </w:tcBorders>
          </w:tcPr>
          <w:p>
            <w:pPr>
              <w:ind w:left="260"/>
              <w:spacing w:after="0" w:line="280" w:lineRule="exact"/>
              <w:rPr>
                <w:sz w:val="20"/>
                <w:szCs w:val="20"/>
                <w:color w:val="auto"/>
              </w:rPr>
            </w:pPr>
            <w:r>
              <w:rPr>
                <w:rFonts w:ascii="Arial" w:cs="Arial" w:eastAsia="Arial" w:hAnsi="Arial"/>
                <w:sz w:val="20"/>
                <w:szCs w:val="20"/>
                <w:color w:val="auto"/>
              </w:rPr>
              <w:t>ADD: Accrual adjustment</w:t>
            </w:r>
            <w:r>
              <w:rPr>
                <w:rFonts w:ascii="Arial" w:cs="Arial" w:eastAsia="Arial" w:hAnsi="Arial"/>
                <w:sz w:val="25"/>
                <w:szCs w:val="25"/>
                <w:color w:val="auto"/>
                <w:vertAlign w:val="superscript"/>
              </w:rPr>
              <w:t>(b)</w:t>
            </w:r>
          </w:p>
        </w:tc>
        <w:tc>
          <w:tcPr>
            <w:tcW w:w="920" w:type="dxa"/>
            <w:vAlign w:val="bottom"/>
            <w:tcBorders>
              <w:bottom w:val="single" w:sz="8" w:color="0E3C23"/>
            </w:tcBorders>
          </w:tcPr>
          <w:p>
            <w:pPr>
              <w:jc w:val="right"/>
              <w:ind w:right="26"/>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E3C23"/>
            </w:tcBorders>
          </w:tcPr>
          <w:p>
            <w:pPr>
              <w:jc w:val="right"/>
              <w:ind w:right="186"/>
              <w:spacing w:after="0"/>
              <w:rPr>
                <w:sz w:val="20"/>
                <w:szCs w:val="20"/>
                <w:color w:val="auto"/>
              </w:rPr>
            </w:pPr>
            <w:r>
              <w:rPr>
                <w:rFonts w:ascii="Arial" w:cs="Arial" w:eastAsia="Arial" w:hAnsi="Arial"/>
                <w:sz w:val="20"/>
                <w:szCs w:val="20"/>
                <w:color w:val="auto"/>
              </w:rPr>
              <w:t>2</w:t>
            </w:r>
          </w:p>
        </w:tc>
        <w:tc>
          <w:tcPr>
            <w:tcW w:w="1440" w:type="dxa"/>
            <w:vAlign w:val="bottom"/>
            <w:tcBorders>
              <w:bottom w:val="single" w:sz="8" w:color="0E3C23"/>
            </w:tcBorders>
          </w:tcPr>
          <w:p>
            <w:pPr>
              <w:jc w:val="right"/>
              <w:ind w:right="326"/>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0E3C23"/>
            </w:tcBorders>
          </w:tcPr>
          <w:p>
            <w:pPr>
              <w:jc w:val="right"/>
              <w:ind w:right="26"/>
              <w:spacing w:after="0"/>
              <w:rPr>
                <w:sz w:val="20"/>
                <w:szCs w:val="20"/>
                <w:color w:val="auto"/>
              </w:rPr>
            </w:pPr>
            <w:r>
              <w:rPr>
                <w:rFonts w:ascii="Arial" w:cs="Arial" w:eastAsia="Arial" w:hAnsi="Arial"/>
                <w:sz w:val="20"/>
                <w:szCs w:val="20"/>
                <w:color w:val="auto"/>
              </w:rPr>
              <w:t>2</w:t>
            </w:r>
          </w:p>
        </w:tc>
      </w:tr>
      <w:tr>
        <w:trPr>
          <w:trHeight w:val="250"/>
        </w:trPr>
        <w:tc>
          <w:tcPr>
            <w:tcW w:w="5700" w:type="dxa"/>
            <w:vAlign w:val="bottom"/>
          </w:tcPr>
          <w:p>
            <w:pPr>
              <w:ind w:left="60"/>
              <w:spacing w:after="0"/>
              <w:rPr>
                <w:sz w:val="20"/>
                <w:szCs w:val="20"/>
                <w:color w:val="auto"/>
              </w:rPr>
            </w:pPr>
            <w:r>
              <w:rPr>
                <w:rFonts w:ascii="Arial" w:cs="Arial" w:eastAsia="Arial" w:hAnsi="Arial"/>
                <w:sz w:val="20"/>
                <w:szCs w:val="20"/>
                <w:b w:val="1"/>
                <w:bCs w:val="1"/>
                <w:color w:val="auto"/>
              </w:rPr>
              <w:t>Calculated Performance Amounts</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$18,919</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$3,439</w:t>
            </w:r>
          </w:p>
        </w:tc>
        <w:tc>
          <w:tcPr>
            <w:tcW w:w="1440" w:type="dxa"/>
            <w:vAlign w:val="bottom"/>
          </w:tcPr>
          <w:p>
            <w:pPr>
              <w:jc w:val="right"/>
              <w:ind w:right="326"/>
              <w:spacing w:after="0"/>
              <w:rPr>
                <w:sz w:val="20"/>
                <w:szCs w:val="20"/>
                <w:color w:val="auto"/>
              </w:rPr>
            </w:pPr>
            <w:r>
              <w:rPr>
                <w:rFonts w:ascii="Arial" w:cs="Arial" w:eastAsia="Arial" w:hAnsi="Arial"/>
                <w:sz w:val="20"/>
                <w:szCs w:val="20"/>
                <w:color w:val="auto"/>
              </w:rPr>
              <w:t>$2,036</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$5,475</w:t>
            </w:r>
          </w:p>
        </w:tc>
      </w:tr>
      <w:tr>
        <w:trPr>
          <w:trHeight w:val="34"/>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bl>
    <w:p>
      <w:pPr>
        <w:spacing w:after="0" w:line="200" w:lineRule="exact"/>
        <w:rPr>
          <w:sz w:val="20"/>
          <w:szCs w:val="20"/>
          <w:color w:val="auto"/>
        </w:rPr>
      </w:pPr>
    </w:p>
    <w:p>
      <w:pPr>
        <w:spacing w:after="0" w:line="254" w:lineRule="exact"/>
        <w:rPr>
          <w:sz w:val="20"/>
          <w:szCs w:val="20"/>
          <w:color w:val="auto"/>
        </w:rPr>
      </w:pPr>
    </w:p>
    <w:p>
      <w:pPr>
        <w:ind w:left="580" w:hanging="402"/>
        <w:spacing w:after="0"/>
        <w:tabs>
          <w:tab w:leader="none" w:pos="5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As reported, income from operations, divided by revenue, is equal to 18.4%.</w:t>
      </w:r>
    </w:p>
    <w:p>
      <w:pPr>
        <w:spacing w:after="0" w:line="152" w:lineRule="exact"/>
        <w:rPr>
          <w:rFonts w:ascii="Arial" w:cs="Arial" w:eastAsia="Arial" w:hAnsi="Arial"/>
          <w:sz w:val="20"/>
          <w:szCs w:val="20"/>
          <w:color w:val="auto"/>
        </w:rPr>
      </w:pPr>
    </w:p>
    <w:p>
      <w:pPr>
        <w:ind w:left="580" w:hanging="402"/>
        <w:spacing w:after="0"/>
        <w:tabs>
          <w:tab w:leader="none" w:pos="5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Accrual adjustment to true-up recorded accrual amounts against reported financial results.</w:t>
      </w:r>
    </w:p>
    <w:p>
      <w:pPr>
        <w:spacing w:after="0" w:line="200" w:lineRule="exact"/>
        <w:rPr>
          <w:sz w:val="20"/>
          <w:szCs w:val="20"/>
          <w:color w:val="auto"/>
        </w:rPr>
      </w:pPr>
    </w:p>
    <w:p>
      <w:pPr>
        <w:spacing w:after="0" w:line="323" w:lineRule="exact"/>
        <w:rPr>
          <w:sz w:val="20"/>
          <w:szCs w:val="20"/>
          <w:color w:val="auto"/>
        </w:rPr>
      </w:pPr>
    </w:p>
    <w:p>
      <w:pPr>
        <w:ind w:left="7600"/>
        <w:spacing w:after="0"/>
        <w:tabs>
          <w:tab w:leader="none" w:pos="9640" w:val="left"/>
        </w:tabs>
        <w:rPr>
          <w:sz w:val="20"/>
          <w:szCs w:val="20"/>
          <w:color w:val="auto"/>
        </w:rPr>
      </w:pPr>
      <w:r>
        <w:rPr>
          <w:rFonts w:ascii="Arial" w:cs="Arial" w:eastAsia="Arial" w:hAnsi="Arial"/>
          <w:sz w:val="20"/>
          <w:szCs w:val="20"/>
          <w:color w:val="auto"/>
        </w:rPr>
        <w:t>2025 Proxy Statement</w:t>
      </w:r>
      <w:r>
        <w:rPr>
          <w:sz w:val="20"/>
          <w:szCs w:val="20"/>
          <w:color w:val="auto"/>
        </w:rPr>
        <w:tab/>
      </w:r>
      <w:r>
        <w:rPr>
          <w:rFonts w:ascii="Arial" w:cs="Arial" w:eastAsia="Arial" w:hAnsi="Arial"/>
          <w:sz w:val="36"/>
          <w:szCs w:val="36"/>
          <w:b w:val="1"/>
          <w:bCs w:val="1"/>
          <w:color w:val="0E3C23"/>
        </w:rPr>
        <w:t xml:space="preserve">| </w:t>
      </w:r>
      <w:r>
        <w:rPr>
          <w:rFonts w:ascii="Arial" w:cs="Arial" w:eastAsia="Arial" w:hAnsi="Arial"/>
          <w:sz w:val="19"/>
          <w:szCs w:val="19"/>
          <w:color w:val="000000"/>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-207010</wp:posOffset>
            </wp:positionV>
            <wp:extent cx="538480" cy="1619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69">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3320" w:h="16920" w:orient="portrait"/>
          <w:cols w:equalWidth="0" w:num="1">
            <w:col w:w="10440"/>
          </w:cols>
          <w:pgMar w:left="1440" w:top="1440" w:right="1440" w:bottom="1036" w:gutter="0" w:footer="0" w:header="0"/>
        </w:sectPr>
      </w:pPr>
    </w:p>
    <w:bookmarkStart w:id="71" w:name="page72"/>
    <w:bookmarkEnd w:id="71"/>
    <w:p>
      <w:pPr>
        <w:spacing w:after="0" w:line="25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1027430</wp:posOffset>
                </wp:positionH>
                <wp:positionV relativeFrom="page">
                  <wp:posOffset>779780</wp:posOffset>
                </wp:positionV>
                <wp:extent cx="6386195"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E3C23"/>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9pt,61.4pt" to="583.75pt,61.4pt" o:allowincell="f" strokecolor="#0E3C23" strokeweight="0.998pt">
                <w10:wrap anchorx="page" anchory="page"/>
              </v:line>
            </w:pict>
          </mc:Fallback>
        </mc:AlternateContent>
      </w:r>
    </w:p>
    <w:tbl>
      <w:tblPr>
        <w:tblLayout w:type="fixed"/>
        <w:tblInd w:w="18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4360" w:type="dxa"/>
            <w:vAlign w:val="bottom"/>
            <w:gridSpan w:val="4"/>
          </w:tcPr>
          <w:p>
            <w:pPr>
              <w:jc w:val="right"/>
              <w:ind w:right="586"/>
              <w:spacing w:after="0"/>
              <w:rPr>
                <w:sz w:val="20"/>
                <w:szCs w:val="20"/>
                <w:color w:val="auto"/>
              </w:rPr>
            </w:pPr>
            <w:r>
              <w:rPr>
                <w:rFonts w:ascii="Arial" w:cs="Arial" w:eastAsia="Arial" w:hAnsi="Arial"/>
                <w:sz w:val="16"/>
                <w:szCs w:val="16"/>
                <w:b w:val="1"/>
                <w:bCs w:val="1"/>
                <w:color w:val="0E3C23"/>
              </w:rPr>
              <w:t>Twelve Months Ended December 31, 2021</w:t>
            </w:r>
          </w:p>
        </w:tc>
      </w:tr>
      <w:tr>
        <w:trPr>
          <w:trHeight w:val="44"/>
        </w:trPr>
        <w:tc>
          <w:tcPr>
            <w:tcW w:w="5700" w:type="dxa"/>
            <w:vAlign w:val="bottom"/>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440" w:type="dxa"/>
            <w:vAlign w:val="bottom"/>
            <w:tcBorders>
              <w:bottom w:val="single" w:sz="8" w:color="0E3C23"/>
            </w:tcBorders>
          </w:tcPr>
          <w:p>
            <w:pPr>
              <w:spacing w:after="0"/>
              <w:rPr>
                <w:sz w:val="3"/>
                <w:szCs w:val="3"/>
                <w:color w:val="auto"/>
              </w:rPr>
            </w:pPr>
          </w:p>
        </w:tc>
        <w:tc>
          <w:tcPr>
            <w:tcW w:w="880" w:type="dxa"/>
            <w:vAlign w:val="bottom"/>
            <w:tcBorders>
              <w:bottom w:val="single" w:sz="8" w:color="0E3C23"/>
            </w:tcBorders>
          </w:tcPr>
          <w:p>
            <w:pPr>
              <w:spacing w:after="0"/>
              <w:rPr>
                <w:sz w:val="3"/>
                <w:szCs w:val="3"/>
                <w:color w:val="auto"/>
              </w:rPr>
            </w:pPr>
          </w:p>
        </w:tc>
      </w:tr>
      <w:tr>
        <w:trPr>
          <w:trHeight w:val="188"/>
        </w:trPr>
        <w:tc>
          <w:tcPr>
            <w:tcW w:w="5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jc w:val="right"/>
              <w:ind w:right="26"/>
              <w:spacing w:after="0"/>
              <w:rPr>
                <w:sz w:val="20"/>
                <w:szCs w:val="20"/>
                <w:color w:val="auto"/>
              </w:rPr>
            </w:pPr>
            <w:r>
              <w:rPr>
                <w:rFonts w:ascii="Arial" w:cs="Arial" w:eastAsia="Arial" w:hAnsi="Arial"/>
                <w:sz w:val="16"/>
                <w:szCs w:val="16"/>
                <w:b w:val="1"/>
                <w:bCs w:val="1"/>
                <w:color w:val="0E3C23"/>
              </w:rPr>
              <w:t>Income from</w:t>
            </w:r>
          </w:p>
        </w:tc>
        <w:tc>
          <w:tcPr>
            <w:tcW w:w="1440" w:type="dxa"/>
            <w:vAlign w:val="bottom"/>
          </w:tcPr>
          <w:p>
            <w:pPr>
              <w:jc w:val="right"/>
              <w:ind w:right="26"/>
              <w:spacing w:after="0"/>
              <w:rPr>
                <w:sz w:val="20"/>
                <w:szCs w:val="20"/>
                <w:color w:val="auto"/>
              </w:rPr>
            </w:pPr>
            <w:r>
              <w:rPr>
                <w:rFonts w:ascii="Arial" w:cs="Arial" w:eastAsia="Arial" w:hAnsi="Arial"/>
                <w:sz w:val="16"/>
                <w:szCs w:val="16"/>
                <w:b w:val="1"/>
                <w:bCs w:val="1"/>
                <w:color w:val="0E3C23"/>
              </w:rPr>
              <w:t>Depreciation and</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E3C23"/>
              </w:rPr>
              <w:t>Operating</w:t>
            </w:r>
          </w:p>
        </w:tc>
      </w:tr>
      <w:tr>
        <w:trPr>
          <w:trHeight w:val="184"/>
        </w:trPr>
        <w:tc>
          <w:tcPr>
            <w:tcW w:w="5700" w:type="dxa"/>
            <w:vAlign w:val="bottom"/>
          </w:tcPr>
          <w:p>
            <w:pPr>
              <w:spacing w:after="0"/>
              <w:rPr>
                <w:sz w:val="15"/>
                <w:szCs w:val="15"/>
                <w:color w:val="auto"/>
              </w:rPr>
            </w:pPr>
          </w:p>
        </w:tc>
        <w:tc>
          <w:tcPr>
            <w:tcW w:w="920" w:type="dxa"/>
            <w:vAlign w:val="bottom"/>
          </w:tcPr>
          <w:p>
            <w:pPr>
              <w:jc w:val="right"/>
              <w:ind w:right="26"/>
              <w:spacing w:after="0"/>
              <w:rPr>
                <w:sz w:val="20"/>
                <w:szCs w:val="20"/>
                <w:color w:val="auto"/>
              </w:rPr>
            </w:pPr>
            <w:r>
              <w:rPr>
                <w:rFonts w:ascii="Arial" w:cs="Arial" w:eastAsia="Arial" w:hAnsi="Arial"/>
                <w:sz w:val="16"/>
                <w:szCs w:val="16"/>
                <w:b w:val="1"/>
                <w:bCs w:val="1"/>
                <w:color w:val="0E3C23"/>
              </w:rPr>
              <w:t>Revenue</w:t>
            </w:r>
          </w:p>
        </w:tc>
        <w:tc>
          <w:tcPr>
            <w:tcW w:w="1120" w:type="dxa"/>
            <w:vAlign w:val="bottom"/>
          </w:tcPr>
          <w:p>
            <w:pPr>
              <w:jc w:val="right"/>
              <w:ind w:right="26"/>
              <w:spacing w:after="0"/>
              <w:rPr>
                <w:sz w:val="20"/>
                <w:szCs w:val="20"/>
                <w:color w:val="auto"/>
              </w:rPr>
            </w:pPr>
            <w:r>
              <w:rPr>
                <w:rFonts w:ascii="Arial" w:cs="Arial" w:eastAsia="Arial" w:hAnsi="Arial"/>
                <w:sz w:val="16"/>
                <w:szCs w:val="16"/>
                <w:b w:val="1"/>
                <w:bCs w:val="1"/>
                <w:color w:val="0E3C23"/>
              </w:rPr>
              <w:t>Operations</w:t>
            </w:r>
          </w:p>
        </w:tc>
        <w:tc>
          <w:tcPr>
            <w:tcW w:w="1440" w:type="dxa"/>
            <w:vAlign w:val="bottom"/>
          </w:tcPr>
          <w:p>
            <w:pPr>
              <w:jc w:val="right"/>
              <w:ind w:right="26"/>
              <w:spacing w:after="0"/>
              <w:rPr>
                <w:sz w:val="20"/>
                <w:szCs w:val="20"/>
                <w:color w:val="auto"/>
              </w:rPr>
            </w:pPr>
            <w:r>
              <w:rPr>
                <w:rFonts w:ascii="Arial" w:cs="Arial" w:eastAsia="Arial" w:hAnsi="Arial"/>
                <w:sz w:val="16"/>
                <w:szCs w:val="16"/>
                <w:b w:val="1"/>
                <w:bCs w:val="1"/>
                <w:color w:val="0E3C23"/>
              </w:rPr>
              <w:t>amortization</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E3C23"/>
              </w:rPr>
              <w:t>EBITDA</w:t>
            </w:r>
          </w:p>
        </w:tc>
      </w:tr>
      <w:tr>
        <w:trPr>
          <w:trHeight w:val="44"/>
        </w:trPr>
        <w:tc>
          <w:tcPr>
            <w:tcW w:w="570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440" w:type="dxa"/>
            <w:vAlign w:val="bottom"/>
            <w:tcBorders>
              <w:bottom w:val="single" w:sz="8" w:color="0E3C23"/>
            </w:tcBorders>
          </w:tcPr>
          <w:p>
            <w:pPr>
              <w:spacing w:after="0"/>
              <w:rPr>
                <w:sz w:val="3"/>
                <w:szCs w:val="3"/>
                <w:color w:val="auto"/>
              </w:rPr>
            </w:pPr>
          </w:p>
        </w:tc>
        <w:tc>
          <w:tcPr>
            <w:tcW w:w="880" w:type="dxa"/>
            <w:vAlign w:val="bottom"/>
            <w:tcBorders>
              <w:bottom w:val="single" w:sz="8" w:color="0E3C23"/>
            </w:tcBorders>
          </w:tcPr>
          <w:p>
            <w:pPr>
              <w:spacing w:after="0"/>
              <w:rPr>
                <w:sz w:val="3"/>
                <w:szCs w:val="3"/>
                <w:color w:val="auto"/>
              </w:rPr>
            </w:pPr>
          </w:p>
        </w:tc>
      </w:tr>
      <w:tr>
        <w:trPr>
          <w:trHeight w:val="257"/>
        </w:trPr>
        <w:tc>
          <w:tcPr>
            <w:tcW w:w="5700" w:type="dxa"/>
            <w:vAlign w:val="bottom"/>
          </w:tcPr>
          <w:p>
            <w:pPr>
              <w:ind w:left="60"/>
              <w:spacing w:after="0"/>
              <w:rPr>
                <w:sz w:val="20"/>
                <w:szCs w:val="20"/>
                <w:color w:val="auto"/>
              </w:rPr>
            </w:pPr>
            <w:r>
              <w:rPr>
                <w:rFonts w:ascii="Arial" w:cs="Arial" w:eastAsia="Arial" w:hAnsi="Arial"/>
                <w:sz w:val="20"/>
                <w:szCs w:val="20"/>
                <w:color w:val="auto"/>
              </w:rPr>
              <w:t>As reported amounts</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$17,931</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$2,965</w:t>
            </w:r>
          </w:p>
        </w:tc>
        <w:tc>
          <w:tcPr>
            <w:tcW w:w="1440" w:type="dxa"/>
            <w:vAlign w:val="bottom"/>
          </w:tcPr>
          <w:p>
            <w:pPr>
              <w:jc w:val="right"/>
              <w:ind w:right="326"/>
              <w:spacing w:after="0"/>
              <w:rPr>
                <w:sz w:val="20"/>
                <w:szCs w:val="20"/>
                <w:color w:val="auto"/>
              </w:rPr>
            </w:pPr>
            <w:r>
              <w:rPr>
                <w:rFonts w:ascii="Arial" w:cs="Arial" w:eastAsia="Arial" w:hAnsi="Arial"/>
                <w:sz w:val="20"/>
                <w:szCs w:val="20"/>
                <w:color w:val="auto"/>
              </w:rPr>
              <w:t>$1,999</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$4,964</w:t>
            </w:r>
          </w:p>
        </w:tc>
      </w:tr>
      <w:tr>
        <w:trPr>
          <w:trHeight w:val="33"/>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r>
        <w:trPr>
          <w:trHeight w:val="247"/>
        </w:trPr>
        <w:tc>
          <w:tcPr>
            <w:tcW w:w="5700" w:type="dxa"/>
            <w:vAlign w:val="bottom"/>
          </w:tcPr>
          <w:p>
            <w:pPr>
              <w:ind w:left="60"/>
              <w:spacing w:after="0"/>
              <w:rPr>
                <w:sz w:val="20"/>
                <w:szCs w:val="20"/>
                <w:color w:val="auto"/>
              </w:rPr>
            </w:pPr>
            <w:r>
              <w:rPr>
                <w:rFonts w:ascii="Arial" w:cs="Arial" w:eastAsia="Arial" w:hAnsi="Arial"/>
                <w:sz w:val="20"/>
                <w:szCs w:val="20"/>
                <w:color w:val="auto"/>
              </w:rPr>
              <w:t>Adjustments:</w:t>
            </w: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33"/>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r>
        <w:trPr>
          <w:trHeight w:val="247"/>
        </w:trPr>
        <w:tc>
          <w:tcPr>
            <w:tcW w:w="5700" w:type="dxa"/>
            <w:vAlign w:val="bottom"/>
          </w:tcPr>
          <w:p>
            <w:pPr>
              <w:ind w:left="260"/>
              <w:spacing w:after="0"/>
              <w:rPr>
                <w:sz w:val="20"/>
                <w:szCs w:val="20"/>
                <w:color w:val="auto"/>
              </w:rPr>
            </w:pPr>
            <w:r>
              <w:rPr>
                <w:rFonts w:ascii="Arial" w:cs="Arial" w:eastAsia="Arial" w:hAnsi="Arial"/>
                <w:sz w:val="20"/>
                <w:szCs w:val="20"/>
                <w:color w:val="auto"/>
                <w:w w:val="97"/>
              </w:rPr>
              <w:t>ADD: “Restructuring” and “(Gain) Loss from Divestitures, Asset</w:t>
            </w: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9"/>
        </w:trPr>
        <w:tc>
          <w:tcPr>
            <w:tcW w:w="5700" w:type="dxa"/>
            <w:vAlign w:val="bottom"/>
          </w:tcPr>
          <w:p>
            <w:pPr>
              <w:ind w:left="460"/>
              <w:spacing w:after="0"/>
              <w:rPr>
                <w:sz w:val="20"/>
                <w:szCs w:val="20"/>
                <w:color w:val="auto"/>
              </w:rPr>
            </w:pPr>
            <w:r>
              <w:rPr>
                <w:rFonts w:ascii="Arial" w:cs="Arial" w:eastAsia="Arial" w:hAnsi="Arial"/>
                <w:sz w:val="20"/>
                <w:szCs w:val="20"/>
                <w:color w:val="auto"/>
              </w:rPr>
              <w:t>Impairments and Unusual Items, Net”</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26"/>
              <w:spacing w:after="0"/>
              <w:rPr>
                <w:sz w:val="20"/>
                <w:szCs w:val="20"/>
                <w:color w:val="auto"/>
              </w:rPr>
            </w:pPr>
            <w:r>
              <w:rPr>
                <w:rFonts w:ascii="Arial" w:cs="Arial" w:eastAsia="Arial" w:hAnsi="Arial"/>
                <w:sz w:val="20"/>
                <w:szCs w:val="20"/>
                <w:color w:val="auto"/>
              </w:rPr>
              <w:t>(8)</w:t>
            </w:r>
          </w:p>
        </w:tc>
        <w:tc>
          <w:tcPr>
            <w:tcW w:w="1440" w:type="dxa"/>
            <w:vAlign w:val="bottom"/>
          </w:tcPr>
          <w:p>
            <w:pPr>
              <w:jc w:val="right"/>
              <w:ind w:right="326"/>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33"/>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r>
        <w:trPr>
          <w:trHeight w:val="279"/>
        </w:trPr>
        <w:tc>
          <w:tcPr>
            <w:tcW w:w="5700" w:type="dxa"/>
            <w:vAlign w:val="bottom"/>
            <w:tcBorders>
              <w:bottom w:val="single" w:sz="8" w:color="0E3C23"/>
            </w:tcBorders>
          </w:tcPr>
          <w:p>
            <w:pPr>
              <w:ind w:left="260"/>
              <w:spacing w:after="0" w:line="280" w:lineRule="exact"/>
              <w:rPr>
                <w:sz w:val="20"/>
                <w:szCs w:val="20"/>
                <w:color w:val="auto"/>
              </w:rPr>
            </w:pPr>
            <w:r>
              <w:rPr>
                <w:rFonts w:ascii="Arial" w:cs="Arial" w:eastAsia="Arial" w:hAnsi="Arial"/>
                <w:sz w:val="20"/>
                <w:szCs w:val="20"/>
                <w:color w:val="auto"/>
              </w:rPr>
              <w:t>ADD: Accrual adjustment</w:t>
            </w:r>
            <w:r>
              <w:rPr>
                <w:rFonts w:ascii="Arial" w:cs="Arial" w:eastAsia="Arial" w:hAnsi="Arial"/>
                <w:sz w:val="25"/>
                <w:szCs w:val="25"/>
                <w:color w:val="auto"/>
                <w:vertAlign w:val="superscript"/>
              </w:rPr>
              <w:t>(b)</w:t>
            </w:r>
          </w:p>
        </w:tc>
        <w:tc>
          <w:tcPr>
            <w:tcW w:w="920" w:type="dxa"/>
            <w:vAlign w:val="bottom"/>
            <w:tcBorders>
              <w:bottom w:val="single" w:sz="8" w:color="0E3C23"/>
            </w:tcBorders>
          </w:tcPr>
          <w:p>
            <w:pPr>
              <w:jc w:val="right"/>
              <w:ind w:right="26"/>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0E3C23"/>
            </w:tcBorders>
          </w:tcPr>
          <w:p>
            <w:pPr>
              <w:jc w:val="right"/>
              <w:ind w:right="186"/>
              <w:spacing w:after="0"/>
              <w:rPr>
                <w:sz w:val="20"/>
                <w:szCs w:val="20"/>
                <w:color w:val="auto"/>
              </w:rPr>
            </w:pPr>
            <w:r>
              <w:rPr>
                <w:rFonts w:ascii="Arial" w:cs="Arial" w:eastAsia="Arial" w:hAnsi="Arial"/>
                <w:sz w:val="20"/>
                <w:szCs w:val="20"/>
                <w:color w:val="auto"/>
              </w:rPr>
              <w:t>5</w:t>
            </w:r>
          </w:p>
        </w:tc>
        <w:tc>
          <w:tcPr>
            <w:tcW w:w="1440" w:type="dxa"/>
            <w:vAlign w:val="bottom"/>
            <w:tcBorders>
              <w:bottom w:val="single" w:sz="8" w:color="0E3C23"/>
            </w:tcBorders>
          </w:tcPr>
          <w:p>
            <w:pPr>
              <w:jc w:val="right"/>
              <w:ind w:right="326"/>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0E3C23"/>
            </w:tcBorders>
          </w:tcPr>
          <w:p>
            <w:pPr>
              <w:jc w:val="right"/>
              <w:ind w:right="26"/>
              <w:spacing w:after="0"/>
              <w:rPr>
                <w:sz w:val="20"/>
                <w:szCs w:val="20"/>
                <w:color w:val="auto"/>
              </w:rPr>
            </w:pPr>
            <w:r>
              <w:rPr>
                <w:rFonts w:ascii="Arial" w:cs="Arial" w:eastAsia="Arial" w:hAnsi="Arial"/>
                <w:sz w:val="20"/>
                <w:szCs w:val="20"/>
                <w:color w:val="auto"/>
              </w:rPr>
              <w:t>5</w:t>
            </w:r>
          </w:p>
        </w:tc>
      </w:tr>
      <w:tr>
        <w:trPr>
          <w:trHeight w:val="251"/>
        </w:trPr>
        <w:tc>
          <w:tcPr>
            <w:tcW w:w="5700" w:type="dxa"/>
            <w:vAlign w:val="bottom"/>
          </w:tcPr>
          <w:p>
            <w:pPr>
              <w:ind w:left="60"/>
              <w:spacing w:after="0"/>
              <w:rPr>
                <w:sz w:val="20"/>
                <w:szCs w:val="20"/>
                <w:color w:val="auto"/>
              </w:rPr>
            </w:pPr>
            <w:r>
              <w:rPr>
                <w:rFonts w:ascii="Arial" w:cs="Arial" w:eastAsia="Arial" w:hAnsi="Arial"/>
                <w:sz w:val="20"/>
                <w:szCs w:val="20"/>
                <w:b w:val="1"/>
                <w:bCs w:val="1"/>
                <w:color w:val="auto"/>
              </w:rPr>
              <w:t>Calculated Performance Amounts</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$17,931</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$2,962</w:t>
            </w:r>
          </w:p>
        </w:tc>
        <w:tc>
          <w:tcPr>
            <w:tcW w:w="1440" w:type="dxa"/>
            <w:vAlign w:val="bottom"/>
          </w:tcPr>
          <w:p>
            <w:pPr>
              <w:jc w:val="right"/>
              <w:ind w:right="326"/>
              <w:spacing w:after="0"/>
              <w:rPr>
                <w:sz w:val="20"/>
                <w:szCs w:val="20"/>
                <w:color w:val="auto"/>
              </w:rPr>
            </w:pPr>
            <w:r>
              <w:rPr>
                <w:rFonts w:ascii="Arial" w:cs="Arial" w:eastAsia="Arial" w:hAnsi="Arial"/>
                <w:sz w:val="20"/>
                <w:szCs w:val="20"/>
                <w:color w:val="auto"/>
              </w:rPr>
              <w:t>$1,999</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$4,961</w:t>
            </w:r>
          </w:p>
        </w:tc>
      </w:tr>
      <w:tr>
        <w:trPr>
          <w:trHeight w:val="34"/>
        </w:trPr>
        <w:tc>
          <w:tcPr>
            <w:tcW w:w="5700" w:type="dxa"/>
            <w:vAlign w:val="bottom"/>
            <w:tcBorders>
              <w:bottom w:val="single" w:sz="8" w:color="0E3C23"/>
            </w:tcBorders>
          </w:tcPr>
          <w:p>
            <w:pPr>
              <w:spacing w:after="0"/>
              <w:rPr>
                <w:sz w:val="2"/>
                <w:szCs w:val="2"/>
                <w:color w:val="auto"/>
              </w:rPr>
            </w:pPr>
          </w:p>
        </w:tc>
        <w:tc>
          <w:tcPr>
            <w:tcW w:w="4360" w:type="dxa"/>
            <w:vAlign w:val="bottom"/>
            <w:tcBorders>
              <w:bottom w:val="single" w:sz="8" w:color="0E3C23"/>
            </w:tcBorders>
            <w:gridSpan w:val="4"/>
          </w:tcPr>
          <w:p>
            <w:pPr>
              <w:spacing w:after="0"/>
              <w:rPr>
                <w:sz w:val="2"/>
                <w:szCs w:val="2"/>
                <w:color w:val="auto"/>
              </w:rPr>
            </w:pPr>
          </w:p>
        </w:tc>
      </w:tr>
      <w:tr>
        <w:trPr>
          <w:trHeight w:val="471"/>
        </w:trPr>
        <w:tc>
          <w:tcPr>
            <w:tcW w:w="5700" w:type="dxa"/>
            <w:vAlign w:val="bottom"/>
          </w:tcPr>
          <w:p>
            <w:pPr>
              <w:spacing w:after="0"/>
              <w:rPr>
                <w:sz w:val="24"/>
                <w:szCs w:val="24"/>
                <w:color w:val="auto"/>
              </w:rPr>
            </w:pPr>
          </w:p>
        </w:tc>
        <w:tc>
          <w:tcPr>
            <w:tcW w:w="4360" w:type="dxa"/>
            <w:vAlign w:val="bottom"/>
            <w:gridSpan w:val="4"/>
          </w:tcPr>
          <w:p>
            <w:pPr>
              <w:jc w:val="right"/>
              <w:ind w:right="586"/>
              <w:spacing w:after="0"/>
              <w:rPr>
                <w:sz w:val="20"/>
                <w:szCs w:val="20"/>
                <w:color w:val="auto"/>
              </w:rPr>
            </w:pPr>
            <w:r>
              <w:rPr>
                <w:rFonts w:ascii="Arial" w:cs="Arial" w:eastAsia="Arial" w:hAnsi="Arial"/>
                <w:sz w:val="16"/>
                <w:szCs w:val="16"/>
                <w:b w:val="1"/>
                <w:bCs w:val="1"/>
                <w:color w:val="0E3C23"/>
              </w:rPr>
              <w:t>Twelve Months Ended December 31, 2020</w:t>
            </w:r>
          </w:p>
        </w:tc>
      </w:tr>
      <w:tr>
        <w:trPr>
          <w:trHeight w:val="44"/>
        </w:trPr>
        <w:tc>
          <w:tcPr>
            <w:tcW w:w="5700" w:type="dxa"/>
            <w:vAlign w:val="bottom"/>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440" w:type="dxa"/>
            <w:vAlign w:val="bottom"/>
            <w:tcBorders>
              <w:bottom w:val="single" w:sz="8" w:color="0E3C23"/>
            </w:tcBorders>
          </w:tcPr>
          <w:p>
            <w:pPr>
              <w:spacing w:after="0"/>
              <w:rPr>
                <w:sz w:val="3"/>
                <w:szCs w:val="3"/>
                <w:color w:val="auto"/>
              </w:rPr>
            </w:pPr>
          </w:p>
        </w:tc>
        <w:tc>
          <w:tcPr>
            <w:tcW w:w="880" w:type="dxa"/>
            <w:vAlign w:val="bottom"/>
            <w:tcBorders>
              <w:bottom w:val="single" w:sz="8" w:color="0E3C23"/>
            </w:tcBorders>
          </w:tcPr>
          <w:p>
            <w:pPr>
              <w:spacing w:after="0"/>
              <w:rPr>
                <w:sz w:val="3"/>
                <w:szCs w:val="3"/>
                <w:color w:val="auto"/>
              </w:rPr>
            </w:pPr>
          </w:p>
        </w:tc>
      </w:tr>
      <w:tr>
        <w:trPr>
          <w:trHeight w:val="188"/>
        </w:trPr>
        <w:tc>
          <w:tcPr>
            <w:tcW w:w="5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jc w:val="right"/>
              <w:ind w:right="26"/>
              <w:spacing w:after="0"/>
              <w:rPr>
                <w:sz w:val="20"/>
                <w:szCs w:val="20"/>
                <w:color w:val="auto"/>
              </w:rPr>
            </w:pPr>
            <w:r>
              <w:rPr>
                <w:rFonts w:ascii="Arial" w:cs="Arial" w:eastAsia="Arial" w:hAnsi="Arial"/>
                <w:sz w:val="16"/>
                <w:szCs w:val="16"/>
                <w:b w:val="1"/>
                <w:bCs w:val="1"/>
                <w:color w:val="0E3C23"/>
              </w:rPr>
              <w:t>Income from</w:t>
            </w:r>
          </w:p>
        </w:tc>
        <w:tc>
          <w:tcPr>
            <w:tcW w:w="1440" w:type="dxa"/>
            <w:vAlign w:val="bottom"/>
          </w:tcPr>
          <w:p>
            <w:pPr>
              <w:jc w:val="right"/>
              <w:ind w:right="26"/>
              <w:spacing w:after="0"/>
              <w:rPr>
                <w:sz w:val="20"/>
                <w:szCs w:val="20"/>
                <w:color w:val="auto"/>
              </w:rPr>
            </w:pPr>
            <w:r>
              <w:rPr>
                <w:rFonts w:ascii="Arial" w:cs="Arial" w:eastAsia="Arial" w:hAnsi="Arial"/>
                <w:sz w:val="16"/>
                <w:szCs w:val="16"/>
                <w:b w:val="1"/>
                <w:bCs w:val="1"/>
                <w:color w:val="0E3C23"/>
              </w:rPr>
              <w:t>Depreciation and</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E3C23"/>
              </w:rPr>
              <w:t>Operating</w:t>
            </w:r>
          </w:p>
        </w:tc>
      </w:tr>
      <w:tr>
        <w:trPr>
          <w:trHeight w:val="184"/>
        </w:trPr>
        <w:tc>
          <w:tcPr>
            <w:tcW w:w="5700" w:type="dxa"/>
            <w:vAlign w:val="bottom"/>
          </w:tcPr>
          <w:p>
            <w:pPr>
              <w:spacing w:after="0"/>
              <w:rPr>
                <w:sz w:val="15"/>
                <w:szCs w:val="15"/>
                <w:color w:val="auto"/>
              </w:rPr>
            </w:pPr>
          </w:p>
        </w:tc>
        <w:tc>
          <w:tcPr>
            <w:tcW w:w="920" w:type="dxa"/>
            <w:vAlign w:val="bottom"/>
          </w:tcPr>
          <w:p>
            <w:pPr>
              <w:jc w:val="right"/>
              <w:ind w:right="26"/>
              <w:spacing w:after="0"/>
              <w:rPr>
                <w:sz w:val="20"/>
                <w:szCs w:val="20"/>
                <w:color w:val="auto"/>
              </w:rPr>
            </w:pPr>
            <w:r>
              <w:rPr>
                <w:rFonts w:ascii="Arial" w:cs="Arial" w:eastAsia="Arial" w:hAnsi="Arial"/>
                <w:sz w:val="16"/>
                <w:szCs w:val="16"/>
                <w:b w:val="1"/>
                <w:bCs w:val="1"/>
                <w:color w:val="0E3C23"/>
              </w:rPr>
              <w:t>Revenue</w:t>
            </w:r>
          </w:p>
        </w:tc>
        <w:tc>
          <w:tcPr>
            <w:tcW w:w="1120" w:type="dxa"/>
            <w:vAlign w:val="bottom"/>
          </w:tcPr>
          <w:p>
            <w:pPr>
              <w:jc w:val="right"/>
              <w:ind w:right="26"/>
              <w:spacing w:after="0"/>
              <w:rPr>
                <w:sz w:val="20"/>
                <w:szCs w:val="20"/>
                <w:color w:val="auto"/>
              </w:rPr>
            </w:pPr>
            <w:r>
              <w:rPr>
                <w:rFonts w:ascii="Arial" w:cs="Arial" w:eastAsia="Arial" w:hAnsi="Arial"/>
                <w:sz w:val="16"/>
                <w:szCs w:val="16"/>
                <w:b w:val="1"/>
                <w:bCs w:val="1"/>
                <w:color w:val="0E3C23"/>
              </w:rPr>
              <w:t>Operations</w:t>
            </w:r>
          </w:p>
        </w:tc>
        <w:tc>
          <w:tcPr>
            <w:tcW w:w="1440" w:type="dxa"/>
            <w:vAlign w:val="bottom"/>
          </w:tcPr>
          <w:p>
            <w:pPr>
              <w:jc w:val="right"/>
              <w:ind w:right="26"/>
              <w:spacing w:after="0"/>
              <w:rPr>
                <w:sz w:val="20"/>
                <w:szCs w:val="20"/>
                <w:color w:val="auto"/>
              </w:rPr>
            </w:pPr>
            <w:r>
              <w:rPr>
                <w:rFonts w:ascii="Arial" w:cs="Arial" w:eastAsia="Arial" w:hAnsi="Arial"/>
                <w:sz w:val="16"/>
                <w:szCs w:val="16"/>
                <w:b w:val="1"/>
                <w:bCs w:val="1"/>
                <w:color w:val="0E3C23"/>
              </w:rPr>
              <w:t>amortization</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E3C23"/>
              </w:rPr>
              <w:t>EBITDA</w:t>
            </w:r>
          </w:p>
        </w:tc>
      </w:tr>
      <w:tr>
        <w:trPr>
          <w:trHeight w:val="44"/>
        </w:trPr>
        <w:tc>
          <w:tcPr>
            <w:tcW w:w="5700" w:type="dxa"/>
            <w:vAlign w:val="bottom"/>
            <w:tcBorders>
              <w:bottom w:val="single" w:sz="8" w:color="0E3C23"/>
            </w:tcBorders>
          </w:tcPr>
          <w:p>
            <w:pPr>
              <w:spacing w:after="0"/>
              <w:rPr>
                <w:sz w:val="3"/>
                <w:szCs w:val="3"/>
                <w:color w:val="auto"/>
              </w:rPr>
            </w:pPr>
          </w:p>
        </w:tc>
        <w:tc>
          <w:tcPr>
            <w:tcW w:w="920" w:type="dxa"/>
            <w:vAlign w:val="bottom"/>
            <w:tcBorders>
              <w:bottom w:val="single" w:sz="8" w:color="0E3C23"/>
            </w:tcBorders>
          </w:tcPr>
          <w:p>
            <w:pPr>
              <w:spacing w:after="0"/>
              <w:rPr>
                <w:sz w:val="3"/>
                <w:szCs w:val="3"/>
                <w:color w:val="auto"/>
              </w:rPr>
            </w:pPr>
          </w:p>
        </w:tc>
        <w:tc>
          <w:tcPr>
            <w:tcW w:w="1120" w:type="dxa"/>
            <w:vAlign w:val="bottom"/>
            <w:tcBorders>
              <w:bottom w:val="single" w:sz="8" w:color="0E3C23"/>
            </w:tcBorders>
          </w:tcPr>
          <w:p>
            <w:pPr>
              <w:spacing w:after="0"/>
              <w:rPr>
                <w:sz w:val="3"/>
                <w:szCs w:val="3"/>
                <w:color w:val="auto"/>
              </w:rPr>
            </w:pPr>
          </w:p>
        </w:tc>
        <w:tc>
          <w:tcPr>
            <w:tcW w:w="1440" w:type="dxa"/>
            <w:vAlign w:val="bottom"/>
            <w:tcBorders>
              <w:bottom w:val="single" w:sz="8" w:color="0E3C23"/>
            </w:tcBorders>
          </w:tcPr>
          <w:p>
            <w:pPr>
              <w:spacing w:after="0"/>
              <w:rPr>
                <w:sz w:val="3"/>
                <w:szCs w:val="3"/>
                <w:color w:val="auto"/>
              </w:rPr>
            </w:pPr>
          </w:p>
        </w:tc>
        <w:tc>
          <w:tcPr>
            <w:tcW w:w="880" w:type="dxa"/>
            <w:vAlign w:val="bottom"/>
            <w:tcBorders>
              <w:bottom w:val="single" w:sz="8" w:color="0E3C23"/>
            </w:tcBorders>
          </w:tcPr>
          <w:p>
            <w:pPr>
              <w:spacing w:after="0"/>
              <w:rPr>
                <w:sz w:val="3"/>
                <w:szCs w:val="3"/>
                <w:color w:val="auto"/>
              </w:rPr>
            </w:pPr>
          </w:p>
        </w:tc>
      </w:tr>
      <w:tr>
        <w:trPr>
          <w:trHeight w:val="257"/>
        </w:trPr>
        <w:tc>
          <w:tcPr>
            <w:tcW w:w="5700" w:type="dxa"/>
            <w:vAlign w:val="bottom"/>
          </w:tcPr>
          <w:p>
            <w:pPr>
              <w:ind w:left="60"/>
              <w:spacing w:after="0"/>
              <w:rPr>
                <w:sz w:val="20"/>
                <w:szCs w:val="20"/>
                <w:color w:val="auto"/>
              </w:rPr>
            </w:pPr>
            <w:r>
              <w:rPr>
                <w:rFonts w:ascii="Arial" w:cs="Arial" w:eastAsia="Arial" w:hAnsi="Arial"/>
                <w:sz w:val="20"/>
                <w:szCs w:val="20"/>
                <w:color w:val="auto"/>
              </w:rPr>
              <w:t>As reported amounts</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$15,218</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$2,434</w:t>
            </w:r>
          </w:p>
        </w:tc>
        <w:tc>
          <w:tcPr>
            <w:tcW w:w="1440" w:type="dxa"/>
            <w:vAlign w:val="bottom"/>
          </w:tcPr>
          <w:p>
            <w:pPr>
              <w:jc w:val="right"/>
              <w:ind w:right="326"/>
              <w:spacing w:after="0"/>
              <w:rPr>
                <w:sz w:val="20"/>
                <w:szCs w:val="20"/>
                <w:color w:val="auto"/>
              </w:rPr>
            </w:pPr>
            <w:r>
              <w:rPr>
                <w:rFonts w:ascii="Arial" w:cs="Arial" w:eastAsia="Arial" w:hAnsi="Arial"/>
                <w:sz w:val="20"/>
                <w:szCs w:val="20"/>
                <w:color w:val="auto"/>
              </w:rPr>
              <w:t>$1,671</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$4,105</w:t>
            </w:r>
          </w:p>
        </w:tc>
      </w:tr>
      <w:tr>
        <w:trPr>
          <w:trHeight w:val="33"/>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r>
        <w:trPr>
          <w:trHeight w:val="246"/>
        </w:trPr>
        <w:tc>
          <w:tcPr>
            <w:tcW w:w="5700" w:type="dxa"/>
            <w:vAlign w:val="bottom"/>
          </w:tcPr>
          <w:p>
            <w:pPr>
              <w:ind w:left="60"/>
              <w:spacing w:after="0"/>
              <w:rPr>
                <w:sz w:val="20"/>
                <w:szCs w:val="20"/>
                <w:color w:val="auto"/>
              </w:rPr>
            </w:pPr>
            <w:r>
              <w:rPr>
                <w:rFonts w:ascii="Arial" w:cs="Arial" w:eastAsia="Arial" w:hAnsi="Arial"/>
                <w:sz w:val="20"/>
                <w:szCs w:val="20"/>
                <w:color w:val="auto"/>
              </w:rPr>
              <w:t>Adjustments:</w:t>
            </w: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33"/>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r>
        <w:trPr>
          <w:trHeight w:val="246"/>
        </w:trPr>
        <w:tc>
          <w:tcPr>
            <w:tcW w:w="5700" w:type="dxa"/>
            <w:vAlign w:val="bottom"/>
          </w:tcPr>
          <w:p>
            <w:pPr>
              <w:ind w:left="260"/>
              <w:spacing w:after="0"/>
              <w:rPr>
                <w:sz w:val="20"/>
                <w:szCs w:val="20"/>
                <w:color w:val="auto"/>
              </w:rPr>
            </w:pPr>
            <w:r>
              <w:rPr>
                <w:rFonts w:ascii="Arial" w:cs="Arial" w:eastAsia="Arial" w:hAnsi="Arial"/>
                <w:sz w:val="20"/>
                <w:szCs w:val="20"/>
                <w:color w:val="auto"/>
                <w:w w:val="97"/>
              </w:rPr>
              <w:t>ADD: “Restructuring” and “(Gain) Loss from Divestitures, Asset</w:t>
            </w: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9"/>
        </w:trPr>
        <w:tc>
          <w:tcPr>
            <w:tcW w:w="5700" w:type="dxa"/>
            <w:vAlign w:val="bottom"/>
          </w:tcPr>
          <w:p>
            <w:pPr>
              <w:ind w:left="460"/>
              <w:spacing w:after="0"/>
              <w:rPr>
                <w:sz w:val="20"/>
                <w:szCs w:val="20"/>
                <w:color w:val="auto"/>
              </w:rPr>
            </w:pPr>
            <w:r>
              <w:rPr>
                <w:rFonts w:ascii="Arial" w:cs="Arial" w:eastAsia="Arial" w:hAnsi="Arial"/>
                <w:sz w:val="20"/>
                <w:szCs w:val="20"/>
                <w:color w:val="auto"/>
              </w:rPr>
              <w:t>Impairments and Unusual Items, Net”</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44</w:t>
            </w:r>
          </w:p>
        </w:tc>
        <w:tc>
          <w:tcPr>
            <w:tcW w:w="1440" w:type="dxa"/>
            <w:vAlign w:val="bottom"/>
          </w:tcPr>
          <w:p>
            <w:pPr>
              <w:jc w:val="right"/>
              <w:ind w:right="326"/>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44</w:t>
            </w:r>
          </w:p>
        </w:tc>
      </w:tr>
      <w:tr>
        <w:trPr>
          <w:trHeight w:val="33"/>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r>
        <w:trPr>
          <w:trHeight w:val="246"/>
        </w:trPr>
        <w:tc>
          <w:tcPr>
            <w:tcW w:w="5700" w:type="dxa"/>
            <w:vAlign w:val="bottom"/>
          </w:tcPr>
          <w:p>
            <w:pPr>
              <w:ind w:left="260"/>
              <w:spacing w:after="0"/>
              <w:rPr>
                <w:sz w:val="20"/>
                <w:szCs w:val="20"/>
                <w:color w:val="auto"/>
              </w:rPr>
            </w:pPr>
            <w:r>
              <w:rPr>
                <w:rFonts w:ascii="Arial" w:cs="Arial" w:eastAsia="Arial" w:hAnsi="Arial"/>
                <w:sz w:val="20"/>
                <w:szCs w:val="20"/>
                <w:color w:val="auto"/>
              </w:rPr>
              <w:t>ADD: Advanced Disposal transaction and integration costs</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149</w:t>
            </w:r>
          </w:p>
        </w:tc>
        <w:tc>
          <w:tcPr>
            <w:tcW w:w="1440" w:type="dxa"/>
            <w:vAlign w:val="bottom"/>
          </w:tcPr>
          <w:p>
            <w:pPr>
              <w:jc w:val="right"/>
              <w:ind w:right="326"/>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149</w:t>
            </w:r>
          </w:p>
        </w:tc>
      </w:tr>
      <w:tr>
        <w:trPr>
          <w:trHeight w:val="33"/>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r>
        <w:trPr>
          <w:trHeight w:val="246"/>
        </w:trPr>
        <w:tc>
          <w:tcPr>
            <w:tcW w:w="5700" w:type="dxa"/>
            <w:vAlign w:val="bottom"/>
          </w:tcPr>
          <w:p>
            <w:pPr>
              <w:ind w:left="260"/>
              <w:spacing w:after="0"/>
              <w:rPr>
                <w:sz w:val="20"/>
                <w:szCs w:val="20"/>
                <w:color w:val="auto"/>
              </w:rPr>
            </w:pPr>
            <w:r>
              <w:rPr>
                <w:rFonts w:ascii="Arial" w:cs="Arial" w:eastAsia="Arial" w:hAnsi="Arial"/>
                <w:sz w:val="20"/>
                <w:szCs w:val="20"/>
                <w:color w:val="auto"/>
              </w:rPr>
              <w:t>ADD: COVID-19 related costs</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46</w:t>
            </w:r>
          </w:p>
        </w:tc>
        <w:tc>
          <w:tcPr>
            <w:tcW w:w="1440" w:type="dxa"/>
            <w:vAlign w:val="bottom"/>
          </w:tcPr>
          <w:p>
            <w:pPr>
              <w:jc w:val="right"/>
              <w:ind w:right="326"/>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46</w:t>
            </w:r>
          </w:p>
        </w:tc>
      </w:tr>
      <w:tr>
        <w:trPr>
          <w:trHeight w:val="33"/>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r>
        <w:trPr>
          <w:trHeight w:val="246"/>
        </w:trPr>
        <w:tc>
          <w:tcPr>
            <w:tcW w:w="5700" w:type="dxa"/>
            <w:vAlign w:val="bottom"/>
          </w:tcPr>
          <w:p>
            <w:pPr>
              <w:ind w:left="260"/>
              <w:spacing w:after="0"/>
              <w:rPr>
                <w:sz w:val="20"/>
                <w:szCs w:val="20"/>
                <w:color w:val="auto"/>
              </w:rPr>
            </w:pPr>
            <w:r>
              <w:rPr>
                <w:rFonts w:ascii="Arial" w:cs="Arial" w:eastAsia="Arial" w:hAnsi="Arial"/>
                <w:sz w:val="20"/>
                <w:szCs w:val="20"/>
                <w:color w:val="auto"/>
              </w:rPr>
              <w:t>ADD: Strategic initiative costs</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27</w:t>
            </w:r>
          </w:p>
        </w:tc>
        <w:tc>
          <w:tcPr>
            <w:tcW w:w="1440" w:type="dxa"/>
            <w:vAlign w:val="bottom"/>
          </w:tcPr>
          <w:p>
            <w:pPr>
              <w:jc w:val="right"/>
              <w:ind w:right="326"/>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27</w:t>
            </w:r>
          </w:p>
        </w:tc>
      </w:tr>
      <w:tr>
        <w:trPr>
          <w:trHeight w:val="33"/>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r>
        <w:trPr>
          <w:trHeight w:val="250"/>
        </w:trPr>
        <w:tc>
          <w:tcPr>
            <w:tcW w:w="5700" w:type="dxa"/>
            <w:vAlign w:val="bottom"/>
          </w:tcPr>
          <w:p>
            <w:pPr>
              <w:ind w:left="60"/>
              <w:spacing w:after="0"/>
              <w:rPr>
                <w:sz w:val="20"/>
                <w:szCs w:val="20"/>
                <w:color w:val="auto"/>
              </w:rPr>
            </w:pPr>
            <w:r>
              <w:rPr>
                <w:rFonts w:ascii="Arial" w:cs="Arial" w:eastAsia="Arial" w:hAnsi="Arial"/>
                <w:sz w:val="20"/>
                <w:szCs w:val="20"/>
                <w:b w:val="1"/>
                <w:bCs w:val="1"/>
                <w:color w:val="auto"/>
              </w:rPr>
              <w:t>Calculated Performance Amounts</w:t>
            </w:r>
          </w:p>
        </w:tc>
        <w:tc>
          <w:tcPr>
            <w:tcW w:w="920" w:type="dxa"/>
            <w:vAlign w:val="bottom"/>
          </w:tcPr>
          <w:p>
            <w:pPr>
              <w:jc w:val="right"/>
              <w:ind w:right="26"/>
              <w:spacing w:after="0"/>
              <w:rPr>
                <w:sz w:val="20"/>
                <w:szCs w:val="20"/>
                <w:color w:val="auto"/>
              </w:rPr>
            </w:pPr>
            <w:r>
              <w:rPr>
                <w:rFonts w:ascii="Arial" w:cs="Arial" w:eastAsia="Arial" w:hAnsi="Arial"/>
                <w:sz w:val="20"/>
                <w:szCs w:val="20"/>
                <w:color w:val="auto"/>
              </w:rPr>
              <w:t>$15,218</w:t>
            </w:r>
          </w:p>
        </w:tc>
        <w:tc>
          <w:tcPr>
            <w:tcW w:w="1120" w:type="dxa"/>
            <w:vAlign w:val="bottom"/>
          </w:tcPr>
          <w:p>
            <w:pPr>
              <w:jc w:val="right"/>
              <w:ind w:right="186"/>
              <w:spacing w:after="0"/>
              <w:rPr>
                <w:sz w:val="20"/>
                <w:szCs w:val="20"/>
                <w:color w:val="auto"/>
              </w:rPr>
            </w:pPr>
            <w:r>
              <w:rPr>
                <w:rFonts w:ascii="Arial" w:cs="Arial" w:eastAsia="Arial" w:hAnsi="Arial"/>
                <w:sz w:val="20"/>
                <w:szCs w:val="20"/>
                <w:color w:val="auto"/>
              </w:rPr>
              <w:t>$2,700</w:t>
            </w:r>
          </w:p>
        </w:tc>
        <w:tc>
          <w:tcPr>
            <w:tcW w:w="1440" w:type="dxa"/>
            <w:vAlign w:val="bottom"/>
          </w:tcPr>
          <w:p>
            <w:pPr>
              <w:jc w:val="right"/>
              <w:ind w:right="326"/>
              <w:spacing w:after="0"/>
              <w:rPr>
                <w:sz w:val="20"/>
                <w:szCs w:val="20"/>
                <w:color w:val="auto"/>
              </w:rPr>
            </w:pPr>
            <w:r>
              <w:rPr>
                <w:rFonts w:ascii="Arial" w:cs="Arial" w:eastAsia="Arial" w:hAnsi="Arial"/>
                <w:sz w:val="20"/>
                <w:szCs w:val="20"/>
                <w:color w:val="auto"/>
              </w:rPr>
              <w:t>$1,671</w:t>
            </w:r>
          </w:p>
        </w:tc>
        <w:tc>
          <w:tcPr>
            <w:tcW w:w="880" w:type="dxa"/>
            <w:vAlign w:val="bottom"/>
          </w:tcPr>
          <w:p>
            <w:pPr>
              <w:jc w:val="right"/>
              <w:ind w:right="26"/>
              <w:spacing w:after="0"/>
              <w:rPr>
                <w:sz w:val="20"/>
                <w:szCs w:val="20"/>
                <w:color w:val="auto"/>
              </w:rPr>
            </w:pPr>
            <w:r>
              <w:rPr>
                <w:rFonts w:ascii="Arial" w:cs="Arial" w:eastAsia="Arial" w:hAnsi="Arial"/>
                <w:sz w:val="20"/>
                <w:szCs w:val="20"/>
                <w:color w:val="auto"/>
              </w:rPr>
              <w:t>$4,371</w:t>
            </w:r>
          </w:p>
        </w:tc>
      </w:tr>
      <w:tr>
        <w:trPr>
          <w:trHeight w:val="34"/>
        </w:trPr>
        <w:tc>
          <w:tcPr>
            <w:tcW w:w="5700" w:type="dxa"/>
            <w:vAlign w:val="bottom"/>
            <w:tcBorders>
              <w:bottom w:val="single" w:sz="8" w:color="0E3C23"/>
            </w:tcBorders>
          </w:tcPr>
          <w:p>
            <w:pPr>
              <w:spacing w:after="0"/>
              <w:rPr>
                <w:sz w:val="2"/>
                <w:szCs w:val="2"/>
                <w:color w:val="auto"/>
              </w:rPr>
            </w:pPr>
          </w:p>
        </w:tc>
        <w:tc>
          <w:tcPr>
            <w:tcW w:w="920" w:type="dxa"/>
            <w:vAlign w:val="bottom"/>
            <w:tcBorders>
              <w:bottom w:val="single" w:sz="8" w:color="0E3C23"/>
            </w:tcBorders>
          </w:tcPr>
          <w:p>
            <w:pPr>
              <w:spacing w:after="0"/>
              <w:rPr>
                <w:sz w:val="2"/>
                <w:szCs w:val="2"/>
                <w:color w:val="auto"/>
              </w:rPr>
            </w:pPr>
          </w:p>
        </w:tc>
        <w:tc>
          <w:tcPr>
            <w:tcW w:w="1120" w:type="dxa"/>
            <w:vAlign w:val="bottom"/>
            <w:tcBorders>
              <w:bottom w:val="single" w:sz="8" w:color="0E3C23"/>
            </w:tcBorders>
          </w:tcPr>
          <w:p>
            <w:pPr>
              <w:spacing w:after="0"/>
              <w:rPr>
                <w:sz w:val="2"/>
                <w:szCs w:val="2"/>
                <w:color w:val="auto"/>
              </w:rPr>
            </w:pPr>
          </w:p>
        </w:tc>
        <w:tc>
          <w:tcPr>
            <w:tcW w:w="1440" w:type="dxa"/>
            <w:vAlign w:val="bottom"/>
            <w:tcBorders>
              <w:bottom w:val="single" w:sz="8" w:color="0E3C23"/>
            </w:tcBorders>
          </w:tcPr>
          <w:p>
            <w:pPr>
              <w:spacing w:after="0"/>
              <w:rPr>
                <w:sz w:val="2"/>
                <w:szCs w:val="2"/>
                <w:color w:val="auto"/>
              </w:rPr>
            </w:pPr>
          </w:p>
        </w:tc>
        <w:tc>
          <w:tcPr>
            <w:tcW w:w="880" w:type="dxa"/>
            <w:vAlign w:val="bottom"/>
            <w:tcBorders>
              <w:bottom w:val="single" w:sz="8" w:color="0E3C23"/>
            </w:tcBorders>
          </w:tcPr>
          <w:p>
            <w:pPr>
              <w:spacing w:after="0"/>
              <w:rPr>
                <w:sz w:val="2"/>
                <w:szCs w:val="2"/>
                <w:color w:val="auto"/>
              </w:rPr>
            </w:pPr>
          </w:p>
        </w:tc>
      </w:tr>
    </w:tbl>
    <w:p>
      <w:pPr>
        <w:spacing w:after="0" w:line="291"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4860" w:type="dxa"/>
            <w:vAlign w:val="bottom"/>
            <w:gridSpan w:val="3"/>
          </w:tcPr>
          <w:p>
            <w:pPr>
              <w:jc w:val="right"/>
              <w:ind w:right="444"/>
              <w:spacing w:after="0"/>
              <w:rPr>
                <w:sz w:val="20"/>
                <w:szCs w:val="20"/>
                <w:color w:val="auto"/>
              </w:rPr>
            </w:pPr>
            <w:r>
              <w:rPr>
                <w:rFonts w:ascii="Arial" w:cs="Arial" w:eastAsia="Arial" w:hAnsi="Arial"/>
                <w:sz w:val="16"/>
                <w:szCs w:val="16"/>
                <w:b w:val="1"/>
                <w:bCs w:val="1"/>
                <w:color w:val="0E3C23"/>
              </w:rPr>
              <w:t>Three Years Ended December 31, 2024</w:t>
            </w:r>
          </w:p>
        </w:tc>
        <w:tc>
          <w:tcPr>
            <w:tcW w:w="960" w:type="dxa"/>
            <w:vAlign w:val="bottom"/>
          </w:tcPr>
          <w:p>
            <w:pPr>
              <w:spacing w:after="0"/>
              <w:rPr>
                <w:sz w:val="16"/>
                <w:szCs w:val="16"/>
                <w:color w:val="auto"/>
              </w:rPr>
            </w:pPr>
          </w:p>
        </w:tc>
      </w:tr>
      <w:tr>
        <w:trPr>
          <w:trHeight w:val="44"/>
        </w:trPr>
        <w:tc>
          <w:tcPr>
            <w:tcW w:w="4240" w:type="dxa"/>
            <w:vAlign w:val="bottom"/>
          </w:tcPr>
          <w:p>
            <w:pPr>
              <w:spacing w:after="0"/>
              <w:rPr>
                <w:sz w:val="3"/>
                <w:szCs w:val="3"/>
                <w:color w:val="auto"/>
              </w:rPr>
            </w:pPr>
          </w:p>
        </w:tc>
        <w:tc>
          <w:tcPr>
            <w:tcW w:w="1840" w:type="dxa"/>
            <w:vAlign w:val="bottom"/>
            <w:tcBorders>
              <w:bottom w:val="single" w:sz="8" w:color="0E3C23"/>
            </w:tcBorders>
          </w:tcPr>
          <w:p>
            <w:pPr>
              <w:spacing w:after="0"/>
              <w:rPr>
                <w:sz w:val="3"/>
                <w:szCs w:val="3"/>
                <w:color w:val="auto"/>
              </w:rPr>
            </w:pPr>
          </w:p>
        </w:tc>
        <w:tc>
          <w:tcPr>
            <w:tcW w:w="1180" w:type="dxa"/>
            <w:vAlign w:val="bottom"/>
            <w:tcBorders>
              <w:bottom w:val="single" w:sz="8" w:color="0E3C23"/>
            </w:tcBorders>
          </w:tcPr>
          <w:p>
            <w:pPr>
              <w:spacing w:after="0"/>
              <w:rPr>
                <w:sz w:val="3"/>
                <w:szCs w:val="3"/>
                <w:color w:val="auto"/>
              </w:rPr>
            </w:pPr>
          </w:p>
        </w:tc>
        <w:tc>
          <w:tcPr>
            <w:tcW w:w="1840" w:type="dxa"/>
            <w:vAlign w:val="bottom"/>
            <w:tcBorders>
              <w:bottom w:val="single" w:sz="8" w:color="0E3C23"/>
            </w:tcBorders>
          </w:tcPr>
          <w:p>
            <w:pPr>
              <w:spacing w:after="0"/>
              <w:rPr>
                <w:sz w:val="3"/>
                <w:szCs w:val="3"/>
                <w:color w:val="auto"/>
              </w:rPr>
            </w:pPr>
          </w:p>
        </w:tc>
        <w:tc>
          <w:tcPr>
            <w:tcW w:w="960" w:type="dxa"/>
            <w:vAlign w:val="bottom"/>
            <w:tcBorders>
              <w:bottom w:val="single" w:sz="8" w:color="0E3C23"/>
            </w:tcBorders>
          </w:tcPr>
          <w:p>
            <w:pPr>
              <w:spacing w:after="0"/>
              <w:rPr>
                <w:sz w:val="3"/>
                <w:szCs w:val="3"/>
                <w:color w:val="auto"/>
              </w:rPr>
            </w:pPr>
          </w:p>
        </w:tc>
      </w:tr>
      <w:tr>
        <w:trPr>
          <w:trHeight w:val="188"/>
        </w:trPr>
        <w:tc>
          <w:tcPr>
            <w:tcW w:w="4240" w:type="dxa"/>
            <w:vAlign w:val="bottom"/>
          </w:tcPr>
          <w:p>
            <w:pPr>
              <w:spacing w:after="0"/>
              <w:rPr>
                <w:sz w:val="16"/>
                <w:szCs w:val="16"/>
                <w:color w:val="auto"/>
              </w:rPr>
            </w:pPr>
          </w:p>
        </w:tc>
        <w:tc>
          <w:tcPr>
            <w:tcW w:w="1840" w:type="dxa"/>
            <w:vAlign w:val="bottom"/>
          </w:tcPr>
          <w:p>
            <w:pPr>
              <w:jc w:val="right"/>
              <w:ind w:right="26"/>
              <w:spacing w:after="0"/>
              <w:rPr>
                <w:sz w:val="20"/>
                <w:szCs w:val="20"/>
                <w:color w:val="auto"/>
              </w:rPr>
            </w:pPr>
            <w:r>
              <w:rPr>
                <w:rFonts w:ascii="Arial" w:cs="Arial" w:eastAsia="Arial" w:hAnsi="Arial"/>
                <w:sz w:val="16"/>
                <w:szCs w:val="16"/>
                <w:b w:val="1"/>
                <w:bCs w:val="1"/>
                <w:color w:val="0E3C23"/>
              </w:rPr>
              <w:t>Net Cash Provided</w:t>
            </w: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0E3C23"/>
              </w:rPr>
              <w:t>Capital</w:t>
            </w:r>
          </w:p>
        </w:tc>
        <w:tc>
          <w:tcPr>
            <w:tcW w:w="1840" w:type="dxa"/>
            <w:vAlign w:val="bottom"/>
          </w:tcPr>
          <w:p>
            <w:pPr>
              <w:jc w:val="right"/>
              <w:ind w:right="24"/>
              <w:spacing w:after="0"/>
              <w:rPr>
                <w:sz w:val="20"/>
                <w:szCs w:val="20"/>
                <w:color w:val="auto"/>
              </w:rPr>
            </w:pPr>
            <w:r>
              <w:rPr>
                <w:rFonts w:ascii="Arial" w:cs="Arial" w:eastAsia="Arial" w:hAnsi="Arial"/>
                <w:sz w:val="16"/>
                <w:szCs w:val="16"/>
                <w:b w:val="1"/>
                <w:bCs w:val="1"/>
                <w:color w:val="0E3C23"/>
                <w:w w:val="99"/>
              </w:rPr>
              <w:t>Proceeds from Normal</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E3C23"/>
              </w:rPr>
              <w:t>Cash Flow</w:t>
            </w:r>
          </w:p>
        </w:tc>
      </w:tr>
      <w:tr>
        <w:trPr>
          <w:trHeight w:val="184"/>
        </w:trPr>
        <w:tc>
          <w:tcPr>
            <w:tcW w:w="4240" w:type="dxa"/>
            <w:vAlign w:val="bottom"/>
          </w:tcPr>
          <w:p>
            <w:pPr>
              <w:spacing w:after="0"/>
              <w:rPr>
                <w:sz w:val="15"/>
                <w:szCs w:val="15"/>
                <w:color w:val="auto"/>
              </w:rPr>
            </w:pPr>
          </w:p>
        </w:tc>
        <w:tc>
          <w:tcPr>
            <w:tcW w:w="1840" w:type="dxa"/>
            <w:vAlign w:val="bottom"/>
          </w:tcPr>
          <w:p>
            <w:pPr>
              <w:jc w:val="right"/>
              <w:ind w:right="26"/>
              <w:spacing w:after="0"/>
              <w:rPr>
                <w:sz w:val="20"/>
                <w:szCs w:val="20"/>
                <w:color w:val="auto"/>
              </w:rPr>
            </w:pPr>
            <w:r>
              <w:rPr>
                <w:rFonts w:ascii="Arial" w:cs="Arial" w:eastAsia="Arial" w:hAnsi="Arial"/>
                <w:sz w:val="16"/>
                <w:szCs w:val="16"/>
                <w:b w:val="1"/>
                <w:bCs w:val="1"/>
                <w:color w:val="0E3C23"/>
                <w:w w:val="97"/>
              </w:rPr>
              <w:t>by Operating Activities</w:t>
            </w: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0E3C23"/>
              </w:rPr>
              <w:t>Expenditures</w:t>
            </w:r>
          </w:p>
        </w:tc>
        <w:tc>
          <w:tcPr>
            <w:tcW w:w="1840" w:type="dxa"/>
            <w:vAlign w:val="bottom"/>
          </w:tcPr>
          <w:p>
            <w:pPr>
              <w:jc w:val="right"/>
              <w:ind w:right="24"/>
              <w:spacing w:after="0"/>
              <w:rPr>
                <w:sz w:val="20"/>
                <w:szCs w:val="20"/>
                <w:color w:val="auto"/>
              </w:rPr>
            </w:pPr>
            <w:r>
              <w:rPr>
                <w:rFonts w:ascii="Arial" w:cs="Arial" w:eastAsia="Arial" w:hAnsi="Arial"/>
                <w:sz w:val="16"/>
                <w:szCs w:val="16"/>
                <w:b w:val="1"/>
                <w:bCs w:val="1"/>
                <w:color w:val="0E3C23"/>
              </w:rPr>
              <w:t>Course Divestitures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E3C23"/>
              </w:rPr>
              <w:t>Generation</w:t>
            </w:r>
          </w:p>
        </w:tc>
      </w:tr>
      <w:tr>
        <w:trPr>
          <w:trHeight w:val="44"/>
        </w:trPr>
        <w:tc>
          <w:tcPr>
            <w:tcW w:w="4240" w:type="dxa"/>
            <w:vAlign w:val="bottom"/>
            <w:tcBorders>
              <w:bottom w:val="single" w:sz="8" w:color="0E3C23"/>
            </w:tcBorders>
          </w:tcPr>
          <w:p>
            <w:pPr>
              <w:spacing w:after="0"/>
              <w:rPr>
                <w:sz w:val="3"/>
                <w:szCs w:val="3"/>
                <w:color w:val="auto"/>
              </w:rPr>
            </w:pPr>
          </w:p>
        </w:tc>
        <w:tc>
          <w:tcPr>
            <w:tcW w:w="1840" w:type="dxa"/>
            <w:vAlign w:val="bottom"/>
            <w:tcBorders>
              <w:bottom w:val="single" w:sz="8" w:color="0E3C23"/>
            </w:tcBorders>
          </w:tcPr>
          <w:p>
            <w:pPr>
              <w:spacing w:after="0"/>
              <w:rPr>
                <w:sz w:val="3"/>
                <w:szCs w:val="3"/>
                <w:color w:val="auto"/>
              </w:rPr>
            </w:pPr>
          </w:p>
        </w:tc>
        <w:tc>
          <w:tcPr>
            <w:tcW w:w="1180" w:type="dxa"/>
            <w:vAlign w:val="bottom"/>
            <w:tcBorders>
              <w:bottom w:val="single" w:sz="8" w:color="0E3C23"/>
            </w:tcBorders>
          </w:tcPr>
          <w:p>
            <w:pPr>
              <w:spacing w:after="0"/>
              <w:rPr>
                <w:sz w:val="3"/>
                <w:szCs w:val="3"/>
                <w:color w:val="auto"/>
              </w:rPr>
            </w:pPr>
          </w:p>
        </w:tc>
        <w:tc>
          <w:tcPr>
            <w:tcW w:w="1840" w:type="dxa"/>
            <w:vAlign w:val="bottom"/>
            <w:tcBorders>
              <w:bottom w:val="single" w:sz="8" w:color="0E3C23"/>
            </w:tcBorders>
          </w:tcPr>
          <w:p>
            <w:pPr>
              <w:spacing w:after="0"/>
              <w:rPr>
                <w:sz w:val="3"/>
                <w:szCs w:val="3"/>
                <w:color w:val="auto"/>
              </w:rPr>
            </w:pPr>
          </w:p>
        </w:tc>
        <w:tc>
          <w:tcPr>
            <w:tcW w:w="960" w:type="dxa"/>
            <w:vAlign w:val="bottom"/>
            <w:tcBorders>
              <w:bottom w:val="single" w:sz="8" w:color="0E3C23"/>
            </w:tcBorders>
          </w:tcPr>
          <w:p>
            <w:pPr>
              <w:spacing w:after="0"/>
              <w:rPr>
                <w:sz w:val="3"/>
                <w:szCs w:val="3"/>
                <w:color w:val="auto"/>
              </w:rPr>
            </w:pPr>
          </w:p>
        </w:tc>
      </w:tr>
      <w:tr>
        <w:trPr>
          <w:trHeight w:val="257"/>
        </w:trPr>
        <w:tc>
          <w:tcPr>
            <w:tcW w:w="4240" w:type="dxa"/>
            <w:vAlign w:val="bottom"/>
          </w:tcPr>
          <w:p>
            <w:pPr>
              <w:ind w:left="60"/>
              <w:spacing w:after="0"/>
              <w:rPr>
                <w:sz w:val="20"/>
                <w:szCs w:val="20"/>
                <w:color w:val="auto"/>
              </w:rPr>
            </w:pPr>
            <w:r>
              <w:rPr>
                <w:rFonts w:ascii="Arial" w:cs="Arial" w:eastAsia="Arial" w:hAnsi="Arial"/>
                <w:sz w:val="20"/>
                <w:szCs w:val="20"/>
                <w:color w:val="auto"/>
              </w:rPr>
              <w:t>As reported amounts</w:t>
            </w:r>
          </w:p>
        </w:tc>
        <w:tc>
          <w:tcPr>
            <w:tcW w:w="1840" w:type="dxa"/>
            <w:vAlign w:val="bottom"/>
          </w:tcPr>
          <w:p>
            <w:pPr>
              <w:jc w:val="right"/>
              <w:ind w:right="486"/>
              <w:spacing w:after="0"/>
              <w:rPr>
                <w:sz w:val="20"/>
                <w:szCs w:val="20"/>
                <w:color w:val="auto"/>
              </w:rPr>
            </w:pPr>
            <w:r>
              <w:rPr>
                <w:rFonts w:ascii="Arial" w:cs="Arial" w:eastAsia="Arial" w:hAnsi="Arial"/>
                <w:sz w:val="20"/>
                <w:szCs w:val="20"/>
                <w:color w:val="auto"/>
              </w:rPr>
              <w:t>$14,645</w:t>
            </w:r>
          </w:p>
        </w:tc>
        <w:tc>
          <w:tcPr>
            <w:tcW w:w="1180" w:type="dxa"/>
            <w:vAlign w:val="bottom"/>
          </w:tcPr>
          <w:p>
            <w:pPr>
              <w:jc w:val="right"/>
              <w:ind w:right="204"/>
              <w:spacing w:after="0"/>
              <w:rPr>
                <w:sz w:val="20"/>
                <w:szCs w:val="20"/>
                <w:color w:val="auto"/>
              </w:rPr>
            </w:pPr>
            <w:r>
              <w:rPr>
                <w:rFonts w:ascii="Arial" w:cs="Arial" w:eastAsia="Arial" w:hAnsi="Arial"/>
                <w:sz w:val="20"/>
                <w:szCs w:val="20"/>
                <w:color w:val="auto"/>
              </w:rPr>
              <w:t>$8,713</w:t>
            </w:r>
          </w:p>
        </w:tc>
        <w:tc>
          <w:tcPr>
            <w:tcW w:w="1840" w:type="dxa"/>
            <w:vAlign w:val="bottom"/>
          </w:tcPr>
          <w:p>
            <w:pPr>
              <w:jc w:val="right"/>
              <w:ind w:right="624"/>
              <w:spacing w:after="0"/>
              <w:rPr>
                <w:sz w:val="20"/>
                <w:szCs w:val="20"/>
                <w:color w:val="auto"/>
              </w:rPr>
            </w:pPr>
            <w:r>
              <w:rPr>
                <w:rFonts w:ascii="Arial" w:cs="Arial" w:eastAsia="Arial" w:hAnsi="Arial"/>
                <w:sz w:val="20"/>
                <w:szCs w:val="20"/>
                <w:color w:val="auto"/>
              </w:rPr>
              <w:t>$263</w:t>
            </w:r>
          </w:p>
        </w:tc>
        <w:tc>
          <w:tcPr>
            <w:tcW w:w="960" w:type="dxa"/>
            <w:vAlign w:val="bottom"/>
          </w:tcPr>
          <w:p>
            <w:pPr>
              <w:jc w:val="right"/>
              <w:ind w:right="64"/>
              <w:spacing w:after="0"/>
              <w:rPr>
                <w:sz w:val="20"/>
                <w:szCs w:val="20"/>
                <w:color w:val="auto"/>
              </w:rPr>
            </w:pPr>
            <w:r>
              <w:rPr>
                <w:rFonts w:ascii="Arial" w:cs="Arial" w:eastAsia="Arial" w:hAnsi="Arial"/>
                <w:sz w:val="20"/>
                <w:szCs w:val="20"/>
                <w:color w:val="auto"/>
              </w:rPr>
              <w:t>$6,195</w:t>
            </w:r>
          </w:p>
        </w:tc>
      </w:tr>
      <w:tr>
        <w:trPr>
          <w:trHeight w:val="33"/>
        </w:trPr>
        <w:tc>
          <w:tcPr>
            <w:tcW w:w="4240" w:type="dxa"/>
            <w:vAlign w:val="bottom"/>
            <w:tcBorders>
              <w:bottom w:val="single" w:sz="8" w:color="0E3C23"/>
            </w:tcBorders>
          </w:tcPr>
          <w:p>
            <w:pPr>
              <w:spacing w:after="0"/>
              <w:rPr>
                <w:sz w:val="2"/>
                <w:szCs w:val="2"/>
                <w:color w:val="auto"/>
              </w:rPr>
            </w:pPr>
          </w:p>
        </w:tc>
        <w:tc>
          <w:tcPr>
            <w:tcW w:w="1840" w:type="dxa"/>
            <w:vAlign w:val="bottom"/>
            <w:tcBorders>
              <w:bottom w:val="single" w:sz="8" w:color="0E3C23"/>
            </w:tcBorders>
          </w:tcPr>
          <w:p>
            <w:pPr>
              <w:spacing w:after="0"/>
              <w:rPr>
                <w:sz w:val="2"/>
                <w:szCs w:val="2"/>
                <w:color w:val="auto"/>
              </w:rPr>
            </w:pPr>
          </w:p>
        </w:tc>
        <w:tc>
          <w:tcPr>
            <w:tcW w:w="1180" w:type="dxa"/>
            <w:vAlign w:val="bottom"/>
            <w:tcBorders>
              <w:bottom w:val="single" w:sz="8" w:color="0E3C23"/>
            </w:tcBorders>
          </w:tcPr>
          <w:p>
            <w:pPr>
              <w:spacing w:after="0"/>
              <w:rPr>
                <w:sz w:val="2"/>
                <w:szCs w:val="2"/>
                <w:color w:val="auto"/>
              </w:rPr>
            </w:pPr>
          </w:p>
        </w:tc>
        <w:tc>
          <w:tcPr>
            <w:tcW w:w="1840" w:type="dxa"/>
            <w:vAlign w:val="bottom"/>
            <w:tcBorders>
              <w:bottom w:val="single" w:sz="8" w:color="0E3C23"/>
            </w:tcBorders>
          </w:tcPr>
          <w:p>
            <w:pPr>
              <w:spacing w:after="0"/>
              <w:rPr>
                <w:sz w:val="2"/>
                <w:szCs w:val="2"/>
                <w:color w:val="auto"/>
              </w:rPr>
            </w:pPr>
          </w:p>
        </w:tc>
        <w:tc>
          <w:tcPr>
            <w:tcW w:w="960" w:type="dxa"/>
            <w:vAlign w:val="bottom"/>
            <w:tcBorders>
              <w:bottom w:val="single" w:sz="8" w:color="0E3C23"/>
            </w:tcBorders>
          </w:tcPr>
          <w:p>
            <w:pPr>
              <w:spacing w:after="0"/>
              <w:rPr>
                <w:sz w:val="2"/>
                <w:szCs w:val="2"/>
                <w:color w:val="auto"/>
              </w:rPr>
            </w:pPr>
          </w:p>
        </w:tc>
      </w:tr>
      <w:tr>
        <w:trPr>
          <w:trHeight w:val="247"/>
        </w:trPr>
        <w:tc>
          <w:tcPr>
            <w:tcW w:w="4240" w:type="dxa"/>
            <w:vAlign w:val="bottom"/>
          </w:tcPr>
          <w:p>
            <w:pPr>
              <w:ind w:left="60"/>
              <w:spacing w:after="0"/>
              <w:rPr>
                <w:sz w:val="20"/>
                <w:szCs w:val="20"/>
                <w:color w:val="auto"/>
              </w:rPr>
            </w:pPr>
            <w:r>
              <w:rPr>
                <w:rFonts w:ascii="Arial" w:cs="Arial" w:eastAsia="Arial" w:hAnsi="Arial"/>
                <w:sz w:val="20"/>
                <w:szCs w:val="20"/>
                <w:color w:val="auto"/>
              </w:rPr>
              <w:t>Adjustments:</w:t>
            </w:r>
          </w:p>
        </w:tc>
        <w:tc>
          <w:tcPr>
            <w:tcW w:w="1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33"/>
        </w:trPr>
        <w:tc>
          <w:tcPr>
            <w:tcW w:w="4240" w:type="dxa"/>
            <w:vAlign w:val="bottom"/>
            <w:tcBorders>
              <w:bottom w:val="single" w:sz="8" w:color="0E3C23"/>
            </w:tcBorders>
          </w:tcPr>
          <w:p>
            <w:pPr>
              <w:spacing w:after="0"/>
              <w:rPr>
                <w:sz w:val="2"/>
                <w:szCs w:val="2"/>
                <w:color w:val="auto"/>
              </w:rPr>
            </w:pPr>
          </w:p>
        </w:tc>
        <w:tc>
          <w:tcPr>
            <w:tcW w:w="1840" w:type="dxa"/>
            <w:vAlign w:val="bottom"/>
            <w:tcBorders>
              <w:bottom w:val="single" w:sz="8" w:color="0E3C23"/>
            </w:tcBorders>
          </w:tcPr>
          <w:p>
            <w:pPr>
              <w:spacing w:after="0"/>
              <w:rPr>
                <w:sz w:val="2"/>
                <w:szCs w:val="2"/>
                <w:color w:val="auto"/>
              </w:rPr>
            </w:pPr>
          </w:p>
        </w:tc>
        <w:tc>
          <w:tcPr>
            <w:tcW w:w="1180" w:type="dxa"/>
            <w:vAlign w:val="bottom"/>
            <w:tcBorders>
              <w:bottom w:val="single" w:sz="8" w:color="0E3C23"/>
            </w:tcBorders>
          </w:tcPr>
          <w:p>
            <w:pPr>
              <w:spacing w:after="0"/>
              <w:rPr>
                <w:sz w:val="2"/>
                <w:szCs w:val="2"/>
                <w:color w:val="auto"/>
              </w:rPr>
            </w:pPr>
          </w:p>
        </w:tc>
        <w:tc>
          <w:tcPr>
            <w:tcW w:w="1840" w:type="dxa"/>
            <w:vAlign w:val="bottom"/>
            <w:tcBorders>
              <w:bottom w:val="single" w:sz="8" w:color="0E3C23"/>
            </w:tcBorders>
          </w:tcPr>
          <w:p>
            <w:pPr>
              <w:spacing w:after="0"/>
              <w:rPr>
                <w:sz w:val="2"/>
                <w:szCs w:val="2"/>
                <w:color w:val="auto"/>
              </w:rPr>
            </w:pPr>
          </w:p>
        </w:tc>
        <w:tc>
          <w:tcPr>
            <w:tcW w:w="960" w:type="dxa"/>
            <w:vAlign w:val="bottom"/>
            <w:tcBorders>
              <w:bottom w:val="single" w:sz="8" w:color="0E3C23"/>
            </w:tcBorders>
          </w:tcPr>
          <w:p>
            <w:pPr>
              <w:spacing w:after="0"/>
              <w:rPr>
                <w:sz w:val="2"/>
                <w:szCs w:val="2"/>
                <w:color w:val="auto"/>
              </w:rPr>
            </w:pPr>
          </w:p>
        </w:tc>
      </w:tr>
      <w:tr>
        <w:trPr>
          <w:trHeight w:val="247"/>
        </w:trPr>
        <w:tc>
          <w:tcPr>
            <w:tcW w:w="4240" w:type="dxa"/>
            <w:vAlign w:val="bottom"/>
          </w:tcPr>
          <w:p>
            <w:pPr>
              <w:ind w:left="260"/>
              <w:spacing w:after="0"/>
              <w:rPr>
                <w:sz w:val="20"/>
                <w:szCs w:val="20"/>
                <w:color w:val="auto"/>
              </w:rPr>
            </w:pPr>
            <w:r>
              <w:rPr>
                <w:rFonts w:ascii="Arial" w:cs="Arial" w:eastAsia="Arial" w:hAnsi="Arial"/>
                <w:sz w:val="20"/>
                <w:szCs w:val="20"/>
                <w:color w:val="auto"/>
              </w:rPr>
              <w:t>Costs associated with labor disruptions and</w:t>
            </w:r>
          </w:p>
        </w:tc>
        <w:tc>
          <w:tcPr>
            <w:tcW w:w="1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9"/>
        </w:trPr>
        <w:tc>
          <w:tcPr>
            <w:tcW w:w="4240" w:type="dxa"/>
            <w:vAlign w:val="bottom"/>
          </w:tcPr>
          <w:p>
            <w:pPr>
              <w:ind w:left="460"/>
              <w:spacing w:after="0"/>
              <w:rPr>
                <w:sz w:val="20"/>
                <w:szCs w:val="20"/>
                <w:color w:val="auto"/>
              </w:rPr>
            </w:pPr>
            <w:r>
              <w:rPr>
                <w:rFonts w:ascii="Arial" w:cs="Arial" w:eastAsia="Arial" w:hAnsi="Arial"/>
                <w:sz w:val="20"/>
                <w:szCs w:val="20"/>
                <w:color w:val="auto"/>
              </w:rPr>
              <w:t>multiemployer plan withdrawal</w:t>
            </w:r>
          </w:p>
        </w:tc>
        <w:tc>
          <w:tcPr>
            <w:tcW w:w="1840" w:type="dxa"/>
            <w:vAlign w:val="bottom"/>
          </w:tcPr>
          <w:p>
            <w:pPr>
              <w:jc w:val="right"/>
              <w:ind w:right="486"/>
              <w:spacing w:after="0"/>
              <w:rPr>
                <w:sz w:val="20"/>
                <w:szCs w:val="20"/>
                <w:color w:val="auto"/>
              </w:rPr>
            </w:pPr>
            <w:r>
              <w:rPr>
                <w:rFonts w:ascii="Arial" w:cs="Arial" w:eastAsia="Arial" w:hAnsi="Arial"/>
                <w:sz w:val="20"/>
                <w:szCs w:val="20"/>
                <w:color w:val="auto"/>
              </w:rPr>
              <w:t>11</w:t>
            </w:r>
          </w:p>
        </w:tc>
        <w:tc>
          <w:tcPr>
            <w:tcW w:w="1180" w:type="dxa"/>
            <w:vAlign w:val="bottom"/>
          </w:tcPr>
          <w:p>
            <w:pPr>
              <w:jc w:val="right"/>
              <w:ind w:right="204"/>
              <w:spacing w:after="0"/>
              <w:rPr>
                <w:sz w:val="20"/>
                <w:szCs w:val="20"/>
                <w:color w:val="auto"/>
              </w:rPr>
            </w:pPr>
            <w:r>
              <w:rPr>
                <w:rFonts w:ascii="Arial" w:cs="Arial" w:eastAsia="Arial" w:hAnsi="Arial"/>
                <w:sz w:val="20"/>
                <w:szCs w:val="20"/>
                <w:color w:val="auto"/>
              </w:rPr>
              <w:t>—</w:t>
            </w:r>
          </w:p>
        </w:tc>
        <w:tc>
          <w:tcPr>
            <w:tcW w:w="1840" w:type="dxa"/>
            <w:vAlign w:val="bottom"/>
          </w:tcPr>
          <w:p>
            <w:pPr>
              <w:jc w:val="right"/>
              <w:ind w:right="624"/>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64"/>
              <w:spacing w:after="0"/>
              <w:rPr>
                <w:sz w:val="20"/>
                <w:szCs w:val="20"/>
                <w:color w:val="auto"/>
              </w:rPr>
            </w:pPr>
            <w:r>
              <w:rPr>
                <w:rFonts w:ascii="Arial" w:cs="Arial" w:eastAsia="Arial" w:hAnsi="Arial"/>
                <w:sz w:val="20"/>
                <w:szCs w:val="20"/>
                <w:color w:val="auto"/>
              </w:rPr>
              <w:t>11</w:t>
            </w:r>
          </w:p>
        </w:tc>
      </w:tr>
      <w:tr>
        <w:trPr>
          <w:trHeight w:val="33"/>
        </w:trPr>
        <w:tc>
          <w:tcPr>
            <w:tcW w:w="4240" w:type="dxa"/>
            <w:vAlign w:val="bottom"/>
            <w:tcBorders>
              <w:bottom w:val="single" w:sz="8" w:color="0E3C23"/>
            </w:tcBorders>
          </w:tcPr>
          <w:p>
            <w:pPr>
              <w:spacing w:after="0"/>
              <w:rPr>
                <w:sz w:val="2"/>
                <w:szCs w:val="2"/>
                <w:color w:val="auto"/>
              </w:rPr>
            </w:pPr>
          </w:p>
        </w:tc>
        <w:tc>
          <w:tcPr>
            <w:tcW w:w="1840" w:type="dxa"/>
            <w:vAlign w:val="bottom"/>
            <w:tcBorders>
              <w:bottom w:val="single" w:sz="8" w:color="0E3C23"/>
            </w:tcBorders>
          </w:tcPr>
          <w:p>
            <w:pPr>
              <w:spacing w:after="0"/>
              <w:rPr>
                <w:sz w:val="2"/>
                <w:szCs w:val="2"/>
                <w:color w:val="auto"/>
              </w:rPr>
            </w:pPr>
          </w:p>
        </w:tc>
        <w:tc>
          <w:tcPr>
            <w:tcW w:w="1180" w:type="dxa"/>
            <w:vAlign w:val="bottom"/>
            <w:tcBorders>
              <w:bottom w:val="single" w:sz="8" w:color="0E3C23"/>
            </w:tcBorders>
          </w:tcPr>
          <w:p>
            <w:pPr>
              <w:spacing w:after="0"/>
              <w:rPr>
                <w:sz w:val="2"/>
                <w:szCs w:val="2"/>
                <w:color w:val="auto"/>
              </w:rPr>
            </w:pPr>
          </w:p>
        </w:tc>
        <w:tc>
          <w:tcPr>
            <w:tcW w:w="1840" w:type="dxa"/>
            <w:vAlign w:val="bottom"/>
            <w:tcBorders>
              <w:bottom w:val="single" w:sz="8" w:color="0E3C23"/>
            </w:tcBorders>
          </w:tcPr>
          <w:p>
            <w:pPr>
              <w:spacing w:after="0"/>
              <w:rPr>
                <w:sz w:val="2"/>
                <w:szCs w:val="2"/>
                <w:color w:val="auto"/>
              </w:rPr>
            </w:pPr>
          </w:p>
        </w:tc>
        <w:tc>
          <w:tcPr>
            <w:tcW w:w="960" w:type="dxa"/>
            <w:vAlign w:val="bottom"/>
            <w:tcBorders>
              <w:bottom w:val="single" w:sz="8" w:color="0E3C23"/>
            </w:tcBorders>
          </w:tcPr>
          <w:p>
            <w:pPr>
              <w:spacing w:after="0"/>
              <w:rPr>
                <w:sz w:val="2"/>
                <w:szCs w:val="2"/>
                <w:color w:val="auto"/>
              </w:rPr>
            </w:pPr>
          </w:p>
        </w:tc>
      </w:tr>
      <w:tr>
        <w:trPr>
          <w:trHeight w:val="246"/>
        </w:trPr>
        <w:tc>
          <w:tcPr>
            <w:tcW w:w="4240" w:type="dxa"/>
            <w:vAlign w:val="bottom"/>
          </w:tcPr>
          <w:p>
            <w:pPr>
              <w:ind w:left="260"/>
              <w:spacing w:after="0"/>
              <w:rPr>
                <w:sz w:val="20"/>
                <w:szCs w:val="20"/>
                <w:color w:val="auto"/>
              </w:rPr>
            </w:pPr>
            <w:r>
              <w:rPr>
                <w:rFonts w:ascii="Arial" w:cs="Arial" w:eastAsia="Arial" w:hAnsi="Arial"/>
                <w:sz w:val="20"/>
                <w:szCs w:val="20"/>
                <w:color w:val="auto"/>
              </w:rPr>
              <w:t>Restructuring</w:t>
            </w:r>
          </w:p>
        </w:tc>
        <w:tc>
          <w:tcPr>
            <w:tcW w:w="1840" w:type="dxa"/>
            <w:vAlign w:val="bottom"/>
          </w:tcPr>
          <w:p>
            <w:pPr>
              <w:jc w:val="right"/>
              <w:ind w:right="486"/>
              <w:spacing w:after="0"/>
              <w:rPr>
                <w:sz w:val="20"/>
                <w:szCs w:val="20"/>
                <w:color w:val="auto"/>
              </w:rPr>
            </w:pPr>
            <w:r>
              <w:rPr>
                <w:rFonts w:ascii="Arial" w:cs="Arial" w:eastAsia="Arial" w:hAnsi="Arial"/>
                <w:sz w:val="20"/>
                <w:szCs w:val="20"/>
                <w:color w:val="auto"/>
              </w:rPr>
              <w:t>7</w:t>
            </w:r>
          </w:p>
        </w:tc>
        <w:tc>
          <w:tcPr>
            <w:tcW w:w="1180" w:type="dxa"/>
            <w:vAlign w:val="bottom"/>
          </w:tcPr>
          <w:p>
            <w:pPr>
              <w:jc w:val="right"/>
              <w:ind w:right="204"/>
              <w:spacing w:after="0"/>
              <w:rPr>
                <w:sz w:val="20"/>
                <w:szCs w:val="20"/>
                <w:color w:val="auto"/>
              </w:rPr>
            </w:pPr>
            <w:r>
              <w:rPr>
                <w:rFonts w:ascii="Arial" w:cs="Arial" w:eastAsia="Arial" w:hAnsi="Arial"/>
                <w:sz w:val="20"/>
                <w:szCs w:val="20"/>
                <w:color w:val="auto"/>
              </w:rPr>
              <w:t>—</w:t>
            </w:r>
          </w:p>
        </w:tc>
        <w:tc>
          <w:tcPr>
            <w:tcW w:w="1840" w:type="dxa"/>
            <w:vAlign w:val="bottom"/>
          </w:tcPr>
          <w:p>
            <w:pPr>
              <w:jc w:val="right"/>
              <w:ind w:right="624"/>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64"/>
              <w:spacing w:after="0"/>
              <w:rPr>
                <w:sz w:val="20"/>
                <w:szCs w:val="20"/>
                <w:color w:val="auto"/>
              </w:rPr>
            </w:pPr>
            <w:r>
              <w:rPr>
                <w:rFonts w:ascii="Arial" w:cs="Arial" w:eastAsia="Arial" w:hAnsi="Arial"/>
                <w:sz w:val="20"/>
                <w:szCs w:val="20"/>
                <w:color w:val="auto"/>
              </w:rPr>
              <w:t>7</w:t>
            </w:r>
          </w:p>
        </w:tc>
      </w:tr>
      <w:tr>
        <w:trPr>
          <w:trHeight w:val="33"/>
        </w:trPr>
        <w:tc>
          <w:tcPr>
            <w:tcW w:w="4240" w:type="dxa"/>
            <w:vAlign w:val="bottom"/>
            <w:tcBorders>
              <w:bottom w:val="single" w:sz="8" w:color="0E3C23"/>
            </w:tcBorders>
          </w:tcPr>
          <w:p>
            <w:pPr>
              <w:spacing w:after="0"/>
              <w:rPr>
                <w:sz w:val="2"/>
                <w:szCs w:val="2"/>
                <w:color w:val="auto"/>
              </w:rPr>
            </w:pPr>
          </w:p>
        </w:tc>
        <w:tc>
          <w:tcPr>
            <w:tcW w:w="1840" w:type="dxa"/>
            <w:vAlign w:val="bottom"/>
            <w:tcBorders>
              <w:bottom w:val="single" w:sz="8" w:color="0E3C23"/>
            </w:tcBorders>
          </w:tcPr>
          <w:p>
            <w:pPr>
              <w:spacing w:after="0"/>
              <w:rPr>
                <w:sz w:val="2"/>
                <w:szCs w:val="2"/>
                <w:color w:val="auto"/>
              </w:rPr>
            </w:pPr>
          </w:p>
        </w:tc>
        <w:tc>
          <w:tcPr>
            <w:tcW w:w="1180" w:type="dxa"/>
            <w:vAlign w:val="bottom"/>
            <w:tcBorders>
              <w:bottom w:val="single" w:sz="8" w:color="0E3C23"/>
            </w:tcBorders>
          </w:tcPr>
          <w:p>
            <w:pPr>
              <w:spacing w:after="0"/>
              <w:rPr>
                <w:sz w:val="2"/>
                <w:szCs w:val="2"/>
                <w:color w:val="auto"/>
              </w:rPr>
            </w:pPr>
          </w:p>
        </w:tc>
        <w:tc>
          <w:tcPr>
            <w:tcW w:w="1840" w:type="dxa"/>
            <w:vAlign w:val="bottom"/>
            <w:tcBorders>
              <w:bottom w:val="single" w:sz="8" w:color="0E3C23"/>
            </w:tcBorders>
          </w:tcPr>
          <w:p>
            <w:pPr>
              <w:spacing w:after="0"/>
              <w:rPr>
                <w:sz w:val="2"/>
                <w:szCs w:val="2"/>
                <w:color w:val="auto"/>
              </w:rPr>
            </w:pPr>
          </w:p>
        </w:tc>
        <w:tc>
          <w:tcPr>
            <w:tcW w:w="960" w:type="dxa"/>
            <w:vAlign w:val="bottom"/>
            <w:tcBorders>
              <w:bottom w:val="single" w:sz="8" w:color="0E3C23"/>
            </w:tcBorders>
          </w:tcPr>
          <w:p>
            <w:pPr>
              <w:spacing w:after="0"/>
              <w:rPr>
                <w:sz w:val="2"/>
                <w:szCs w:val="2"/>
                <w:color w:val="auto"/>
              </w:rPr>
            </w:pPr>
          </w:p>
        </w:tc>
      </w:tr>
      <w:tr>
        <w:trPr>
          <w:trHeight w:val="246"/>
        </w:trPr>
        <w:tc>
          <w:tcPr>
            <w:tcW w:w="4240" w:type="dxa"/>
            <w:vAlign w:val="bottom"/>
          </w:tcPr>
          <w:p>
            <w:pPr>
              <w:ind w:left="260"/>
              <w:spacing w:after="0"/>
              <w:rPr>
                <w:sz w:val="20"/>
                <w:szCs w:val="20"/>
                <w:color w:val="auto"/>
              </w:rPr>
            </w:pPr>
            <w:r>
              <w:rPr>
                <w:rFonts w:ascii="Arial" w:cs="Arial" w:eastAsia="Arial" w:hAnsi="Arial"/>
                <w:sz w:val="20"/>
                <w:szCs w:val="20"/>
                <w:color w:val="auto"/>
              </w:rPr>
              <w:t>Transaction and integration costs incurred in</w:t>
            </w:r>
          </w:p>
        </w:tc>
        <w:tc>
          <w:tcPr>
            <w:tcW w:w="1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9"/>
        </w:trPr>
        <w:tc>
          <w:tcPr>
            <w:tcW w:w="4240" w:type="dxa"/>
            <w:vAlign w:val="bottom"/>
          </w:tcPr>
          <w:p>
            <w:pPr>
              <w:ind w:left="460"/>
              <w:spacing w:after="0"/>
              <w:rPr>
                <w:sz w:val="20"/>
                <w:szCs w:val="20"/>
                <w:color w:val="auto"/>
              </w:rPr>
            </w:pPr>
            <w:r>
              <w:rPr>
                <w:rFonts w:ascii="Arial" w:cs="Arial" w:eastAsia="Arial" w:hAnsi="Arial"/>
                <w:sz w:val="20"/>
                <w:szCs w:val="20"/>
                <w:color w:val="auto"/>
              </w:rPr>
              <w:t>support of strategic acquisitions, including</w:t>
            </w:r>
          </w:p>
        </w:tc>
        <w:tc>
          <w:tcPr>
            <w:tcW w:w="1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9"/>
        </w:trPr>
        <w:tc>
          <w:tcPr>
            <w:tcW w:w="4240" w:type="dxa"/>
            <w:vAlign w:val="bottom"/>
          </w:tcPr>
          <w:p>
            <w:pPr>
              <w:ind w:left="460"/>
              <w:spacing w:after="0"/>
              <w:rPr>
                <w:sz w:val="20"/>
                <w:szCs w:val="20"/>
                <w:color w:val="auto"/>
              </w:rPr>
            </w:pPr>
            <w:r>
              <w:rPr>
                <w:rFonts w:ascii="Arial" w:cs="Arial" w:eastAsia="Arial" w:hAnsi="Arial"/>
                <w:sz w:val="20"/>
                <w:szCs w:val="20"/>
                <w:color w:val="auto"/>
              </w:rPr>
              <w:t>Stericycle</w:t>
            </w:r>
          </w:p>
        </w:tc>
        <w:tc>
          <w:tcPr>
            <w:tcW w:w="1840" w:type="dxa"/>
            <w:vAlign w:val="bottom"/>
          </w:tcPr>
          <w:p>
            <w:pPr>
              <w:jc w:val="right"/>
              <w:ind w:right="486"/>
              <w:spacing w:after="0"/>
              <w:rPr>
                <w:sz w:val="20"/>
                <w:szCs w:val="20"/>
                <w:color w:val="auto"/>
              </w:rPr>
            </w:pPr>
            <w:r>
              <w:rPr>
                <w:rFonts w:ascii="Arial" w:cs="Arial" w:eastAsia="Arial" w:hAnsi="Arial"/>
                <w:sz w:val="20"/>
                <w:szCs w:val="20"/>
                <w:color w:val="auto"/>
              </w:rPr>
              <w:t>49</w:t>
            </w:r>
          </w:p>
        </w:tc>
        <w:tc>
          <w:tcPr>
            <w:tcW w:w="1180" w:type="dxa"/>
            <w:vAlign w:val="bottom"/>
          </w:tcPr>
          <w:p>
            <w:pPr>
              <w:jc w:val="right"/>
              <w:ind w:right="204"/>
              <w:spacing w:after="0"/>
              <w:rPr>
                <w:sz w:val="20"/>
                <w:szCs w:val="20"/>
                <w:color w:val="auto"/>
              </w:rPr>
            </w:pPr>
            <w:r>
              <w:rPr>
                <w:rFonts w:ascii="Arial" w:cs="Arial" w:eastAsia="Arial" w:hAnsi="Arial"/>
                <w:sz w:val="20"/>
                <w:szCs w:val="20"/>
                <w:color w:val="auto"/>
              </w:rPr>
              <w:t>—</w:t>
            </w:r>
          </w:p>
        </w:tc>
        <w:tc>
          <w:tcPr>
            <w:tcW w:w="1840" w:type="dxa"/>
            <w:vAlign w:val="bottom"/>
          </w:tcPr>
          <w:p>
            <w:pPr>
              <w:jc w:val="right"/>
              <w:ind w:right="624"/>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64"/>
              <w:spacing w:after="0"/>
              <w:rPr>
                <w:sz w:val="20"/>
                <w:szCs w:val="20"/>
                <w:color w:val="auto"/>
              </w:rPr>
            </w:pPr>
            <w:r>
              <w:rPr>
                <w:rFonts w:ascii="Arial" w:cs="Arial" w:eastAsia="Arial" w:hAnsi="Arial"/>
                <w:sz w:val="20"/>
                <w:szCs w:val="20"/>
                <w:color w:val="auto"/>
              </w:rPr>
              <w:t>49</w:t>
            </w:r>
          </w:p>
        </w:tc>
      </w:tr>
      <w:tr>
        <w:trPr>
          <w:trHeight w:val="33"/>
        </w:trPr>
        <w:tc>
          <w:tcPr>
            <w:tcW w:w="4240" w:type="dxa"/>
            <w:vAlign w:val="bottom"/>
            <w:tcBorders>
              <w:bottom w:val="single" w:sz="8" w:color="0E3C23"/>
            </w:tcBorders>
          </w:tcPr>
          <w:p>
            <w:pPr>
              <w:spacing w:after="0"/>
              <w:rPr>
                <w:sz w:val="2"/>
                <w:szCs w:val="2"/>
                <w:color w:val="auto"/>
              </w:rPr>
            </w:pPr>
          </w:p>
        </w:tc>
        <w:tc>
          <w:tcPr>
            <w:tcW w:w="1840" w:type="dxa"/>
            <w:vAlign w:val="bottom"/>
            <w:tcBorders>
              <w:bottom w:val="single" w:sz="8" w:color="0E3C23"/>
            </w:tcBorders>
          </w:tcPr>
          <w:p>
            <w:pPr>
              <w:spacing w:after="0"/>
              <w:rPr>
                <w:sz w:val="2"/>
                <w:szCs w:val="2"/>
                <w:color w:val="auto"/>
              </w:rPr>
            </w:pPr>
          </w:p>
        </w:tc>
        <w:tc>
          <w:tcPr>
            <w:tcW w:w="1180" w:type="dxa"/>
            <w:vAlign w:val="bottom"/>
            <w:tcBorders>
              <w:bottom w:val="single" w:sz="8" w:color="0E3C23"/>
            </w:tcBorders>
          </w:tcPr>
          <w:p>
            <w:pPr>
              <w:spacing w:after="0"/>
              <w:rPr>
                <w:sz w:val="2"/>
                <w:szCs w:val="2"/>
                <w:color w:val="auto"/>
              </w:rPr>
            </w:pPr>
          </w:p>
        </w:tc>
        <w:tc>
          <w:tcPr>
            <w:tcW w:w="1840" w:type="dxa"/>
            <w:vAlign w:val="bottom"/>
            <w:tcBorders>
              <w:bottom w:val="single" w:sz="8" w:color="0E3C23"/>
            </w:tcBorders>
          </w:tcPr>
          <w:p>
            <w:pPr>
              <w:spacing w:after="0"/>
              <w:rPr>
                <w:sz w:val="2"/>
                <w:szCs w:val="2"/>
                <w:color w:val="auto"/>
              </w:rPr>
            </w:pPr>
          </w:p>
        </w:tc>
        <w:tc>
          <w:tcPr>
            <w:tcW w:w="960" w:type="dxa"/>
            <w:vAlign w:val="bottom"/>
            <w:tcBorders>
              <w:bottom w:val="single" w:sz="8" w:color="0E3C23"/>
            </w:tcBorders>
          </w:tcPr>
          <w:p>
            <w:pPr>
              <w:spacing w:after="0"/>
              <w:rPr>
                <w:sz w:val="2"/>
                <w:szCs w:val="2"/>
                <w:color w:val="auto"/>
              </w:rPr>
            </w:pPr>
          </w:p>
        </w:tc>
      </w:tr>
      <w:tr>
        <w:trPr>
          <w:trHeight w:val="246"/>
        </w:trPr>
        <w:tc>
          <w:tcPr>
            <w:tcW w:w="4240" w:type="dxa"/>
            <w:vAlign w:val="bottom"/>
          </w:tcPr>
          <w:p>
            <w:pPr>
              <w:ind w:left="260"/>
              <w:spacing w:after="0"/>
              <w:rPr>
                <w:sz w:val="20"/>
                <w:szCs w:val="20"/>
                <w:color w:val="auto"/>
              </w:rPr>
            </w:pPr>
            <w:r>
              <w:rPr>
                <w:rFonts w:ascii="Arial" w:cs="Arial" w:eastAsia="Arial" w:hAnsi="Arial"/>
                <w:sz w:val="20"/>
                <w:szCs w:val="20"/>
                <w:color w:val="auto"/>
              </w:rPr>
              <w:t>Post-closing contributions from the</w:t>
            </w:r>
          </w:p>
        </w:tc>
        <w:tc>
          <w:tcPr>
            <w:tcW w:w="1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9"/>
        </w:trPr>
        <w:tc>
          <w:tcPr>
            <w:tcW w:w="4240" w:type="dxa"/>
            <w:vAlign w:val="bottom"/>
          </w:tcPr>
          <w:p>
            <w:pPr>
              <w:ind w:left="460"/>
              <w:spacing w:after="0"/>
              <w:rPr>
                <w:sz w:val="20"/>
                <w:szCs w:val="20"/>
                <w:color w:val="auto"/>
              </w:rPr>
            </w:pPr>
            <w:r>
              <w:rPr>
                <w:rFonts w:ascii="Arial" w:cs="Arial" w:eastAsia="Arial" w:hAnsi="Arial"/>
                <w:sz w:val="20"/>
                <w:szCs w:val="20"/>
                <w:color w:val="auto"/>
              </w:rPr>
              <w:t>Stericycle acquisition and tax impact</w:t>
            </w:r>
          </w:p>
        </w:tc>
        <w:tc>
          <w:tcPr>
            <w:tcW w:w="1840" w:type="dxa"/>
            <w:vAlign w:val="bottom"/>
          </w:tcPr>
          <w:p>
            <w:pPr>
              <w:jc w:val="right"/>
              <w:ind w:right="426"/>
              <w:spacing w:after="0"/>
              <w:rPr>
                <w:sz w:val="20"/>
                <w:szCs w:val="20"/>
                <w:color w:val="auto"/>
              </w:rPr>
            </w:pPr>
            <w:r>
              <w:rPr>
                <w:rFonts w:ascii="Arial" w:cs="Arial" w:eastAsia="Arial" w:hAnsi="Arial"/>
                <w:sz w:val="20"/>
                <w:szCs w:val="20"/>
                <w:color w:val="auto"/>
              </w:rPr>
              <w:t>(31)</w:t>
            </w:r>
          </w:p>
        </w:tc>
        <w:tc>
          <w:tcPr>
            <w:tcW w:w="1180" w:type="dxa"/>
            <w:vAlign w:val="bottom"/>
          </w:tcPr>
          <w:p>
            <w:pPr>
              <w:jc w:val="right"/>
              <w:ind w:right="164"/>
              <w:spacing w:after="0"/>
              <w:rPr>
                <w:sz w:val="20"/>
                <w:szCs w:val="20"/>
                <w:color w:val="auto"/>
              </w:rPr>
            </w:pPr>
            <w:r>
              <w:rPr>
                <w:rFonts w:ascii="Arial" w:cs="Arial" w:eastAsia="Arial" w:hAnsi="Arial"/>
                <w:sz w:val="20"/>
                <w:szCs w:val="20"/>
                <w:color w:val="auto"/>
              </w:rPr>
              <w:t>(50)</w:t>
            </w:r>
          </w:p>
        </w:tc>
        <w:tc>
          <w:tcPr>
            <w:tcW w:w="1840" w:type="dxa"/>
            <w:vAlign w:val="bottom"/>
          </w:tcPr>
          <w:p>
            <w:pPr>
              <w:jc w:val="right"/>
              <w:ind w:right="624"/>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64"/>
              <w:spacing w:after="0"/>
              <w:rPr>
                <w:sz w:val="20"/>
                <w:szCs w:val="20"/>
                <w:color w:val="auto"/>
              </w:rPr>
            </w:pPr>
            <w:r>
              <w:rPr>
                <w:rFonts w:ascii="Arial" w:cs="Arial" w:eastAsia="Arial" w:hAnsi="Arial"/>
                <w:sz w:val="20"/>
                <w:szCs w:val="20"/>
                <w:color w:val="auto"/>
              </w:rPr>
              <w:t>19</w:t>
            </w:r>
          </w:p>
        </w:tc>
      </w:tr>
      <w:tr>
        <w:trPr>
          <w:trHeight w:val="33"/>
        </w:trPr>
        <w:tc>
          <w:tcPr>
            <w:tcW w:w="4240" w:type="dxa"/>
            <w:vAlign w:val="bottom"/>
            <w:tcBorders>
              <w:bottom w:val="single" w:sz="8" w:color="0E3C23"/>
            </w:tcBorders>
          </w:tcPr>
          <w:p>
            <w:pPr>
              <w:spacing w:after="0"/>
              <w:rPr>
                <w:sz w:val="2"/>
                <w:szCs w:val="2"/>
                <w:color w:val="auto"/>
              </w:rPr>
            </w:pPr>
          </w:p>
        </w:tc>
        <w:tc>
          <w:tcPr>
            <w:tcW w:w="1840" w:type="dxa"/>
            <w:vAlign w:val="bottom"/>
            <w:tcBorders>
              <w:bottom w:val="single" w:sz="8" w:color="0E3C23"/>
            </w:tcBorders>
          </w:tcPr>
          <w:p>
            <w:pPr>
              <w:spacing w:after="0"/>
              <w:rPr>
                <w:sz w:val="2"/>
                <w:szCs w:val="2"/>
                <w:color w:val="auto"/>
              </w:rPr>
            </w:pPr>
          </w:p>
        </w:tc>
        <w:tc>
          <w:tcPr>
            <w:tcW w:w="1180" w:type="dxa"/>
            <w:vAlign w:val="bottom"/>
            <w:tcBorders>
              <w:bottom w:val="single" w:sz="8" w:color="0E3C23"/>
            </w:tcBorders>
          </w:tcPr>
          <w:p>
            <w:pPr>
              <w:spacing w:after="0"/>
              <w:rPr>
                <w:sz w:val="2"/>
                <w:szCs w:val="2"/>
                <w:color w:val="auto"/>
              </w:rPr>
            </w:pPr>
          </w:p>
        </w:tc>
        <w:tc>
          <w:tcPr>
            <w:tcW w:w="1840" w:type="dxa"/>
            <w:vAlign w:val="bottom"/>
            <w:tcBorders>
              <w:bottom w:val="single" w:sz="8" w:color="0E3C23"/>
            </w:tcBorders>
          </w:tcPr>
          <w:p>
            <w:pPr>
              <w:spacing w:after="0"/>
              <w:rPr>
                <w:sz w:val="2"/>
                <w:szCs w:val="2"/>
                <w:color w:val="auto"/>
              </w:rPr>
            </w:pPr>
          </w:p>
        </w:tc>
        <w:tc>
          <w:tcPr>
            <w:tcW w:w="960" w:type="dxa"/>
            <w:vAlign w:val="bottom"/>
            <w:tcBorders>
              <w:bottom w:val="single" w:sz="8" w:color="0E3C23"/>
            </w:tcBorders>
          </w:tcPr>
          <w:p>
            <w:pPr>
              <w:spacing w:after="0"/>
              <w:rPr>
                <w:sz w:val="2"/>
                <w:szCs w:val="2"/>
                <w:color w:val="auto"/>
              </w:rPr>
            </w:pPr>
          </w:p>
        </w:tc>
      </w:tr>
      <w:tr>
        <w:trPr>
          <w:trHeight w:val="241"/>
        </w:trPr>
        <w:tc>
          <w:tcPr>
            <w:tcW w:w="4240" w:type="dxa"/>
            <w:vAlign w:val="bottom"/>
          </w:tcPr>
          <w:p>
            <w:pPr>
              <w:ind w:left="260"/>
              <w:spacing w:after="0"/>
              <w:rPr>
                <w:sz w:val="20"/>
                <w:szCs w:val="20"/>
                <w:color w:val="auto"/>
              </w:rPr>
            </w:pPr>
            <w:r>
              <w:rPr>
                <w:rFonts w:ascii="Arial" w:cs="Arial" w:eastAsia="Arial" w:hAnsi="Arial"/>
                <w:sz w:val="20"/>
                <w:szCs w:val="20"/>
                <w:color w:val="auto"/>
              </w:rPr>
              <w:t>Incremental sustainability growth capital</w:t>
            </w:r>
          </w:p>
        </w:tc>
        <w:tc>
          <w:tcPr>
            <w:tcW w:w="1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8"/>
        </w:trPr>
        <w:tc>
          <w:tcPr>
            <w:tcW w:w="4240" w:type="dxa"/>
            <w:vAlign w:val="bottom"/>
            <w:tcBorders>
              <w:bottom w:val="single" w:sz="8" w:color="0E3C23"/>
            </w:tcBorders>
          </w:tcPr>
          <w:p>
            <w:pPr>
              <w:ind w:left="460"/>
              <w:spacing w:after="0" w:line="278" w:lineRule="exact"/>
              <w:rPr>
                <w:sz w:val="20"/>
                <w:szCs w:val="20"/>
                <w:color w:val="auto"/>
              </w:rPr>
            </w:pPr>
            <w:r>
              <w:rPr>
                <w:rFonts w:ascii="Arial" w:cs="Arial" w:eastAsia="Arial" w:hAnsi="Arial"/>
                <w:sz w:val="20"/>
                <w:szCs w:val="20"/>
                <w:color w:val="auto"/>
              </w:rPr>
              <w:t>investments</w:t>
            </w:r>
            <w:r>
              <w:rPr>
                <w:rFonts w:ascii="Arial" w:cs="Arial" w:eastAsia="Arial" w:hAnsi="Arial"/>
                <w:sz w:val="25"/>
                <w:szCs w:val="25"/>
                <w:color w:val="auto"/>
                <w:vertAlign w:val="superscript"/>
              </w:rPr>
              <w:t>(c)</w:t>
            </w:r>
          </w:p>
        </w:tc>
        <w:tc>
          <w:tcPr>
            <w:tcW w:w="1840" w:type="dxa"/>
            <w:vAlign w:val="bottom"/>
            <w:tcBorders>
              <w:bottom w:val="single" w:sz="8" w:color="0E3C23"/>
            </w:tcBorders>
          </w:tcPr>
          <w:p>
            <w:pPr>
              <w:jc w:val="right"/>
              <w:ind w:right="486"/>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0E3C23"/>
            </w:tcBorders>
          </w:tcPr>
          <w:p>
            <w:pPr>
              <w:jc w:val="right"/>
              <w:ind w:right="164"/>
              <w:spacing w:after="0"/>
              <w:rPr>
                <w:sz w:val="20"/>
                <w:szCs w:val="20"/>
                <w:color w:val="auto"/>
              </w:rPr>
            </w:pPr>
            <w:r>
              <w:rPr>
                <w:rFonts w:ascii="Arial" w:cs="Arial" w:eastAsia="Arial" w:hAnsi="Arial"/>
                <w:sz w:val="20"/>
                <w:szCs w:val="20"/>
                <w:color w:val="auto"/>
              </w:rPr>
              <w:t>(700)</w:t>
            </w:r>
          </w:p>
        </w:tc>
        <w:tc>
          <w:tcPr>
            <w:tcW w:w="1840" w:type="dxa"/>
            <w:vAlign w:val="bottom"/>
            <w:tcBorders>
              <w:bottom w:val="single" w:sz="8" w:color="0E3C23"/>
            </w:tcBorders>
          </w:tcPr>
          <w:p>
            <w:pPr>
              <w:jc w:val="right"/>
              <w:ind w:right="624"/>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0E3C23"/>
            </w:tcBorders>
          </w:tcPr>
          <w:p>
            <w:pPr>
              <w:jc w:val="right"/>
              <w:ind w:right="64"/>
              <w:spacing w:after="0"/>
              <w:rPr>
                <w:sz w:val="20"/>
                <w:szCs w:val="20"/>
                <w:color w:val="auto"/>
              </w:rPr>
            </w:pPr>
            <w:r>
              <w:rPr>
                <w:rFonts w:ascii="Arial" w:cs="Arial" w:eastAsia="Arial" w:hAnsi="Arial"/>
                <w:sz w:val="20"/>
                <w:szCs w:val="20"/>
                <w:color w:val="auto"/>
              </w:rPr>
              <w:t>700</w:t>
            </w:r>
          </w:p>
        </w:tc>
      </w:tr>
      <w:tr>
        <w:trPr>
          <w:trHeight w:val="279"/>
        </w:trPr>
        <w:tc>
          <w:tcPr>
            <w:tcW w:w="4240" w:type="dxa"/>
            <w:vAlign w:val="bottom"/>
            <w:tcBorders>
              <w:bottom w:val="single" w:sz="8" w:color="0E3C23"/>
            </w:tcBorders>
          </w:tcPr>
          <w:p>
            <w:pPr>
              <w:ind w:left="260"/>
              <w:spacing w:after="0" w:line="280" w:lineRule="exact"/>
              <w:rPr>
                <w:sz w:val="20"/>
                <w:szCs w:val="20"/>
                <w:color w:val="auto"/>
              </w:rPr>
            </w:pPr>
            <w:r>
              <w:rPr>
                <w:rFonts w:ascii="Arial" w:cs="Arial" w:eastAsia="Arial" w:hAnsi="Arial"/>
                <w:sz w:val="20"/>
                <w:szCs w:val="20"/>
                <w:color w:val="auto"/>
              </w:rPr>
              <w:t>Investment Tax Credits</w:t>
            </w:r>
            <w:r>
              <w:rPr>
                <w:rFonts w:ascii="Arial" w:cs="Arial" w:eastAsia="Arial" w:hAnsi="Arial"/>
                <w:sz w:val="25"/>
                <w:szCs w:val="25"/>
                <w:color w:val="auto"/>
                <w:vertAlign w:val="superscript"/>
              </w:rPr>
              <w:t>(c)</w:t>
            </w:r>
          </w:p>
        </w:tc>
        <w:tc>
          <w:tcPr>
            <w:tcW w:w="1840" w:type="dxa"/>
            <w:vAlign w:val="bottom"/>
            <w:tcBorders>
              <w:bottom w:val="single" w:sz="8" w:color="0E3C23"/>
            </w:tcBorders>
          </w:tcPr>
          <w:p>
            <w:pPr>
              <w:jc w:val="right"/>
              <w:ind w:right="426"/>
              <w:spacing w:after="0"/>
              <w:rPr>
                <w:sz w:val="20"/>
                <w:szCs w:val="20"/>
                <w:color w:val="auto"/>
              </w:rPr>
            </w:pPr>
            <w:r>
              <w:rPr>
                <w:rFonts w:ascii="Arial" w:cs="Arial" w:eastAsia="Arial" w:hAnsi="Arial"/>
                <w:sz w:val="20"/>
                <w:szCs w:val="20"/>
                <w:color w:val="auto"/>
              </w:rPr>
              <w:t>(134)</w:t>
            </w:r>
          </w:p>
        </w:tc>
        <w:tc>
          <w:tcPr>
            <w:tcW w:w="1180" w:type="dxa"/>
            <w:vAlign w:val="bottom"/>
            <w:tcBorders>
              <w:bottom w:val="single" w:sz="8" w:color="0E3C23"/>
            </w:tcBorders>
          </w:tcPr>
          <w:p>
            <w:pPr>
              <w:jc w:val="right"/>
              <w:ind w:right="204"/>
              <w:spacing w:after="0"/>
              <w:rPr>
                <w:sz w:val="20"/>
                <w:szCs w:val="20"/>
                <w:color w:val="auto"/>
              </w:rPr>
            </w:pPr>
            <w:r>
              <w:rPr>
                <w:rFonts w:ascii="Arial" w:cs="Arial" w:eastAsia="Arial" w:hAnsi="Arial"/>
                <w:sz w:val="20"/>
                <w:szCs w:val="20"/>
                <w:color w:val="auto"/>
              </w:rPr>
              <w:t>—</w:t>
            </w:r>
          </w:p>
        </w:tc>
        <w:tc>
          <w:tcPr>
            <w:tcW w:w="1840" w:type="dxa"/>
            <w:vAlign w:val="bottom"/>
            <w:tcBorders>
              <w:bottom w:val="single" w:sz="8" w:color="0E3C23"/>
            </w:tcBorders>
          </w:tcPr>
          <w:p>
            <w:pPr>
              <w:jc w:val="right"/>
              <w:ind w:right="624"/>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0E3C23"/>
            </w:tcBorders>
          </w:tcPr>
          <w:p>
            <w:pPr>
              <w:jc w:val="right"/>
              <w:ind w:right="24"/>
              <w:spacing w:after="0"/>
              <w:rPr>
                <w:sz w:val="20"/>
                <w:szCs w:val="20"/>
                <w:color w:val="auto"/>
              </w:rPr>
            </w:pPr>
            <w:r>
              <w:rPr>
                <w:rFonts w:ascii="Arial" w:cs="Arial" w:eastAsia="Arial" w:hAnsi="Arial"/>
                <w:sz w:val="20"/>
                <w:szCs w:val="20"/>
                <w:color w:val="auto"/>
              </w:rPr>
              <w:t>(134)</w:t>
            </w:r>
          </w:p>
        </w:tc>
      </w:tr>
      <w:tr>
        <w:trPr>
          <w:trHeight w:val="250"/>
        </w:trPr>
        <w:tc>
          <w:tcPr>
            <w:tcW w:w="4240" w:type="dxa"/>
            <w:vAlign w:val="bottom"/>
          </w:tcPr>
          <w:p>
            <w:pPr>
              <w:ind w:left="60"/>
              <w:spacing w:after="0"/>
              <w:rPr>
                <w:sz w:val="20"/>
                <w:szCs w:val="20"/>
                <w:color w:val="auto"/>
              </w:rPr>
            </w:pPr>
            <w:r>
              <w:rPr>
                <w:rFonts w:ascii="Arial" w:cs="Arial" w:eastAsia="Arial" w:hAnsi="Arial"/>
                <w:sz w:val="20"/>
                <w:szCs w:val="20"/>
                <w:b w:val="1"/>
                <w:bCs w:val="1"/>
                <w:color w:val="auto"/>
              </w:rPr>
              <w:t>Calculated Performance Amounts</w:t>
            </w:r>
          </w:p>
        </w:tc>
        <w:tc>
          <w:tcPr>
            <w:tcW w:w="1840" w:type="dxa"/>
            <w:vAlign w:val="bottom"/>
          </w:tcPr>
          <w:p>
            <w:pPr>
              <w:jc w:val="right"/>
              <w:ind w:right="486"/>
              <w:spacing w:after="0"/>
              <w:rPr>
                <w:sz w:val="20"/>
                <w:szCs w:val="20"/>
                <w:color w:val="auto"/>
              </w:rPr>
            </w:pPr>
            <w:r>
              <w:rPr>
                <w:rFonts w:ascii="Arial" w:cs="Arial" w:eastAsia="Arial" w:hAnsi="Arial"/>
                <w:sz w:val="20"/>
                <w:szCs w:val="20"/>
                <w:color w:val="auto"/>
              </w:rPr>
              <w:t>$14,547</w:t>
            </w:r>
          </w:p>
        </w:tc>
        <w:tc>
          <w:tcPr>
            <w:tcW w:w="1180" w:type="dxa"/>
            <w:vAlign w:val="bottom"/>
          </w:tcPr>
          <w:p>
            <w:pPr>
              <w:jc w:val="right"/>
              <w:ind w:right="204"/>
              <w:spacing w:after="0"/>
              <w:rPr>
                <w:sz w:val="20"/>
                <w:szCs w:val="20"/>
                <w:color w:val="auto"/>
              </w:rPr>
            </w:pPr>
            <w:r>
              <w:rPr>
                <w:rFonts w:ascii="Arial" w:cs="Arial" w:eastAsia="Arial" w:hAnsi="Arial"/>
                <w:sz w:val="20"/>
                <w:szCs w:val="20"/>
                <w:color w:val="auto"/>
              </w:rPr>
              <w:t>$7,963</w:t>
            </w:r>
          </w:p>
        </w:tc>
        <w:tc>
          <w:tcPr>
            <w:tcW w:w="1840" w:type="dxa"/>
            <w:vAlign w:val="bottom"/>
          </w:tcPr>
          <w:p>
            <w:pPr>
              <w:jc w:val="right"/>
              <w:ind w:right="624"/>
              <w:spacing w:after="0"/>
              <w:rPr>
                <w:sz w:val="20"/>
                <w:szCs w:val="20"/>
                <w:color w:val="auto"/>
              </w:rPr>
            </w:pPr>
            <w:r>
              <w:rPr>
                <w:rFonts w:ascii="Arial" w:cs="Arial" w:eastAsia="Arial" w:hAnsi="Arial"/>
                <w:sz w:val="20"/>
                <w:szCs w:val="20"/>
                <w:color w:val="auto"/>
              </w:rPr>
              <w:t>$263</w:t>
            </w:r>
          </w:p>
        </w:tc>
        <w:tc>
          <w:tcPr>
            <w:tcW w:w="960" w:type="dxa"/>
            <w:vAlign w:val="bottom"/>
          </w:tcPr>
          <w:p>
            <w:pPr>
              <w:jc w:val="right"/>
              <w:ind w:right="64"/>
              <w:spacing w:after="0"/>
              <w:rPr>
                <w:sz w:val="20"/>
                <w:szCs w:val="20"/>
                <w:color w:val="auto"/>
              </w:rPr>
            </w:pPr>
            <w:r>
              <w:rPr>
                <w:rFonts w:ascii="Arial" w:cs="Arial" w:eastAsia="Arial" w:hAnsi="Arial"/>
                <w:sz w:val="20"/>
                <w:szCs w:val="20"/>
                <w:color w:val="auto"/>
              </w:rPr>
              <w:t>$6,847</w:t>
            </w:r>
          </w:p>
        </w:tc>
      </w:tr>
      <w:tr>
        <w:trPr>
          <w:trHeight w:val="34"/>
        </w:trPr>
        <w:tc>
          <w:tcPr>
            <w:tcW w:w="4240" w:type="dxa"/>
            <w:vAlign w:val="bottom"/>
            <w:tcBorders>
              <w:bottom w:val="single" w:sz="8" w:color="0E3C23"/>
            </w:tcBorders>
          </w:tcPr>
          <w:p>
            <w:pPr>
              <w:spacing w:after="0"/>
              <w:rPr>
                <w:sz w:val="2"/>
                <w:szCs w:val="2"/>
                <w:color w:val="auto"/>
              </w:rPr>
            </w:pPr>
          </w:p>
        </w:tc>
        <w:tc>
          <w:tcPr>
            <w:tcW w:w="1840" w:type="dxa"/>
            <w:vAlign w:val="bottom"/>
            <w:tcBorders>
              <w:bottom w:val="single" w:sz="8" w:color="0E3C23"/>
            </w:tcBorders>
          </w:tcPr>
          <w:p>
            <w:pPr>
              <w:spacing w:after="0"/>
              <w:rPr>
                <w:sz w:val="2"/>
                <w:szCs w:val="2"/>
                <w:color w:val="auto"/>
              </w:rPr>
            </w:pPr>
          </w:p>
        </w:tc>
        <w:tc>
          <w:tcPr>
            <w:tcW w:w="1180" w:type="dxa"/>
            <w:vAlign w:val="bottom"/>
            <w:tcBorders>
              <w:bottom w:val="single" w:sz="8" w:color="0E3C23"/>
            </w:tcBorders>
          </w:tcPr>
          <w:p>
            <w:pPr>
              <w:spacing w:after="0"/>
              <w:rPr>
                <w:sz w:val="2"/>
                <w:szCs w:val="2"/>
                <w:color w:val="auto"/>
              </w:rPr>
            </w:pPr>
          </w:p>
        </w:tc>
        <w:tc>
          <w:tcPr>
            <w:tcW w:w="1840" w:type="dxa"/>
            <w:vAlign w:val="bottom"/>
            <w:tcBorders>
              <w:bottom w:val="single" w:sz="8" w:color="0E3C23"/>
            </w:tcBorders>
          </w:tcPr>
          <w:p>
            <w:pPr>
              <w:spacing w:after="0"/>
              <w:rPr>
                <w:sz w:val="2"/>
                <w:szCs w:val="2"/>
                <w:color w:val="auto"/>
              </w:rPr>
            </w:pPr>
          </w:p>
        </w:tc>
        <w:tc>
          <w:tcPr>
            <w:tcW w:w="960" w:type="dxa"/>
            <w:vAlign w:val="bottom"/>
            <w:tcBorders>
              <w:bottom w:val="single" w:sz="8" w:color="0E3C23"/>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80" w:right="200" w:hanging="402"/>
        <w:spacing w:after="0" w:line="244" w:lineRule="auto"/>
        <w:tabs>
          <w:tab w:leader="none" w:pos="5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Sustainability growth investments and benefits of investment tax credits that were not contemplated at the time this performance measure was established.</w:t>
      </w:r>
    </w:p>
    <w:p>
      <w:pPr>
        <w:spacing w:after="0" w:line="200" w:lineRule="exact"/>
        <w:rPr>
          <w:sz w:val="20"/>
          <w:szCs w:val="20"/>
          <w:color w:val="auto"/>
        </w:rPr>
      </w:pPr>
    </w:p>
    <w:p>
      <w:pPr>
        <w:spacing w:after="0" w:line="28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20"/>
          <w:szCs w:val="20"/>
          <w:color w:val="auto"/>
        </w:rPr>
        <w:t>A-2</w:t>
      </w:r>
      <w:r>
        <w:rPr>
          <w:sz w:val="20"/>
          <w:szCs w:val="20"/>
          <w:color w:val="auto"/>
        </w:rPr>
        <w:tab/>
      </w:r>
      <w:r>
        <w:rPr>
          <w:rFonts w:ascii="Arial" w:cs="Arial" w:eastAsia="Arial" w:hAnsi="Arial"/>
          <w:sz w:val="36"/>
          <w:szCs w:val="36"/>
          <w:b w:val="1"/>
          <w:bCs w:val="1"/>
          <w:color w:val="0E3C23"/>
        </w:rPr>
        <w:t xml:space="preserve">| </w:t>
      </w:r>
      <w:r>
        <w:rPr>
          <w:sz w:val="1"/>
          <w:szCs w:val="1"/>
          <w:color w:val="auto"/>
        </w:rPr>
        <w:drawing>
          <wp:inline distT="0" distB="0" distL="0" distR="0">
            <wp:extent cx="517525" cy="161925"/>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70">
                      <a:extLst>
                        <a:ext uri="{28A0092B-C50C-407E-A947-70E740481C1C}"/>
                      </a:extLst>
                    </a:blip>
                    <a:srcRect/>
                    <a:stretch>
                      <a:fillRect/>
                    </a:stretch>
                  </pic:blipFill>
                  <pic:spPr bwMode="auto">
                    <a:xfrm>
                      <a:off x="0" y="0"/>
                      <a:ext cx="517525" cy="161925"/>
                    </a:xfrm>
                    <a:prstGeom prst="rect">
                      <a:avLst/>
                    </a:prstGeom>
                    <a:noFill/>
                    <a:ln>
                      <a:noFill/>
                    </a:ln>
                  </pic:spPr>
                </pic:pic>
              </a:graphicData>
            </a:graphic>
          </wp:inline>
        </w:drawing>
      </w:r>
      <w:r>
        <w:rPr>
          <w:rFonts w:ascii="Arial" w:cs="Arial" w:eastAsia="Arial" w:hAnsi="Arial"/>
          <w:sz w:val="20"/>
          <w:szCs w:val="20"/>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1073150</wp:posOffset>
            </wp:positionH>
            <wp:positionV relativeFrom="paragraph">
              <wp:posOffset>-86995</wp:posOffset>
            </wp:positionV>
            <wp:extent cx="42545" cy="41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71">
                      <a:extLst>
                        <a:ext uri="{28A0092B-C50C-407E-A947-70E740481C1C}"/>
                      </a:extLst>
                    </a:blip>
                    <a:srcRect/>
                    <a:stretch>
                      <a:fillRect/>
                    </a:stretch>
                  </pic:blipFill>
                  <pic:spPr bwMode="auto">
                    <a:xfrm>
                      <a:off x="0" y="0"/>
                      <a:ext cx="42545" cy="41910"/>
                    </a:xfrm>
                    <a:prstGeom prst="rect">
                      <a:avLst/>
                    </a:prstGeom>
                    <a:noFill/>
                  </pic:spPr>
                </pic:pic>
              </a:graphicData>
            </a:graphic>
          </wp:anchor>
        </w:drawing>
      </w:r>
    </w:p>
    <w:p>
      <w:pPr>
        <w:sectPr>
          <w:pgSz w:w="13320" w:h="16920" w:orient="portrait"/>
          <w:cols w:equalWidth="0" w:num="1">
            <w:col w:w="10440"/>
          </w:cols>
          <w:pgMar w:left="1440" w:top="1440" w:right="1440" w:bottom="1036"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1424305</wp:posOffset>
            </wp:positionH>
            <wp:positionV relativeFrom="page">
              <wp:posOffset>228600</wp:posOffset>
            </wp:positionV>
            <wp:extent cx="6805295" cy="102870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72">
                      <a:extLst>
                        <a:ext uri="{28A0092B-C50C-407E-A947-70E740481C1C}"/>
                      </a:extLst>
                    </a:blip>
                    <a:srcRect/>
                    <a:stretch>
                      <a:fillRect/>
                    </a:stretch>
                  </pic:blipFill>
                  <pic:spPr bwMode="auto">
                    <a:xfrm>
                      <a:off x="0" y="0"/>
                      <a:ext cx="6805295" cy="1028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620"/>
        <w:spacing w:after="0"/>
        <w:rPr>
          <w:sz w:val="20"/>
          <w:szCs w:val="20"/>
          <w:color w:val="auto"/>
        </w:rPr>
      </w:pPr>
      <w:r>
        <w:rPr>
          <w:rFonts w:ascii="Arial" w:cs="Arial" w:eastAsia="Arial" w:hAnsi="Arial"/>
          <w:sz w:val="48"/>
          <w:szCs w:val="48"/>
          <w:color w:val="FFFFFF"/>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4251325</wp:posOffset>
            </wp:positionV>
            <wp:extent cx="1157605" cy="3270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73">
                      <a:extLst>
                        <a:ext uri="{28A0092B-C50C-407E-A947-70E740481C1C}"/>
                      </a:extLst>
                    </a:blip>
                    <a:srcRect/>
                    <a:stretch>
                      <a:fillRect/>
                    </a:stretch>
                  </pic:blipFill>
                  <pic:spPr bwMode="auto">
                    <a:xfrm>
                      <a:off x="0" y="0"/>
                      <a:ext cx="1157605" cy="327025"/>
                    </a:xfrm>
                    <a:prstGeom prst="rect">
                      <a:avLst/>
                    </a:prstGeom>
                    <a:noFill/>
                  </pic:spPr>
                </pic:pic>
              </a:graphicData>
            </a:graphic>
          </wp:anchor>
        </w:drawing>
      </w:r>
    </w:p>
    <w:p>
      <w:pPr>
        <w:sectPr>
          <w:pgSz w:w="13320" w:h="16920" w:orient="portrait"/>
          <w:cols w:equalWidth="0" w:num="1">
            <w:col w:w="10440"/>
          </w:cols>
          <w:pgMar w:left="1440" w:top="1440" w:right="1440" w:bottom="1440" w:gutter="0" w:footer="0" w:header="0"/>
        </w:sectPr>
      </w:pPr>
    </w:p>
    <w:bookmarkStart w:id="73" w:name="page74"/>
    <w:bookmarkEnd w:id="73"/>
    <w:p>
      <w:pPr>
        <w:spacing w:after="0" w:line="20" w:lineRule="exact"/>
        <w:rPr>
          <w:sz w:val="20"/>
          <w:szCs w:val="20"/>
          <w:color w:val="auto"/>
        </w:rPr>
      </w:pPr>
    </w:p>
    <w:p>
      <w:pPr>
        <w:sectPr>
          <w:pgSz w:w="13320" w:h="16920" w:orient="portrait"/>
          <w:cols w:equalWidth="1" w:num="1" w:space="0"/>
          <w:pgMar w:left="1440" w:top="1440" w:right="1440" w:bottom="875" w:gutter="0" w:footer="0" w:header="0"/>
        </w:sectPr>
      </w:pPr>
    </w:p>
    <w:bookmarkStart w:id="74" w:name="page75"/>
    <w:bookmarkEnd w:id="74"/>
    <w:p>
      <w:pPr>
        <w:spacing w:after="0" w:line="334"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742315</wp:posOffset>
                </wp:positionH>
                <wp:positionV relativeFrom="page">
                  <wp:posOffset>1020445</wp:posOffset>
                </wp:positionV>
                <wp:extent cx="6972935"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72935" cy="4763"/>
                        </a:xfrm>
                        <a:prstGeom prst="line">
                          <a:avLst/>
                        </a:prstGeom>
                        <a:solidFill>
                          <a:srgbClr val="FFFFFF"/>
                        </a:solidFill>
                        <a:ln w="37338">
                          <a:solidFill>
                            <a:srgbClr val="000000"/>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8.45pt,80.35pt" to="607.5pt,80.35pt" o:allowincell="f" strokecolor="#000000" strokeweight="2.94pt">
                <w10:wrap anchorx="page" anchory="page"/>
              </v:line>
            </w:pict>
          </mc:Fallback>
        </mc:AlternateContent>
        <mc:AlternateContent>
          <mc:Choice Requires="wps">
            <w:drawing>
              <wp:anchor simplePos="0" relativeHeight="251657728" behindDoc="1" locked="0" layoutInCell="0" allowOverlap="1">
                <wp:simplePos x="0" y="0"/>
                <wp:positionH relativeFrom="page">
                  <wp:posOffset>742315</wp:posOffset>
                </wp:positionH>
                <wp:positionV relativeFrom="page">
                  <wp:posOffset>1080770</wp:posOffset>
                </wp:positionV>
                <wp:extent cx="6972935" cy="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72935" cy="4763"/>
                        </a:xfrm>
                        <a:prstGeom prst="line">
                          <a:avLst/>
                        </a:prstGeom>
                        <a:solidFill>
                          <a:srgbClr val="FFFFFF"/>
                        </a:solidFill>
                        <a:ln w="5974">
                          <a:solidFill>
                            <a:srgbClr val="000000"/>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8.45pt,85.1pt" to="607.5pt,85.1pt" o:allowincell="f" strokecolor="#000000" strokeweight="0.4704pt">
                <w10:wrap anchorx="page" anchory="page"/>
              </v:line>
            </w:pict>
          </mc:Fallback>
        </mc:AlternateContent>
      </w: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 SECURITIES AND EXCHANGE COMMISSION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(Mark One)</w:t>
      </w:r>
    </w:p>
    <w:p>
      <w:pPr>
        <w:spacing w:after="0" w:line="139" w:lineRule="exact"/>
        <w:rPr>
          <w:sz w:val="20"/>
          <w:szCs w:val="20"/>
          <w:color w:val="auto"/>
        </w:rPr>
      </w:pPr>
    </w:p>
    <w:p>
      <w:pPr>
        <w:ind w:left="600" w:right="1340" w:hanging="412"/>
        <w:spacing w:after="0" w:line="341" w:lineRule="auto"/>
        <w:tabs>
          <w:tab w:leader="none" w:pos="600" w:val="left"/>
        </w:tabs>
        <w:numPr>
          <w:ilvl w:val="0"/>
          <w:numId w:val="45"/>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ANNUAL REPORT PURSUANT TO SECTION 13 OR 15(d) OF THE SECURITIES AND EXCHANGE ACT OF 1934 For the fiscal year ended December 31, 2024</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0" w:lineRule="exact"/>
        <w:rPr>
          <w:sz w:val="20"/>
          <w:szCs w:val="20"/>
          <w:color w:val="auto"/>
        </w:rPr>
      </w:pPr>
    </w:p>
    <w:p>
      <w:pPr>
        <w:ind w:left="600" w:hanging="412"/>
        <w:spacing w:after="0"/>
        <w:tabs>
          <w:tab w:leader="none" w:pos="600" w:val="left"/>
        </w:tabs>
        <w:numPr>
          <w:ilvl w:val="0"/>
          <w:numId w:val="46"/>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TRANSITION REPORT PURSUANT TO SECTION 13 OR 15(d) OF THE SECURITIES AND EXCHANGE ACT OF 1934</w:t>
      </w:r>
    </w:p>
    <w:p>
      <w:pPr>
        <w:sectPr>
          <w:pgSz w:w="13320" w:h="16920" w:orient="portrait"/>
          <w:cols w:equalWidth="0" w:num="1">
            <w:col w:w="11000"/>
          </w:cols>
          <w:pgMar w:left="1160" w:top="1440" w:right="1160" w:bottom="1002" w:gutter="0" w:footer="0" w:header="0"/>
        </w:sectPr>
      </w:pPr>
    </w:p>
    <w:p>
      <w:pPr>
        <w:spacing w:after="0" w:line="127" w:lineRule="exact"/>
        <w:rPr>
          <w:sz w:val="20"/>
          <w:szCs w:val="20"/>
          <w:color w:val="auto"/>
        </w:rPr>
      </w:pPr>
    </w:p>
    <w:p>
      <w:pPr>
        <w:ind w:left="600"/>
        <w:spacing w:after="0"/>
        <w:tabs>
          <w:tab w:leader="none" w:pos="34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ectPr>
          <w:pgSz w:w="13320" w:h="16920" w:orient="portrait"/>
          <w:cols w:equalWidth="0" w:num="1">
            <w:col w:w="11000"/>
          </w:cols>
          <w:pgMar w:left="1160" w:top="1440" w:right="1160" w:bottom="1002" w:gutter="0" w:footer="0" w:header="0"/>
          <w:type w:val="continuous"/>
        </w:sectPr>
      </w:pP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1-12154</w:t>
      </w:r>
    </w:p>
    <w:p>
      <w:pPr>
        <w:sectPr>
          <w:pgSz w:w="13320" w:h="16920" w:orient="portrait"/>
          <w:cols w:equalWidth="0" w:num="1">
            <w:col w:w="11000"/>
          </w:cols>
          <w:pgMar w:left="1160" w:top="1440" w:right="1160" w:bottom="1002" w:gutter="0" w:footer="0" w:header="0"/>
          <w:type w:val="continuous"/>
        </w:sectPr>
      </w:pP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91"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2580" w:type="dxa"/>
            <w:vAlign w:val="bottom"/>
            <w:gridSpan w:val="2"/>
          </w:tcPr>
          <w:p>
            <w:pPr>
              <w:jc w:val="center"/>
              <w:ind w:left="442"/>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tcPr>
          <w:p>
            <w:pPr>
              <w:jc w:val="right"/>
              <w:ind w:right="2017"/>
              <w:spacing w:after="0"/>
              <w:rPr>
                <w:sz w:val="20"/>
                <w:szCs w:val="20"/>
                <w:color w:val="auto"/>
              </w:rPr>
            </w:pPr>
            <w:r>
              <w:rPr>
                <w:rFonts w:ascii="Times New Roman" w:cs="Times New Roman" w:eastAsia="Times New Roman" w:hAnsi="Times New Roman"/>
                <w:sz w:val="16"/>
                <w:szCs w:val="16"/>
                <w:b w:val="1"/>
                <w:bCs w:val="1"/>
                <w:color w:val="auto"/>
                <w:w w:val="95"/>
              </w:rPr>
              <w:t>73-1309529</w:t>
            </w:r>
          </w:p>
        </w:tc>
        <w:tc>
          <w:tcPr>
            <w:tcW w:w="0" w:type="dxa"/>
            <w:vAlign w:val="bottom"/>
          </w:tcPr>
          <w:p>
            <w:pPr>
              <w:spacing w:after="0"/>
              <w:rPr>
                <w:sz w:val="1"/>
                <w:szCs w:val="1"/>
                <w:color w:val="auto"/>
              </w:rPr>
            </w:pPr>
          </w:p>
        </w:tc>
      </w:tr>
      <w:tr>
        <w:trPr>
          <w:trHeight w:val="181"/>
        </w:trPr>
        <w:tc>
          <w:tcPr>
            <w:tcW w:w="900" w:type="dxa"/>
            <w:vAlign w:val="bottom"/>
          </w:tcPr>
          <w:p>
            <w:pPr>
              <w:spacing w:after="0"/>
              <w:rPr>
                <w:sz w:val="15"/>
                <w:szCs w:val="15"/>
                <w:color w:val="auto"/>
              </w:rPr>
            </w:pPr>
          </w:p>
        </w:tc>
        <w:tc>
          <w:tcPr>
            <w:tcW w:w="2580" w:type="dxa"/>
            <w:vAlign w:val="bottom"/>
            <w:gridSpan w:val="2"/>
          </w:tcPr>
          <w:p>
            <w:pPr>
              <w:jc w:val="center"/>
              <w:ind w:left="422"/>
              <w:spacing w:after="0" w:line="181" w:lineRule="exact"/>
              <w:rPr>
                <w:sz w:val="20"/>
                <w:szCs w:val="20"/>
                <w:color w:val="auto"/>
              </w:rPr>
            </w:pPr>
            <w:r>
              <w:rPr>
                <w:rFonts w:ascii="Times New Roman" w:cs="Times New Roman" w:eastAsia="Times New Roman" w:hAnsi="Times New Roman"/>
                <w:sz w:val="16"/>
                <w:szCs w:val="16"/>
                <w:i w:val="1"/>
                <w:iCs w:val="1"/>
                <w:color w:val="auto"/>
                <w:w w:val="98"/>
              </w:rPr>
              <w:t>(State or other jurisdiction of</w:t>
            </w: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80" w:type="dxa"/>
            <w:vAlign w:val="bottom"/>
            <w:gridSpan w:val="2"/>
          </w:tcPr>
          <w:p>
            <w:pPr>
              <w:jc w:val="center"/>
              <w:ind w:right="1757"/>
              <w:spacing w:after="0" w:line="181" w:lineRule="exact"/>
              <w:rPr>
                <w:sz w:val="20"/>
                <w:szCs w:val="20"/>
                <w:color w:val="auto"/>
              </w:rPr>
            </w:pPr>
            <w:r>
              <w:rPr>
                <w:rFonts w:ascii="Times New Roman" w:cs="Times New Roman" w:eastAsia="Times New Roman" w:hAnsi="Times New Roman"/>
                <w:sz w:val="16"/>
                <w:szCs w:val="16"/>
                <w:i w:val="1"/>
                <w:iCs w:val="1"/>
                <w:color w:val="auto"/>
                <w:w w:val="99"/>
              </w:rPr>
              <w:t>(I.R.S. Employer</w:t>
            </w:r>
          </w:p>
        </w:tc>
        <w:tc>
          <w:tcPr>
            <w:tcW w:w="0" w:type="dxa"/>
            <w:vAlign w:val="bottom"/>
          </w:tcPr>
          <w:p>
            <w:pPr>
              <w:spacing w:after="0"/>
              <w:rPr>
                <w:sz w:val="1"/>
                <w:szCs w:val="1"/>
                <w:color w:val="auto"/>
              </w:rPr>
            </w:pPr>
          </w:p>
        </w:tc>
      </w:tr>
      <w:tr>
        <w:trPr>
          <w:trHeight w:val="207"/>
        </w:trPr>
        <w:tc>
          <w:tcPr>
            <w:tcW w:w="900" w:type="dxa"/>
            <w:vAlign w:val="bottom"/>
          </w:tcPr>
          <w:p>
            <w:pPr>
              <w:spacing w:after="0"/>
              <w:rPr>
                <w:sz w:val="18"/>
                <w:szCs w:val="18"/>
                <w:color w:val="auto"/>
              </w:rPr>
            </w:pPr>
          </w:p>
        </w:tc>
        <w:tc>
          <w:tcPr>
            <w:tcW w:w="2580" w:type="dxa"/>
            <w:vAlign w:val="bottom"/>
            <w:gridSpan w:val="2"/>
          </w:tcPr>
          <w:p>
            <w:pPr>
              <w:jc w:val="center"/>
              <w:ind w:left="442"/>
              <w:spacing w:after="0"/>
              <w:rPr>
                <w:sz w:val="20"/>
                <w:szCs w:val="20"/>
                <w:color w:val="auto"/>
              </w:rPr>
            </w:pPr>
            <w:r>
              <w:rPr>
                <w:rFonts w:ascii="Times New Roman" w:cs="Times New Roman" w:eastAsia="Times New Roman" w:hAnsi="Times New Roman"/>
                <w:sz w:val="16"/>
                <w:szCs w:val="16"/>
                <w:i w:val="1"/>
                <w:iCs w:val="1"/>
                <w:color w:val="auto"/>
                <w:w w:val="97"/>
              </w:rPr>
              <w:t>incorporation or organization)</w:t>
            </w: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80" w:type="dxa"/>
            <w:vAlign w:val="bottom"/>
            <w:gridSpan w:val="2"/>
          </w:tcPr>
          <w:p>
            <w:pPr>
              <w:jc w:val="center"/>
              <w:ind w:right="1757"/>
              <w:spacing w:after="0"/>
              <w:rPr>
                <w:sz w:val="20"/>
                <w:szCs w:val="20"/>
                <w:color w:val="auto"/>
              </w:rPr>
            </w:pPr>
            <w:r>
              <w:rPr>
                <w:rFonts w:ascii="Times New Roman" w:cs="Times New Roman" w:eastAsia="Times New Roman" w:hAnsi="Times New Roman"/>
                <w:sz w:val="16"/>
                <w:szCs w:val="16"/>
                <w:i w:val="1"/>
                <w:iCs w:val="1"/>
                <w:color w:val="auto"/>
                <w:w w:val="96"/>
              </w:rPr>
              <w:t>Identification No.)</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2580" w:type="dxa"/>
            <w:vAlign w:val="bottom"/>
            <w:gridSpan w:val="2"/>
          </w:tcPr>
          <w:p>
            <w:pPr>
              <w:jc w:val="center"/>
              <w:ind w:left="442"/>
              <w:spacing w:after="0"/>
              <w:rPr>
                <w:sz w:val="20"/>
                <w:szCs w:val="20"/>
                <w:color w:val="auto"/>
              </w:rPr>
            </w:pPr>
            <w:r>
              <w:rPr>
                <w:rFonts w:ascii="Times New Roman" w:cs="Times New Roman" w:eastAsia="Times New Roman" w:hAnsi="Times New Roman"/>
                <w:sz w:val="16"/>
                <w:szCs w:val="16"/>
                <w:b w:val="1"/>
                <w:bCs w:val="1"/>
                <w:color w:val="auto"/>
                <w:w w:val="98"/>
              </w:rPr>
              <w:t>800 Capitol Street</w:t>
            </w:r>
          </w:p>
        </w:tc>
        <w:tc>
          <w:tcPr>
            <w:tcW w:w="1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15"/>
                <w:szCs w:val="15"/>
                <w:color w:val="auto"/>
              </w:rPr>
            </w:pPr>
          </w:p>
        </w:tc>
        <w:tc>
          <w:tcPr>
            <w:tcW w:w="2580" w:type="dxa"/>
            <w:vAlign w:val="bottom"/>
            <w:gridSpan w:val="2"/>
          </w:tcPr>
          <w:p>
            <w:pPr>
              <w:jc w:val="center"/>
              <w:ind w:left="442"/>
              <w:spacing w:after="0" w:line="181" w:lineRule="exact"/>
              <w:rPr>
                <w:sz w:val="20"/>
                <w:szCs w:val="20"/>
                <w:color w:val="auto"/>
              </w:rPr>
            </w:pPr>
            <w:r>
              <w:rPr>
                <w:rFonts w:ascii="Times New Roman" w:cs="Times New Roman" w:eastAsia="Times New Roman" w:hAnsi="Times New Roman"/>
                <w:sz w:val="16"/>
                <w:szCs w:val="16"/>
                <w:b w:val="1"/>
                <w:bCs w:val="1"/>
                <w:color w:val="auto"/>
                <w:w w:val="98"/>
              </w:rPr>
              <w:t>Suite 3000</w:t>
            </w: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5"/>
                <w:szCs w:val="15"/>
                <w:color w:val="auto"/>
              </w:rPr>
            </w:pPr>
          </w:p>
        </w:tc>
        <w:tc>
          <w:tcPr>
            <w:tcW w:w="2580" w:type="dxa"/>
            <w:vAlign w:val="bottom"/>
            <w:gridSpan w:val="2"/>
          </w:tcPr>
          <w:p>
            <w:pPr>
              <w:jc w:val="center"/>
              <w:ind w:left="442"/>
              <w:spacing w:after="0"/>
              <w:rPr>
                <w:sz w:val="20"/>
                <w:szCs w:val="20"/>
                <w:color w:val="auto"/>
              </w:rPr>
            </w:pPr>
            <w:r>
              <w:rPr>
                <w:rFonts w:ascii="Times New Roman" w:cs="Times New Roman" w:eastAsia="Times New Roman" w:hAnsi="Times New Roman"/>
                <w:sz w:val="16"/>
                <w:szCs w:val="16"/>
                <w:b w:val="1"/>
                <w:bCs w:val="1"/>
                <w:color w:val="auto"/>
                <w:w w:val="96"/>
              </w:rPr>
              <w:t>Houston, Texas</w:t>
            </w: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tcPr>
          <w:p>
            <w:pPr>
              <w:jc w:val="right"/>
              <w:ind w:right="2197"/>
              <w:spacing w:after="0"/>
              <w:rPr>
                <w:sz w:val="20"/>
                <w:szCs w:val="20"/>
                <w:color w:val="auto"/>
              </w:rPr>
            </w:pPr>
            <w:r>
              <w:rPr>
                <w:rFonts w:ascii="Times New Roman" w:cs="Times New Roman" w:eastAsia="Times New Roman" w:hAnsi="Times New Roman"/>
                <w:sz w:val="16"/>
                <w:szCs w:val="16"/>
                <w:b w:val="1"/>
                <w:bCs w:val="1"/>
                <w:color w:val="auto"/>
              </w:rPr>
              <w:t>77002</w:t>
            </w:r>
          </w:p>
        </w:tc>
        <w:tc>
          <w:tcPr>
            <w:tcW w:w="0" w:type="dxa"/>
            <w:vAlign w:val="bottom"/>
          </w:tcPr>
          <w:p>
            <w:pPr>
              <w:spacing w:after="0"/>
              <w:rPr>
                <w:sz w:val="1"/>
                <w:szCs w:val="1"/>
                <w:color w:val="auto"/>
              </w:rPr>
            </w:pPr>
          </w:p>
        </w:tc>
      </w:tr>
      <w:tr>
        <w:trPr>
          <w:trHeight w:val="207"/>
        </w:trPr>
        <w:tc>
          <w:tcPr>
            <w:tcW w:w="900" w:type="dxa"/>
            <w:vAlign w:val="bottom"/>
          </w:tcPr>
          <w:p>
            <w:pPr>
              <w:spacing w:after="0"/>
              <w:rPr>
                <w:sz w:val="18"/>
                <w:szCs w:val="18"/>
                <w:color w:val="auto"/>
              </w:rPr>
            </w:pPr>
          </w:p>
        </w:tc>
        <w:tc>
          <w:tcPr>
            <w:tcW w:w="6300" w:type="dxa"/>
            <w:vAlign w:val="bottom"/>
            <w:gridSpan w:val="5"/>
          </w:tcPr>
          <w:p>
            <w:pPr>
              <w:jc w:val="center"/>
              <w:ind w:right="3200"/>
              <w:spacing w:after="0"/>
              <w:rPr>
                <w:sz w:val="20"/>
                <w:szCs w:val="20"/>
                <w:color w:val="auto"/>
              </w:rPr>
            </w:pPr>
            <w:r>
              <w:rPr>
                <w:rFonts w:ascii="Times New Roman" w:cs="Times New Roman" w:eastAsia="Times New Roman" w:hAnsi="Times New Roman"/>
                <w:sz w:val="16"/>
                <w:szCs w:val="16"/>
                <w:i w:val="1"/>
                <w:iCs w:val="1"/>
                <w:color w:val="auto"/>
                <w:w w:val="98"/>
              </w:rPr>
              <w:t>(Address of principal executive offices)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tcPr>
          <w:p>
            <w:pPr>
              <w:jc w:val="center"/>
              <w:ind w:right="1997"/>
              <w:spacing w:after="0"/>
              <w:rPr>
                <w:sz w:val="20"/>
                <w:szCs w:val="20"/>
                <w:color w:val="auto"/>
              </w:rPr>
            </w:pPr>
            <w:r>
              <w:rPr>
                <w:rFonts w:ascii="Times New Roman" w:cs="Times New Roman" w:eastAsia="Times New Roman" w:hAnsi="Times New Roman"/>
                <w:sz w:val="16"/>
                <w:szCs w:val="16"/>
                <w:i w:val="1"/>
                <w:iCs w:val="1"/>
                <w:color w:val="auto"/>
                <w:w w:val="99"/>
              </w:rPr>
              <w:t>(Zip code)</w:t>
            </w:r>
          </w:p>
        </w:tc>
        <w:tc>
          <w:tcPr>
            <w:tcW w:w="0" w:type="dxa"/>
            <w:vAlign w:val="bottom"/>
          </w:tcPr>
          <w:p>
            <w:pPr>
              <w:spacing w:after="0"/>
              <w:rPr>
                <w:sz w:val="1"/>
                <w:szCs w:val="1"/>
                <w:color w:val="auto"/>
              </w:rPr>
            </w:pPr>
          </w:p>
        </w:tc>
      </w:tr>
      <w:tr>
        <w:trPr>
          <w:trHeight w:val="227"/>
        </w:trPr>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i w:val="1"/>
                <w:iCs w:val="1"/>
                <w:color w:val="auto"/>
                <w:w w:val="98"/>
              </w:rPr>
              <w:t>Registrant’s telephone number, including area code:</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40" w:type="dxa"/>
            <w:vAlign w:val="bottom"/>
            <w:gridSpan w:val="2"/>
          </w:tcPr>
          <w:p>
            <w:pPr>
              <w:jc w:val="center"/>
              <w:ind w:left="1062"/>
              <w:spacing w:after="0"/>
              <w:rPr>
                <w:sz w:val="20"/>
                <w:szCs w:val="20"/>
                <w:color w:val="auto"/>
              </w:rPr>
            </w:pPr>
            <w:r>
              <w:rPr>
                <w:rFonts w:ascii="Times New Roman" w:cs="Times New Roman" w:eastAsia="Times New Roman" w:hAnsi="Times New Roman"/>
                <w:sz w:val="16"/>
                <w:szCs w:val="16"/>
                <w:b w:val="1"/>
                <w:bCs w:val="1"/>
                <w:color w:val="auto"/>
                <w:w w:val="97"/>
              </w:rPr>
              <w:t>(713) 512-6200</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040" w:type="dxa"/>
            <w:vAlign w:val="bottom"/>
            <w:gridSpan w:val="4"/>
          </w:tcPr>
          <w:p>
            <w:pPr>
              <w:jc w:val="center"/>
              <w:ind w:left="922"/>
              <w:spacing w:after="0"/>
              <w:rPr>
                <w:sz w:val="20"/>
                <w:szCs w:val="20"/>
                <w:color w:val="auto"/>
              </w:rPr>
            </w:pPr>
            <w:r>
              <w:rPr>
                <w:rFonts w:ascii="Times New Roman" w:cs="Times New Roman" w:eastAsia="Times New Roman" w:hAnsi="Times New Roman"/>
                <w:sz w:val="16"/>
                <w:szCs w:val="16"/>
                <w:b w:val="1"/>
                <w:bCs w:val="1"/>
                <w:color w:val="auto"/>
                <w:w w:val="97"/>
              </w:rPr>
              <w:t>Securities registered pursuant to Section 12(b) of the Act: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160" w:type="dxa"/>
            <w:vAlign w:val="bottom"/>
          </w:tcPr>
          <w:p>
            <w:pPr>
              <w:spacing w:after="0"/>
              <w:rPr>
                <w:sz w:val="21"/>
                <w:szCs w:val="21"/>
                <w:color w:val="auto"/>
              </w:rPr>
            </w:pPr>
          </w:p>
        </w:tc>
        <w:tc>
          <w:tcPr>
            <w:tcW w:w="2560" w:type="dxa"/>
            <w:vAlign w:val="bottom"/>
            <w:gridSpan w:val="2"/>
          </w:tcPr>
          <w:p>
            <w:pPr>
              <w:jc w:val="center"/>
              <w:ind w:right="1480"/>
              <w:spacing w:after="0"/>
              <w:rPr>
                <w:sz w:val="20"/>
                <w:szCs w:val="20"/>
                <w:color w:val="auto"/>
              </w:rPr>
            </w:pPr>
            <w:r>
              <w:rPr>
                <w:rFonts w:ascii="Times New Roman" w:cs="Times New Roman" w:eastAsia="Times New Roman" w:hAnsi="Times New Roman"/>
                <w:sz w:val="16"/>
                <w:szCs w:val="16"/>
                <w:b w:val="1"/>
                <w:bCs w:val="1"/>
                <w:color w:val="auto"/>
                <w:w w:val="96"/>
              </w:rPr>
              <w:t>Trading Symbol</w:t>
            </w:r>
          </w:p>
        </w:tc>
        <w:tc>
          <w:tcPr>
            <w:tcW w:w="3160" w:type="dxa"/>
            <w:vAlign w:val="bottom"/>
            <w:gridSpan w:val="3"/>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value</w:t>
            </w:r>
          </w:p>
        </w:tc>
        <w:tc>
          <w:tcPr>
            <w:tcW w:w="1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1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w w:val="96"/>
              </w:rPr>
              <w:t>Common Stock, $0.01 par</w:t>
            </w:r>
          </w:p>
        </w:tc>
        <w:tc>
          <w:tcPr>
            <w:tcW w:w="132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2560" w:type="dxa"/>
            <w:vAlign w:val="bottom"/>
            <w:gridSpan w:val="2"/>
          </w:tcPr>
          <w:p>
            <w:pPr>
              <w:jc w:val="center"/>
              <w:ind w:right="1480"/>
              <w:spacing w:after="0"/>
              <w:rPr>
                <w:sz w:val="20"/>
                <w:szCs w:val="20"/>
                <w:color w:val="auto"/>
              </w:rPr>
            </w:pPr>
            <w:r>
              <w:rPr>
                <w:rFonts w:ascii="Times New Roman" w:cs="Times New Roman" w:eastAsia="Times New Roman" w:hAnsi="Times New Roman"/>
                <w:sz w:val="16"/>
                <w:szCs w:val="16"/>
                <w:color w:val="auto"/>
                <w:w w:val="95"/>
              </w:rPr>
              <w:t>WM</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tcPr>
          <w:p>
            <w:pPr>
              <w:jc w:val="center"/>
              <w:ind w:right="177"/>
              <w:spacing w:after="0"/>
              <w:rPr>
                <w:sz w:val="20"/>
                <w:szCs w:val="20"/>
                <w:color w:val="auto"/>
              </w:rPr>
            </w:pPr>
            <w:r>
              <w:rPr>
                <w:rFonts w:ascii="Times New Roman" w:cs="Times New Roman" w:eastAsia="Times New Roman" w:hAnsi="Times New Roman"/>
                <w:sz w:val="16"/>
                <w:szCs w:val="16"/>
                <w:color w:val="auto"/>
                <w:w w:val="98"/>
              </w:rPr>
              <w:t>New York Stock Exchange</w:t>
            </w:r>
          </w:p>
        </w:tc>
        <w:tc>
          <w:tcPr>
            <w:tcW w:w="0" w:type="dxa"/>
            <w:vAlign w:val="bottom"/>
          </w:tcPr>
          <w:p>
            <w:pPr>
              <w:spacing w:after="0"/>
              <w:rPr>
                <w:sz w:val="1"/>
                <w:szCs w:val="1"/>
                <w:color w:val="auto"/>
              </w:rPr>
            </w:pPr>
          </w:p>
        </w:tc>
      </w:tr>
      <w:tr>
        <w:trPr>
          <w:trHeight w:val="246"/>
        </w:trPr>
        <w:tc>
          <w:tcPr>
            <w:tcW w:w="7520" w:type="dxa"/>
            <w:vAlign w:val="bottom"/>
            <w:gridSpan w:val="8"/>
          </w:tcPr>
          <w:p>
            <w:pPr>
              <w:spacing w:after="0"/>
              <w:rPr>
                <w:sz w:val="20"/>
                <w:szCs w:val="20"/>
                <w:color w:val="auto"/>
              </w:rPr>
            </w:pPr>
            <w:r>
              <w:rPr>
                <w:rFonts w:ascii="Times New Roman" w:cs="Times New Roman" w:eastAsia="Times New Roman" w:hAnsi="Times New Roman"/>
                <w:sz w:val="16"/>
                <w:szCs w:val="16"/>
                <w:color w:val="auto"/>
                <w:w w:val="99"/>
              </w:rPr>
              <w:t>Indicate by check mark if the registrant is a well-known seasoned issuer, as defined by Rule 405 of the Securities Act.</w:t>
            </w:r>
          </w:p>
        </w:tc>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YesNo</w:t>
            </w:r>
          </w:p>
        </w:tc>
        <w:tc>
          <w:tcPr>
            <w:tcW w:w="0" w:type="dxa"/>
            <w:vAlign w:val="bottom"/>
          </w:tcPr>
          <w:p>
            <w:pPr>
              <w:spacing w:after="0"/>
              <w:rPr>
                <w:sz w:val="1"/>
                <w:szCs w:val="1"/>
                <w:color w:val="auto"/>
              </w:rPr>
            </w:pPr>
          </w:p>
        </w:tc>
      </w:tr>
      <w:tr>
        <w:trPr>
          <w:trHeight w:val="259"/>
        </w:trPr>
        <w:tc>
          <w:tcPr>
            <w:tcW w:w="7520" w:type="dxa"/>
            <w:vAlign w:val="bottom"/>
            <w:gridSpan w:val="8"/>
          </w:tcPr>
          <w:p>
            <w:pPr>
              <w:spacing w:after="0"/>
              <w:rPr>
                <w:sz w:val="20"/>
                <w:szCs w:val="20"/>
                <w:color w:val="auto"/>
              </w:rPr>
            </w:pPr>
            <w:r>
              <w:rPr>
                <w:rFonts w:ascii="Times New Roman" w:cs="Times New Roman" w:eastAsia="Times New Roman" w:hAnsi="Times New Roman"/>
                <w:sz w:val="16"/>
                <w:szCs w:val="16"/>
                <w:color w:val="auto"/>
                <w:w w:val="97"/>
              </w:rPr>
              <w:t>Indicate by check mark if the registrant is not required to file reports pursuant to Section 13 or Section 15(d) of the Act.</w:t>
            </w:r>
          </w:p>
        </w:tc>
        <w:tc>
          <w:tcPr>
            <w:tcW w:w="2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YesNo</w:t>
            </w: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left="40" w:right="40" w:firstLine="282"/>
        <w:spacing w:after="0" w:line="251"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42" w:lineRule="exact"/>
        <w:rPr>
          <w:sz w:val="20"/>
          <w:szCs w:val="20"/>
          <w:color w:val="auto"/>
        </w:rPr>
      </w:pPr>
    </w:p>
    <w:p>
      <w:pPr>
        <w:jc w:val="both"/>
        <w:ind w:left="40" w:right="40" w:firstLine="282"/>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Regulations S-T (§ 232.405 of this chapter) during the preceding 12 months (or for such shorter period that the registrant was required to submit and post such files). Yes No</w:t>
      </w:r>
    </w:p>
    <w:p>
      <w:pPr>
        <w:spacing w:after="0" w:line="29" w:lineRule="exact"/>
        <w:rPr>
          <w:sz w:val="20"/>
          <w:szCs w:val="20"/>
          <w:color w:val="auto"/>
        </w:rPr>
      </w:pPr>
    </w:p>
    <w:p>
      <w:pPr>
        <w:jc w:val="both"/>
        <w:ind w:left="40" w:right="40" w:firstLine="282"/>
        <w:spacing w:after="0" w:line="25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3320" w:h="16920" w:orient="portrait"/>
          <w:cols w:equalWidth="0" w:num="1">
            <w:col w:w="11000"/>
          </w:cols>
          <w:pgMar w:left="1160" w:top="1440" w:right="1160" w:bottom="1002" w:gutter="0" w:footer="0" w:header="0"/>
          <w:type w:val="continuous"/>
        </w:sectPr>
      </w:pP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5"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53"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89" w:lineRule="exact"/>
        <w:rPr>
          <w:sz w:val="20"/>
          <w:szCs w:val="20"/>
          <w:color w:val="auto"/>
        </w:rPr>
      </w:pPr>
    </w:p>
    <w:p>
      <w:pPr>
        <w:sectPr>
          <w:pgSz w:w="13320" w:h="16920" w:orient="portrait"/>
          <w:cols w:equalWidth="0" w:num="2">
            <w:col w:w="8360" w:space="720"/>
            <w:col w:w="1920"/>
          </w:cols>
          <w:pgMar w:left="1160" w:top="1440" w:right="1160" w:bottom="1002" w:gutter="0" w:footer="0" w:header="0"/>
          <w:type w:val="continuous"/>
        </w:sectPr>
      </w:pPr>
    </w:p>
    <w:p>
      <w:pPr>
        <w:jc w:val="both"/>
        <w:ind w:left="40" w:right="40" w:firstLine="282"/>
        <w:spacing w:after="0" w:line="241"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50" w:lineRule="exact"/>
        <w:rPr>
          <w:sz w:val="20"/>
          <w:szCs w:val="20"/>
          <w:color w:val="auto"/>
        </w:rPr>
      </w:pPr>
    </w:p>
    <w:p>
      <w:pPr>
        <w:jc w:val="both"/>
        <w:ind w:left="40" w:right="40" w:firstLine="282"/>
        <w:spacing w:after="0" w:line="25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0"/>
          <w:szCs w:val="20"/>
          <w:color w:val="auto"/>
        </w:rPr>
      </w:pPr>
    </w:p>
    <w:p>
      <w:pPr>
        <w:jc w:val="both"/>
        <w:ind w:left="40" w:right="40" w:firstLine="282"/>
        <w:spacing w:after="0" w:line="239" w:lineRule="auto"/>
        <w:rPr>
          <w:sz w:val="20"/>
          <w:szCs w:val="20"/>
          <w:color w:val="auto"/>
        </w:rPr>
      </w:pPr>
      <w:r>
        <w:rPr>
          <w:rFonts w:ascii="Times New Roman" w:cs="Times New Roman" w:eastAsia="Times New Roman" w:hAnsi="Times New Roman"/>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63" w:lineRule="exact"/>
        <w:rPr>
          <w:sz w:val="20"/>
          <w:szCs w:val="20"/>
          <w:color w:val="auto"/>
        </w:rPr>
      </w:pPr>
    </w:p>
    <w:p>
      <w:pPr>
        <w:jc w:val="both"/>
        <w:ind w:left="40" w:right="40" w:firstLine="282"/>
        <w:spacing w:after="0" w:line="253" w:lineRule="auto"/>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 w:lineRule="exact"/>
        <w:rPr>
          <w:sz w:val="20"/>
          <w:szCs w:val="20"/>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0" w:lineRule="exact"/>
        <w:rPr>
          <w:sz w:val="20"/>
          <w:szCs w:val="20"/>
          <w:color w:val="auto"/>
        </w:rPr>
      </w:pPr>
    </w:p>
    <w:p>
      <w:pPr>
        <w:jc w:val="both"/>
        <w:ind w:left="40" w:right="40" w:firstLine="282"/>
        <w:spacing w:after="0" w:line="237" w:lineRule="auto"/>
        <w:rPr>
          <w:sz w:val="20"/>
          <w:szCs w:val="20"/>
          <w:color w:val="auto"/>
        </w:rPr>
      </w:pPr>
      <w:r>
        <w:rPr>
          <w:rFonts w:ascii="Times New Roman" w:cs="Times New Roman" w:eastAsia="Times New Roman" w:hAnsi="Times New Roman"/>
          <w:sz w:val="16"/>
          <w:szCs w:val="16"/>
          <w:color w:val="auto"/>
        </w:rPr>
        <w:t>The aggregate market value of the voting stock held by non- affiliates of the registrant as of June 30, 2024 was approximately $85.4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5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color w:val="auto"/>
        </w:rPr>
        <w:t>The number of shares of Common Stock, $0.01 par value, of the registrant outstanding as of February 14, 2025 was 402,115,439 (excluding treasury shares of 228,167,022).</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60" w:type="dxa"/>
            <w:vAlign w:val="bottom"/>
            <w:gridSpan w:val="3"/>
          </w:tcPr>
          <w:p>
            <w:pPr>
              <w:ind w:left="2380"/>
              <w:spacing w:after="0"/>
              <w:rPr>
                <w:sz w:val="20"/>
                <w:szCs w:val="20"/>
                <w:color w:val="auto"/>
              </w:rPr>
            </w:pPr>
            <w:r>
              <w:rPr>
                <w:rFonts w:ascii="Times New Roman" w:cs="Times New Roman" w:eastAsia="Times New Roman" w:hAnsi="Times New Roman"/>
                <w:sz w:val="16"/>
                <w:szCs w:val="16"/>
                <w:b w:val="1"/>
                <w:bCs w:val="1"/>
                <w:color w:val="auto"/>
              </w:rPr>
              <w:t>Document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Incorporated as to</w:t>
            </w:r>
          </w:p>
        </w:tc>
        <w:tc>
          <w:tcPr>
            <w:tcW w:w="2100" w:type="dxa"/>
            <w:vAlign w:val="bottom"/>
          </w:tcPr>
          <w:p>
            <w:pPr>
              <w:spacing w:after="0"/>
              <w:rPr>
                <w:sz w:val="15"/>
                <w:szCs w:val="15"/>
                <w:color w:val="auto"/>
              </w:rPr>
            </w:pPr>
          </w:p>
        </w:tc>
      </w:tr>
      <w:tr>
        <w:trPr>
          <w:trHeight w:val="162"/>
        </w:trPr>
        <w:tc>
          <w:tcPr>
            <w:tcW w:w="2380" w:type="dxa"/>
            <w:vAlign w:val="bottom"/>
          </w:tcPr>
          <w:p>
            <w:pPr>
              <w:ind w:left="1960"/>
              <w:spacing w:after="0" w:line="162" w:lineRule="exact"/>
              <w:rPr>
                <w:sz w:val="20"/>
                <w:szCs w:val="20"/>
                <w:color w:val="auto"/>
              </w:rPr>
            </w:pPr>
            <w:r>
              <w:rPr>
                <w:rFonts w:ascii="Times New Roman" w:cs="Times New Roman" w:eastAsia="Times New Roman" w:hAnsi="Times New Roman"/>
                <w:sz w:val="16"/>
                <w:szCs w:val="16"/>
                <w:color w:val="auto"/>
              </w:rPr>
              <w:t>Proxy</w:t>
            </w:r>
          </w:p>
        </w:tc>
        <w:tc>
          <w:tcPr>
            <w:tcW w:w="680" w:type="dxa"/>
            <w:vAlign w:val="bottom"/>
            <w:tcBorders>
              <w:top w:val="single" w:sz="8" w:color="auto"/>
            </w:tcBorders>
          </w:tcPr>
          <w:p>
            <w:pPr>
              <w:spacing w:after="0" w:line="162" w:lineRule="exact"/>
              <w:rPr>
                <w:sz w:val="20"/>
                <w:szCs w:val="20"/>
                <w:color w:val="auto"/>
              </w:rPr>
            </w:pPr>
            <w:r>
              <w:rPr>
                <w:rFonts w:ascii="Times New Roman" w:cs="Times New Roman" w:eastAsia="Times New Roman" w:hAnsi="Times New Roman"/>
                <w:sz w:val="16"/>
                <w:szCs w:val="16"/>
                <w:color w:val="auto"/>
              </w:rPr>
              <w:t>Statement</w:t>
            </w:r>
          </w:p>
        </w:tc>
        <w:tc>
          <w:tcPr>
            <w:tcW w:w="46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for the</w:t>
            </w:r>
          </w:p>
        </w:tc>
        <w:tc>
          <w:tcPr>
            <w:tcW w:w="1240" w:type="dxa"/>
            <w:vAlign w:val="bottom"/>
            <w:tcBorders>
              <w:top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6"/>
              </w:rPr>
              <w:t>Part III</w:t>
            </w:r>
          </w:p>
        </w:tc>
        <w:tc>
          <w:tcPr>
            <w:tcW w:w="2100" w:type="dxa"/>
            <w:vAlign w:val="bottom"/>
          </w:tcPr>
          <w:p>
            <w:pPr>
              <w:spacing w:after="0"/>
              <w:rPr>
                <w:sz w:val="14"/>
                <w:szCs w:val="14"/>
                <w:color w:val="auto"/>
              </w:rPr>
            </w:pPr>
          </w:p>
        </w:tc>
      </w:tr>
      <w:tr>
        <w:trPr>
          <w:trHeight w:val="209"/>
        </w:trPr>
        <w:tc>
          <w:tcPr>
            <w:tcW w:w="7660" w:type="dxa"/>
            <w:vAlign w:val="bottom"/>
            <w:gridSpan w:val="3"/>
          </w:tcPr>
          <w:p>
            <w:pPr>
              <w:ind w:left="1520"/>
              <w:spacing w:after="0"/>
              <w:rPr>
                <w:sz w:val="20"/>
                <w:szCs w:val="20"/>
                <w:color w:val="auto"/>
              </w:rPr>
            </w:pPr>
            <w:r>
              <w:rPr>
                <w:rFonts w:ascii="Times New Roman" w:cs="Times New Roman" w:eastAsia="Times New Roman" w:hAnsi="Times New Roman"/>
                <w:sz w:val="16"/>
                <w:szCs w:val="16"/>
                <w:color w:val="auto"/>
              </w:rPr>
              <w:t>2025 Annual Meeting of Stockholders</w:t>
            </w:r>
          </w:p>
        </w:tc>
        <w:tc>
          <w:tcPr>
            <w:tcW w:w="12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78"/>
        </w:trPr>
        <w:tc>
          <w:tcPr>
            <w:tcW w:w="23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46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r>
      <w:tr>
        <w:trPr>
          <w:trHeight w:val="89"/>
        </w:trPr>
        <w:tc>
          <w:tcPr>
            <w:tcW w:w="23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6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r>
    </w:tbl>
    <w:p>
      <w:pPr>
        <w:sectPr>
          <w:pgSz w:w="13320" w:h="16920" w:orient="portrait"/>
          <w:cols w:equalWidth="0" w:num="1">
            <w:col w:w="11000"/>
          </w:cols>
          <w:pgMar w:left="1160" w:top="1440" w:right="1160" w:bottom="1002" w:gutter="0" w:footer="0" w:header="0"/>
          <w:type w:val="continuous"/>
        </w:sectPr>
      </w:pPr>
    </w:p>
    <w:bookmarkStart w:id="75" w:name="page76"/>
    <w:bookmarkEnd w:id="75"/>
    <w:p>
      <w:pPr>
        <w:spacing w:after="0" w:line="200" w:lineRule="exact"/>
        <w:rPr>
          <w:sz w:val="20"/>
          <w:szCs w:val="20"/>
          <w:color w:val="auto"/>
        </w:rPr>
      </w:pPr>
    </w:p>
    <w:p>
      <w:pPr>
        <w:spacing w:after="0" w:line="25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6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6118860</wp:posOffset>
                </wp:positionH>
                <wp:positionV relativeFrom="paragraph">
                  <wp:posOffset>14605</wp:posOffset>
                </wp:positionV>
                <wp:extent cx="276860"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686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1.8pt,1.15pt" to="503.6pt,1.15pt" o:allowincell="f" strokecolor="#000000" strokeweight="0.48pt"/>
            </w:pict>
          </mc:Fallback>
        </mc:AlternateContent>
      </w:r>
    </w:p>
    <w:p>
      <w:pPr>
        <w:spacing w:after="0" w:line="16" w:lineRule="exact"/>
        <w:rPr>
          <w:sz w:val="20"/>
          <w:szCs w:val="20"/>
          <w:color w:val="auto"/>
        </w:rPr>
      </w:pPr>
    </w:p>
    <w:p>
      <w:pPr>
        <w:ind w:left="360"/>
        <w:spacing w:after="0"/>
        <w:tabs>
          <w:tab w:leader="none" w:pos="9960" w:val="left"/>
        </w:tabs>
        <w:rPr>
          <w:sz w:val="20"/>
          <w:szCs w:val="20"/>
          <w:color w:val="auto"/>
        </w:rPr>
      </w:pPr>
      <w:r>
        <w:rPr>
          <w:rFonts w:ascii="Times New Roman" w:cs="Times New Roman" w:eastAsia="Times New Roman" w:hAnsi="Times New Roman"/>
          <w:sz w:val="20"/>
          <w:szCs w:val="20"/>
          <w:color w:val="auto"/>
        </w:rPr>
        <w:t>Cautionary Statement on Forward-Looking Statements . . . . . . . . . . . . . . . . . . . . . . . . . . . . . . . . . . . . . . . . . . . . . . . . . .</w:t>
      </w:r>
      <w:r>
        <w:rPr>
          <w:sz w:val="20"/>
          <w:szCs w:val="20"/>
          <w:color w:val="auto"/>
        </w:rPr>
        <w:tab/>
      </w:r>
      <w:r>
        <w:rPr>
          <w:rFonts w:ascii="Times New Roman" w:cs="Times New Roman" w:eastAsia="Times New Roman" w:hAnsi="Times New Roman"/>
          <w:sz w:val="20"/>
          <w:szCs w:val="20"/>
          <w:color w:val="auto"/>
        </w:rPr>
        <w:t>3</w:t>
      </w:r>
    </w:p>
    <w:p>
      <w:pPr>
        <w:spacing w:after="0" w:line="1" w:lineRule="exact"/>
        <w:rPr>
          <w:sz w:val="20"/>
          <w:szCs w:val="20"/>
          <w:color w:val="auto"/>
        </w:rPr>
      </w:pPr>
    </w:p>
    <w:p>
      <w:pPr>
        <w:ind w:left="360"/>
        <w:spacing w:after="0"/>
        <w:tabs>
          <w:tab w:leader="none" w:pos="9960" w:val="left"/>
        </w:tabs>
        <w:rPr>
          <w:sz w:val="20"/>
          <w:szCs w:val="20"/>
          <w:color w:val="auto"/>
        </w:rPr>
      </w:pPr>
      <w:r>
        <w:rPr>
          <w:rFonts w:ascii="Times New Roman" w:cs="Times New Roman" w:eastAsia="Times New Roman" w:hAnsi="Times New Roman"/>
          <w:sz w:val="20"/>
          <w:szCs w:val="20"/>
          <w:color w:val="auto"/>
        </w:rPr>
        <w:t>Risk Factors Summary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w:t>
      </w:r>
    </w:p>
    <w:p>
      <w:pPr>
        <w:ind w:left="5160"/>
        <w:spacing w:after="0"/>
        <w:rPr>
          <w:sz w:val="20"/>
          <w:szCs w:val="20"/>
          <w:color w:val="auto"/>
        </w:rPr>
      </w:pPr>
      <w:r>
        <w:rPr>
          <w:rFonts w:ascii="Times New Roman" w:cs="Times New Roman" w:eastAsia="Times New Roman" w:hAnsi="Times New Roman"/>
          <w:sz w:val="20"/>
          <w:szCs w:val="20"/>
          <w:b w:val="1"/>
          <w:bCs w:val="1"/>
          <w:color w:val="auto"/>
        </w:rPr>
        <w:t>PART I</w:t>
      </w:r>
    </w:p>
    <w:p>
      <w:pPr>
        <w:ind w:left="360"/>
        <w:spacing w:after="0"/>
        <w:tabs>
          <w:tab w:leader="none" w:pos="1320" w:val="left"/>
          <w:tab w:leader="none" w:pos="996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w:t>
      </w:r>
    </w:p>
    <w:p>
      <w:pPr>
        <w:ind w:left="360"/>
        <w:spacing w:after="0"/>
        <w:tabs>
          <w:tab w:leader="none" w:pos="1320" w:val="left"/>
          <w:tab w:leader="none" w:pos="9860" w:val="left"/>
        </w:tabs>
        <w:rPr>
          <w:sz w:val="20"/>
          <w:szCs w:val="20"/>
          <w:color w:val="auto"/>
        </w:rPr>
      </w:pPr>
      <w:r>
        <w:rPr>
          <w:rFonts w:ascii="Times New Roman" w:cs="Times New Roman" w:eastAsia="Times New Roman" w:hAnsi="Times New Roman"/>
          <w:sz w:val="20"/>
          <w:szCs w:val="20"/>
          <w:color w:val="auto"/>
        </w:rPr>
        <w:t>Item 1A.</w:t>
        <w:tab/>
        <w:t>Risk Factors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25</w:t>
      </w:r>
    </w:p>
    <w:p>
      <w:pPr>
        <w:ind w:left="360"/>
        <w:spacing w:after="0"/>
        <w:tabs>
          <w:tab w:leader="none" w:pos="1320" w:val="left"/>
          <w:tab w:leader="none" w:pos="9860" w:val="left"/>
        </w:tabs>
        <w:rPr>
          <w:sz w:val="20"/>
          <w:szCs w:val="20"/>
          <w:color w:val="auto"/>
        </w:rPr>
      </w:pPr>
      <w:r>
        <w:rPr>
          <w:rFonts w:ascii="Times New Roman" w:cs="Times New Roman" w:eastAsia="Times New Roman" w:hAnsi="Times New Roman"/>
          <w:sz w:val="20"/>
          <w:szCs w:val="20"/>
          <w:color w:val="auto"/>
        </w:rPr>
        <w:t>Item 1B.</w:t>
        <w:tab/>
        <w:t>Unresolved Staff Comments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43</w:t>
      </w:r>
    </w:p>
    <w:p>
      <w:pPr>
        <w:ind w:left="360"/>
        <w:spacing w:after="0"/>
        <w:tabs>
          <w:tab w:leader="none" w:pos="1320" w:val="left"/>
          <w:tab w:leader="none" w:pos="9860" w:val="left"/>
        </w:tabs>
        <w:rPr>
          <w:sz w:val="20"/>
          <w:szCs w:val="20"/>
          <w:color w:val="auto"/>
        </w:rPr>
      </w:pPr>
      <w:r>
        <w:rPr>
          <w:rFonts w:ascii="Times New Roman" w:cs="Times New Roman" w:eastAsia="Times New Roman" w:hAnsi="Times New Roman"/>
          <w:sz w:val="20"/>
          <w:szCs w:val="20"/>
          <w:color w:val="auto"/>
        </w:rPr>
        <w:t>Item 1C.</w:t>
        <w:tab/>
        <w:t>Cybersecurity.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43</w:t>
      </w:r>
    </w:p>
    <w:p>
      <w:pPr>
        <w:ind w:left="360"/>
        <w:spacing w:after="0"/>
        <w:tabs>
          <w:tab w:leader="none" w:pos="1320" w:val="left"/>
          <w:tab w:leader="none" w:pos="986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44</w:t>
      </w:r>
    </w:p>
    <w:p>
      <w:pPr>
        <w:ind w:left="360"/>
        <w:spacing w:after="0"/>
        <w:tabs>
          <w:tab w:leader="none" w:pos="1320" w:val="left"/>
          <w:tab w:leader="none" w:pos="986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45</w:t>
      </w:r>
    </w:p>
    <w:p>
      <w:pPr>
        <w:ind w:left="360"/>
        <w:spacing w:after="0"/>
        <w:tabs>
          <w:tab w:leader="none" w:pos="1320" w:val="left"/>
          <w:tab w:leader="none" w:pos="986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45</w:t>
      </w:r>
    </w:p>
    <w:p>
      <w:pPr>
        <w:ind w:left="5120"/>
        <w:spacing w:after="0"/>
        <w:rPr>
          <w:sz w:val="20"/>
          <w:szCs w:val="20"/>
          <w:color w:val="auto"/>
        </w:rPr>
      </w:pPr>
      <w:r>
        <w:rPr>
          <w:rFonts w:ascii="Times New Roman" w:cs="Times New Roman" w:eastAsia="Times New Roman" w:hAnsi="Times New Roman"/>
          <w:sz w:val="20"/>
          <w:szCs w:val="20"/>
          <w:b w:val="1"/>
          <w:bCs w:val="1"/>
          <w:color w:val="auto"/>
        </w:rPr>
        <w:t>PART II</w:t>
      </w:r>
    </w:p>
    <w:p>
      <w:pPr>
        <w:ind w:left="360"/>
        <w:spacing w:after="0"/>
        <w:tabs>
          <w:tab w:leader="none" w:pos="132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Registrant’s Common Equity, Related Stockholder Matters and Issuer Purchases of Equity</w:t>
      </w:r>
    </w:p>
    <w:p>
      <w:pPr>
        <w:ind w:left="1480"/>
        <w:spacing w:after="0"/>
        <w:tabs>
          <w:tab w:leader="none" w:pos="9860" w:val="left"/>
        </w:tabs>
        <w:rPr>
          <w:sz w:val="20"/>
          <w:szCs w:val="20"/>
          <w:color w:val="auto"/>
        </w:rPr>
      </w:pPr>
      <w:r>
        <w:rPr>
          <w:rFonts w:ascii="Times New Roman" w:cs="Times New Roman" w:eastAsia="Times New Roman" w:hAnsi="Times New Roman"/>
          <w:sz w:val="20"/>
          <w:szCs w:val="20"/>
          <w:color w:val="auto"/>
        </w:rPr>
        <w:t>Securities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45</w:t>
      </w:r>
    </w:p>
    <w:p>
      <w:pPr>
        <w:ind w:left="360"/>
        <w:spacing w:after="0"/>
        <w:tabs>
          <w:tab w:leader="none" w:pos="1320" w:val="left"/>
          <w:tab w:leader="none" w:pos="986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46</w:t>
      </w:r>
    </w:p>
    <w:p>
      <w:pPr>
        <w:ind w:left="360"/>
        <w:spacing w:after="0"/>
        <w:tabs>
          <w:tab w:leader="none" w:pos="1320" w:val="left"/>
          <w:tab w:leader="none" w:pos="986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 . . . . . . . . . .</w:t>
      </w:r>
      <w:r>
        <w:rPr>
          <w:sz w:val="20"/>
          <w:szCs w:val="20"/>
          <w:color w:val="auto"/>
        </w:rPr>
        <w:tab/>
      </w:r>
      <w:r>
        <w:rPr>
          <w:rFonts w:ascii="Times New Roman" w:cs="Times New Roman" w:eastAsia="Times New Roman" w:hAnsi="Times New Roman"/>
          <w:sz w:val="20"/>
          <w:szCs w:val="20"/>
          <w:color w:val="auto"/>
        </w:rPr>
        <w:t>46</w:t>
      </w:r>
    </w:p>
    <w:p>
      <w:pPr>
        <w:ind w:left="360"/>
        <w:spacing w:after="0"/>
        <w:tabs>
          <w:tab w:leader="none" w:pos="1320" w:val="left"/>
          <w:tab w:leader="none" w:pos="9860" w:val="left"/>
        </w:tabs>
        <w:rPr>
          <w:sz w:val="20"/>
          <w:szCs w:val="20"/>
          <w:color w:val="auto"/>
        </w:rPr>
      </w:pPr>
      <w:r>
        <w:rPr>
          <w:rFonts w:ascii="Times New Roman" w:cs="Times New Roman" w:eastAsia="Times New Roman" w:hAnsi="Times New Roman"/>
          <w:sz w:val="20"/>
          <w:szCs w:val="20"/>
          <w:color w:val="auto"/>
        </w:rPr>
        <w:t>Item 7A.</w:t>
        <w:tab/>
        <w:t>Quantitative and Qualitative Disclosures About Market Risk . . . . . . . . . . . . . . . . . . . . . . . . . . . . . . . . . . .</w:t>
      </w:r>
      <w:r>
        <w:rPr>
          <w:sz w:val="20"/>
          <w:szCs w:val="20"/>
          <w:color w:val="auto"/>
        </w:rPr>
        <w:tab/>
      </w:r>
      <w:r>
        <w:rPr>
          <w:rFonts w:ascii="Times New Roman" w:cs="Times New Roman" w:eastAsia="Times New Roman" w:hAnsi="Times New Roman"/>
          <w:sz w:val="20"/>
          <w:szCs w:val="20"/>
          <w:color w:val="auto"/>
        </w:rPr>
        <w:t>75</w:t>
      </w:r>
    </w:p>
    <w:p>
      <w:pPr>
        <w:ind w:left="360"/>
        <w:spacing w:after="0"/>
        <w:tabs>
          <w:tab w:leader="none" w:pos="1320" w:val="left"/>
          <w:tab w:leader="none" w:pos="986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 . . . . . . . . . . . . . . . . . . . . . . . . . . . . . . . . . . . . . . . . . . . . . . .</w:t>
      </w:r>
      <w:r>
        <w:rPr>
          <w:sz w:val="20"/>
          <w:szCs w:val="20"/>
          <w:color w:val="auto"/>
        </w:rPr>
        <w:tab/>
      </w:r>
      <w:r>
        <w:rPr>
          <w:rFonts w:ascii="Times New Roman" w:cs="Times New Roman" w:eastAsia="Times New Roman" w:hAnsi="Times New Roman"/>
          <w:sz w:val="20"/>
          <w:szCs w:val="20"/>
          <w:color w:val="auto"/>
        </w:rPr>
        <w:t>78</w:t>
      </w:r>
    </w:p>
    <w:p>
      <w:pPr>
        <w:ind w:left="360"/>
        <w:spacing w:after="0"/>
        <w:tabs>
          <w:tab w:leader="none" w:pos="1320" w:val="left"/>
          <w:tab w:leader="none" w:pos="976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 Disclosure . . . . . . . . . .</w:t>
        <w:tab/>
        <w:t>144</w:t>
      </w:r>
    </w:p>
    <w:p>
      <w:pPr>
        <w:ind w:left="360"/>
        <w:spacing w:after="0"/>
        <w:tabs>
          <w:tab w:leader="none" w:pos="1320" w:val="left"/>
          <w:tab w:leader="none" w:pos="9760" w:val="left"/>
        </w:tabs>
        <w:rPr>
          <w:sz w:val="20"/>
          <w:szCs w:val="20"/>
          <w:color w:val="auto"/>
        </w:rPr>
      </w:pPr>
      <w:r>
        <w:rPr>
          <w:rFonts w:ascii="Times New Roman" w:cs="Times New Roman" w:eastAsia="Times New Roman" w:hAnsi="Times New Roman"/>
          <w:sz w:val="20"/>
          <w:szCs w:val="20"/>
          <w:color w:val="auto"/>
        </w:rPr>
        <w:t>Item 9A.</w:t>
        <w:tab/>
        <w:t>Controls and Procedures . . . . . . . . . . . . . . . . . . . . . . . . . . . . . . . . . . . . . . . . . . . . . . . . . . . . . . . . . . . . . . . . .</w:t>
        <w:tab/>
        <w:t>144</w:t>
      </w:r>
    </w:p>
    <w:p>
      <w:pPr>
        <w:ind w:left="360"/>
        <w:spacing w:after="0"/>
        <w:tabs>
          <w:tab w:leader="none" w:pos="1320" w:val="left"/>
          <w:tab w:leader="none" w:pos="9760" w:val="left"/>
        </w:tabs>
        <w:rPr>
          <w:sz w:val="20"/>
          <w:szCs w:val="20"/>
          <w:color w:val="auto"/>
        </w:rPr>
      </w:pPr>
      <w:r>
        <w:rPr>
          <w:rFonts w:ascii="Times New Roman" w:cs="Times New Roman" w:eastAsia="Times New Roman" w:hAnsi="Times New Roman"/>
          <w:sz w:val="20"/>
          <w:szCs w:val="20"/>
          <w:color w:val="auto"/>
        </w:rPr>
        <w:t>Item 9B.</w:t>
        <w:tab/>
        <w:t>Other Information . . . . . . . . . . . . . . . . . . . . . . . . . . . . . . . . . . . . . . . . . . . . . . . . . . . . . . . . . . . . . . . . . . . . . .</w:t>
        <w:tab/>
        <w:t>145</w:t>
      </w:r>
    </w:p>
    <w:p>
      <w:pPr>
        <w:ind w:left="360"/>
        <w:spacing w:after="0"/>
        <w:tabs>
          <w:tab w:leader="none" w:pos="1320" w:val="left"/>
          <w:tab w:leader="none" w:pos="9760" w:val="left"/>
        </w:tabs>
        <w:rPr>
          <w:sz w:val="20"/>
          <w:szCs w:val="20"/>
          <w:color w:val="auto"/>
        </w:rPr>
      </w:pPr>
      <w:r>
        <w:rPr>
          <w:rFonts w:ascii="Times New Roman" w:cs="Times New Roman" w:eastAsia="Times New Roman" w:hAnsi="Times New Roman"/>
          <w:sz w:val="20"/>
          <w:szCs w:val="20"/>
          <w:color w:val="auto"/>
        </w:rPr>
        <w:t>Item 9C.</w:t>
        <w:tab/>
        <w:t>Disclosure Regarding Foreign Jurisdictions that Prevent Inspections. . . . . . . . . . . . . . . . . . . . . . . . . . . . .</w:t>
        <w:tab/>
        <w:t>146</w:t>
      </w:r>
    </w:p>
    <w:p>
      <w:pPr>
        <w:ind w:left="5080"/>
        <w:spacing w:after="0"/>
        <w:rPr>
          <w:sz w:val="20"/>
          <w:szCs w:val="20"/>
          <w:color w:val="auto"/>
        </w:rPr>
      </w:pPr>
      <w:r>
        <w:rPr>
          <w:rFonts w:ascii="Times New Roman" w:cs="Times New Roman" w:eastAsia="Times New Roman" w:hAnsi="Times New Roman"/>
          <w:sz w:val="20"/>
          <w:szCs w:val="20"/>
          <w:b w:val="1"/>
          <w:bCs w:val="1"/>
          <w:color w:val="auto"/>
        </w:rPr>
        <w:t>PART III</w:t>
      </w:r>
    </w:p>
    <w:p>
      <w:pPr>
        <w:ind w:left="360"/>
        <w:spacing w:after="0"/>
        <w:tabs>
          <w:tab w:leader="none" w:pos="1320" w:val="left"/>
          <w:tab w:leader="none" w:pos="9760" w:val="left"/>
        </w:tabs>
        <w:rPr>
          <w:sz w:val="20"/>
          <w:szCs w:val="20"/>
          <w:color w:val="auto"/>
        </w:rPr>
      </w:pPr>
      <w:r>
        <w:rPr>
          <w:rFonts w:ascii="Times New Roman" w:cs="Times New Roman" w:eastAsia="Times New Roman" w:hAnsi="Times New Roman"/>
          <w:sz w:val="20"/>
          <w:szCs w:val="20"/>
          <w:color w:val="auto"/>
        </w:rPr>
        <w:t>Item 10.</w:t>
        <w:tab/>
        <w:t>Directors, Executive Officers and Corporate Governance . . . . . . . . . . . . . . . . . . . . . . . . . . . . . . . . . . . . . .</w:t>
        <w:tab/>
        <w:t>146</w:t>
      </w:r>
    </w:p>
    <w:p>
      <w:pPr>
        <w:ind w:left="360"/>
        <w:spacing w:after="0"/>
        <w:tabs>
          <w:tab w:leader="none" w:pos="1320" w:val="left"/>
          <w:tab w:leader="none" w:pos="9760" w:val="left"/>
        </w:tabs>
        <w:rPr>
          <w:sz w:val="20"/>
          <w:szCs w:val="20"/>
          <w:color w:val="auto"/>
        </w:rPr>
      </w:pPr>
      <w:r>
        <w:rPr>
          <w:rFonts w:ascii="Times New Roman" w:cs="Times New Roman" w:eastAsia="Times New Roman" w:hAnsi="Times New Roman"/>
          <w:sz w:val="20"/>
          <w:szCs w:val="20"/>
          <w:color w:val="auto"/>
        </w:rPr>
        <w:t>Item 11.</w:t>
        <w:tab/>
        <w:t>Executive Compensation . . . . . . . . . . . . . . . . . . . . . . . . . . . . . . . . . . . . . . . . . . . . . . . . . . . . . . . . . . . . . . . .</w:t>
        <w:tab/>
        <w:t>147</w:t>
      </w:r>
    </w:p>
    <w:p>
      <w:pPr>
        <w:ind w:left="360"/>
        <w:spacing w:after="0"/>
        <w:tabs>
          <w:tab w:leader="none" w:pos="1320" w:val="left"/>
          <w:tab w:leader="none" w:pos="9760" w:val="left"/>
        </w:tabs>
        <w:rPr>
          <w:sz w:val="20"/>
          <w:szCs w:val="20"/>
          <w:color w:val="auto"/>
        </w:rPr>
      </w:pPr>
      <w:r>
        <w:rPr>
          <w:rFonts w:ascii="Times New Roman" w:cs="Times New Roman" w:eastAsia="Times New Roman" w:hAnsi="Times New Roman"/>
          <w:sz w:val="20"/>
          <w:szCs w:val="20"/>
          <w:color w:val="auto"/>
        </w:rPr>
        <w:t>Item 12.</w:t>
        <w:tab/>
        <w:t>Security Ownership of Certain Beneficial Owners and Management and Related Stockholder Matters .</w:t>
        <w:tab/>
        <w:t>147</w:t>
      </w:r>
    </w:p>
    <w:p>
      <w:pPr>
        <w:ind w:left="360"/>
        <w:spacing w:after="0"/>
        <w:tabs>
          <w:tab w:leader="none" w:pos="1320" w:val="left"/>
          <w:tab w:leader="none" w:pos="9760" w:val="left"/>
        </w:tabs>
        <w:rPr>
          <w:sz w:val="20"/>
          <w:szCs w:val="20"/>
          <w:color w:val="auto"/>
        </w:rPr>
      </w:pPr>
      <w:r>
        <w:rPr>
          <w:rFonts w:ascii="Times New Roman" w:cs="Times New Roman" w:eastAsia="Times New Roman" w:hAnsi="Times New Roman"/>
          <w:sz w:val="20"/>
          <w:szCs w:val="20"/>
          <w:color w:val="auto"/>
        </w:rPr>
        <w:t>Item 13.</w:t>
        <w:tab/>
        <w:t>Certain Relationships and Related Transactions, and Director Independence . . . . . . . . . . . . . . . . . . . . . .</w:t>
        <w:tab/>
        <w:t>147</w:t>
      </w:r>
    </w:p>
    <w:p>
      <w:pPr>
        <w:ind w:left="360"/>
        <w:spacing w:after="0"/>
        <w:tabs>
          <w:tab w:leader="none" w:pos="1320" w:val="left"/>
          <w:tab w:leader="none" w:pos="9760" w:val="left"/>
        </w:tabs>
        <w:rPr>
          <w:sz w:val="20"/>
          <w:szCs w:val="20"/>
          <w:color w:val="auto"/>
        </w:rPr>
      </w:pPr>
      <w:r>
        <w:rPr>
          <w:rFonts w:ascii="Times New Roman" w:cs="Times New Roman" w:eastAsia="Times New Roman" w:hAnsi="Times New Roman"/>
          <w:sz w:val="20"/>
          <w:szCs w:val="20"/>
          <w:color w:val="auto"/>
        </w:rPr>
        <w:t>Item 14.</w:t>
        <w:tab/>
        <w:t>Principal Accounting Fees and Services . . . . . . . . . . . . . . . . . . . . . . . . . . . . . . . . . . . . . . . . . . . . . . . . . . . .</w:t>
        <w:tab/>
        <w:t>147</w:t>
      </w:r>
    </w:p>
    <w:p>
      <w:pPr>
        <w:ind w:left="5080"/>
        <w:spacing w:after="0"/>
        <w:rPr>
          <w:sz w:val="20"/>
          <w:szCs w:val="20"/>
          <w:color w:val="auto"/>
        </w:rPr>
      </w:pPr>
      <w:r>
        <w:rPr>
          <w:rFonts w:ascii="Times New Roman" w:cs="Times New Roman" w:eastAsia="Times New Roman" w:hAnsi="Times New Roman"/>
          <w:sz w:val="20"/>
          <w:szCs w:val="20"/>
          <w:b w:val="1"/>
          <w:bCs w:val="1"/>
          <w:color w:val="auto"/>
        </w:rPr>
        <w:t>PART IV</w:t>
      </w:r>
    </w:p>
    <w:p>
      <w:pPr>
        <w:ind w:left="360"/>
        <w:spacing w:after="0"/>
        <w:tabs>
          <w:tab w:leader="none" w:pos="1320" w:val="left"/>
          <w:tab w:leader="none" w:pos="9760" w:val="left"/>
        </w:tabs>
        <w:rPr>
          <w:sz w:val="20"/>
          <w:szCs w:val="20"/>
          <w:color w:val="auto"/>
        </w:rPr>
      </w:pPr>
      <w:r>
        <w:rPr>
          <w:rFonts w:ascii="Times New Roman" w:cs="Times New Roman" w:eastAsia="Times New Roman" w:hAnsi="Times New Roman"/>
          <w:sz w:val="20"/>
          <w:szCs w:val="20"/>
          <w:color w:val="auto"/>
        </w:rPr>
        <w:t>Item 15.</w:t>
        <w:tab/>
        <w:t>Exhibits . . . . . . . . . . . . . . . . . . . . . . . . . . . . . . . . . . . . . . . . . . . . . . . . . . . . . . . . . . . . . . . . . . . . . . . . . . . . . .</w:t>
        <w:tab/>
        <w:t>147</w:t>
      </w:r>
    </w:p>
    <w:p>
      <w:pPr>
        <w:ind w:left="360"/>
        <w:spacing w:after="0"/>
        <w:tabs>
          <w:tab w:leader="none" w:pos="1320" w:val="left"/>
          <w:tab w:leader="none" w:pos="9760" w:val="left"/>
        </w:tabs>
        <w:rPr>
          <w:sz w:val="20"/>
          <w:szCs w:val="20"/>
          <w:color w:val="auto"/>
        </w:rPr>
      </w:pPr>
      <w:r>
        <w:rPr>
          <w:rFonts w:ascii="Times New Roman" w:cs="Times New Roman" w:eastAsia="Times New Roman" w:hAnsi="Times New Roman"/>
          <w:sz w:val="20"/>
          <w:szCs w:val="20"/>
          <w:color w:val="auto"/>
        </w:rPr>
        <w:t>Item 16.</w:t>
        <w:tab/>
        <w:t>Form 10-K Summary . . . . . . . . . . . . . . . . . . . . . . . . . . . . . . . . . . . . . . . . . . . . . . . . . . . . . . . . . . . . . . . . . . .</w:t>
        <w:tab/>
        <w:t>150</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3320" w:h="16920" w:orient="portrait"/>
          <w:cols w:equalWidth="0" w:num="1">
            <w:col w:w="10440"/>
          </w:cols>
          <w:pgMar w:left="1440" w:top="1440" w:right="1440" w:bottom="1440" w:gutter="0" w:footer="0" w:header="0"/>
          <w:type w:val="continuous"/>
        </w:sectPr>
      </w:pPr>
    </w:p>
    <w:bookmarkStart w:id="76" w:name="page77"/>
    <w:bookmarkEnd w:id="76"/>
    <w:p>
      <w:pPr>
        <w:spacing w:after="0" w:line="3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Cautionary Statement About Forward-Looking Statements</w:t>
      </w:r>
    </w:p>
    <w:p>
      <w:pPr>
        <w:spacing w:after="0" w:line="243" w:lineRule="exact"/>
        <w:rPr>
          <w:sz w:val="20"/>
          <w:szCs w:val="20"/>
          <w:color w:val="auto"/>
        </w:rPr>
      </w:pPr>
    </w:p>
    <w:p>
      <w:pPr>
        <w:jc w:val="both"/>
        <w:ind w:left="360" w:right="360" w:firstLine="360"/>
        <w:spacing w:after="0" w:line="260" w:lineRule="auto"/>
        <w:rPr>
          <w:sz w:val="20"/>
          <w:szCs w:val="20"/>
          <w:color w:val="auto"/>
        </w:rPr>
      </w:pPr>
      <w:r>
        <w:rPr>
          <w:rFonts w:ascii="Times New Roman" w:cs="Times New Roman" w:eastAsia="Times New Roman" w:hAnsi="Times New Roman"/>
          <w:sz w:val="19"/>
          <w:szCs w:val="19"/>
          <w:color w:val="auto"/>
        </w:rPr>
        <w:t>This Annual Report on Form 10- K contains certain forward-looking statements that are made subject to the safe harbor protections provided by the Private Securities Litigation Reform Act of 1995. Forward-looking statements are often identified by the words, “will,” “may,” “should,” “continue,” “anticipate,” “believe,” “expect,” “target,” “plan,” “forecast,” “project,” “estimate,” “intend,” “commit,” “potential” and words of a similar nature and generally include statements regarding future results of operations, including revenues, earnings or cash flows; plans and objectives for the future; projections, estimates or assumptions relating to our operational or financial performance, including anticipated impacts of the Inflation Reduction Act of 2022; projections, estimates or assumptions relating to our capital expenditures; or our opinions, views or beliefs about the effects of current or future events, circumstances or performance.</w:t>
      </w:r>
    </w:p>
    <w:p>
      <w:pPr>
        <w:spacing w:after="0" w:line="186"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 xml:space="preserve">You should view these statements with caution. These statements are not guarantees of future performance, circumstances or events. They are based on facts and circumstances known to us as of the date the statements are made, and you should not place undue reliance on any such forward-looking statements. Forward-looking statements are subject to certain risks and uncertainties that could cause actual results to differ materially from our historical experience and our present expectations or anticipated results. These risks and uncertainties include, but are not limited to, those described in Part I,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and elsewhere in this Annual Report and may also be described from time to time in our future reports filed with the U.S. Securities and Exchange Commission (“SEC”). We do not undertake any obligation to update forward-looking statements to reflect events, circumstances, changes in expectations or other developments after the date of those statements.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243"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 xml:space="preserve">Our business is subject to numerous risks and uncertainties, including those described in Part I, “Item 1A. </w:t>
      </w:r>
      <w:r>
        <w:rPr>
          <w:rFonts w:ascii="Times New Roman" w:cs="Times New Roman" w:eastAsia="Times New Roman" w:hAnsi="Times New Roman"/>
          <w:sz w:val="20"/>
          <w:szCs w:val="20"/>
          <w:i w:val="1"/>
          <w:iCs w:val="1"/>
          <w:color w:val="auto"/>
        </w:rPr>
        <w:t>Risk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Factors</w:t>
      </w:r>
      <w:r>
        <w:rPr>
          <w:rFonts w:ascii="Times New Roman" w:cs="Times New Roman" w:eastAsia="Times New Roman" w:hAnsi="Times New Roman"/>
          <w:sz w:val="20"/>
          <w:szCs w:val="20"/>
          <w:color w:val="auto"/>
        </w:rPr>
        <w:t>” of this Annual Report. These risks include the following:</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u w:val="single" w:color="auto"/>
          <w:color w:val="auto"/>
        </w:rPr>
        <w:t>Strategy and Operational Risks</w:t>
      </w:r>
    </w:p>
    <w:p>
      <w:pPr>
        <w:spacing w:after="0" w:line="254" w:lineRule="exact"/>
        <w:rPr>
          <w:sz w:val="20"/>
          <w:szCs w:val="20"/>
          <w:color w:val="auto"/>
        </w:rPr>
      </w:pPr>
    </w:p>
    <w:p>
      <w:pPr>
        <w:ind w:left="1080" w:right="360" w:hanging="353"/>
        <w:spacing w:after="0" w:line="266" w:lineRule="auto"/>
        <w:tabs>
          <w:tab w:leader="none" w:pos="10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If we fail to implement our business strategy, our financial performance and our growth could be materially and adversely affected.</w:t>
      </w:r>
    </w:p>
    <w:p>
      <w:pPr>
        <w:spacing w:after="0" w:line="1" w:lineRule="exact"/>
        <w:rPr>
          <w:rFonts w:ascii="Arial" w:cs="Arial" w:eastAsia="Arial" w:hAnsi="Arial"/>
          <w:sz w:val="20"/>
          <w:szCs w:val="20"/>
          <w:color w:val="auto"/>
        </w:rPr>
      </w:pPr>
    </w:p>
    <w:p>
      <w:pPr>
        <w:ind w:left="1080" w:hanging="353"/>
        <w:spacing w:after="0"/>
        <w:tabs>
          <w:tab w:leader="none" w:pos="10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realize the strategic benefits and cost synergies anticipated from the Stericycle acquisition.</w:t>
      </w:r>
    </w:p>
    <w:p>
      <w:pPr>
        <w:spacing w:after="0" w:line="28" w:lineRule="exact"/>
        <w:rPr>
          <w:rFonts w:ascii="Arial" w:cs="Arial" w:eastAsia="Arial" w:hAnsi="Arial"/>
          <w:sz w:val="20"/>
          <w:szCs w:val="20"/>
          <w:color w:val="auto"/>
        </w:rPr>
      </w:pPr>
    </w:p>
    <w:p>
      <w:pPr>
        <w:jc w:val="both"/>
        <w:ind w:left="1080" w:right="360" w:hanging="353"/>
        <w:spacing w:after="0" w:line="259" w:lineRule="auto"/>
        <w:tabs>
          <w:tab w:leader="none" w:pos="10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Our operations must comply with extensive existing regulations, and changes in regulations, including with respect to emerging contaminants, such as PFAS (as defined below), and extended producer responsibility, can restrict or alter our operations, increase our operating costs, increase our tax liabilities, reduce revenues, or require us to make additional capital expenditures.</w:t>
      </w:r>
    </w:p>
    <w:p>
      <w:pPr>
        <w:spacing w:after="0" w:line="2" w:lineRule="exact"/>
        <w:rPr>
          <w:rFonts w:ascii="Arial" w:cs="Arial" w:eastAsia="Arial" w:hAnsi="Arial"/>
          <w:sz w:val="20"/>
          <w:szCs w:val="20"/>
          <w:color w:val="auto"/>
        </w:rPr>
      </w:pPr>
    </w:p>
    <w:p>
      <w:pPr>
        <w:ind w:left="1080" w:hanging="353"/>
        <w:spacing w:after="0"/>
        <w:tabs>
          <w:tab w:leader="none" w:pos="10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Our business is subject to operational and safety risks, including the risk of injury to employees and others.</w:t>
      </w:r>
    </w:p>
    <w:p>
      <w:pPr>
        <w:spacing w:after="0" w:line="28" w:lineRule="exact"/>
        <w:rPr>
          <w:rFonts w:ascii="Arial" w:cs="Arial" w:eastAsia="Arial" w:hAnsi="Arial"/>
          <w:sz w:val="20"/>
          <w:szCs w:val="20"/>
          <w:color w:val="auto"/>
        </w:rPr>
      </w:pPr>
    </w:p>
    <w:p>
      <w:pPr>
        <w:jc w:val="both"/>
        <w:ind w:left="1080" w:right="360" w:hanging="353"/>
        <w:spacing w:after="0" w:line="260" w:lineRule="auto"/>
        <w:tabs>
          <w:tab w:leader="none" w:pos="10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obtain or maintain required permits for our operations or expand existing permitted capacity at our landfills, due to land scarcity, public opposition or otherwise, which can require us to identify disposal alternatives, resulting in decreased revenue and increased costs.</w:t>
      </w:r>
    </w:p>
    <w:p>
      <w:pPr>
        <w:spacing w:after="0" w:line="1" w:lineRule="exact"/>
        <w:rPr>
          <w:rFonts w:ascii="Arial" w:cs="Arial" w:eastAsia="Arial" w:hAnsi="Arial"/>
          <w:sz w:val="20"/>
          <w:szCs w:val="20"/>
          <w:color w:val="auto"/>
        </w:rPr>
      </w:pPr>
    </w:p>
    <w:p>
      <w:pPr>
        <w:jc w:val="both"/>
        <w:ind w:left="1080" w:right="360" w:hanging="353"/>
        <w:spacing w:after="0" w:line="260" w:lineRule="auto"/>
        <w:tabs>
          <w:tab w:leader="none" w:pos="10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w:t>
      </w:r>
    </w:p>
    <w:p>
      <w:pPr>
        <w:spacing w:after="0" w:line="1" w:lineRule="exact"/>
        <w:rPr>
          <w:rFonts w:ascii="Arial" w:cs="Arial" w:eastAsia="Arial" w:hAnsi="Arial"/>
          <w:sz w:val="20"/>
          <w:szCs w:val="20"/>
          <w:color w:val="auto"/>
        </w:rPr>
      </w:pPr>
    </w:p>
    <w:p>
      <w:pPr>
        <w:ind w:left="1080" w:right="360" w:hanging="353"/>
        <w:spacing w:after="0" w:line="263" w:lineRule="auto"/>
        <w:tabs>
          <w:tab w:leader="none" w:pos="10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Increases in our labor costs as a result of labor unions organizing, changes in regulations related to labor unions or increases in employee minimum wages, could adversely affect our future results.</w:t>
      </w:r>
    </w:p>
    <w:p>
      <w:pPr>
        <w:ind w:left="1080" w:right="360" w:hanging="353"/>
        <w:spacing w:after="0" w:line="263" w:lineRule="auto"/>
        <w:tabs>
          <w:tab w:leader="none" w:pos="10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The seasonal nature of our business, severe weather events resulting from climate change and event driven projects cause our results to fluctuate, and prior performance may not be indicative of our future results.</w:t>
      </w:r>
    </w:p>
    <w:p>
      <w:pPr>
        <w:ind w:left="1080" w:hanging="353"/>
        <w:spacing w:after="0"/>
        <w:tabs>
          <w:tab w:leader="none" w:pos="10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Damage to our reputation and the value of our brand would negatively impact our business.</w:t>
      </w:r>
    </w:p>
    <w:p>
      <w:pPr>
        <w:spacing w:after="0" w:line="29" w:lineRule="exact"/>
        <w:rPr>
          <w:rFonts w:ascii="Arial" w:cs="Arial" w:eastAsia="Arial" w:hAnsi="Arial"/>
          <w:sz w:val="20"/>
          <w:szCs w:val="20"/>
          <w:color w:val="auto"/>
        </w:rPr>
      </w:pPr>
    </w:p>
    <w:p>
      <w:pPr>
        <w:jc w:val="both"/>
        <w:ind w:left="1080" w:right="360" w:hanging="353"/>
        <w:spacing w:after="0" w:line="265" w:lineRule="auto"/>
        <w:tabs>
          <w:tab w:leader="none" w:pos="10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We have made significant investments in an extensive natural gas truck fleet, which makes us partially dependent on the availability of natural gas and fueling infrastructure and vulnerable to natural gas prices, and requirements to transition away from our current vehicle fleet to electric powered vehicles could impair our investments and result in cost increases and significant additional capital investment.</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3320" w:h="16920" w:orient="portrait"/>
          <w:cols w:equalWidth="0" w:num="1">
            <w:col w:w="10440"/>
          </w:cols>
          <w:pgMar w:left="1440" w:top="1440" w:right="1440" w:bottom="1440" w:gutter="0" w:footer="0" w:header="0"/>
          <w:type w:val="continuous"/>
        </w:sectPr>
      </w:pPr>
    </w:p>
    <w:bookmarkStart w:id="77" w:name="page78"/>
    <w:bookmarkEnd w:id="77"/>
    <w:p>
      <w:pPr>
        <w:spacing w:after="0" w:line="362" w:lineRule="exact"/>
        <w:rPr>
          <w:sz w:val="20"/>
          <w:szCs w:val="20"/>
          <w:color w:val="auto"/>
        </w:rPr>
      </w:pPr>
    </w:p>
    <w:p>
      <w:pPr>
        <w:jc w:val="both"/>
        <w:ind w:left="1080" w:right="360" w:hanging="353"/>
        <w:spacing w:after="0" w:line="261" w:lineRule="auto"/>
        <w:tabs>
          <w:tab w:leader="none" w:pos="108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achieve our sustainability-related goals, including reduction of our greenhouse gas emissions, or execute on our sustainability-related growth strategy and initiatives, within planned timelines or anticipated budget, which could damage our reputation and negatively impact the benefits anticipated from our investments.</w:t>
      </w:r>
    </w:p>
    <w:p>
      <w:pPr>
        <w:ind w:left="1080" w:right="380" w:hanging="353"/>
        <w:spacing w:after="0" w:line="286" w:lineRule="auto"/>
        <w:tabs>
          <w:tab w:leader="none" w:pos="108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Focus on, and regulation of, sustainability performance and disclosure can result in increased costs, risk of noncompliance, damage to our reputation and related adverse effects.</w:t>
      </w:r>
    </w:p>
    <w:p>
      <w:pPr>
        <w:spacing w:after="0" w:line="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u w:val="single" w:color="auto"/>
          <w:color w:val="auto"/>
        </w:rPr>
        <w:t>External Economic and Industry Risks</w:t>
      </w:r>
    </w:p>
    <w:p>
      <w:pPr>
        <w:spacing w:after="0" w:line="254" w:lineRule="exact"/>
        <w:rPr>
          <w:sz w:val="20"/>
          <w:szCs w:val="20"/>
          <w:color w:val="auto"/>
        </w:rPr>
      </w:pPr>
    </w:p>
    <w:p>
      <w:pPr>
        <w:jc w:val="both"/>
        <w:ind w:left="1080" w:right="360" w:hanging="353"/>
        <w:spacing w:after="0" w:line="263" w:lineRule="auto"/>
        <w:tabs>
          <w:tab w:leader="none" w:pos="10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Market disruption, including labor shortages, external strikes, and supply chain constraints, and macroeconomic pressures, including inflation, have recently had, and may in the future have, an adverse impact on our business and results of operations.</w:t>
      </w:r>
    </w:p>
    <w:p>
      <w:pPr>
        <w:ind w:left="1080" w:right="360" w:hanging="353"/>
        <w:spacing w:after="0" w:line="263" w:lineRule="auto"/>
        <w:tabs>
          <w:tab w:leader="none" w:pos="10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environmental services industry is highly competitive, and if we cannot successfully compete in the marketplace, our business, financial condition and operating results may be materially adversely affected.</w:t>
      </w:r>
    </w:p>
    <w:p>
      <w:pPr>
        <w:ind w:left="1080" w:right="360" w:hanging="353"/>
        <w:spacing w:after="0" w:line="263" w:lineRule="auto"/>
        <w:tabs>
          <w:tab w:leader="none" w:pos="10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Our revenues, earnings and cash flows fluctuate based on changes in commodity prices and demand and may fluctuate substantially without notice in the future.</w:t>
      </w:r>
    </w:p>
    <w:p>
      <w:pPr>
        <w:ind w:left="1080" w:right="360" w:hanging="353"/>
        <w:spacing w:after="0" w:line="263" w:lineRule="auto"/>
        <w:tabs>
          <w:tab w:leader="none" w:pos="10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Increasing customer preference for alternatives to landfill disposal and bans on certain types of waste could reduce our landfill volumes and cause our revenues and operating results to decline.</w:t>
      </w:r>
    </w:p>
    <w:p>
      <w:pPr>
        <w:ind w:left="1080" w:right="360" w:hanging="353"/>
        <w:spacing w:after="0" w:line="262" w:lineRule="auto"/>
        <w:tabs>
          <w:tab w:leader="none" w:pos="10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General economic conditions can directly and adversely affect revenues for our services and our income from operations margins.</w:t>
      </w:r>
    </w:p>
    <w:p>
      <w:pPr>
        <w:ind w:left="1080" w:right="380" w:hanging="353"/>
        <w:spacing w:after="0" w:line="263" w:lineRule="auto"/>
        <w:tabs>
          <w:tab w:leader="none" w:pos="10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Reduction in volumes of medical waste, controlled substances wastes, and personal and confidential information, and changing conditions in the healthcare industry, could adversely affect our financial results.</w:t>
      </w:r>
    </w:p>
    <w:p>
      <w:pPr>
        <w:ind w:left="1080" w:right="360" w:hanging="353"/>
        <w:spacing w:after="0" w:line="263" w:lineRule="auto"/>
        <w:tabs>
          <w:tab w:leader="none" w:pos="10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Weakness in the economy may expose us to credit risk of governmental entities and municipalities and other major customers, which could negatively impact our financial results.</w:t>
      </w:r>
    </w:p>
    <w:p>
      <w:pPr>
        <w:ind w:left="1080" w:right="360" w:hanging="353"/>
        <w:spacing w:after="0" w:line="263" w:lineRule="auto"/>
        <w:tabs>
          <w:tab w:leader="none" w:pos="10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Changes to applicable tax laws and regulation or interpretation thereof or the imposition of new or increased taxes may increase our tax liabilities and could adversely affect our operating results and cash flows.</w:t>
      </w:r>
    </w:p>
    <w:p>
      <w:pPr>
        <w:ind w:left="1080" w:hanging="353"/>
        <w:spacing w:after="0"/>
        <w:tabs>
          <w:tab w:leader="none" w:pos="10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Shortages in diesel fuel supply or increases in diesel fuel prices may increase our operating expenses.</w:t>
      </w:r>
    </w:p>
    <w:p>
      <w:pPr>
        <w:spacing w:after="0" w:line="28" w:lineRule="exact"/>
        <w:rPr>
          <w:rFonts w:ascii="Arial" w:cs="Arial" w:eastAsia="Arial" w:hAnsi="Arial"/>
          <w:sz w:val="20"/>
          <w:szCs w:val="20"/>
          <w:color w:val="auto"/>
        </w:rPr>
      </w:pPr>
    </w:p>
    <w:p>
      <w:pPr>
        <w:ind w:left="1080" w:right="360" w:hanging="353"/>
        <w:spacing w:after="0" w:line="286" w:lineRule="auto"/>
        <w:tabs>
          <w:tab w:leader="none" w:pos="10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Large-scale disruption of social and commercial activity and financial markets may have a material adverse impact on our business, financial condition, results of operations and cash flows.</w:t>
      </w:r>
    </w:p>
    <w:p>
      <w:pPr>
        <w:spacing w:after="0" w:line="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u w:val="single" w:color="auto"/>
          <w:color w:val="auto"/>
        </w:rPr>
        <w:t>Technology and Information Security Risks</w:t>
      </w:r>
    </w:p>
    <w:p>
      <w:pPr>
        <w:spacing w:after="0" w:line="254" w:lineRule="exact"/>
        <w:rPr>
          <w:sz w:val="20"/>
          <w:szCs w:val="20"/>
          <w:color w:val="auto"/>
        </w:rPr>
      </w:pPr>
    </w:p>
    <w:p>
      <w:pPr>
        <w:ind w:left="1080" w:right="360" w:hanging="353"/>
        <w:spacing w:after="0" w:line="266" w:lineRule="auto"/>
        <w:tabs>
          <w:tab w:leader="none" w:pos="10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in technology could trigger a fundamental change in our industry, as waste streams are increasingly viewed as a resource, which may adversely impact volumes at our landfills and our profitability.</w:t>
      </w:r>
    </w:p>
    <w:p>
      <w:pPr>
        <w:spacing w:after="0" w:line="1" w:lineRule="exact"/>
        <w:rPr>
          <w:rFonts w:ascii="Arial" w:cs="Arial" w:eastAsia="Arial" w:hAnsi="Arial"/>
          <w:sz w:val="20"/>
          <w:szCs w:val="20"/>
          <w:color w:val="auto"/>
        </w:rPr>
      </w:pPr>
    </w:p>
    <w:p>
      <w:pPr>
        <w:ind w:left="1080" w:right="360" w:hanging="353"/>
        <w:spacing w:after="0" w:line="263" w:lineRule="auto"/>
        <w:tabs>
          <w:tab w:leader="none" w:pos="10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not able to develop new service offerings and protect intellectual property or if a competitor develops or obtains exclusive rights to a breakthrough technology, our financial results may suffer.</w:t>
      </w:r>
    </w:p>
    <w:p>
      <w:pPr>
        <w:ind w:left="1080" w:hanging="353"/>
        <w:spacing w:after="0"/>
        <w:tabs>
          <w:tab w:leader="none" w:pos="10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We are dependent on technology, and if our technology fails, our business would be adversely affected.</w:t>
      </w:r>
    </w:p>
    <w:p>
      <w:pPr>
        <w:spacing w:after="0" w:line="28" w:lineRule="exact"/>
        <w:rPr>
          <w:rFonts w:ascii="Arial" w:cs="Arial" w:eastAsia="Arial" w:hAnsi="Arial"/>
          <w:sz w:val="20"/>
          <w:szCs w:val="20"/>
          <w:color w:val="auto"/>
        </w:rPr>
      </w:pPr>
    </w:p>
    <w:p>
      <w:pPr>
        <w:ind w:left="1080" w:right="360" w:hanging="353"/>
        <w:spacing w:after="0" w:line="263" w:lineRule="auto"/>
        <w:tabs>
          <w:tab w:leader="none" w:pos="10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Inability to adapt to and manage the benefits and risks of artificial intelligence could expose us to liability or put us at a disadvantage.</w:t>
      </w:r>
    </w:p>
    <w:p>
      <w:pPr>
        <w:ind w:left="1080" w:right="360" w:hanging="353"/>
        <w:spacing w:after="0" w:line="263" w:lineRule="auto"/>
        <w:tabs>
          <w:tab w:leader="none" w:pos="10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cybersecurity incidents may negatively impact our business and our relationships with customers, vendors and employees and expose us to increased liability.</w:t>
      </w:r>
    </w:p>
    <w:p>
      <w:pPr>
        <w:ind w:left="1080" w:right="360" w:hanging="353"/>
        <w:spacing w:after="0" w:line="286" w:lineRule="auto"/>
        <w:tabs>
          <w:tab w:leader="none" w:pos="10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Increasing regulatory focus on privacy and data protection issues and expanding laws could negatively impact our business, subject us to criticism and expose us to increased liability.</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u w:val="single" w:color="auto"/>
          <w:color w:val="auto"/>
        </w:rPr>
        <w:t>Legal, Regulatory and Compliance Risks</w:t>
      </w:r>
    </w:p>
    <w:p>
      <w:pPr>
        <w:spacing w:after="0" w:line="256" w:lineRule="exact"/>
        <w:rPr>
          <w:sz w:val="20"/>
          <w:szCs w:val="20"/>
          <w:color w:val="auto"/>
        </w:rPr>
      </w:pPr>
    </w:p>
    <w:p>
      <w:pPr>
        <w:ind w:left="1080" w:right="360" w:hanging="353"/>
        <w:spacing w:after="0" w:line="266" w:lineRule="auto"/>
        <w:tabs>
          <w:tab w:leader="none" w:pos="10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Our operations are subject to environmental, health and safety laws and regulations, as well as contractual obligations that may result in significant liabilities.</w:t>
      </w:r>
    </w:p>
    <w:p>
      <w:pPr>
        <w:jc w:val="both"/>
        <w:ind w:left="1080" w:right="360" w:hanging="353"/>
        <w:spacing w:after="0" w:line="271" w:lineRule="auto"/>
        <w:tabs>
          <w:tab w:leader="none" w:pos="10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Our sustainability growth strategy includes significant planned and ongoing investments in our WM Renewable Energy segment; changes to federal and state renewable fuel policies could affect our financial performance, and such investments may not yield the results anticipated.</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w:t>
      </w:r>
    </w:p>
    <w:p>
      <w:pPr>
        <w:sectPr>
          <w:pgSz w:w="13320" w:h="16920" w:orient="portrait"/>
          <w:cols w:equalWidth="0" w:num="1">
            <w:col w:w="10440"/>
          </w:cols>
          <w:pgMar w:left="1440" w:top="1440" w:right="1440" w:bottom="1440" w:gutter="0" w:footer="0" w:header="0"/>
          <w:type w:val="continuous"/>
        </w:sectPr>
      </w:pPr>
    </w:p>
    <w:bookmarkStart w:id="78" w:name="page79"/>
    <w:bookmarkEnd w:id="78"/>
    <w:p>
      <w:pPr>
        <w:spacing w:after="0" w:line="362" w:lineRule="exact"/>
        <w:rPr>
          <w:sz w:val="20"/>
          <w:szCs w:val="20"/>
          <w:color w:val="auto"/>
        </w:rPr>
      </w:pPr>
    </w:p>
    <w:p>
      <w:pPr>
        <w:ind w:left="1080" w:right="360" w:hanging="353"/>
        <w:spacing w:after="0" w:line="266" w:lineRule="auto"/>
        <w:tabs>
          <w:tab w:leader="none" w:pos="108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climate change, and the adoption of climate change legislation or regulations restricting emissions of greenhouse gases, could increase our costs to operate.</w:t>
      </w:r>
    </w:p>
    <w:p>
      <w:pPr>
        <w:jc w:val="both"/>
        <w:ind w:left="1080" w:right="360" w:hanging="353"/>
        <w:spacing w:after="0" w:line="260" w:lineRule="auto"/>
        <w:tabs>
          <w:tab w:leader="none" w:pos="108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maintain an effective system of internal control over financial reporting, due to technology issues, difficulties integrating Stericycle’s operations and systems, or otherwise, could adversely affect our ability to provide accurate and timely financial statements, which may harm our business and reputation.</w:t>
      </w:r>
    </w:p>
    <w:p>
      <w:pPr>
        <w:spacing w:after="0" w:line="1" w:lineRule="exact"/>
        <w:rPr>
          <w:rFonts w:ascii="Arial" w:cs="Arial" w:eastAsia="Arial" w:hAnsi="Arial"/>
          <w:sz w:val="20"/>
          <w:szCs w:val="20"/>
          <w:color w:val="auto"/>
        </w:rPr>
      </w:pPr>
    </w:p>
    <w:p>
      <w:pPr>
        <w:ind w:left="1080" w:right="360" w:hanging="353"/>
        <w:spacing w:after="0" w:line="263" w:lineRule="auto"/>
        <w:tabs>
          <w:tab w:leader="none" w:pos="108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We could be subject to significant fines and penalties, and our reputation could be adversely affected, if we or third parties with whom we have a relationship fail to comply with U.S. or foreign laws or regulations.</w:t>
      </w:r>
    </w:p>
    <w:p>
      <w:pPr>
        <w:ind w:left="1080" w:right="360" w:hanging="353"/>
        <w:spacing w:after="0" w:line="286" w:lineRule="auto"/>
        <w:tabs>
          <w:tab w:leader="none" w:pos="108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Currently pending or future litigation or governmental proceedings could result in material adverse consequences, including judgments or settlements.</w:t>
      </w:r>
    </w:p>
    <w:p>
      <w:pPr>
        <w:spacing w:after="0" w:line="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u w:val="single" w:color="auto"/>
          <w:color w:val="auto"/>
        </w:rPr>
        <w:t>Financial Risks</w:t>
      </w:r>
    </w:p>
    <w:p>
      <w:pPr>
        <w:spacing w:after="0" w:line="255" w:lineRule="exact"/>
        <w:rPr>
          <w:sz w:val="20"/>
          <w:szCs w:val="20"/>
          <w:color w:val="auto"/>
        </w:rPr>
      </w:pPr>
    </w:p>
    <w:p>
      <w:pPr>
        <w:ind w:left="1080" w:right="360" w:hanging="353"/>
        <w:spacing w:after="0" w:line="266" w:lineRule="auto"/>
        <w:tabs>
          <w:tab w:leader="none" w:pos="108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Our capital requirements and our business strategy could increase our expenses, cause us to change our growth and development plans, or result in an inability to maintain our desired credit profile.</w:t>
      </w:r>
    </w:p>
    <w:p>
      <w:pPr>
        <w:ind w:left="1080" w:right="360" w:hanging="353"/>
        <w:spacing w:after="0" w:line="263" w:lineRule="auto"/>
        <w:tabs>
          <w:tab w:leader="none" w:pos="108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Increases in the costs of obtaining adequate financial assurance, or the inadequacy of our insurance coverages, could negatively impact our liquidity and increase our liabilities.</w:t>
      </w:r>
    </w:p>
    <w:p>
      <w:pPr>
        <w:ind w:left="1080" w:hanging="353"/>
        <w:spacing w:after="0"/>
        <w:tabs>
          <w:tab w:leader="none" w:pos="108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We may record material charges against our earnings due to impairments to our assets.</w:t>
      </w:r>
    </w:p>
    <w:p>
      <w:pPr>
        <w:spacing w:after="0" w:line="28" w:lineRule="exact"/>
        <w:rPr>
          <w:rFonts w:ascii="Arial" w:cs="Arial" w:eastAsia="Arial" w:hAnsi="Arial"/>
          <w:sz w:val="20"/>
          <w:szCs w:val="20"/>
          <w:color w:val="auto"/>
        </w:rPr>
      </w:pPr>
    </w:p>
    <w:p>
      <w:pPr>
        <w:ind w:left="1080" w:hanging="353"/>
        <w:spacing w:after="0"/>
        <w:tabs>
          <w:tab w:leader="none" w:pos="108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We could face significant liabilities for withdrawal from multiemployer pension plans.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ectPr>
          <w:pgSz w:w="13320" w:h="16920" w:orient="portrait"/>
          <w:cols w:equalWidth="0" w:num="1">
            <w:col w:w="10440"/>
          </w:cols>
          <w:pgMar w:left="1440" w:top="1440" w:right="1440" w:bottom="1440" w:gutter="0" w:footer="0" w:header="0"/>
          <w:type w:val="continuous"/>
        </w:sectPr>
      </w:pPr>
    </w:p>
    <w:bookmarkStart w:id="79" w:name="page80"/>
    <w:bookmarkEnd w:id="79"/>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 xml:space="preserve">Item 1. </w:t>
      </w:r>
      <w:r>
        <w:rPr>
          <w:rFonts w:ascii="Times New Roman" w:cs="Times New Roman" w:eastAsia="Times New Roman" w:hAnsi="Times New Roman"/>
          <w:sz w:val="20"/>
          <w:szCs w:val="20"/>
          <w:b w:val="1"/>
          <w:bCs w:val="1"/>
          <w:i w:val="1"/>
          <w:iCs w:val="1"/>
          <w:color w:val="auto"/>
        </w:rPr>
        <w:t>Business.</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43"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20"/>
          <w:szCs w:val="20"/>
          <w:color w:val="auto"/>
        </w:rPr>
        <w:t>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191" w:lineRule="exact"/>
        <w:rPr>
          <w:sz w:val="20"/>
          <w:szCs w:val="20"/>
          <w:color w:val="auto"/>
        </w:rPr>
      </w:pPr>
    </w:p>
    <w:p>
      <w:pPr>
        <w:jc w:val="both"/>
        <w:ind w:left="360" w:right="360" w:firstLine="360"/>
        <w:spacing w:after="0" w:line="266" w:lineRule="auto"/>
        <w:rPr>
          <w:sz w:val="20"/>
          <w:szCs w:val="20"/>
          <w:color w:val="auto"/>
        </w:rPr>
      </w:pPr>
      <w:r>
        <w:rPr>
          <w:rFonts w:ascii="Times New Roman" w:cs="Times New Roman" w:eastAsia="Times New Roman" w:hAnsi="Times New Roman"/>
          <w:sz w:val="19"/>
          <w:szCs w:val="19"/>
          <w:color w:val="auto"/>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(“WM Holdings”). At the same time, our parent holding company changed its name from USA Waste Services to Waste Management, Inc. Like WMI, WM Holdings is a holding company and all operations are conducted by subsidiaries.</w:t>
      </w:r>
    </w:p>
    <w:p>
      <w:pPr>
        <w:spacing w:after="0" w:line="179"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20"/>
          <w:szCs w:val="20"/>
          <w:color w:val="auto"/>
        </w:rPr>
        <w:t>Our principal executive offices are located at 800 Capitol Street, Suite 3000, Houston, Texas 77002. Our telephone number is (713) 512 - 6200. Our website address is www.wm.com. Our annual reports on Form 10 - K, quarterly reports on Form 10 - Q and current reports on Form 8 - K are all available, free of charge, on our website as soon as practicable after we file the reports with the SEC. Our stock is traded on the New York Stock Exchange under the symbol “WM.”</w:t>
      </w:r>
    </w:p>
    <w:p>
      <w:pPr>
        <w:spacing w:after="0" w:line="191"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recycling and resource recovery services. Through our subsidiaries, including our Waste Management Renewable Energy (“WM Renewable Energy”) segment, we are also a leading developer, operator and owner of landfill gas-to-energy facilities in the U.S. and Canada that produce renewable electricity and renewable natural gas, which is a significant source of fuel that we allocate to our natural gas fleet. During 2024, our largest customer represented less than 5% of annual revenues.</w:t>
      </w:r>
    </w:p>
    <w:p>
      <w:pPr>
        <w:spacing w:after="0" w:line="206"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On November 4, 2024, we completed our acquisition of all outstanding shares of Stericycle, Inc. (“Stericycle”), the operations of which are presented in this report as our new WM Healthcare Solutions segment. The acquisition expands our offerings in the U.S. and Canada and adds operations in parts of Western Europe. These businesses provide Regulated Waste and Compliance Services (“RWCS”) and Secure Information Destruction (“SID”) services that protect people and brands, promote health and well- being and safeguard the environment. Stericycle operates out of approximately 361 leased and owned facilities worldwide with 69 autoclaves or alternative medical waste treatment facilities, 18 medical waste incinerator facilities, 107 SID processing facilities, and 167 transfer stations. Included within our WM Healthcare Solutions segment are 35 locations that are classified as held for sale as of December 31, 2024. The acquisition is discussed further in Note 17 to the Consolidated Financial Statements.</w:t>
      </w:r>
    </w:p>
    <w:p>
      <w:pPr>
        <w:spacing w:after="0" w:line="206"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We own or operate 262 landfill sites, which is the largest network of landfills throughout the U.S. and Canada. In order to make disposal more practical for larger urban markets, where the distance to landfills is typically farther, we manage 339 transfer stations, excluding those acquired from Stericycle, that consolidate, compact and transport waste efficiently and economically. We also use waste to create energy, recovering the gas produced naturally as waste decomposes in landfills and using the gas in generators to make electricity. We are a leading recycler in the U.S. and Canada, handling materials that include cardboard, paper, glass, plastic and metal. We provide cost-efficient, environmentally sound recycling programs for municipalities, businesses and households across the U.S. and Canada as well as other services that supplement our solid waste business.</w:t>
      </w:r>
    </w:p>
    <w:p>
      <w:pPr>
        <w:spacing w:after="0" w:line="202"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20"/>
          <w:szCs w:val="20"/>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to drive our mission to maximize resource value, while minimizing environmental</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w:t>
      </w:r>
    </w:p>
    <w:p>
      <w:pPr>
        <w:sectPr>
          <w:pgSz w:w="13320" w:h="16920" w:orient="portrait"/>
          <w:cols w:equalWidth="0" w:num="1">
            <w:col w:w="10440"/>
          </w:cols>
          <w:pgMar w:left="1440" w:top="1440" w:right="1440" w:bottom="1440" w:gutter="0" w:footer="0" w:header="0"/>
          <w:type w:val="continuous"/>
        </w:sectPr>
      </w:pPr>
    </w:p>
    <w:bookmarkStart w:id="80" w:name="page81"/>
    <w:bookmarkEnd w:id="80"/>
    <w:p>
      <w:pPr>
        <w:spacing w:after="0" w:line="347" w:lineRule="exact"/>
        <w:rPr>
          <w:sz w:val="20"/>
          <w:szCs w:val="20"/>
          <w:color w:val="auto"/>
        </w:rPr>
      </w:pPr>
    </w:p>
    <w:p>
      <w:pPr>
        <w:jc w:val="both"/>
        <w:ind w:left="360" w:right="360"/>
        <w:spacing w:after="0" w:line="242" w:lineRule="auto"/>
        <w:rPr>
          <w:sz w:val="20"/>
          <w:szCs w:val="20"/>
          <w:color w:val="auto"/>
        </w:rPr>
      </w:pPr>
      <w:r>
        <w:rPr>
          <w:rFonts w:ascii="Times New Roman" w:cs="Times New Roman" w:eastAsia="Times New Roman" w:hAnsi="Times New Roman"/>
          <w:sz w:val="20"/>
          <w:szCs w:val="20"/>
          <w:color w:val="auto"/>
        </w:rPr>
        <w:t>impact, and sustainability and environmental stewardship is embedded in all that we do. Our strategy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that investing in automation to improve processes and drive operational efficiency combined with a focus on the cost to serve our customers will yield an attractive profit margin and enhanced service quality. We are furthering our strategy of focused differentiation and continuous improvement beyond our traditional waste operations through our sustainability growth strategy that includes significant planned investments in our WM Renewable Energy and Recycling Processing and Sales segments, while increasing automation and reducing labor dependency. In addition, with our acquisition of Stericycle, we have advanced our growth strategy and built upon our sustainability initiatives. The acquisition provides a complementary business platform in medical waste, a sector with attractive near- and long-term growth dynamics, and in secure information destruction services to further our leading suite of comprehensive waste and environmental solutions. Furthermore, we are also evaluating and pursuing emerging diversion technologies that may generate additional value.</w:t>
      </w:r>
    </w:p>
    <w:p>
      <w:pPr>
        <w:spacing w:after="0" w:line="212" w:lineRule="exact"/>
        <w:rPr>
          <w:sz w:val="20"/>
          <w:szCs w:val="20"/>
          <w:color w:val="auto"/>
        </w:rPr>
      </w:pPr>
    </w:p>
    <w:p>
      <w:pPr>
        <w:jc w:val="both"/>
        <w:ind w:left="360" w:right="360" w:firstLine="360"/>
        <w:spacing w:after="0" w:line="237" w:lineRule="auto"/>
        <w:rPr>
          <w:sz w:val="20"/>
          <w:szCs w:val="20"/>
          <w:color w:val="auto"/>
        </w:rPr>
      </w:pPr>
      <w:r>
        <w:rPr>
          <w:rFonts w:ascii="Times New Roman" w:cs="Times New Roman" w:eastAsia="Times New Roman" w:hAnsi="Times New Roman"/>
          <w:sz w:val="20"/>
          <w:szCs w:val="20"/>
          <w:color w:val="auto"/>
        </w:rPr>
        <w:t>Our Company’s goals are targeted at putting our people first, positioning them to serve and care for our customers, the environment, the communities in which we work and our stockholders. Our brand promise is ALWAYS WORKING FOR A SUSTAINABLE TOMORROW</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We live this promise through our service offerings and sustainable solutions, our investments in innovation, our people and our commitment to the future. Through our longtime focus on finding sustainable solutions, we continue to evolve beyond being a traditional environmental waste services company. Increasingly, our industry-leading focus on environmental sustainability aligns with demand from our customers who want more of their waste materials recovered. Waste streams are becoming more complex, and our aim is to address current needs, while anticipating the expanding and evolving needs of our customers. We believe we are uniquely equipped to meet the challenges of the changing waste industry and our customers’ waste management needs, both today and tomorrow as we work together to envision and create a more sustainable future.</w:t>
      </w:r>
    </w:p>
    <w:p>
      <w:pPr>
        <w:spacing w:after="0" w:line="212"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We believe that execution of our strategy will deliver shareholder value and leadership in a dynamic industry and in any economic environment. In addition, we intend to continue to return value to our stockholders through dividend payments and expect to resume share repurchases once the Company’s leverage returns to targeted levels, which is currently projected to be about 18 months after the November 2024 acquisition of Stericycle. In December 2024, we announced that our Board of Directors expects to increase the quarterly dividend from $0.75 to $0.825 per share for dividends declared in 2025, which is a 10% increase from the quarterly dividends we declared in 2024. This is an indication of our ability to generate strong and consistent cash flows and marks the 22nd consecutive year of dividend increases. All quarterly dividends will be declared at the discretion of our Board of Directors and depend on various factors, including our net earnings, financial condition, cash required for future business plans, growth and acquisitions and other factors the Board of Directors may deem relevant.</w:t>
      </w:r>
    </w:p>
    <w:p>
      <w:pPr>
        <w:spacing w:after="0" w:line="199"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20"/>
          <w:szCs w:val="20"/>
          <w:b w:val="1"/>
          <w:bCs w:val="1"/>
          <w:color w:val="auto"/>
        </w:rPr>
        <w:t>Operations</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40" w:lineRule="exact"/>
        <w:rPr>
          <w:sz w:val="20"/>
          <w:szCs w:val="20"/>
          <w:color w:val="auto"/>
        </w:rPr>
      </w:pPr>
    </w:p>
    <w:p>
      <w:pPr>
        <w:jc w:val="both"/>
        <w:ind w:left="360" w:right="360" w:firstLine="360"/>
        <w:spacing w:after="0" w:line="266" w:lineRule="auto"/>
        <w:rPr>
          <w:sz w:val="20"/>
          <w:szCs w:val="20"/>
          <w:color w:val="auto"/>
        </w:rPr>
      </w:pPr>
      <w:r>
        <w:rPr>
          <w:rFonts w:ascii="Times New Roman" w:cs="Times New Roman" w:eastAsia="Times New Roman" w:hAnsi="Times New Roman"/>
          <w:sz w:val="19"/>
          <w:szCs w:val="19"/>
          <w:color w:val="auto"/>
        </w:rPr>
        <w:t>Our senior management evaluates, oversees and manages the financial performance of our business through five reportable segments, referred to as (i) Collection and Disposal - East Tier (“East Tier”); (ii) Collection and Disposal - West Tier (“West Tier”); (iii) Recycling Processing and Sales, (iv) WM Renewable Energy and (v) WM Healthcare Solutions. Our East and West Tiers along with certain ancillary services (“Other Ancillary”) that are not managed through our Tier segments, but that support our collection and disposal operations, form our “Collection and Disposal” businesses.</w:t>
      </w:r>
    </w:p>
    <w:p>
      <w:pPr>
        <w:spacing w:after="0" w:line="179"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20"/>
          <w:szCs w:val="20"/>
          <w:color w:val="auto"/>
        </w:rPr>
        <w:t>Our East Tier primarily consists of geographic areas located in the Eastern U.S., the Great Lakes region and substantially all of Canada. Our West Tier primarily includes geographic areas located in the Western U.S., including the upper Midwest region and British Columbia, Canada.</w:t>
      </w:r>
    </w:p>
    <w:p>
      <w:pPr>
        <w:spacing w:after="0" w:line="188"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We also provide additional services not managed through our five reportable segments, which are presented as Corporate and Other. For further discussion refer to Note 19 of our Consolidated Financial Statements.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w:t>
      </w:r>
    </w:p>
    <w:p>
      <w:pPr>
        <w:sectPr>
          <w:pgSz w:w="13320" w:h="16920" w:orient="portrait"/>
          <w:cols w:equalWidth="0" w:num="1">
            <w:col w:w="10440"/>
          </w:cols>
          <w:pgMar w:left="1440" w:top="1440" w:right="1440" w:bottom="1440" w:gutter="0" w:footer="0" w:header="0"/>
          <w:type w:val="continuous"/>
        </w:sectPr>
      </w:pPr>
    </w:p>
    <w:bookmarkStart w:id="81" w:name="page82"/>
    <w:bookmarkEnd w:id="81"/>
    <w:p>
      <w:pPr>
        <w:spacing w:after="0" w:line="3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Collection and Disposal</w:t>
      </w:r>
    </w:p>
    <w:p>
      <w:pPr>
        <w:spacing w:after="0" w:line="2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Services provided through our Collection and Disposal businesses are described below:</w:t>
      </w:r>
    </w:p>
    <w:p>
      <w:pPr>
        <w:spacing w:after="0" w:line="240"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Collection. </w:t>
      </w:r>
      <w:r>
        <w:rPr>
          <w:rFonts w:ascii="Times New Roman" w:cs="Times New Roman" w:eastAsia="Times New Roman" w:hAnsi="Times New Roman"/>
          <w:sz w:val="20"/>
          <w:szCs w:val="20"/>
          <w:color w:val="auto"/>
        </w:rPr>
        <w:t>Our commitment to customers begins with a vast waste collection network. Collection involves picking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up and transporting waste and recyclable materials from where it was generated to a transfer station, recycling facility or disposal site. We generally provide collection services under one of two types of arrangements:</w:t>
      </w:r>
    </w:p>
    <w:p>
      <w:pPr>
        <w:spacing w:after="0" w:line="203" w:lineRule="exact"/>
        <w:rPr>
          <w:sz w:val="20"/>
          <w:szCs w:val="20"/>
          <w:color w:val="auto"/>
        </w:rPr>
      </w:pPr>
    </w:p>
    <w:p>
      <w:pPr>
        <w:jc w:val="both"/>
        <w:ind w:left="1080" w:right="360" w:hanging="353"/>
        <w:spacing w:after="0" w:line="245" w:lineRule="auto"/>
        <w:tabs>
          <w:tab w:leader="none" w:pos="108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For commercial and industrial collection services, typically we have three-year service agreements. The fees under the agreements are influenced by factors such as collection frequency, type of collection equipment we furnish, type and volume or weight of the waste collected, distance to the disposal facility, labor costs, cost of disposal and general market factors. As part of the service, we provide steel containers to most customers to store their solid waste between pick-up dates. Containers vary in size and type according to the needs of our customers and the restrictions of their communities. Many are designed to be lifted mechanically and either emptied into a truck’s compaction hopper or directly into a disposal site. By using these containers, we can service most of our commercial and industrial customers with trucks operated by only one employee.</w:t>
      </w:r>
    </w:p>
    <w:p>
      <w:pPr>
        <w:spacing w:after="0" w:line="95" w:lineRule="exact"/>
        <w:rPr>
          <w:rFonts w:ascii="Arial" w:cs="Arial" w:eastAsia="Arial" w:hAnsi="Arial"/>
          <w:sz w:val="20"/>
          <w:szCs w:val="20"/>
          <w:color w:val="auto"/>
        </w:rPr>
      </w:pPr>
    </w:p>
    <w:p>
      <w:pPr>
        <w:jc w:val="both"/>
        <w:ind w:left="1080" w:right="360" w:hanging="353"/>
        <w:spacing w:after="0" w:line="244" w:lineRule="auto"/>
        <w:tabs>
          <w:tab w:leader="none" w:pos="108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For most residential collection services, we have a contract with, or a franchise granted by, a municipality, homeowners’ association or some other regional authority that gives us the exclusive right to service all or a portion of the homes in an area. These contracts or franchises are typically for periods of three to ten years and typically mirror maximum terms as allowed by statutes by state. We also provide services under individual monthly subscriptions directly to households. The fees for residential collection are either paid by the municipality or authority from their tax revenues or service charges, or are paid directly by the residents receiving the service. The Company is generally phasing out traditional manual systems and moving to further automate residential collection services. Benefits of automation include enhanced worker safety, improved service delivery to the customer and an overall reduction in the cost to provide services.</w:t>
      </w:r>
    </w:p>
    <w:p>
      <w:pPr>
        <w:spacing w:after="0" w:line="205"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Landfill. </w:t>
      </w:r>
      <w:r>
        <w:rPr>
          <w:rFonts w:ascii="Times New Roman" w:cs="Times New Roman" w:eastAsia="Times New Roman" w:hAnsi="Times New Roman"/>
          <w:sz w:val="20"/>
          <w:szCs w:val="20"/>
          <w:color w:val="auto"/>
        </w:rPr>
        <w:t>Landfills are the main depositories for solid waste in North America. As of December 31, 2024, we owned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operated 257 solid waste landfills and five secure hazardous waste landfills, which represents the largest network of landfills throughout the U.S. and Canada. As of December 31, 2024, we owned or controlled the management of 239 sites with remedial activities that are in closure or have received a certification of closure from the applicable regulatory agency. Solid waste landfills are constructed and operated on land with engineering safeguards that limit the possibility of water and air pollution and are operated under procedures prescribed by regulation. A landfill must meet federal, state or provincial and local regulations during its design, construction, operation and closure. The operation and closure activities of a solid waste landfill include excavation, construction of liners, continuous spreading and compacting of waste, covering of waste with earth or other acceptable material and constructing final capping of the landfill. These operations are carefully planned to maintain environmentally safe conditions and to maximize the use of the airspace.</w:t>
      </w:r>
    </w:p>
    <w:p>
      <w:pPr>
        <w:spacing w:after="0" w:line="202"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All solid waste management companies must have access to a disposal facility, such as a solid waste landfill. The significant capital requirements of developing and operating a landfill serve as a barrier to landfill ownership and, thus, third-party haulers often dispose of waste at our landfills. It is usually preferable for our collection operations to use disposal facilities that we own or operate, a practice we refer to as internalization, rather than using third-party disposal facilities. Internalization generally allows us to realize higher consolidated margins and stronger operating cash flows. The fees charged at disposal facilities, which are referred to as tipping fees, are based on several factors, including our cost to construct, maintain and close the landfill, the distance to an alternative disposal facility, the type and weight or volume of solid waste deposited and competition.</w:t>
      </w:r>
    </w:p>
    <w:p>
      <w:pPr>
        <w:spacing w:after="0" w:line="202" w:lineRule="exact"/>
        <w:rPr>
          <w:sz w:val="20"/>
          <w:szCs w:val="20"/>
          <w:color w:val="auto"/>
        </w:rPr>
      </w:pPr>
    </w:p>
    <w:p>
      <w:pPr>
        <w:jc w:val="both"/>
        <w:ind w:left="360" w:right="360" w:firstLine="360"/>
        <w:spacing w:after="0" w:line="261" w:lineRule="auto"/>
        <w:rPr>
          <w:sz w:val="20"/>
          <w:szCs w:val="20"/>
          <w:color w:val="auto"/>
        </w:rPr>
      </w:pPr>
      <w:r>
        <w:rPr>
          <w:rFonts w:ascii="Times New Roman" w:cs="Times New Roman" w:eastAsia="Times New Roman" w:hAnsi="Times New Roman"/>
          <w:sz w:val="19"/>
          <w:szCs w:val="19"/>
          <w:color w:val="auto"/>
        </w:rPr>
        <w:t>Under environmental laws, the federal government (or states with delegated authority) must issue permits for all hazardous waste landfills.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 into inert materials that are no longer hazardous. Our hazardous waste landfills are sited, constructed and operated in a manner designed to provide long-term</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w:t>
      </w:r>
    </w:p>
    <w:p>
      <w:pPr>
        <w:sectPr>
          <w:pgSz w:w="13320" w:h="16920" w:orient="portrait"/>
          <w:cols w:equalWidth="0" w:num="1">
            <w:col w:w="10440"/>
          </w:cols>
          <w:pgMar w:left="1440" w:top="1440" w:right="1440" w:bottom="1440" w:gutter="0" w:footer="0" w:header="0"/>
          <w:type w:val="continuous"/>
        </w:sectPr>
      </w:pPr>
    </w:p>
    <w:bookmarkStart w:id="82" w:name="page83"/>
    <w:bookmarkEnd w:id="82"/>
    <w:p>
      <w:pPr>
        <w:spacing w:after="0" w:line="347" w:lineRule="exact"/>
        <w:rPr>
          <w:sz w:val="20"/>
          <w:szCs w:val="20"/>
          <w:color w:val="auto"/>
        </w:rPr>
      </w:pPr>
    </w:p>
    <w:p>
      <w:pPr>
        <w:jc w:val="both"/>
        <w:ind w:left="360" w:right="360"/>
        <w:spacing w:after="0" w:line="259" w:lineRule="auto"/>
        <w:rPr>
          <w:sz w:val="20"/>
          <w:szCs w:val="20"/>
          <w:color w:val="auto"/>
        </w:rPr>
      </w:pPr>
      <w:r>
        <w:rPr>
          <w:rFonts w:ascii="Times New Roman" w:cs="Times New Roman" w:eastAsia="Times New Roman" w:hAnsi="Times New Roman"/>
          <w:sz w:val="20"/>
          <w:szCs w:val="20"/>
          <w:color w:val="auto"/>
        </w:rPr>
        <w:t>containment of waste. We also operate a hazardous waste facility at which we isolate treated hazardous waste in liquid form by injection into deep wells that have been drilled in certain acceptable geologic formations far below the base of fresh water to a point that is safely separated by other substantial geological confining layers.</w:t>
      </w:r>
    </w:p>
    <w:p>
      <w:pPr>
        <w:spacing w:after="0" w:line="186"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Included within our Collection and Disposal businesses are landfills having (i) 20 third-party power generating facilities converting our landfill gas to fuel electricity generators; (ii) 16 third-party renewable natural gas (“RNG”) facilities processing landfill gas to be sold to natural gas suppliers and (iii) six third-party projects delivering our landfill gas by pipeline to industrial customers as a direct substitute for fossil fuels in industrial processes. In return for providing our landfill gas, we receive royalties from each facility, including the benefit of a 15% royalty from our WM Renewable Energy segment based on net operating revenue generated through the sale of RNG, renewable identification numbers (“RINs”), electricity and capacity, Renewable Energy Credits (“RECs”) and related environmental attributes from the 84 landfill beneficial use renewable energy projects owned by WM Renewable Energy on our active landfills, which is eliminated in consolidation.</w:t>
      </w:r>
    </w:p>
    <w:p>
      <w:pPr>
        <w:spacing w:after="0" w:line="206"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Transfer. </w:t>
      </w:r>
      <w:r>
        <w:rPr>
          <w:rFonts w:ascii="Times New Roman" w:cs="Times New Roman" w:eastAsia="Times New Roman" w:hAnsi="Times New Roman"/>
          <w:sz w:val="20"/>
          <w:szCs w:val="20"/>
          <w:color w:val="auto"/>
        </w:rPr>
        <w:t>As of December 31, 2024, we owned or operated 339 transfer stations in the U.S. and Canada. We deposit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waste at these stations, as do other waste haulers. The solid waste is then consolidated and compacted to reduce the volume and increase the density of the waste and transported by transfer trucks or by rail to disposal sites.</w:t>
      </w:r>
    </w:p>
    <w:p>
      <w:pPr>
        <w:spacing w:after="0" w:line="186" w:lineRule="exact"/>
        <w:rPr>
          <w:sz w:val="20"/>
          <w:szCs w:val="20"/>
          <w:color w:val="auto"/>
        </w:rPr>
      </w:pPr>
    </w:p>
    <w:p>
      <w:pPr>
        <w:jc w:val="both"/>
        <w:ind w:left="360" w:right="360" w:firstLine="360"/>
        <w:spacing w:after="0" w:line="279" w:lineRule="auto"/>
        <w:rPr>
          <w:sz w:val="20"/>
          <w:szCs w:val="20"/>
          <w:color w:val="auto"/>
        </w:rPr>
      </w:pPr>
      <w:r>
        <w:rPr>
          <w:rFonts w:ascii="Times New Roman" w:cs="Times New Roman" w:eastAsia="Times New Roman" w:hAnsi="Times New Roman"/>
          <w:sz w:val="19"/>
          <w:szCs w:val="19"/>
          <w:color w:val="auto"/>
        </w:rPr>
        <w:t>Access to transfer stations is critical to haulers who collect waste in areas not in close proximity to disposal facilities. Fees charged to third parties at transfer stations are usually based on the type and volume or weight of the waste deposited at the transfer station, the distance to the disposal site, market rates for disposal costs and other general market factors.</w:t>
      </w:r>
    </w:p>
    <w:p>
      <w:pPr>
        <w:spacing w:after="0" w:line="168"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The utilization of our transfer stations by our own collection operations improves internalization by allowing us to retain fees that we would otherwise pay to third parties for the disposal of the waste we collect. It enables us to manage costs associated with waste disposal because (i) transfer trucks, railcars or rail containers have larger capacities than collection trucks, allowing us to deliver more waste to the disposal facility in each trip; (ii) waste is accumulated and compacted at transfer stations that are strategically located to increase the efficiency of our network of operations and (iii) we can retain the volume by managing the transfer of the waste to one of our own disposal sites.</w:t>
      </w:r>
    </w:p>
    <w:p>
      <w:pPr>
        <w:spacing w:after="0" w:line="200"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The transfer stations that we operate but do not own generally are operated through lease agreements under which we lease property from third parties. There are some instances where transfer stations are operated under contract, generally for municipalities. In most cases, we own the permits and will be responsible for any regulatory requirements relating to the operation and closure of the transfer station.</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Other</w:t>
      </w:r>
      <w:r>
        <w:rPr>
          <w:rFonts w:ascii="Times New Roman" w:cs="Times New Roman" w:eastAsia="Times New Roman" w:hAnsi="Times New Roman"/>
          <w:sz w:val="20"/>
          <w:szCs w:val="20"/>
          <w:color w:val="auto"/>
        </w:rPr>
        <w:t>. Other businesses providing collection and disposal services include the following:</w:t>
      </w:r>
    </w:p>
    <w:p>
      <w:pPr>
        <w:spacing w:after="0" w:line="239"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Strategic Business Solutions (“WMSBS”) </w:t>
      </w:r>
      <w:r>
        <w:rPr>
          <w:rFonts w:ascii="Times New Roman" w:cs="Times New Roman" w:eastAsia="Times New Roman" w:hAnsi="Times New Roman"/>
          <w:sz w:val="20"/>
          <w:szCs w:val="20"/>
          <w:color w:val="auto"/>
        </w:rPr>
        <w:t>— Although many waste management services such as collection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disposal are local services, our WMSBS business works with customers whose locations span the U.S. and Canada. Our strategic accounts program provides these customers with streamlined service, enhanced reporting, measurement tools aimed at meeting sustainability objectives and centralized billing and management of accounts.</w:t>
      </w:r>
    </w:p>
    <w:p>
      <w:pPr>
        <w:spacing w:after="0" w:line="191" w:lineRule="exact"/>
        <w:rPr>
          <w:sz w:val="20"/>
          <w:szCs w:val="20"/>
          <w:color w:val="auto"/>
        </w:rPr>
      </w:pPr>
    </w:p>
    <w:p>
      <w:pPr>
        <w:jc w:val="both"/>
        <w:ind w:left="360" w:right="360" w:firstLine="360"/>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Sustainability and Environmental Solutions (“SES”) </w:t>
      </w:r>
      <w:r>
        <w:rPr>
          <w:rFonts w:ascii="Times New Roman" w:cs="Times New Roman" w:eastAsia="Times New Roman" w:hAnsi="Times New Roman"/>
          <w:sz w:val="19"/>
          <w:szCs w:val="19"/>
          <w:color w:val="auto"/>
        </w:rPr>
        <w:t>— Our SES business collaborates with our geographic areas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national accounts sales team to offer our customers end-to-end solutions that help businesses achieve their sustainability, recycling and waste diversion goals while meeting industry-specific compliance requirements and rising environmental demands. These solutions include (i) Sustainability Services, where our employees provide full-service waste management solutions and advisory services, working full-time onsite at our customers’ facilities or through remote-managed programs (this service is managed through our SES business but reflected principally in our collection line of business);</w:t>
      </w:r>
    </w:p>
    <w:p>
      <w:pPr>
        <w:spacing w:after="0" w:line="5" w:lineRule="exact"/>
        <w:rPr>
          <w:sz w:val="20"/>
          <w:szCs w:val="20"/>
          <w:color w:val="auto"/>
        </w:rPr>
      </w:pPr>
    </w:p>
    <w:p>
      <w:pPr>
        <w:jc w:val="both"/>
        <w:ind w:left="360" w:right="360" w:firstLine="7"/>
        <w:spacing w:after="0" w:line="256" w:lineRule="auto"/>
        <w:tabs>
          <w:tab w:leader="none" w:pos="654"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remediation and construction services; (iii) management and marketing of fly ash, which is residue generated from the combustion of coal to generate electricity; and (iv) industrial waste services, which uses thermal and mechanical separation technologies to minimize waste volumes and recover commodities at the point of generation. The breadth of these service offerings, combined with our large and expanding network of technology-enabled infrastructure in recycling, organics and renewable energy give us the ability to help customers reduce the amount of waste they generate, identify recycling opportunities and determine efficient and environmentally friendly means for waste collection and disposal. Through these services, we aim to help customers increase circularity and accelerate their decarbonization goals.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w:t>
      </w:r>
    </w:p>
    <w:p>
      <w:pPr>
        <w:sectPr>
          <w:pgSz w:w="13320" w:h="16920" w:orient="portrait"/>
          <w:cols w:equalWidth="0" w:num="1">
            <w:col w:w="10440"/>
          </w:cols>
          <w:pgMar w:left="1440" w:top="1440" w:right="1440" w:bottom="1440" w:gutter="0" w:footer="0" w:header="0"/>
          <w:type w:val="continuous"/>
        </w:sectPr>
      </w:pPr>
    </w:p>
    <w:bookmarkStart w:id="83" w:name="page84"/>
    <w:bookmarkEnd w:id="83"/>
    <w:p>
      <w:pPr>
        <w:spacing w:after="0" w:line="3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Recycling Processing and Sales</w:t>
      </w:r>
    </w:p>
    <w:p>
      <w:pPr>
        <w:spacing w:after="0" w:line="239" w:lineRule="exact"/>
        <w:rPr>
          <w:sz w:val="20"/>
          <w:szCs w:val="20"/>
          <w:color w:val="auto"/>
        </w:rPr>
      </w:pPr>
    </w:p>
    <w:p>
      <w:pPr>
        <w:jc w:val="both"/>
        <w:ind w:left="360" w:right="360" w:firstLine="360"/>
        <w:spacing w:after="0" w:line="248" w:lineRule="auto"/>
        <w:rPr>
          <w:sz w:val="20"/>
          <w:szCs w:val="20"/>
          <w:color w:val="auto"/>
        </w:rPr>
      </w:pPr>
      <w:r>
        <w:rPr>
          <w:rFonts w:ascii="Times New Roman" w:cs="Times New Roman" w:eastAsia="Times New Roman" w:hAnsi="Times New Roman"/>
          <w:sz w:val="20"/>
          <w:szCs w:val="20"/>
          <w:color w:val="auto"/>
        </w:rPr>
        <w:t>Recycling involves the separation of reusable materials from the waste stream for processing and resale or other disposition. We are North America’s leading recycler of post-consumer materials. We not only collect materials from households and businesses across the U.S. and Canada, we also process and sell them to manufacturers to be recycled and sold generally within the North American market. Demand for recycled materials is generally growing. Several states have recently passed minimum-recycled-content mandates, and many companies are responding to requirements for recycled content from their own customers and to meet sustainability targets. We are helping expand the availability of recycled materials by investing in infrastructure, increasing access to recycling services and educating customers through our Recycle Right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program.</w:t>
      </w:r>
    </w:p>
    <w:p>
      <w:pPr>
        <w:spacing w:after="0" w:line="119"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Our recycling operations provide communities and businesses with an alternative to traditional landfill disposal and support our strategic goals to extract more value from the materials we manage. We were the first major solid waste company to focus on residential single-stream recycling, which allows customers to mix clean bottles, cans, paper and cardboard in one bin. Residential single-stream programs have greatly increased recycling volumes. Single-stream recycling is possible through the use of various mechanized screens and optical sorting technologies. In addition to advancing our single stream recycling programs for commercial applications, we continue to invest in recycling technologies and businesses designed to offer services and solutions to support and grow our current operations. We are investing in enhanced recycling facility technology at new and existing facilities to benefit labor productivity, support increased recycling capacity and allow for dynamic adjustments to respond to evolving end-market demands. In 2023 and 2024, we opened eight and three new recycling facilities, respectively, within the U.S. and Canada equipped with advanced recycling technology. We continue to invest in recycling facility automation and new markets across the U.S. and Canada. Our Recycling Processing and Sales segment includes the following:</w:t>
      </w:r>
    </w:p>
    <w:p>
      <w:pPr>
        <w:spacing w:after="0" w:line="206" w:lineRule="exact"/>
        <w:rPr>
          <w:sz w:val="20"/>
          <w:szCs w:val="20"/>
          <w:color w:val="auto"/>
        </w:rPr>
      </w:pPr>
    </w:p>
    <w:p>
      <w:pPr>
        <w:jc w:val="both"/>
        <w:ind w:left="720" w:right="360"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Materials processing — </w:t>
      </w:r>
      <w:r>
        <w:rPr>
          <w:rFonts w:ascii="Times New Roman" w:cs="Times New Roman" w:eastAsia="Times New Roman" w:hAnsi="Times New Roman"/>
          <w:sz w:val="20"/>
          <w:szCs w:val="20"/>
          <w:color w:val="auto"/>
        </w:rPr>
        <w:t>Through our collection operations and third-party customer base, we collect recyclable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materials from residential, commercial and industrial customers and direct these materials to one of our recycling facilities for processing. As of December 31, 2024, we operated 105 recycling facilities, of which 45 are single stream, where cardboard, paper, glass, metals, plastics, construction and demolition materials and other recycling commodities are recovered for resale or redirected for other purposes.</w:t>
      </w:r>
    </w:p>
    <w:p>
      <w:pPr>
        <w:spacing w:after="0" w:line="197" w:lineRule="exact"/>
        <w:rPr>
          <w:sz w:val="20"/>
          <w:szCs w:val="20"/>
          <w:color w:val="auto"/>
        </w:rPr>
      </w:pPr>
    </w:p>
    <w:p>
      <w:pPr>
        <w:jc w:val="both"/>
        <w:ind w:left="720" w:right="360" w:firstLine="36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Recycling commodities — </w:t>
      </w:r>
      <w:r>
        <w:rPr>
          <w:rFonts w:ascii="Times New Roman" w:cs="Times New Roman" w:eastAsia="Times New Roman" w:hAnsi="Times New Roman"/>
          <w:sz w:val="20"/>
          <w:szCs w:val="20"/>
          <w:color w:val="auto"/>
        </w:rPr>
        <w:t>We market and resell recycling commodities globally. We manage the marketing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recycling commodities that are processed in our facilities by continuously analyzing market prices, logistics, market demands and product quality through our dedicated recycling service centers and account managers.</w:t>
      </w:r>
    </w:p>
    <w:p>
      <w:pPr>
        <w:spacing w:after="0" w:line="186" w:lineRule="exact"/>
        <w:rPr>
          <w:sz w:val="20"/>
          <w:szCs w:val="20"/>
          <w:color w:val="auto"/>
        </w:rPr>
      </w:pPr>
    </w:p>
    <w:p>
      <w:pPr>
        <w:jc w:val="both"/>
        <w:ind w:left="720" w:right="360"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Recycling brokerage services </w:t>
      </w:r>
      <w:r>
        <w:rPr>
          <w:rFonts w:ascii="Times New Roman" w:cs="Times New Roman" w:eastAsia="Times New Roman" w:hAnsi="Times New Roman"/>
          <w:sz w:val="20"/>
          <w:szCs w:val="20"/>
          <w:color w:val="auto"/>
        </w:rPr>
        <w:t>— We also provide recycling brokerage services, which involve managing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marketing of recyclable materials for third parties. Our experience in managing recycling commodities for our own operations gives us the expertise needed to effectively manage volumes for third parties. Utilizing the resources and capabilities of our recycling service centers and account managers, we can assist customers in marketing and selling their recycling commodities with minimal capital requirements.</w:t>
      </w:r>
    </w:p>
    <w:p>
      <w:pPr>
        <w:spacing w:after="0" w:line="198" w:lineRule="exact"/>
        <w:rPr>
          <w:sz w:val="20"/>
          <w:szCs w:val="20"/>
          <w:color w:val="auto"/>
        </w:rPr>
      </w:pPr>
    </w:p>
    <w:p>
      <w:pPr>
        <w:jc w:val="both"/>
        <w:ind w:left="720" w:right="360"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Organics processing and sales </w:t>
      </w:r>
      <w:r>
        <w:rPr>
          <w:rFonts w:ascii="Times New Roman" w:cs="Times New Roman" w:eastAsia="Times New Roman" w:hAnsi="Times New Roman"/>
          <w:sz w:val="20"/>
          <w:szCs w:val="20"/>
          <w:color w:val="auto"/>
        </w:rPr>
        <w:t>— We collect recyclable food and yard waste from commercial, residential,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industrial customers, and process these materials through a network of mulching, composting, CORe®, and anaerobic digestion facilities. As of December 31, 2024, we operated 49 organics recycling facilities and also partner with third-party processors. Our network of facilities utilizes, markets and sells products including mulch, compost, soil amendments, and renewable energy.</w:t>
      </w:r>
    </w:p>
    <w:p>
      <w:pPr>
        <w:spacing w:after="0" w:line="197"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19"/>
          <w:szCs w:val="19"/>
          <w:color w:val="auto"/>
        </w:rPr>
        <w:t>The recyclable materials processed in our recycling facilities are received from various sources, including third parties and our own operations. In recent years, we have been focused on reducing dependency on market prices for recycled commodities by recovering our processing costs first. In our materials processing business, we have been transitioning our customer base over time from the traditional rebate model, where we paid suppliers for the inbound material, to a fee - for - service model that ensures the cost of processing the recyclable materials is covered along with an acceptable margin. With our current fee-for-service model, the pricing for these recyclable materials can either be a charge or “tip fee” when commodity pricing does not cover our cost to process the recyclable materials or a “rebate” when commodity pricing is higher than our processing costs and we are able to share this benefit with the customers generating recyclable</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3320" w:h="16920" w:orient="portrait"/>
          <w:cols w:equalWidth="0" w:num="1">
            <w:col w:w="10440"/>
          </w:cols>
          <w:pgMar w:left="1440" w:top="1440" w:right="1440" w:bottom="1440" w:gutter="0" w:footer="0" w:header="0"/>
          <w:type w:val="continuous"/>
        </w:sectPr>
      </w:pPr>
    </w:p>
    <w:bookmarkStart w:id="84" w:name="page85"/>
    <w:bookmarkEnd w:id="84"/>
    <w:p>
      <w:pPr>
        <w:spacing w:after="0" w:line="347" w:lineRule="exact"/>
        <w:rPr>
          <w:sz w:val="20"/>
          <w:szCs w:val="20"/>
          <w:color w:val="auto"/>
        </w:rPr>
      </w:pPr>
    </w:p>
    <w:p>
      <w:pPr>
        <w:jc w:val="both"/>
        <w:ind w:left="360" w:right="360"/>
        <w:spacing w:after="0" w:line="263" w:lineRule="auto"/>
        <w:rPr>
          <w:sz w:val="20"/>
          <w:szCs w:val="20"/>
          <w:color w:val="auto"/>
        </w:rPr>
      </w:pPr>
      <w:r>
        <w:rPr>
          <w:rFonts w:ascii="Times New Roman" w:cs="Times New Roman" w:eastAsia="Times New Roman" w:hAnsi="Times New Roman"/>
          <w:sz w:val="19"/>
          <w:szCs w:val="19"/>
          <w:color w:val="auto"/>
        </w:rPr>
        <w:t>materials. In some cases, our pricing is based on fixed contractual rates or on defined minimum per- ton rates. Generally, this pricing also considers the price we receive for sales of processed goods, market conditions and transportation costs. As a result, changes in commodity prices for recycled materials also significantly affect the pricing to our suppliers. Depending on the key terms of the arrangement, these “rebates” are recorded as either operating expenses or a reduction in operating revenues within our Consolidated Statements of Operations. If the key terms result in a charge to the customer, the associated “tip fees” would be recorded as operating revenues within our Consolidated Statements of Operations.</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WM Renewable Energy</w:t>
      </w:r>
    </w:p>
    <w:p>
      <w:pPr>
        <w:spacing w:after="0" w:line="239" w:lineRule="exact"/>
        <w:rPr>
          <w:sz w:val="20"/>
          <w:szCs w:val="20"/>
          <w:color w:val="auto"/>
        </w:rPr>
      </w:pPr>
    </w:p>
    <w:p>
      <w:pPr>
        <w:jc w:val="both"/>
        <w:ind w:left="360" w:right="360" w:firstLine="360"/>
        <w:spacing w:after="0" w:line="242" w:lineRule="auto"/>
        <w:rPr>
          <w:sz w:val="20"/>
          <w:szCs w:val="20"/>
          <w:color w:val="auto"/>
        </w:rPr>
      </w:pPr>
      <w:r>
        <w:rPr>
          <w:rFonts w:ascii="Times New Roman" w:cs="Times New Roman" w:eastAsia="Times New Roman" w:hAnsi="Times New Roman"/>
          <w:sz w:val="20"/>
          <w:szCs w:val="20"/>
          <w:color w:val="auto"/>
        </w:rPr>
        <w:t>We develop, operate and promote projects for the beneficial use of landfill gas through our WM Renewable Energy segment. Landfill gas is produced naturally as waste decomposes in a landfill. The methane component of the landfill gas is a readily available, renewable energy source that can be gathered and used beneficially as an alternative to fossil fuel. The U.S. Environmental Protection Agency (“EPA”) endorses landfill gas as a renewable energy resource, in the same category as wind, solar and geothermal resources. As of December 31, 2024, we had 102 landfill gas beneficial use projects producing commercial quantities of methane gas at owned or operated landfills. For 65 of these projects, the processed gas is used to fuel electricity generators. The electricity is then sold to public utilities, municipal utilities or power cooperatives. For 23 of these projects, the gas is used at the landfill or delivered by pipeline to industrial customers as a direct substitute for fossil fuels in industrial processes. For 11 of these projects, the landfill gas is processed to pipeline quality RNG and then sold to natural gas suppliers. Additionally, three of these projects are on third-party landfills. The revenues from these facilities are primarily generated through the sale of RNG, RINs, electricity and capacity, heat and/or steam, RECs and related environmental attributes. WM Renewable Energy is charged a 15% royalty on net operating revenue from these facilities residing on our active and closed landfills from our Collection and Disposal and Corporate and Other businesses, which is eliminated in consolidation. Additionally, WM Renewable Energy operates and maintains seven third-party landfill beneficial gas use projects in return for service revenue. Our Collection and Disposal and Corporate and Other businesses benefit from these projects as well as 52 additional third-party landfill beneficial gas use projects in the form of royalties.</w:t>
      </w:r>
    </w:p>
    <w:p>
      <w:pPr>
        <w:spacing w:after="0" w:line="208"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WM Renewable Energy converts landfill gas into several sources of renewable energy, which include RNG, electricity and capacity, heat and/or steam. WM Renewable Energy also generates RINs under the Renewable Fuel Standard (“RFS”) program, other credits under a variety of state programs associated with the use of RNG in our compressed natural gas fleet, and RECs associated with the production of electricity. The RINs, RECs and other credits are sold to counterparties who are obligated under the regulatory programs and have a responsibility to procure RINs, RECs and other credits proportionate to their fossil fuel production and imports. RINs and RECs prices generally respond to regulations enacted by the EPA or other regulatory bodies, as well as fluctuations in supply and demand.</w:t>
      </w:r>
    </w:p>
    <w:p>
      <w:pPr>
        <w:spacing w:after="0" w:line="2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WM Healthcare Solutions</w:t>
      </w:r>
    </w:p>
    <w:p>
      <w:pPr>
        <w:spacing w:after="0" w:line="239" w:lineRule="exact"/>
        <w:rPr>
          <w:sz w:val="20"/>
          <w:szCs w:val="20"/>
          <w:color w:val="auto"/>
        </w:rPr>
      </w:pPr>
    </w:p>
    <w:p>
      <w:pPr>
        <w:jc w:val="both"/>
        <w:ind w:left="360" w:right="360" w:firstLine="180"/>
        <w:spacing w:after="0" w:line="249" w:lineRule="auto"/>
        <w:rPr>
          <w:sz w:val="20"/>
          <w:szCs w:val="20"/>
          <w:color w:val="auto"/>
        </w:rPr>
      </w:pPr>
      <w:r>
        <w:rPr>
          <w:rFonts w:ascii="Times New Roman" w:cs="Times New Roman" w:eastAsia="Times New Roman" w:hAnsi="Times New Roman"/>
          <w:sz w:val="20"/>
          <w:szCs w:val="20"/>
          <w:color w:val="auto"/>
        </w:rPr>
        <w:t>Our WM Healthcare Solutions segment, through our subsidiary Stericycle, is primarily a business-to-business company providing RWCS and SID services that protect people and brands, promote health and well-being and safeguard the environment. WM Healthcare Solutions serves customers in the U.S., Canada and Western Europe with solutions to safely manage materials that could otherwise spread disease, contaminate the environment, or compromise one’s identity. Services provided through our WM Healthcare Solutions segment includes the following:</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Regulated Waste and Compliance Services</w:t>
      </w:r>
    </w:p>
    <w:p>
      <w:pPr>
        <w:spacing w:after="0" w:line="174" w:lineRule="exact"/>
        <w:rPr>
          <w:sz w:val="20"/>
          <w:szCs w:val="20"/>
          <w:color w:val="auto"/>
        </w:rPr>
      </w:pPr>
    </w:p>
    <w:p>
      <w:pPr>
        <w:jc w:val="both"/>
        <w:ind w:left="360" w:right="360" w:firstLine="180"/>
        <w:spacing w:after="0" w:line="275" w:lineRule="auto"/>
        <w:rPr>
          <w:sz w:val="20"/>
          <w:szCs w:val="20"/>
          <w:color w:val="auto"/>
        </w:rPr>
      </w:pPr>
      <w:r>
        <w:rPr>
          <w:rFonts w:ascii="Times New Roman" w:cs="Times New Roman" w:eastAsia="Times New Roman" w:hAnsi="Times New Roman"/>
          <w:sz w:val="20"/>
          <w:szCs w:val="20"/>
          <w:color w:val="auto"/>
        </w:rPr>
        <w:t>WM Healthcare Solutions includes compliance programs and collection, processing, and disposal of regulated and specialized waste, including medical, pharmaceutical and hazardous waste. RWCS are provided to customers in the U.S., Canada, Ireland and the United Kingdom (“U.K.”).</w:t>
      </w:r>
    </w:p>
    <w:p>
      <w:pPr>
        <w:spacing w:after="0" w:line="105" w:lineRule="exact"/>
        <w:rPr>
          <w:sz w:val="20"/>
          <w:szCs w:val="20"/>
          <w:color w:val="auto"/>
        </w:rPr>
      </w:pPr>
    </w:p>
    <w:p>
      <w:pPr>
        <w:jc w:val="both"/>
        <w:ind w:left="360" w:right="360" w:firstLine="180"/>
        <w:spacing w:after="0" w:line="294" w:lineRule="auto"/>
        <w:rPr>
          <w:sz w:val="20"/>
          <w:szCs w:val="20"/>
          <w:color w:val="auto"/>
        </w:rPr>
      </w:pPr>
      <w:r>
        <w:rPr>
          <w:rFonts w:ascii="Times New Roman" w:cs="Times New Roman" w:eastAsia="Times New Roman" w:hAnsi="Times New Roman"/>
          <w:sz w:val="20"/>
          <w:szCs w:val="20"/>
          <w:color w:val="auto"/>
        </w:rPr>
        <w:t>Regulated waste can be defined as any material subject to government-imposed guidelines for handling the material for transportation or disposal. Examples include medical waste, pathological waste, sharps and pharmaceutical waste.</w:t>
      </w:r>
    </w:p>
    <w:p>
      <w:pPr>
        <w:spacing w:after="0" w:line="87" w:lineRule="exact"/>
        <w:rPr>
          <w:sz w:val="20"/>
          <w:szCs w:val="20"/>
          <w:color w:val="auto"/>
        </w:rPr>
      </w:pPr>
    </w:p>
    <w:p>
      <w:pPr>
        <w:jc w:val="both"/>
        <w:ind w:left="360" w:right="360" w:firstLine="180"/>
        <w:spacing w:after="0" w:line="294" w:lineRule="auto"/>
        <w:rPr>
          <w:sz w:val="20"/>
          <w:szCs w:val="20"/>
          <w:color w:val="auto"/>
        </w:rPr>
      </w:pPr>
      <w:r>
        <w:rPr>
          <w:rFonts w:ascii="Times New Roman" w:cs="Times New Roman" w:eastAsia="Times New Roman" w:hAnsi="Times New Roman"/>
          <w:sz w:val="20"/>
          <w:szCs w:val="20"/>
          <w:i w:val="1"/>
          <w:iCs w:val="1"/>
          <w:color w:val="auto"/>
        </w:rPr>
        <w:t xml:space="preserve">Collection and Transportation </w:t>
      </w:r>
      <w:r>
        <w:rPr>
          <w:rFonts w:ascii="Times New Roman" w:cs="Times New Roman" w:eastAsia="Times New Roman" w:hAnsi="Times New Roman"/>
          <w:sz w:val="20"/>
          <w:szCs w:val="20"/>
          <w:color w:val="auto"/>
        </w:rPr>
        <w:t>— The collection process for regulated waste streams begins at the customer location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waste segregation. To assure regulatory compliance, we educate our customers and will not accept material from</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3320" w:h="16920" w:orient="portrait"/>
          <w:cols w:equalWidth="0" w:num="1">
            <w:col w:w="10440"/>
          </w:cols>
          <w:pgMar w:left="1440" w:top="1440" w:right="1440" w:bottom="1440" w:gutter="0" w:footer="0" w:header="0"/>
          <w:type w:val="continuous"/>
        </w:sectPr>
      </w:pPr>
    </w:p>
    <w:bookmarkStart w:id="85" w:name="page86"/>
    <w:bookmarkEnd w:id="85"/>
    <w:p>
      <w:pPr>
        <w:spacing w:after="0" w:line="348" w:lineRule="exact"/>
        <w:rPr>
          <w:sz w:val="20"/>
          <w:szCs w:val="20"/>
          <w:color w:val="auto"/>
        </w:rPr>
      </w:pPr>
    </w:p>
    <w:p>
      <w:pPr>
        <w:jc w:val="both"/>
        <w:ind w:left="360" w:right="360"/>
        <w:spacing w:after="0" w:line="293" w:lineRule="auto"/>
        <w:rPr>
          <w:sz w:val="20"/>
          <w:szCs w:val="20"/>
          <w:color w:val="auto"/>
        </w:rPr>
      </w:pPr>
      <w:r>
        <w:rPr>
          <w:rFonts w:ascii="Times New Roman" w:cs="Times New Roman" w:eastAsia="Times New Roman" w:hAnsi="Times New Roman"/>
          <w:sz w:val="20"/>
          <w:szCs w:val="20"/>
          <w:color w:val="auto"/>
        </w:rPr>
        <w:t>customers unless it complies with our waste acceptance protocols and is properly stored or packaged in containers that we have either supplied or approved and is appropriately labeled.</w:t>
      </w:r>
    </w:p>
    <w:p>
      <w:pPr>
        <w:spacing w:after="0" w:line="89" w:lineRule="exact"/>
        <w:rPr>
          <w:sz w:val="20"/>
          <w:szCs w:val="20"/>
          <w:color w:val="auto"/>
        </w:rPr>
      </w:pPr>
    </w:p>
    <w:p>
      <w:pPr>
        <w:jc w:val="both"/>
        <w:ind w:left="360" w:right="360" w:firstLine="180"/>
        <w:spacing w:after="0" w:line="275" w:lineRule="auto"/>
        <w:rPr>
          <w:sz w:val="20"/>
          <w:szCs w:val="20"/>
          <w:color w:val="auto"/>
        </w:rPr>
      </w:pPr>
      <w:r>
        <w:rPr>
          <w:rFonts w:ascii="Times New Roman" w:cs="Times New Roman" w:eastAsia="Times New Roman" w:hAnsi="Times New Roman"/>
          <w:sz w:val="20"/>
          <w:szCs w:val="20"/>
          <w:color w:val="auto"/>
        </w:rPr>
        <w:t>Our team members then collect containers at the customer location via our fleet of vehicles. The majority of collected waste is then transported directly to one of our processing facilities or to one of our WM Healthcare Solutions transfer stations where waste is aggregated until it is transported to a processing facility.</w:t>
      </w:r>
    </w:p>
    <w:p>
      <w:pPr>
        <w:spacing w:after="0" w:line="106" w:lineRule="exact"/>
        <w:rPr>
          <w:sz w:val="20"/>
          <w:szCs w:val="20"/>
          <w:color w:val="auto"/>
        </w:rPr>
      </w:pPr>
    </w:p>
    <w:p>
      <w:pPr>
        <w:jc w:val="both"/>
        <w:ind w:left="360" w:right="360" w:firstLine="180"/>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Processing and Disposal of Regulated Waste </w:t>
      </w:r>
      <w:r>
        <w:rPr>
          <w:rFonts w:ascii="Times New Roman" w:cs="Times New Roman" w:eastAsia="Times New Roman" w:hAnsi="Times New Roman"/>
          <w:sz w:val="20"/>
          <w:szCs w:val="20"/>
          <w:color w:val="auto"/>
        </w:rPr>
        <w:t>— Upon arrival at a processing facility, containers or boxes of regulated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waste undergo a quality control process to verify that they do not contain any unacceptable substances. Any container or box that is discovered to contain unacceptable waste goes through a corrective action process which could include redirecting the waste, returning the waste to the customer and/or notifying the appropriate regulatory authorities. From there, regulated waste is processed using one of several treatments or processing technologies, predominantly at one of our facilities:</w:t>
      </w:r>
    </w:p>
    <w:p>
      <w:pPr>
        <w:spacing w:after="0" w:line="134" w:lineRule="exact"/>
        <w:rPr>
          <w:sz w:val="20"/>
          <w:szCs w:val="20"/>
          <w:color w:val="auto"/>
        </w:rPr>
      </w:pPr>
    </w:p>
    <w:p>
      <w:pPr>
        <w:ind w:left="1260" w:right="360" w:hanging="352"/>
        <w:spacing w:after="0" w:line="292" w:lineRule="auto"/>
        <w:tabs>
          <w:tab w:leader="none" w:pos="126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Autoclaving </w:t>
      </w:r>
      <w:r>
        <w:rPr>
          <w:rFonts w:ascii="Times New Roman" w:cs="Times New Roman" w:eastAsia="Times New Roman" w:hAnsi="Times New Roman"/>
          <w:sz w:val="20"/>
          <w:szCs w:val="20"/>
          <w:color w:val="auto"/>
        </w:rPr>
        <w:t>— Autoclaving is the primary method of regulated waste treatment. This process relies on steam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at high temperature and pressure to kill pathogens and render materials non-infectious.</w:t>
      </w:r>
    </w:p>
    <w:p>
      <w:pPr>
        <w:spacing w:after="0" w:line="104" w:lineRule="exact"/>
        <w:rPr>
          <w:rFonts w:ascii="Arial" w:cs="Arial" w:eastAsia="Arial" w:hAnsi="Arial"/>
          <w:sz w:val="20"/>
          <w:szCs w:val="20"/>
          <w:color w:val="auto"/>
        </w:rPr>
      </w:pPr>
    </w:p>
    <w:p>
      <w:pPr>
        <w:jc w:val="both"/>
        <w:ind w:left="1260" w:right="360" w:hanging="352"/>
        <w:spacing w:after="0" w:line="265" w:lineRule="auto"/>
        <w:tabs>
          <w:tab w:leader="none" w:pos="126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Alternative Technologies </w:t>
      </w:r>
      <w:r>
        <w:rPr>
          <w:rFonts w:ascii="Times New Roman" w:cs="Times New Roman" w:eastAsia="Times New Roman" w:hAnsi="Times New Roman"/>
          <w:sz w:val="20"/>
          <w:szCs w:val="20"/>
          <w:color w:val="auto"/>
        </w:rPr>
        <w:t>— We use several different non-incineration alternatives to autoclaves,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predominantly outside of the U.S. The processes used by these technologies are similar to autoclaving, as the regulated waste is heated to a specified temperature for a required time to kill the pathogens and render materials non-infectious. Depending on local requirements, the waste may be shredded before or after treatment to render it unrecognizable.</w:t>
      </w:r>
    </w:p>
    <w:p>
      <w:pPr>
        <w:spacing w:after="0" w:line="129" w:lineRule="exact"/>
        <w:rPr>
          <w:rFonts w:ascii="Arial" w:cs="Arial" w:eastAsia="Arial" w:hAnsi="Arial"/>
          <w:sz w:val="20"/>
          <w:szCs w:val="20"/>
          <w:color w:val="auto"/>
        </w:rPr>
      </w:pPr>
    </w:p>
    <w:p>
      <w:pPr>
        <w:jc w:val="both"/>
        <w:ind w:left="1260" w:right="360" w:hanging="352"/>
        <w:spacing w:after="0" w:line="261" w:lineRule="auto"/>
        <w:tabs>
          <w:tab w:leader="none" w:pos="126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Incineration </w:t>
      </w:r>
      <w:r>
        <w:rPr>
          <w:rFonts w:ascii="Times New Roman" w:cs="Times New Roman" w:eastAsia="Times New Roman" w:hAnsi="Times New Roman"/>
          <w:sz w:val="20"/>
          <w:szCs w:val="20"/>
          <w:color w:val="auto"/>
        </w:rPr>
        <w:t>— While we strive to use alternative, non-incineration methods for treating medical waste,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incineration remains a regulatory requirement and/or a best practice in certain geographies or for certain types of medical waste that need to be chemically destroyed. Incineration burns regulated waste at elevated temperatures and reduces it to ash. Incineration reduces the volume of waste, and it is the recommended treatment and disposal option for some types of regulated waste such as anatomical waste, residues from chemotherapy procedures and non-hazardous pharmaceutical waste. Air emissions from incinerators can contain certain byproducts that are subject to federal, state and in some cases, local regulation. In some circumstances, the ash byproduct of incineration may be regulated.</w:t>
      </w:r>
    </w:p>
    <w:p>
      <w:pPr>
        <w:spacing w:after="0" w:line="121" w:lineRule="exact"/>
        <w:rPr>
          <w:sz w:val="20"/>
          <w:szCs w:val="20"/>
          <w:color w:val="auto"/>
        </w:rPr>
      </w:pPr>
    </w:p>
    <w:p>
      <w:pPr>
        <w:jc w:val="both"/>
        <w:ind w:left="360" w:right="360" w:firstLine="180"/>
        <w:spacing w:after="0" w:line="275" w:lineRule="auto"/>
        <w:rPr>
          <w:sz w:val="20"/>
          <w:szCs w:val="20"/>
          <w:color w:val="auto"/>
        </w:rPr>
      </w:pPr>
      <w:r>
        <w:rPr>
          <w:rFonts w:ascii="Times New Roman" w:cs="Times New Roman" w:eastAsia="Times New Roman" w:hAnsi="Times New Roman"/>
          <w:sz w:val="20"/>
          <w:szCs w:val="20"/>
          <w:color w:val="auto"/>
        </w:rPr>
        <w:t>Upon completion of the treatment process, the resulting waste or incinerator ash is transported for disposal in a landfill owned by unaffiliated third parties or by the Company. Additionally, in several of our incineration facilities, primarily in the U.K., we use different types of waste-to-energy solutions as part of our processes.</w:t>
      </w:r>
    </w:p>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Secure Information Destruction</w:t>
      </w:r>
    </w:p>
    <w:p>
      <w:pPr>
        <w:spacing w:after="0" w:line="174" w:lineRule="exact"/>
        <w:rPr>
          <w:sz w:val="20"/>
          <w:szCs w:val="20"/>
          <w:color w:val="auto"/>
        </w:rPr>
      </w:pPr>
    </w:p>
    <w:p>
      <w:pPr>
        <w:jc w:val="both"/>
        <w:ind w:left="360" w:right="360" w:firstLine="180"/>
        <w:spacing w:after="0" w:line="275" w:lineRule="auto"/>
        <w:rPr>
          <w:sz w:val="20"/>
          <w:szCs w:val="20"/>
          <w:color w:val="auto"/>
        </w:rPr>
      </w:pPr>
      <w:r>
        <w:rPr>
          <w:rFonts w:ascii="Times New Roman" w:cs="Times New Roman" w:eastAsia="Times New Roman" w:hAnsi="Times New Roman"/>
          <w:sz w:val="20"/>
          <w:szCs w:val="20"/>
          <w:color w:val="auto"/>
        </w:rPr>
        <w:t>WM Healthcare Solutions also provides for the collection of personal and confidential information for secure destruction and recycling of sorted office paper. SID services are provided to customers in the U.S., Belgium, Canada, France, Germany, Ireland, Luxembourg, the Netherlands and the U.K.</w:t>
      </w:r>
    </w:p>
    <w:p>
      <w:pPr>
        <w:spacing w:after="0" w:line="106" w:lineRule="exact"/>
        <w:rPr>
          <w:sz w:val="20"/>
          <w:szCs w:val="20"/>
          <w:color w:val="auto"/>
        </w:rPr>
      </w:pPr>
    </w:p>
    <w:p>
      <w:pPr>
        <w:jc w:val="both"/>
        <w:ind w:left="360" w:right="360" w:firstLine="180"/>
        <w:spacing w:after="0" w:line="275" w:lineRule="auto"/>
        <w:rPr>
          <w:sz w:val="20"/>
          <w:szCs w:val="20"/>
          <w:color w:val="auto"/>
        </w:rPr>
      </w:pPr>
      <w:r>
        <w:rPr>
          <w:rFonts w:ascii="Times New Roman" w:cs="Times New Roman" w:eastAsia="Times New Roman" w:hAnsi="Times New Roman"/>
          <w:sz w:val="20"/>
          <w:szCs w:val="20"/>
          <w:color w:val="auto"/>
        </w:rPr>
        <w:t>We leverage a combination of off-site and on-site document destruction methods for one-time and recurring paper shredding. Our service offerings leverage cross-cut shredding technology to enhance the security level of destruction and can provide secure chain-of-custody and proof of service. Shredded paper is then sold as sorted office paper.</w:t>
      </w:r>
    </w:p>
    <w:p>
      <w:pPr>
        <w:spacing w:after="0" w:line="1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i w:val="1"/>
          <w:iCs w:val="1"/>
          <w:color w:val="auto"/>
        </w:rPr>
        <w:t>Corporate and Other</w:t>
      </w:r>
    </w:p>
    <w:p>
      <w:pPr>
        <w:spacing w:after="0" w:line="240"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We also provide additional services that are not managed through our operating segments, which are presented in this report as Corporate and Other as they do not meet the criteria to be aggregated with other operating segments and do not meet the quantitative criteria to be separately reported. This includes the activities of our corporate office, including costs associated with our long-term incentive program, expanded service offerings and solutions (such as our investments in businesses and technologies that are designed to offer services and solutions ancillary or supplementary to our current operations) as well as our closed sites.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3320" w:h="16920" w:orient="portrait"/>
          <w:cols w:equalWidth="0" w:num="1">
            <w:col w:w="10440"/>
          </w:cols>
          <w:pgMar w:left="1440" w:top="1440" w:right="1440" w:bottom="1440" w:gutter="0" w:footer="0" w:header="0"/>
          <w:type w:val="continuous"/>
        </w:sectPr>
      </w:pPr>
    </w:p>
    <w:bookmarkStart w:id="86" w:name="page87"/>
    <w:bookmarkEnd w:id="86"/>
    <w:p>
      <w:pPr>
        <w:spacing w:after="0" w:line="347" w:lineRule="exact"/>
        <w:rPr>
          <w:sz w:val="20"/>
          <w:szCs w:val="20"/>
          <w:color w:val="auto"/>
        </w:rPr>
      </w:pPr>
    </w:p>
    <w:p>
      <w:pPr>
        <w:jc w:val="both"/>
        <w:ind w:left="360" w:right="360" w:firstLine="360"/>
        <w:spacing w:after="0" w:line="261" w:lineRule="auto"/>
        <w:rPr>
          <w:sz w:val="20"/>
          <w:szCs w:val="20"/>
          <w:color w:val="auto"/>
        </w:rPr>
      </w:pPr>
      <w:r>
        <w:rPr>
          <w:rFonts w:ascii="Times New Roman" w:cs="Times New Roman" w:eastAsia="Times New Roman" w:hAnsi="Times New Roman"/>
          <w:sz w:val="19"/>
          <w:szCs w:val="19"/>
          <w:color w:val="auto"/>
        </w:rPr>
        <w:t>Included within our Corporate and Other businesses’ closed sites are (i) six third-party power generating facilities converting our landfill gas to fuel electricity generators; (ii) two third-party projects delivering our landfill gas by pipeline to industrial customers as a direct substitute for fossil fuels in industrial processes and (iii) two third-party RNG facilities processing landfill gas to be sold to natural gas suppliers in return for a royalty. Additionally, Corporate and Other benefits from a 15% royalty from our WM Renewable Energy segment based on net operating revenue generated through the sale of RNG, RINs, electricity and capacity, RECs and related environmental attributes from the 15 landfill beneficial use renewable energy projects owned by WM Renewable Energy on our closed sites, which is eliminated in consolidation.</w:t>
      </w:r>
    </w:p>
    <w:p>
      <w:pPr>
        <w:spacing w:after="0" w:line="188" w:lineRule="exact"/>
        <w:rPr>
          <w:sz w:val="20"/>
          <w:szCs w:val="20"/>
          <w:color w:val="auto"/>
        </w:rPr>
      </w:pPr>
    </w:p>
    <w:p>
      <w:pPr>
        <w:jc w:val="both"/>
        <w:ind w:left="360" w:right="360" w:firstLine="360"/>
        <w:spacing w:after="0" w:line="262" w:lineRule="auto"/>
        <w:rPr>
          <w:sz w:val="20"/>
          <w:szCs w:val="20"/>
          <w:color w:val="auto"/>
        </w:rPr>
      </w:pPr>
      <w:r>
        <w:rPr>
          <w:rFonts w:ascii="Times New Roman" w:cs="Times New Roman" w:eastAsia="Times New Roman" w:hAnsi="Times New Roman"/>
          <w:sz w:val="19"/>
          <w:szCs w:val="19"/>
          <w:color w:val="auto"/>
        </w:rPr>
        <w:t>We continue to invest in businesses and technologies that are designed to offer services and solutions ancillary or supplementary to our current operations. While most of these investments are in the form of minority equity stakes, they can also include joint ventures, joint development agreements or majority equity stakes. The solutions and services include</w:t>
      </w:r>
    </w:p>
    <w:p>
      <w:pPr>
        <w:spacing w:after="0" w:line="3" w:lineRule="exact"/>
        <w:rPr>
          <w:sz w:val="20"/>
          <w:szCs w:val="20"/>
          <w:color w:val="auto"/>
        </w:rPr>
      </w:pPr>
    </w:p>
    <w:p>
      <w:pPr>
        <w:jc w:val="both"/>
        <w:ind w:left="360" w:right="360" w:firstLine="7"/>
        <w:spacing w:after="0" w:line="243" w:lineRule="auto"/>
        <w:tabs>
          <w:tab w:leader="none" w:pos="597"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waste collection, processing and recycling; (ii) the development, operation and marketing of waste processing facilities and technologies; (iii) operation of RNG plants and (iv) the development and operation of organic recycling technologies. Furthermore, we continually scout, evaluate and run proof-of-concepts of innovative technologies within our core operations to improve safety, operational efficiencies and customer solutions.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43" w:lineRule="exact"/>
        <w:rPr>
          <w:sz w:val="20"/>
          <w:szCs w:val="20"/>
          <w:color w:val="auto"/>
        </w:rPr>
      </w:pPr>
    </w:p>
    <w:p>
      <w:pPr>
        <w:jc w:val="both"/>
        <w:ind w:left="360" w:right="360" w:firstLine="360"/>
        <w:spacing w:after="0" w:line="263" w:lineRule="auto"/>
        <w:rPr>
          <w:sz w:val="20"/>
          <w:szCs w:val="20"/>
          <w:color w:val="auto"/>
        </w:rPr>
      </w:pPr>
      <w:r>
        <w:rPr>
          <w:rFonts w:ascii="Times New Roman" w:cs="Times New Roman" w:eastAsia="Times New Roman" w:hAnsi="Times New Roman"/>
          <w:sz w:val="19"/>
          <w:szCs w:val="19"/>
          <w:color w:val="auto"/>
        </w:rPr>
        <w:t>We encounter intense competition from governmental, quasi-governmental and private sources in all aspects of our operations. We principally compete with large national waste management companies, counties and municipalities that maintain their own waste collection and disposal operations and regional and local companies of varying sizes and financial resources. The industry also includes companies that specialize in certain discrete areas of waste management, operators of alternative disposal facilities, companies that seek to use parts of the waste stream as feedstock for renewable energy and other by-products and waste brokers that rely upon haulers in local markets to address customer needs.</w:t>
      </w:r>
    </w:p>
    <w:p>
      <w:pPr>
        <w:spacing w:after="0" w:line="184"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Operating costs, disposal costs and collection fees vary widely throughout the geographic areas in which we operate. The prices that we charge are determined locally, and typically vary by volume and weight, type of waste collected, treatment requirements, risk of handling or disposal, frequency of collections, distance to final disposal sites, the availability of airspace within the geographic region, labor costs and amount and type of equipment furnished to the customer. We face intense competition based on pricing and quality of service. We also compete for business based on breadth of service offerings. As companies, individuals and communities look for ways to be more sustainable, we are promoting our comprehensive services that go beyond our core business of collecting and disposing of waste in order to meet their needs.</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Seasonal Trends</w:t>
      </w:r>
    </w:p>
    <w:p>
      <w:pPr>
        <w:spacing w:after="0" w:line="243"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95"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93"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3320" w:h="16920" w:orient="portrait"/>
          <w:cols w:equalWidth="0" w:num="1">
            <w:col w:w="10440"/>
          </w:cols>
          <w:pgMar w:left="1440" w:top="1440" w:right="1440" w:bottom="1440" w:gutter="0" w:footer="0" w:header="0"/>
          <w:type w:val="continuous"/>
        </w:sectPr>
      </w:pPr>
    </w:p>
    <w:bookmarkStart w:id="87" w:name="page88"/>
    <w:bookmarkEnd w:id="87"/>
    <w:p>
      <w:pPr>
        <w:spacing w:after="0" w:line="3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Employees</w:t>
      </w:r>
    </w:p>
    <w:p>
      <w:pPr>
        <w:spacing w:after="0" w:line="240" w:lineRule="exact"/>
        <w:rPr>
          <w:sz w:val="20"/>
          <w:szCs w:val="20"/>
          <w:color w:val="auto"/>
        </w:rPr>
      </w:pPr>
    </w:p>
    <w:p>
      <w:pPr>
        <w:jc w:val="both"/>
        <w:ind w:left="360" w:right="360" w:firstLine="360"/>
        <w:spacing w:after="0" w:line="260" w:lineRule="auto"/>
        <w:rPr>
          <w:sz w:val="20"/>
          <w:szCs w:val="20"/>
          <w:color w:val="auto"/>
        </w:rPr>
      </w:pPr>
      <w:r>
        <w:rPr>
          <w:rFonts w:ascii="Times New Roman" w:cs="Times New Roman" w:eastAsia="Times New Roman" w:hAnsi="Times New Roman"/>
          <w:sz w:val="19"/>
          <w:szCs w:val="19"/>
          <w:color w:val="auto"/>
        </w:rPr>
        <w:t>As of December 31, 2024, we had approximately 61,700 full-time employees across the U.S., Canada, Western Europe, and India. Approximately 54,300 employees were located within the U.S. and 7,400 employees were located outside of the U.S. Approximately 8,400 employees were employed in administrative and sales positions with the remainder in operations. Approximately 9,900 of our employees are covered by collective bargaining agreements. Additional information about our workforce can be found in our 2024 Sustainability Report at sustainability.wm.com, which was issued prior to our acquisition of Stericycle and does not incorporate any aspects of the acquired operations. Our 2024 Sustainability Report does not constitute a part of, and is not incorporated by reference into, this report or any other report we file with (or furnish to) the SEC, whether made before or after the date of this Annual Report on Form 10- K.</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People First Commitment</w:t>
      </w:r>
    </w:p>
    <w:p>
      <w:pPr>
        <w:spacing w:after="0" w:line="240"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Our People First commitment means knowing that the daily contributions of our team members are what enable us to play a vital role in the communities we serve. Our success depends upon effective leadership, the contributions of each employee and our ability to give them the tools they need to safely execute their roles as well as to develop and excel in their careers. As our industry and workforce evolve, we are focused on our imperatives of keeping our employees safe, being an inclusive employer at all levels of our Company, managing employee turnover, increasing retention, succession planning and development, and supporting employee experience, ongoing cultural integration and knowledge transfer. We regularly focus on these objectives when managing our business.</w:t>
      </w:r>
    </w:p>
    <w:p>
      <w:pPr>
        <w:spacing w:after="0" w:line="199"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 xml:space="preserve">We strive to be a workplace of choice through competitive pay, comprehensive benefits for long-term financial and personal health and opportunities for growth across our ranks. "We Are WM" is our Employer Value Proposition, grounded in our People First commitment and shared through a framework that enables us to demonstrate that we are (i) investing in our teams by providing comprehensive benefits; (ii) committed to the growth of our team by providing state-of-the-art trainings and our education benefit, Your Tomorrow, as further discussed under </w:t>
      </w:r>
      <w:r>
        <w:rPr>
          <w:rFonts w:ascii="Times New Roman" w:cs="Times New Roman" w:eastAsia="Times New Roman" w:hAnsi="Times New Roman"/>
          <w:sz w:val="20"/>
          <w:szCs w:val="20"/>
          <w:i w:val="1"/>
          <w:iCs w:val="1"/>
          <w:color w:val="auto"/>
        </w:rPr>
        <w:t>Compensation and Benefits</w:t>
      </w:r>
      <w:r>
        <w:rPr>
          <w:rFonts w:ascii="Times New Roman" w:cs="Times New Roman" w:eastAsia="Times New Roman" w:hAnsi="Times New Roman"/>
          <w:sz w:val="20"/>
          <w:szCs w:val="20"/>
          <w:color w:val="auto"/>
        </w:rPr>
        <w:t>;</w:t>
      </w:r>
    </w:p>
    <w:p>
      <w:pPr>
        <w:spacing w:after="0" w:line="4" w:lineRule="exact"/>
        <w:rPr>
          <w:sz w:val="20"/>
          <w:szCs w:val="20"/>
          <w:color w:val="auto"/>
        </w:rPr>
      </w:pPr>
    </w:p>
    <w:p>
      <w:pPr>
        <w:jc w:val="both"/>
        <w:ind w:left="360" w:right="360" w:firstLine="7"/>
        <w:spacing w:after="0" w:line="242" w:lineRule="auto"/>
        <w:tabs>
          <w:tab w:leader="none" w:pos="70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performing essential and meaningful work and (iv) working for a sustainable tomorrow by leaving the world a better place than we found it. Being an employer of choice is critical to our efforts to attract and retain a high-quality workforce, while motivating us to sharpen our focus on our values that help us empower and develop good employees. By promoting from within and offering training and experiential opportunities, we help employees maximize their effectiveness and grow in their careers.</w:t>
      </w:r>
    </w:p>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Safety as a Core Value</w:t>
      </w:r>
    </w:p>
    <w:p>
      <w:pPr>
        <w:spacing w:after="0" w:line="239" w:lineRule="exact"/>
        <w:rPr>
          <w:sz w:val="20"/>
          <w:szCs w:val="20"/>
          <w:color w:val="auto"/>
        </w:rPr>
      </w:pPr>
    </w:p>
    <w:p>
      <w:pPr>
        <w:jc w:val="both"/>
        <w:ind w:left="360" w:right="360" w:firstLine="360"/>
        <w:spacing w:after="0" w:line="256" w:lineRule="auto"/>
        <w:rPr>
          <w:sz w:val="20"/>
          <w:szCs w:val="20"/>
          <w:color w:val="auto"/>
        </w:rPr>
      </w:pPr>
      <w:r>
        <w:rPr>
          <w:rFonts w:ascii="Times New Roman" w:cs="Times New Roman" w:eastAsia="Times New Roman" w:hAnsi="Times New Roman"/>
          <w:sz w:val="19"/>
          <w:szCs w:val="19"/>
          <w:color w:val="auto"/>
        </w:rPr>
        <w:t>At the Company, safety is a core value, with no compromise. A large number of our employee population work as drivers, heavy equipment operators and sorters, which are essential jobs that carry inherent risks. For nearly 20 years, we have engaged employees on safety to continually improve our culture and performance. As part of those efforts, in 2023 we developed and implemented a new safety vision for WM, which seeks to ensure that our employees make health and safety the foundation of their work, guiding each step they take. Our safety commitment is to value every voice, protect our communities, and work to enable everyone to get home safe, every day. Employees learn safety best practices through new-hire training, onboarding programs and ongoing training. To build upon lessons learned in training, we conduct structured observations of frontline employees that cover all aspects of our collection and post-collection operations, including driving, loading, unloading, lifting and lowering and arriving prepared for work. In 2023, the Company announced a safety goal focused on reduction of our Total Recordable Incident Rate (“TRIR”) by 3% annually, targeting TRIR of 2.0 annually by 2030. TRIR measures the number of injuries occurring per 100 employees per year (number of injuries per 200,000 hours). Our TRIR as of December 31, 2024 was 3.23. While our overall results in 2024 did not demonstrate targeted progress toward the 2030 goal, we were able to determine that the number of incidents is meaningfully improving for our core operations, though these improvements have been offset by the impacts of acquisition activity as well as a significant reduction in work hours from an improvement in driver retention and operational efficiency. We often find that the discipline and culture of the Company benefit acquired businesses. Accordingly, while there can be short-term impacts from acquisitions on measures such as TRIR, we are confident that the time and resources dedicated</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3320" w:h="16920" w:orient="portrait"/>
          <w:cols w:equalWidth="0" w:num="1">
            <w:col w:w="10440"/>
          </w:cols>
          <w:pgMar w:left="1440" w:top="1440" w:right="1440" w:bottom="1440" w:gutter="0" w:footer="0" w:header="0"/>
          <w:type w:val="continuous"/>
        </w:sectPr>
      </w:pPr>
    </w:p>
    <w:bookmarkStart w:id="88" w:name="page89"/>
    <w:bookmarkEnd w:id="88"/>
    <w:p>
      <w:pPr>
        <w:spacing w:after="0" w:line="347" w:lineRule="exact"/>
        <w:rPr>
          <w:sz w:val="20"/>
          <w:szCs w:val="20"/>
          <w:color w:val="auto"/>
        </w:rPr>
      </w:pPr>
    </w:p>
    <w:p>
      <w:pPr>
        <w:jc w:val="both"/>
        <w:ind w:left="360" w:right="360" w:firstLine="50"/>
        <w:spacing w:after="0" w:line="259" w:lineRule="auto"/>
        <w:rPr>
          <w:sz w:val="20"/>
          <w:szCs w:val="20"/>
          <w:color w:val="auto"/>
        </w:rPr>
      </w:pPr>
      <w:r>
        <w:rPr>
          <w:rFonts w:ascii="Times New Roman" w:cs="Times New Roman" w:eastAsia="Times New Roman" w:hAnsi="Times New Roman"/>
          <w:sz w:val="20"/>
          <w:szCs w:val="20"/>
          <w:color w:val="auto"/>
        </w:rPr>
        <w:t>to pursuing our safety commitment have us on track for continued progress in the years ahead. The Company reduced overall (5.8%), OSHA recordable (2.2%), and Lost Time (2.4%) injuries in 2024 and remains focused on the prevention of serious injuries.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Cultivating Belonging</w:t>
      </w:r>
    </w:p>
    <w:p>
      <w:pPr>
        <w:spacing w:after="0" w:line="239"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We embrace and cultivate respect, trust, open communications and diversity of thought and people. We are committed to fostering an environment where all team members feel welcomed, valued and seen. Our commitment to a culture of belonging is reflected in the diverse backgrounds of our Board of Directors and senior leadership team and in our overall workforce in the U.S., which is comprised of individuals of all ethnicities and genders. Additional information about our workforce can be found in our 2024 Sustainability Report at sustainability.wm.com. We are proud of what we have been able to achieve so far, and we will continue to strive to further embed a culture of belonging within the Company. To enable us to achieve a workplace where all feel welcomed and valued, we are committed to evaluating our policies, practices and procedures, recruitment and partnerships to ensure that our efforts are fair, sustainable and tied to our business strategy.</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Learning and Development</w:t>
      </w:r>
    </w:p>
    <w:p>
      <w:pPr>
        <w:spacing w:after="0" w:line="240"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We offer expansive learning and development solutions to meet the development needs of our people and support opportunities for growth and improvement. Our talent management strategy is designed to reach employees at all levels. Given the wide variety of employee roles and skill sets in our Company, our training and development programs are varied but generally fall into the following categories: (i) compliance, including Code of Conduct and cybersecurity training; (ii) safety; (iii) environmental excellence; (iv) professional development and leadership and (v) job-specific.</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239"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The objective of our compensation and benefit programs is to attract, engage, reward and incentivize valuable employees who will drive the successful execution of our strategy. We pay the full cost to provide employees with short - term disability benefits, long-term disability benefits, basic life insurance for the employee and their dependents, and employee and family assistance benefits. The costs for medical and dental coverage are shared with employees, with the Company paying for a majority of the premium expense. The Company offers other important benefits such as paid vacation and holidays, mental health services, legal services, flexible spending accounts, dependent care assistance, adoption assistance, employee discounts and student loan refinancing services. We also recognize the value of learning beyond the workplace. Our education benefit, Your Tomorrow, pays benefits-eligible employees’ and dependents’ tuition for a broad range of four-year college degree programs, as well as programs such as high-school equivalency and, for employees, other certificate programs and graduate degrees. We also provide plans to help employees save for their future for example, through our 401(k) retirement savings plan. Refer to Note 9 to the Consolidated Financial Statements for additional information on our employee benefit plans.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Financial Assurance and Insurance Obligations</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Financial Assurance</w:t>
      </w:r>
    </w:p>
    <w:p>
      <w:pPr>
        <w:spacing w:after="0" w:line="240"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Municipal and governmental waste service contracts generally require contracting parties to demonstrate financial responsibility for their obligations under the contract. Financial assurance is also a requirement for (i) obtaining or retaining disposal site or transfer station operating permits; (ii) supporting certain variable-rate tax-exempt debt and</w:t>
      </w:r>
    </w:p>
    <w:p>
      <w:pPr>
        <w:spacing w:after="0" w:line="2" w:lineRule="exact"/>
        <w:rPr>
          <w:sz w:val="20"/>
          <w:szCs w:val="20"/>
          <w:color w:val="auto"/>
        </w:rPr>
      </w:pPr>
    </w:p>
    <w:p>
      <w:pPr>
        <w:jc w:val="both"/>
        <w:ind w:left="360" w:right="360" w:firstLine="7"/>
        <w:spacing w:after="0" w:line="243" w:lineRule="auto"/>
        <w:tabs>
          <w:tab w:leader="none" w:pos="71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estimated final capping, closure, post-closure and environmental remedial obligations at many of our landfills. We establish financial assurance using surety bonds, letters of credit, insurance policies, trust and escrow agreements and financial guarantees. The type of assurance used is based on several factors, most importantly: the jurisdiction, contractual requirements, market factors and availability of credit capacity.</w:t>
      </w:r>
    </w:p>
    <w:p>
      <w:pPr>
        <w:spacing w:after="0" w:line="200"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20"/>
          <w:szCs w:val="20"/>
          <w:color w:val="auto"/>
        </w:rPr>
        <w:t>Surety bonds and insurance policies are supported by either (i) a diverse group of third-party surety and insurance companies; (ii) an entity in which we have a noncontrolling financial interest or (iii) a wholly-owned insurance captive, the sole business of which is to issue surety bonds and/or insurance policies on our behalf. Letters of credit generally are</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3320" w:h="16920" w:orient="portrait"/>
          <w:cols w:equalWidth="0" w:num="1">
            <w:col w:w="10440"/>
          </w:cols>
          <w:pgMar w:left="1440" w:top="1440" w:right="1440" w:bottom="1440" w:gutter="0" w:footer="0" w:header="0"/>
          <w:type w:val="continuous"/>
        </w:sectPr>
      </w:pPr>
    </w:p>
    <w:bookmarkStart w:id="89" w:name="page90"/>
    <w:bookmarkEnd w:id="89"/>
    <w:p>
      <w:pPr>
        <w:spacing w:after="0" w:line="347" w:lineRule="exact"/>
        <w:rPr>
          <w:sz w:val="20"/>
          <w:szCs w:val="20"/>
          <w:color w:val="auto"/>
        </w:rPr>
      </w:pPr>
    </w:p>
    <w:p>
      <w:pPr>
        <w:jc w:val="both"/>
        <w:ind w:left="360" w:right="360"/>
        <w:spacing w:after="0" w:line="278" w:lineRule="auto"/>
        <w:rPr>
          <w:sz w:val="20"/>
          <w:szCs w:val="20"/>
          <w:color w:val="auto"/>
        </w:rPr>
      </w:pPr>
      <w:r>
        <w:rPr>
          <w:rFonts w:ascii="Times New Roman" w:cs="Times New Roman" w:eastAsia="Times New Roman" w:hAnsi="Times New Roman"/>
          <w:sz w:val="20"/>
          <w:szCs w:val="20"/>
          <w:color w:val="auto"/>
        </w:rPr>
        <w:t>supported by our long-term U.S. and Canadian revolving credit facility (“$3.5 billion revolving credit facility”) and other credit lines established for that purpose.</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Insurance</w:t>
      </w:r>
    </w:p>
    <w:p>
      <w:pPr>
        <w:spacing w:after="0" w:line="239" w:lineRule="exact"/>
        <w:rPr>
          <w:sz w:val="20"/>
          <w:szCs w:val="20"/>
          <w:color w:val="auto"/>
        </w:rPr>
      </w:pPr>
    </w:p>
    <w:p>
      <w:pPr>
        <w:jc w:val="both"/>
        <w:ind w:left="360" w:right="360" w:firstLine="360"/>
        <w:spacing w:after="0" w:line="260" w:lineRule="auto"/>
        <w:rPr>
          <w:sz w:val="20"/>
          <w:szCs w:val="20"/>
          <w:color w:val="auto"/>
        </w:rPr>
      </w:pPr>
      <w:r>
        <w:rPr>
          <w:rFonts w:ascii="Times New Roman" w:cs="Times New Roman" w:eastAsia="Times New Roman" w:hAnsi="Times New Roman"/>
          <w:sz w:val="19"/>
          <w:szCs w:val="19"/>
          <w:color w:val="auto"/>
        </w:rPr>
        <w:t>We carry a broad range of insurance coverages, including health and welfare, 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and any amounts that exceed our insured limits. We use a wholly-owned insurance captive to insure the deductibles for our general liability, automobile liability and workers’ compensation claims programs. We do not expect the impact of any known casualty, property, environmental or other contingency to have a material impact on our financial condition, results of operations or cash flows. Our estimated insurance liabilities as of December 31, 2024 are summarized in Note 10 to the Consolidated Financial Statements.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Regulation</w:t>
      </w:r>
    </w:p>
    <w:p>
      <w:pPr>
        <w:spacing w:after="0" w:line="1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Overview</w:t>
      </w:r>
    </w:p>
    <w:p>
      <w:pPr>
        <w:spacing w:after="0" w:line="237"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Our business is subject to extensive and evolving laws and regulations pertaining to environmental protection, health, safety, land use, zoning, transportation, ethical business conduct, data privacy and security, and other related and similar subjects. These laws and regulations are administered by the EPA, Environment and Climate Change Canada (“ECCC”), and various other agencies at the federal, state, provincial, regional and local level in the U.S., Canada and other international jurisdictions in which we operate. Many of these agencies regularly examine our operations to monitor compliance with applicable laws and regulations and have the power to enforce compliance, obtain injunctions or impose civil or criminal penalties in cases of violations.</w:t>
      </w:r>
    </w:p>
    <w:p>
      <w:pPr>
        <w:spacing w:after="0" w:line="199"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Our business primarily involves the collection, transport, handling, treatment, destruction, and other processing and management of solid waste, medical waste, controlled substances waste, hazardous waste, organics, and recyclables in an environmentally sound manner. A significant amount of our capital expenditures is related, either directly or indirectly, to compliance with applicable laws and regulations, including environmental protection measures. With the acquisition of Stericycle, we have increased our exposure to international jurisdictions, primarily Western Europe, and we are subject to additional laws and regulations in the U.S. and internationally concerning transportation, management and disposal or destruction of medical waste streams, including regulations that govern the definition, generation, segregation, handling, packaging, transportation, treatment, storage and disposal or destruction of medical waste and controlled substances waste, along with extensive recordkeeping and documentation requirements. Additionally, Stericycle’s secure information destruction services are subject to additional laws and regulations regarding proper handling and protection of personal and confidential information.</w:t>
      </w:r>
    </w:p>
    <w:p>
      <w:pPr>
        <w:spacing w:after="0" w:line="210"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There are costs associated with siting, design, permitting, construction, operating, monitoring, site maintenance, corrective actions, financial assurance and closure and post-closure obligations at our facilities. In connection with the acquisition, development or expansion of a waste management or disposal facility, recycling facility, compost facility, transfer station, processing facility, or landfill gas - to - energy facility, or the transport, handling, treatment and disposal or destruction of various waste streams, we must often spend considerable time, effort and money to obtain and maintain required permits and approvals. There are no assurances that we will be able to obtain or maintain permits or other required governmental approvals. Once obtained, permits are subject to renewal, modification, suspension or revocation by the issuing authority. Permit issuance or renewal may also be subject to public participation or other governmental reviews and may be subject to challenges and delays. Compliance with current regulations and future requirements could require us to make significant capital and operating expenditures. However, most of these expenditures are made in the normal course of business and do not place us at a competitive disadvantage.</w:t>
      </w:r>
    </w:p>
    <w:p>
      <w:pPr>
        <w:spacing w:after="0" w:line="208"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The regulatory environment in which we operate is influenced by changes in governmental administrations and leadership. The priorities set forth under the prior U.S. presidential administration, for example, were generally in favor of increasing regulation, while the new administration is generally anticipated to reverse course on many regulatory policies. The new administration has called for substantial changes to areas of foreign trade policy and has generally</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3320" w:h="16920" w:orient="portrait"/>
          <w:cols w:equalWidth="0" w:num="1">
            <w:col w:w="10440"/>
          </w:cols>
          <w:pgMar w:left="1440" w:top="1440" w:right="1440" w:bottom="1440" w:gutter="0" w:footer="0" w:header="0"/>
          <w:type w:val="continuous"/>
        </w:sectPr>
      </w:pPr>
    </w:p>
    <w:bookmarkStart w:id="90" w:name="page91"/>
    <w:bookmarkEnd w:id="90"/>
    <w:p>
      <w:pPr>
        <w:spacing w:after="0" w:line="347" w:lineRule="exact"/>
        <w:rPr>
          <w:sz w:val="20"/>
          <w:szCs w:val="20"/>
          <w:color w:val="auto"/>
        </w:rPr>
      </w:pPr>
    </w:p>
    <w:p>
      <w:pPr>
        <w:jc w:val="both"/>
        <w:ind w:left="360" w:right="360"/>
        <w:spacing w:after="0" w:line="243" w:lineRule="auto"/>
        <w:rPr>
          <w:sz w:val="20"/>
          <w:szCs w:val="20"/>
          <w:color w:val="auto"/>
        </w:rPr>
      </w:pPr>
      <w:r>
        <w:rPr>
          <w:rFonts w:ascii="Times New Roman" w:cs="Times New Roman" w:eastAsia="Times New Roman" w:hAnsi="Times New Roman"/>
          <w:sz w:val="20"/>
          <w:szCs w:val="20"/>
          <w:color w:val="auto"/>
        </w:rPr>
        <w:t>appeared to be in favor of reducing regulation, including environmental regulation. We do not know what impact the change in U.S. presidential administration will have on specific regulatory policies impacting our industry and our Company, especially given the number of rules currently in litigation, nor can we predict the timing of any such changes. Reduction of regulation may have a favorable impact on our operating costs, but the extensive environmental regulation applicable to our industry is also a barrier to rapid entry that benefits our Company. Moreover, the risk reduction provided by appropriate regulation is valuable to our customers and the communities we serve. Significant new restrictions and tariffs on foreign trade could have a negative impact on our recycling export business and our cross -border commerce, particularly with Canada, and could increase the cost of certain equipment and other materials used in our operations that we procure from outside the U.S., including our trucks and certain equipment used to implement our sustainability growth strategy. It is likely that some policies adopted by the new administration will benefit us and others will negatively affect us.</w:t>
      </w:r>
    </w:p>
    <w:p>
      <w:pPr>
        <w:spacing w:after="0" w:line="209"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 xml:space="preserve">In 2024, the U.S. Supreme Court issued a number of decisions that will affect the future of federal regulation, including </w:t>
      </w:r>
      <w:r>
        <w:rPr>
          <w:rFonts w:ascii="Times New Roman" w:cs="Times New Roman" w:eastAsia="Times New Roman" w:hAnsi="Times New Roman"/>
          <w:sz w:val="20"/>
          <w:szCs w:val="20"/>
          <w:i w:val="1"/>
          <w:iCs w:val="1"/>
          <w:color w:val="auto"/>
        </w:rPr>
        <w:t>Loper Bright Enterprises v. Raimondo</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i w:val="1"/>
          <w:iCs w:val="1"/>
          <w:color w:val="auto"/>
        </w:rPr>
        <w:t xml:space="preserve"> Loper </w:t>
      </w:r>
      <w:r>
        <w:rPr>
          <w:rFonts w:ascii="Times New Roman" w:cs="Times New Roman" w:eastAsia="Times New Roman" w:hAnsi="Times New Roman"/>
          <w:sz w:val="20"/>
          <w:szCs w:val="20"/>
          <w:color w:val="auto"/>
        </w:rPr>
        <w:t>decision overturned the</w:t>
      </w:r>
      <w:r>
        <w:rPr>
          <w:rFonts w:ascii="Times New Roman" w:cs="Times New Roman" w:eastAsia="Times New Roman" w:hAnsi="Times New Roman"/>
          <w:sz w:val="20"/>
          <w:szCs w:val="20"/>
          <w:i w:val="1"/>
          <w:iCs w:val="1"/>
          <w:color w:val="auto"/>
        </w:rPr>
        <w:t xml:space="preserve"> Chevron </w:t>
      </w:r>
      <w:r>
        <w:rPr>
          <w:rFonts w:ascii="Times New Roman" w:cs="Times New Roman" w:eastAsia="Times New Roman" w:hAnsi="Times New Roman"/>
          <w:sz w:val="20"/>
          <w:szCs w:val="20"/>
          <w:color w:val="auto"/>
        </w:rPr>
        <w:t>doctrine, which had held that a court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must give deference to a regulatory agency’s reasonable interpretation of an ambiguous statute the agency implements. The full impact of that decision is not yet known, but at a minimum, our operations could face increased regulatory uncertainty in connection with legal challenges to agency actions and rulemakings impacting our industry.</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Federal Regulation</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Certain key U.S. federal statutes affecting our business are summarized below:</w:t>
      </w:r>
    </w:p>
    <w:p>
      <w:pPr>
        <w:spacing w:after="0" w:line="134" w:lineRule="exact"/>
        <w:rPr>
          <w:sz w:val="20"/>
          <w:szCs w:val="20"/>
          <w:color w:val="auto"/>
        </w:rPr>
      </w:pPr>
    </w:p>
    <w:p>
      <w:pPr>
        <w:jc w:val="both"/>
        <w:ind w:left="1080" w:right="360" w:hanging="353"/>
        <w:spacing w:after="0" w:line="246" w:lineRule="auto"/>
        <w:tabs>
          <w:tab w:leader="none" w:pos="108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The Resource Conservation and Recovery Act of 1976 (“RCRA”), as amended, regulates handling, transporting and disposing of hazardous and non-hazardous waste and delegates authority to states to develop programs to ensure the safe disposal of solid waste. Landfills are regulated under Subtitle D of RCRA, which sets forth minimum federal performance and design criteria for solid waste landfills, and Subtitle C of RCRA, which establishes a federal program to manage hazardous wastes from cradle to grave. These regulations are typically implemented by the states, although states can impose requirements that are more stringent than the federal standards. We incur costs in complying with these standards in the ordinary course of our operations.</w:t>
      </w:r>
    </w:p>
    <w:p>
      <w:pPr>
        <w:spacing w:after="0" w:line="94" w:lineRule="exact"/>
        <w:rPr>
          <w:rFonts w:ascii="Arial" w:cs="Arial" w:eastAsia="Arial" w:hAnsi="Arial"/>
          <w:sz w:val="20"/>
          <w:szCs w:val="20"/>
          <w:color w:val="auto"/>
        </w:rPr>
      </w:pPr>
    </w:p>
    <w:p>
      <w:pPr>
        <w:jc w:val="both"/>
        <w:ind w:left="1080" w:right="360" w:hanging="353"/>
        <w:spacing w:after="0" w:line="242" w:lineRule="auto"/>
        <w:tabs>
          <w:tab w:leader="none" w:pos="108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The Comprehensive Environmental Response, Compensation and Liability Act of 1980 (“CERCLA”), as amended, which is also known as Superfund, provides for federal authority to respond directly to releases or threatened releases of hazardous substances into the environment that have created actual or potential environmental hazards. CERCLA’s primary means for addressing such releases is to impose strict liability for cleanup of disposal sites upon current and former site owners and operators, generators of the hazardous substances at the site and transporters who selected the disposal site and transported substances thereto. Liability under CERCLA is not dependent on the intentional release of hazardous substances; it can be based upon the release or threatened release of hazardous substances, even resulting from lawful, unintentional and attentive action, as the term is defined by CERCLA and other applicable statutes and regulations. The EPA may issue orders requiring responsible parties to perform response actions at sites, or the EPA may seek recovery of funds expended or to be expended in the future at sites. Liability may include contribution for cleanup costs incurred by a defendant in a CERCLA civil action or by an entity that has previously resolved its liability to federal or state regulators in an administrative or judicially-approved settlement. Liability under CERCLA could also include obligations to a potentially responsible party (“PRP”) that voluntarily expends site clean-up costs. Further, liability for damage to publicly-owned natural resources may also be imposed. We are subject to potential liability under CERCLA as an owner or operator of facilities at which hazardous substances have been disposed and as a generator or transporter of hazardous substances disposed of at other locations.</w:t>
      </w:r>
    </w:p>
    <w:p>
      <w:pPr>
        <w:spacing w:after="0" w:line="101" w:lineRule="exact"/>
        <w:rPr>
          <w:rFonts w:ascii="Arial" w:cs="Arial" w:eastAsia="Arial" w:hAnsi="Arial"/>
          <w:sz w:val="20"/>
          <w:szCs w:val="20"/>
          <w:color w:val="auto"/>
        </w:rPr>
      </w:pPr>
    </w:p>
    <w:p>
      <w:pPr>
        <w:jc w:val="both"/>
        <w:ind w:left="1080" w:right="360" w:hanging="353"/>
        <w:spacing w:after="0" w:line="260" w:lineRule="auto"/>
        <w:tabs>
          <w:tab w:leader="none" w:pos="1080" w:val="left"/>
        </w:tabs>
        <w:numPr>
          <w:ilvl w:val="0"/>
          <w:numId w:val="60"/>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Water Pollution Control Act of 1972, as amended, known as the Clean Water Act, regulates the discharge of pollutants into streams, rivers, groundwater, or other surface waters from a variety of sources, including solid and hazardous waste disposal sites. If our operations discharge any pollutants into federally protected surface waters, the Clean Water Act requires us to apply for and obtain discharge permits, conduct sampling and monitoring, and, under certain circumstances, reduce the quantity of pollutants in those discharges. The EPA also requires landfills and other waste-handling facilities to obtain storm water discharge permits, and if a landfill or other facility discharges wastewater through a sewage system to a publicly-owned treatment works, the facility must comply with discharge limits imposed by the treatment works. Further, before the development</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3320" w:h="16920" w:orient="portrait"/>
          <w:cols w:equalWidth="0" w:num="1">
            <w:col w:w="10440"/>
          </w:cols>
          <w:pgMar w:left="1440" w:top="1440" w:right="1440" w:bottom="1440" w:gutter="0" w:footer="0" w:header="0"/>
          <w:type w:val="continuous"/>
        </w:sectPr>
      </w:pPr>
    </w:p>
    <w:bookmarkStart w:id="91" w:name="page92"/>
    <w:bookmarkEnd w:id="91"/>
    <w:p>
      <w:pPr>
        <w:spacing w:after="0" w:line="347" w:lineRule="exact"/>
        <w:rPr>
          <w:sz w:val="20"/>
          <w:szCs w:val="20"/>
          <w:color w:val="auto"/>
        </w:rPr>
      </w:pPr>
    </w:p>
    <w:p>
      <w:pPr>
        <w:jc w:val="both"/>
        <w:ind w:left="1080" w:right="360"/>
        <w:spacing w:after="0" w:line="259" w:lineRule="auto"/>
        <w:rPr>
          <w:sz w:val="20"/>
          <w:szCs w:val="20"/>
          <w:color w:val="auto"/>
        </w:rPr>
      </w:pPr>
      <w:r>
        <w:rPr>
          <w:rFonts w:ascii="Times New Roman" w:cs="Times New Roman" w:eastAsia="Times New Roman" w:hAnsi="Times New Roman"/>
          <w:sz w:val="20"/>
          <w:szCs w:val="20"/>
          <w:color w:val="auto"/>
        </w:rPr>
        <w:t>or expansion of a landfill can alter or affect certain “wetlands,” a permit may have to be obtained providing for mitigation or replacement wetlands. The Clean Water Act provides for civil, criminal and administrative penalties for violations of its provisions.</w:t>
      </w:r>
    </w:p>
    <w:p>
      <w:pPr>
        <w:spacing w:after="0" w:line="80" w:lineRule="exact"/>
        <w:rPr>
          <w:sz w:val="20"/>
          <w:szCs w:val="20"/>
          <w:color w:val="auto"/>
        </w:rPr>
      </w:pPr>
    </w:p>
    <w:p>
      <w:pPr>
        <w:jc w:val="both"/>
        <w:ind w:left="1080" w:right="360" w:hanging="353"/>
        <w:spacing w:after="0" w:line="244" w:lineRule="auto"/>
        <w:tabs>
          <w:tab w:leader="none" w:pos="108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The Clean Air Act of 1970, as amended, provides for federal, state and local regulation of the emission of air pollutants. Many of our operations, including many municipal solid waste (“MSW”) landfills and landfill gas-to-energy facilities, are subject to regulations implemented under the Clean Air Act, including new source performance standards, emission guidelines and national emission standards for hazardous air pollutants. These regulations impose performance standards to minimize air emissions from regulated MSW landfills, subject those landfills to certain operating permit requirements under Title V of the Clean Air Act and, in many instances, require installation of landfill gas collection and control systems to control emissions or to treat and utilize landfill gas on- or off-site. Our vehicle fleet also must adhere to regulations implemented under the Clean Air Act, which authorizes the EPA to mandate controls on air pollution from mobile sources.</w:t>
      </w:r>
    </w:p>
    <w:p>
      <w:pPr>
        <w:spacing w:after="0" w:line="99" w:lineRule="exact"/>
        <w:rPr>
          <w:rFonts w:ascii="Arial" w:cs="Arial" w:eastAsia="Arial" w:hAnsi="Arial"/>
          <w:sz w:val="20"/>
          <w:szCs w:val="20"/>
          <w:color w:val="auto"/>
        </w:rPr>
      </w:pPr>
    </w:p>
    <w:p>
      <w:pPr>
        <w:jc w:val="both"/>
        <w:ind w:left="1080" w:right="360" w:hanging="353"/>
        <w:spacing w:after="0" w:line="247" w:lineRule="auto"/>
        <w:tabs>
          <w:tab w:leader="none" w:pos="108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The Occupational Safety and Health Act of 1970, as amended, establishes certain employer responsibilities, including maintenance of a workplace free of recognized hazards likely to cause death or serious injury, compliance with standards promulgated by the Occupational Safety and Health Administration, and various reporting and record keeping obligations as well as disclosure and procedural requirements. Various standards for notices of hazards, personal protective equipment, safety in excavation and demolition work, exposure to bloodborne pathogens, and the handling of asbestos, may apply to our operations.</w:t>
      </w:r>
    </w:p>
    <w:p>
      <w:pPr>
        <w:spacing w:after="0" w:line="213" w:lineRule="exact"/>
        <w:rPr>
          <w:rFonts w:ascii="Arial" w:cs="Arial" w:eastAsia="Arial" w:hAnsi="Arial"/>
          <w:sz w:val="20"/>
          <w:szCs w:val="20"/>
          <w:color w:val="auto"/>
        </w:rPr>
      </w:pPr>
    </w:p>
    <w:p>
      <w:pPr>
        <w:jc w:val="both"/>
        <w:ind w:left="1080" w:right="360" w:hanging="353"/>
        <w:spacing w:after="0" w:line="263" w:lineRule="auto"/>
        <w:tabs>
          <w:tab w:leader="none" w:pos="1080" w:val="left"/>
        </w:tabs>
        <w:numPr>
          <w:ilvl w:val="0"/>
          <w:numId w:val="61"/>
        </w:numPr>
        <w:rPr>
          <w:rFonts w:ascii="Arial" w:cs="Arial" w:eastAsia="Arial" w:hAnsi="Arial"/>
          <w:sz w:val="19"/>
          <w:szCs w:val="19"/>
          <w:color w:val="auto"/>
        </w:rPr>
      </w:pPr>
      <w:r>
        <w:rPr>
          <w:rFonts w:ascii="Times New Roman" w:cs="Times New Roman" w:eastAsia="Times New Roman" w:hAnsi="Times New Roman"/>
          <w:sz w:val="19"/>
          <w:szCs w:val="19"/>
          <w:color w:val="auto"/>
        </w:rPr>
        <w:t>The Department of Transportation and the Occupational Safety and Health Administration, along with other federal agencies, have jurisdiction over certain aspects of hazardous materials and hazardous waste, including safety, movement and disposal. Certain waste (including medical waste) is subject to roadside inspections that have a cumulative effect on our compliance history and require us to remain in good standing so as not to jeopardize certain permits. Various state and local agencies with jurisdiction over disposal of hazardous and medical waste may seek to regulate movement of such materials in areas not otherwise preempted by federal law.</w:t>
      </w:r>
    </w:p>
    <w:p>
      <w:pPr>
        <w:spacing w:after="0" w:line="197" w:lineRule="exact"/>
        <w:rPr>
          <w:rFonts w:ascii="Arial" w:cs="Arial" w:eastAsia="Arial" w:hAnsi="Arial"/>
          <w:sz w:val="19"/>
          <w:szCs w:val="19"/>
          <w:color w:val="auto"/>
        </w:rPr>
      </w:pPr>
    </w:p>
    <w:p>
      <w:pPr>
        <w:jc w:val="both"/>
        <w:ind w:left="1080" w:right="360" w:hanging="353"/>
        <w:spacing w:after="0" w:line="246" w:lineRule="auto"/>
        <w:tabs>
          <w:tab w:leader="none" w:pos="108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Our service offerings for the collection, treatment, disposal and destruction of controlled substances waste and medical waste, from both the healthcare industry and individual consumers, are subject to numerous laws and regulations issued by various regulatory agencies, including the U.S. Drug Enforcement Administration (“DEA”). These regulations typically require our facilities to obtain licenses or registrations, and meet certain other requirements in order to collect, transport, treat and dispose of controlled substances. These regulations include significant requirements for security, recordkeeping and reporting. Registrations and licenses must be kept current, or periodically renewed, and facilities may be subject to inspection or enforcement.</w:t>
      </w:r>
    </w:p>
    <w:p>
      <w:pPr>
        <w:spacing w:after="0" w:line="165"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20"/>
          <w:szCs w:val="20"/>
          <w:color w:val="auto"/>
        </w:rPr>
        <w:t>Our operations are primarily in the U.S.; however, Canada and other countries in which we operate have various environmental, safety, health, transportation and materials handling laws and regulations that we must comply with in the ordinary course of our business.</w:t>
      </w:r>
    </w:p>
    <w:p>
      <w:pPr>
        <w:spacing w:after="0" w:line="1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State, Provincial, Regional and Local Regulations</w:t>
      </w:r>
    </w:p>
    <w:p>
      <w:pPr>
        <w:spacing w:after="0" w:line="237" w:lineRule="exact"/>
        <w:rPr>
          <w:sz w:val="20"/>
          <w:szCs w:val="20"/>
          <w:color w:val="auto"/>
        </w:rPr>
      </w:pPr>
    </w:p>
    <w:p>
      <w:pPr>
        <w:jc w:val="both"/>
        <w:ind w:left="360" w:right="360" w:firstLine="361"/>
        <w:spacing w:after="0" w:line="246" w:lineRule="auto"/>
        <w:rPr>
          <w:sz w:val="20"/>
          <w:szCs w:val="20"/>
          <w:color w:val="auto"/>
        </w:rPr>
      </w:pPr>
      <w:r>
        <w:rPr>
          <w:rFonts w:ascii="Times New Roman" w:cs="Times New Roman" w:eastAsia="Times New Roman" w:hAnsi="Times New Roman"/>
          <w:sz w:val="20"/>
          <w:szCs w:val="20"/>
          <w:color w:val="auto"/>
        </w:rPr>
        <w:t>There are also various state, provincial, regional and local regulations, in the U.S. and internationally, that affect our operations and may require a specific operating plan. Many jurisdictions in which we operate have their own laws and regulations governing solid waste disposal, including for hazardous wastes, medical wastes and controlled substances wastes; water and air pollution; and, in most cases, releases and cleanup of hazardous substances and liabilities for such matters. Many governmental organizations have also adopted regulations governing the design, operation, maintenance and closure of landfills, transfer stations, incineration facilities and processing facilities, and laws governing where recyclable materials can be sold.</w:t>
      </w:r>
    </w:p>
    <w:p>
      <w:pPr>
        <w:spacing w:after="0" w:line="201"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Our landfill operations are affected by the increasing preference for alternatives to landfill disposal. Many state and local governments mandate recycling and waste reduction at the source and prohibit the disposal of certain types of materials at landfills, such as recyclable materials (cardboard, bottles and cans), yard waste, food waste and electronics. The number of governments with recycling and diversion requirements and disposal bans continues to grow, while the logistics and economics of recycling or processing many of these items remain challenging. In addition, regulations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3320" w:h="16920" w:orient="portrait"/>
          <w:cols w:equalWidth="0" w:num="1">
            <w:col w:w="10440"/>
          </w:cols>
          <w:pgMar w:left="1440" w:top="1440" w:right="1440" w:bottom="1440" w:gutter="0" w:footer="0" w:header="0"/>
          <w:type w:val="continuous"/>
        </w:sectPr>
      </w:pPr>
    </w:p>
    <w:bookmarkStart w:id="92" w:name="page93"/>
    <w:bookmarkEnd w:id="92"/>
    <w:p>
      <w:pPr>
        <w:spacing w:after="0" w:line="347" w:lineRule="exact"/>
        <w:rPr>
          <w:sz w:val="20"/>
          <w:szCs w:val="20"/>
          <w:color w:val="auto"/>
        </w:rPr>
      </w:pPr>
    </w:p>
    <w:p>
      <w:pPr>
        <w:jc w:val="both"/>
        <w:ind w:left="360" w:right="360"/>
        <w:spacing w:after="0" w:line="278" w:lineRule="auto"/>
        <w:rPr>
          <w:sz w:val="20"/>
          <w:szCs w:val="20"/>
          <w:color w:val="auto"/>
        </w:rPr>
      </w:pPr>
      <w:r>
        <w:rPr>
          <w:rFonts w:ascii="Times New Roman" w:cs="Times New Roman" w:eastAsia="Times New Roman" w:hAnsi="Times New Roman"/>
          <w:sz w:val="20"/>
          <w:szCs w:val="20"/>
          <w:color w:val="auto"/>
        </w:rPr>
        <w:t>requiring the diversion of organic wastes away from landfills could have the effect of decreasing the amount of landfill gas produced over time in our landfills, negatively impacting our WM Renewable Energy segment.</w:t>
      </w:r>
    </w:p>
    <w:p>
      <w:pPr>
        <w:spacing w:after="0" w:line="168"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Various states have enacted, or are considering enacting, laws that restrict or discourage the disposal of solid waste generated outside the state. While laws that overtly discriminate against out-of-state waste have been found to be unconstitutional, some laws that are less overtly discriminatory have been upheld in court. From time to time, the U.S. Congress has considered legislation authorizing states to adopt regulations, restrictions, or taxes on the importation of out - of-state or out-of-jurisdiction waste. Additionally, several state and local governments have enacted “flow control” regulations, which attempt to require that all waste generated within the state or local jurisdiction be deposited at specific sites, which has been upheld by the U.S. Supreme Court for waste directed to facilities owned by the local government. The U.S. Congress’ adoption of legislation allowing restrictions on interstate transportation of out-of-state or out - of - jurisdiction waste or certain types of flow control, or courts’ interpretations of interstate waste and flow control legislation, could adversely affect our solid waste, hazardous waste, medical waste and controlled substances management services.</w:t>
      </w:r>
    </w:p>
    <w:p>
      <w:pPr>
        <w:spacing w:after="0" w:line="208"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Many governmental organizations have enacted “fitness” laws that allow the agencies that have jurisdiction over waste services contracts or permits to deny or revoke these contracts or permits based on the applicant’s or permit holder’s compliance history. Some governmental organizations also consider the compliance history of the parent, subsidiaries or affiliated companies, in addition to the applicant or permit holder. These laws authorize the agencies to make determinations of an applicant’s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 While fitness laws can present potential increased costs and barriers to entry into market areas, these laws have not, and are not expected to have a material adverse impact on our business as a whole.</w:t>
      </w:r>
    </w:p>
    <w:p>
      <w:pPr>
        <w:spacing w:after="0" w:line="206"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 xml:space="preserve">The EPA does not regulate medical waste at the federal level, resulting in a lack of uniformity of applicable laws and regulations. States have adopted their own regulations related to the handling, treatment and storage of medical waste, with many states following requirements similar to the Medical Waste Tracking Act of 1988, a U.S. federal law concerning disposal of biological material that expired in 1991. Other states have placed medical waste regulations within solid waste regulations. Further, while the Canadian Council of Ministers of the Environment has promulgated the </w:t>
      </w:r>
      <w:r>
        <w:rPr>
          <w:rFonts w:ascii="Times New Roman" w:cs="Times New Roman" w:eastAsia="Times New Roman" w:hAnsi="Times New Roman"/>
          <w:sz w:val="20"/>
          <w:szCs w:val="20"/>
          <w:i w:val="1"/>
          <w:iCs w:val="1"/>
          <w:color w:val="auto"/>
        </w:rPr>
        <w:t>Guidelines for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Management of Biomedical Waste in Canada</w:t>
      </w:r>
      <w:r>
        <w:rPr>
          <w:rFonts w:ascii="Times New Roman" w:cs="Times New Roman" w:eastAsia="Times New Roman" w:hAnsi="Times New Roman"/>
          <w:sz w:val="20"/>
          <w:szCs w:val="20"/>
          <w:color w:val="auto"/>
        </w:rPr>
        <w:t>, these are not enforceable unless adopted by provincial legislation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municipal by-laws, and local by-laws may be more stringent than such guidelines.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Recent Developments and Focus Areas in Policy and Regulation</w:t>
      </w:r>
    </w:p>
    <w:p>
      <w:pPr>
        <w:spacing w:after="0" w:line="2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Climate and Sustainability</w:t>
      </w:r>
    </w:p>
    <w:p>
      <w:pPr>
        <w:spacing w:after="0" w:line="237"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Jurisdictions are increasingly taking action to reduce greenhouse gas (“GHG”) emissions through a broad range of climate policies. Landfills are one of the focal points for advancing climate-related goals, and we are actively working with policymakers to promote recognition of the significant reductions in GHG emissions that our industry already has achieved and the work being done to further measure and reduce emissions, the challenges associated with quantifying landfill emissions precisely, and the role of our sector in providing an essential, and highly regulated, public service.</w:t>
      </w:r>
    </w:p>
    <w:p>
      <w:pPr>
        <w:spacing w:after="0" w:line="198" w:lineRule="exact"/>
        <w:rPr>
          <w:sz w:val="20"/>
          <w:szCs w:val="20"/>
          <w:color w:val="auto"/>
        </w:rPr>
      </w:pPr>
    </w:p>
    <w:p>
      <w:pPr>
        <w:jc w:val="both"/>
        <w:ind w:left="360" w:right="360" w:firstLine="360"/>
        <w:spacing w:after="0" w:line="257" w:lineRule="auto"/>
        <w:rPr>
          <w:sz w:val="20"/>
          <w:szCs w:val="20"/>
          <w:color w:val="auto"/>
        </w:rPr>
      </w:pPr>
      <w:r>
        <w:rPr>
          <w:rFonts w:ascii="Times New Roman" w:cs="Times New Roman" w:eastAsia="Times New Roman" w:hAnsi="Times New Roman"/>
          <w:sz w:val="19"/>
          <w:szCs w:val="19"/>
          <w:color w:val="auto"/>
        </w:rPr>
        <w:t>We are closely monitoring the evolving capabilities of ground, aerial and satellite-based methane detection and monitoring systems and conducting our own research at several landfills to assess accuracy and reliability of various methane measurement technologies for applicability to our operations. We also continue to expand our work with various private and government entities employing such technologies at our sites, and we are actively engaged with the EPA, the ECCC, state agencies, nongovernmental organizations and environmental stakeholders on the implications of the changing landscape for the waste industry and potential future regulation. Continued dialogue, engagement and collaboration with these regulatory agencies will be important, as both the EPA and the ECCC are evaluating landfill emissions standards that may require the application of various emerging methane measurement technologies and plan to develop methods and standards for such measurement technologies. The EPA has indicated that methane emissions from landfills will remain a focus of its expanded National Enforcement and Compliance Initiatives through 2027 and has announced its intent to propose updated performance standards for new and existing landfills. While we cannot predict what regulations will result</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3320" w:h="16920" w:orient="portrait"/>
          <w:cols w:equalWidth="0" w:num="1">
            <w:col w:w="10440"/>
          </w:cols>
          <w:pgMar w:left="1440" w:top="1440" w:right="1440" w:bottom="1440" w:gutter="0" w:footer="0" w:header="0"/>
          <w:type w:val="continuous"/>
        </w:sectPr>
      </w:pPr>
    </w:p>
    <w:bookmarkStart w:id="93" w:name="page94"/>
    <w:bookmarkEnd w:id="93"/>
    <w:p>
      <w:pPr>
        <w:spacing w:after="0" w:line="347" w:lineRule="exact"/>
        <w:rPr>
          <w:sz w:val="20"/>
          <w:szCs w:val="20"/>
          <w:color w:val="auto"/>
        </w:rPr>
      </w:pPr>
    </w:p>
    <w:p>
      <w:pPr>
        <w:jc w:val="both"/>
        <w:ind w:left="360" w:right="360"/>
        <w:spacing w:after="0" w:line="247" w:lineRule="auto"/>
        <w:rPr>
          <w:sz w:val="20"/>
          <w:szCs w:val="20"/>
          <w:color w:val="auto"/>
        </w:rPr>
      </w:pPr>
      <w:r>
        <w:rPr>
          <w:rFonts w:ascii="Times New Roman" w:cs="Times New Roman" w:eastAsia="Times New Roman" w:hAnsi="Times New Roman"/>
          <w:sz w:val="20"/>
          <w:szCs w:val="20"/>
          <w:color w:val="auto"/>
        </w:rPr>
        <w:t>from these initiatives, these developments could result in increased compliance costs and adversely affect our operations. Specifically, these various regulatory actions could result in changes to how we have historically reported GHG emissions and may result in increases in such emissions reported for our operations. For example, in August 2024, the EPA released revised emission factors for the reporting of methane emissions from landfills that would, amongst other matters, result in increased reported emissions from flares and other equipment and processes. Industry groups have filed legal challenges to the EPA’s updated emission factors.</w:t>
      </w:r>
    </w:p>
    <w:p>
      <w:pPr>
        <w:spacing w:after="0" w:line="200"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19"/>
          <w:szCs w:val="19"/>
          <w:color w:val="auto"/>
        </w:rPr>
        <w:t>In light of regulatory and business developments related to concerns about climate change, we have identified strategic business opportunities to provide our public and private sector customers with sustainability-related solutions intended to help reduce their carbon footprint. We assess customer demand for and opportunities to develop waste services with potential to avoid lifecycle emissions, such as waste reduction, increased recycling, composting and conversion of landfill gas and discarded materials into renewable energy. We use carbon lifecycle assessment tools in evaluating potential new services and in establishing the value proposition that makes us attractive as an environmental service provider. We are active in support of public policies that encourage development and use of lower carbon energy and waste services that can lower lifecycle carbon footprints. We understand the importance of broad stakeholder engagement in these endeavors and actively seek opportunities for public policy discussion on how materials management practices can be more sustainable. In addition, we work with stakeholders at the federal, state, and provincial level in support of legislation that encourages production and use of renewable, lower-carbon fuels and electricity.</w:t>
      </w:r>
    </w:p>
    <w:p>
      <w:pPr>
        <w:spacing w:after="0" w:line="188" w:lineRule="exact"/>
        <w:rPr>
          <w:sz w:val="20"/>
          <w:szCs w:val="20"/>
          <w:color w:val="auto"/>
        </w:rPr>
      </w:pPr>
    </w:p>
    <w:p>
      <w:pPr>
        <w:jc w:val="both"/>
        <w:ind w:left="360" w:right="360" w:firstLine="360"/>
        <w:spacing w:after="0" w:line="241" w:lineRule="auto"/>
        <w:rPr>
          <w:sz w:val="20"/>
          <w:szCs w:val="20"/>
          <w:color w:val="auto"/>
        </w:rPr>
      </w:pPr>
      <w:r>
        <w:rPr>
          <w:rFonts w:ascii="Times New Roman" w:cs="Times New Roman" w:eastAsia="Times New Roman" w:hAnsi="Times New Roman"/>
          <w:sz w:val="20"/>
          <w:szCs w:val="20"/>
          <w:color w:val="auto"/>
        </w:rPr>
        <w:t>The nature, scope, and complexity of matters that our Company must assess, quantify and disclose are expanding due to current, proposed, and recently enacted governmental reporting requirements pertaining to sustainability and climate-related risks and other topics. Such topics include water usage, waste production, labor, human capital, environmental justice, cybersecurity, privacy and risk oversight. For example, in September 2024, the California Governor signed into law amendments to the 2023 California Climate Corporate Data Accountability Act and the Climate-Related Financial Risk Act, which among other things, requires the disclosure of Scope 1, 2, and 3 GHG emissions and other climate-related risks consistent with the framework established by the Task Force on Climate-Related Financial Disclosures. We will be required to begin making disclosures of our Scope 1 and 2 GHG emissions in compliance with certain of these requirements in 2026, and Scope 3 GHG emissions disclosures will be required beginning in 2027. Additional U.S. states are in various stages of considering adoption of similar GHG-related disclosure requirements. In March 2024, the SEC also adopted final rules that would require registrants to include certain climate-related disclosures in their registration statements and periodic reports including, but not limited to, information about our governance and management of climate-related risks and metrics pertaining to emissions data and climate-related targets and goals. The SEC voluntarily stayed implementation of these rules indefinitely, pending judicial review of ongoing legal challenges. Furthermore, beginning as early as 2026, we may be subject to certain reporting requirements in the European Union under the Corporate Sustainability Reporting Directive (“CSRD”), which requires in-scope companies to disclose extensive sustainability information, including risks and opportunities arising from environmental and social matters, and the impact of their business on people and the environment. These and other similar laws and regulations could result in increased compliance costs and affect the results of our operations and financial position. Such similar laws and regulations could also increase our litigation risks or may increase risks related to our reputation or goodwill, as we cannot predict how disclosures under these laws may be perceived or interpreted by our customers and stakeholders. Methodology and timelines for mandatory reporting requirements may be inconsistent with requirements enacted by other governmental entities, including with respect to measuring emissions and requiring a determination of “materiality” that may differ from traditional disclosure requirements under U.S. federal securities laws. Such inconsistency could further increase costs and divert management time and attention.</w:t>
      </w:r>
    </w:p>
    <w:p>
      <w:pPr>
        <w:spacing w:after="0" w:line="217"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19"/>
          <w:szCs w:val="19"/>
          <w:color w:val="auto"/>
        </w:rPr>
        <w:t xml:space="preserve">Our industry faces challenges to implement these rapidly developing disclosure requirements, as well as the risk of enforcement actions by governmental and regulatory agencies for noncompliance. Significant expenditures and commitment of time by management, employees and consultants is involved in developing, implementing and overseeing policies, practices, additional disclosures and internal controls related to environmental and sustainability risk and performance. Public statements with respect to sustainability matters are becoming increasingly subject to heightened scrutiny from public and governmental authorities related to the risk of potential “greenwashing,”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misleading information or false claims overstating potential sustainability benefits. We are aware that non-governmental organizations and other private actors have filed lawsuits against companies under various securities and consumer protection laws alleging that certain sustainability-related statements, goals or standards were misleading, false or otherwise deceptive.</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3320" w:h="16920" w:orient="portrait"/>
          <w:cols w:equalWidth="0" w:num="1">
            <w:col w:w="10440"/>
          </w:cols>
          <w:pgMar w:left="1440" w:top="1440" w:right="1440" w:bottom="1440" w:gutter="0" w:footer="0" w:header="0"/>
          <w:type w:val="continuous"/>
        </w:sectPr>
      </w:pPr>
    </w:p>
    <w:bookmarkStart w:id="94" w:name="page95"/>
    <w:bookmarkEnd w:id="94"/>
    <w:p>
      <w:pPr>
        <w:spacing w:after="0" w:line="347"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Consistent with our Company’s long-standing commitment to sustainability and environmental stewardship, we have published our 2024 Sustainability Report, providing details on our sustainability-related performance and outlining progress towards our 2030 sustainability goals. The Sustainability Report conveys the strong linkage between the Company’s sustainability goals and our growth strategy, inclusive of the planned and ongoing expansion of the Company’s Recycling Processing and Sales and WM Renewable Energy segments. The information in this report can be found at sustainability.wm.com but it does not constitute a part of, and is not incorporated by reference into, this Annual Report on Form 10-K. The Company also participates in a number of voluntary reporting programs and frameworks that provide further transparency on our commitment to sustainability.</w:t>
      </w:r>
    </w:p>
    <w:p>
      <w:pPr>
        <w:spacing w:after="0" w:line="2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PFAS</w:t>
      </w:r>
    </w:p>
    <w:p>
      <w:pPr>
        <w:spacing w:after="0" w:line="237"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Federal and state governments have increased their focus on efforts to safeguard communities from the potentially harmful effects associated with per- and polyfluoroalkyl substances (“PFAS”). PFAS are a large group of chemicals that have been used in industrial and consumer products since the 1940s, including in products as diverse as carpets, paints and stains, water - resistant clothing and fabrics, nonstick cookware, food packaging, and firefighting chemicals. Possible human health effects of exposure to certain PFAS compounds may include low infant birth weights, immune system impacts, or cancer.</w:t>
      </w:r>
    </w:p>
    <w:p>
      <w:pPr>
        <w:spacing w:after="0" w:line="200" w:lineRule="exact"/>
        <w:rPr>
          <w:sz w:val="20"/>
          <w:szCs w:val="20"/>
          <w:color w:val="auto"/>
        </w:rPr>
      </w:pPr>
    </w:p>
    <w:p>
      <w:pPr>
        <w:jc w:val="both"/>
        <w:ind w:left="360" w:right="360" w:firstLine="360"/>
        <w:spacing w:after="0" w:line="242" w:lineRule="auto"/>
        <w:rPr>
          <w:sz w:val="20"/>
          <w:szCs w:val="20"/>
          <w:color w:val="auto"/>
        </w:rPr>
      </w:pPr>
      <w:r>
        <w:rPr>
          <w:rFonts w:ascii="Times New Roman" w:cs="Times New Roman" w:eastAsia="Times New Roman" w:hAnsi="Times New Roman"/>
          <w:sz w:val="20"/>
          <w:szCs w:val="20"/>
          <w:color w:val="auto"/>
        </w:rPr>
        <w:t>There are a number of risks related to PFAS that could impact our business, and the EPA has prioritized PFAS-related issues in recent years. For example, in 2021, the EPA released its PFAS Strategic Roadmap, providing a high - level overview of activities that the agency intends to take to safeguard public health, protect the environment and hold polluters accountable. These actions include establishing drinking water standards, evaluating landfill discharges of PFAS in leachate, finalizing new risk assessments and test procedures and updating guidance on PFAS disposal and destruction options. In April 2024, the EPA finalized the designation of two PFAS compounds (perfluorooctanoic acid (PFOA) and perfluorooctanesulfonic acid (PFOS)) as hazardous substances under CERCLA. We are actively working with both Congress and the EPA to provide landfills and other essential public services with relief from CERCLA liability and instead hold accountable manufacturers and heavy users of these compounds. Without such relief, we may face increased exposure to remediation and litigation costs associated with properties that the EPA may designate as CERCLA sites due to the presence of PFAS. Additionally, in April 2024, the EPA announced the final National Primary Drinking Water Regulation for six PFAS compounds and established legally enforceable maximum contaminant levels, as well as non-enforceable maximum contaminant level goals for these PFAS compounds. We expect that there could be continued efforts to regulate or impose liability with respect to PFAS at the federal level. At the state level, an increasing number of jurisdictions have enacted new drinking water, surface water and/or groundwater limits for various PFAS compounds, which has led to a patchwork of PFAS standards across the U.S. Compliance with new and future state and federal PFAS standards is anticipated to result in additional expense to the Company, but such standards are also anticipated to present potential business opportunities in the area of PFAS management, treatment and disposal.</w:t>
      </w:r>
    </w:p>
    <w:p>
      <w:pPr>
        <w:spacing w:after="0" w:line="2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Recycling; Foreign Import and Export Regulations and Material Restrictions</w:t>
      </w:r>
    </w:p>
    <w:p>
      <w:pPr>
        <w:spacing w:after="0" w:line="238"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Regulations affecting, and in some cases restricting, the international flow of certain recyclables have led to a reduction in export activity for such recyclables, as well as higher quality requirements, and higher processing costs. We do not ship plastics collected on our residential recycling routes and processed at our single stream recycling facilities to locations outside of North America; however, current and developing international regulations may limit our ability to export other commodities, including certain plastics. Additionally, the new U.S. presidential administration has called for substantial changes to foreign trade policy. Significant new restrictions and tariffs on foreign trade could have a negative impact on our recycling export business and could increase the cost of certain equipment and other materials used in our operations that we procure from outside the U.S., including certain equipment used to implement our sustainability growth strategy.</w:t>
      </w:r>
    </w:p>
    <w:p>
      <w:pPr>
        <w:spacing w:after="0" w:line="204" w:lineRule="exact"/>
        <w:rPr>
          <w:sz w:val="20"/>
          <w:szCs w:val="20"/>
          <w:color w:val="auto"/>
        </w:rPr>
      </w:pPr>
    </w:p>
    <w:p>
      <w:pPr>
        <w:jc w:val="both"/>
        <w:ind w:left="360" w:right="360" w:firstLine="360"/>
        <w:spacing w:after="0" w:line="266" w:lineRule="auto"/>
        <w:rPr>
          <w:sz w:val="20"/>
          <w:szCs w:val="20"/>
          <w:color w:val="auto"/>
        </w:rPr>
      </w:pPr>
      <w:r>
        <w:rPr>
          <w:rFonts w:ascii="Times New Roman" w:cs="Times New Roman" w:eastAsia="Times New Roman" w:hAnsi="Times New Roman"/>
          <w:sz w:val="19"/>
          <w:szCs w:val="19"/>
          <w:color w:val="auto"/>
        </w:rPr>
        <w:t>Prices and demand for recyclables fluctuate. We have discussed our sustainability growth strategy that includes planned and ongoing investments in our recycling business to increase automation and reduce labor dependency. Such investments are also targeted at addressing increases in regulatory- and customer-driven quality requirements for commodities. These investments increase our exposure to commodity price fluctuations. We mitigate some of the effects of price fluctuation through the contract terms pursuant to which we sell commodities, such as floor pricing. Additionally,</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3320" w:h="16920" w:orient="portrait"/>
          <w:cols w:equalWidth="0" w:num="1">
            <w:col w:w="10440"/>
          </w:cols>
          <w:pgMar w:left="1440" w:top="1440" w:right="1440" w:bottom="1440" w:gutter="0" w:footer="0" w:header="0"/>
          <w:type w:val="continuous"/>
        </w:sectPr>
      </w:pPr>
    </w:p>
    <w:bookmarkStart w:id="95" w:name="page96"/>
    <w:bookmarkEnd w:id="95"/>
    <w:p>
      <w:pPr>
        <w:spacing w:after="0" w:line="347" w:lineRule="exact"/>
        <w:rPr>
          <w:sz w:val="20"/>
          <w:szCs w:val="20"/>
          <w:color w:val="auto"/>
        </w:rPr>
      </w:pPr>
    </w:p>
    <w:p>
      <w:pPr>
        <w:jc w:val="both"/>
        <w:ind w:left="360" w:right="360"/>
        <w:spacing w:after="0" w:line="253" w:lineRule="auto"/>
        <w:rPr>
          <w:sz w:val="20"/>
          <w:szCs w:val="20"/>
          <w:color w:val="auto"/>
        </w:rPr>
      </w:pPr>
      <w:r>
        <w:rPr>
          <w:rFonts w:ascii="Times New Roman" w:cs="Times New Roman" w:eastAsia="Times New Roman" w:hAnsi="Times New Roman"/>
          <w:sz w:val="20"/>
          <w:szCs w:val="20"/>
          <w:color w:val="auto"/>
        </w:rPr>
        <w:t>future regulation, tariffs, international trade policies or other initiatives, including extended producer responsibility regulations, minimum recycled content laws, container deposit laws, or regulations addressing climate change or GHG emissions, may impact supply and demand of material, or increase operating costs, which could impact the profitability of our recycling operations.</w:t>
      </w:r>
    </w:p>
    <w:p>
      <w:pPr>
        <w:spacing w:after="0" w:line="191"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With a heightened awareness of the global problems caused by plastic waste in the environment, and actual or perceived risks for human health, many governments have passed ordinances banning certain types of plastics from sale or use. The most common materials banned include plastic bags and straws, polystyrene plastic and some types of single use packaging. These bans have resulted in increased pressure by manufacturers for our recycling facilities to accept a broader array of materials in curbside recycling and composting programs to alleviate public pressures to ban the sale of those materials. However, with no or limited viable end markets for many of these materials, we and other recyclers are working to educate and remind customers of the need for end market demand and economic viability to support the inclusion of certain materials in recycling programs. We are also making investments in end markets to support the collection and processing of some of these materials. With increased focus on responsible management of plastics, our procurement team has taken a proactive approach to help ensure environmental sustainability goals are prioritized in managing the products we buy.</w:t>
      </w:r>
    </w:p>
    <w:p>
      <w:pPr>
        <w:spacing w:after="0" w:line="2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Extended Producer Responsibility</w:t>
      </w:r>
    </w:p>
    <w:p>
      <w:pPr>
        <w:spacing w:after="0" w:line="237"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Regulations establishing extended producer responsibility (“EPR”) are being considered or implemented in many places around the world, including in certain states in the U.S. and provinces in Canada. EPR regulations are designed to place either partial or total responsibility on producers of consumer-packaged goods and other products to fund the post-use life cycle of the products and packaging they create. Along with the funding responsibility, producers may be required to undertake additional responsibilities, such as taking over management of local recycling programs by taking back their products from end users or managing the collection operations and recycling processing and marketing infrastructure. During periods of economic difficulty, governmental entities have increased their interest in implementing EPR regulations to reduce municipal spending on recycling programs. There is no federal law establishing EPR in the U.S. or Canada; however, governments could take, and in some cases have taken, steps to implement EPR regulations for packaging, including traditional recyclables such as cardboard, bottles and cans. If wide-ranging EPR regulations were adopted, or other recycling-related regulations like container deposit laws were widely adopted, they could significantly impact the waste, recycling and other streams we manage, including with respect to quality and volume, and how we operate our business, including contract terms and pricing.</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Tax Legislation</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Inflation Reduction Act of 2022 (“IRA”) contains several tax-related provisions, including with respect to</w:t>
      </w:r>
    </w:p>
    <w:p>
      <w:pPr>
        <w:spacing w:after="0" w:line="28" w:lineRule="exact"/>
        <w:rPr>
          <w:sz w:val="20"/>
          <w:szCs w:val="20"/>
          <w:color w:val="auto"/>
        </w:rPr>
      </w:pPr>
    </w:p>
    <w:p>
      <w:pPr>
        <w:jc w:val="both"/>
        <w:ind w:left="360" w:right="360" w:firstLine="7"/>
        <w:spacing w:after="0"/>
        <w:tabs>
          <w:tab w:leader="none" w:pos="59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alternative fuel tax credits; (ii) tax incentives for investments in renewable energy production, carbon capture, and other climate actions and (iii)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The provisions of the IRA related to alternative fuel tax credits secured approximately $60 million of annual pre-tax benefit (recorded as a reduction in our operating expense) from tax credits in 2023 and 2024. The alternative fuel credit expired at the end of 2024 and will not provide any future benefit to the Company absent further legislative action. With respect to the investment tax credit, we expect the cumulative benefit to be between $300 million and $400 million, a large portion of which is anticipated to be realized in 2024 through 2026. The expected benefit from the investment tax credit for 2025 and 2026 is dependent on a number of estimates and assumptions, including the timing of project completion. Finally, we expect that the production tax credit incentives for investments in renewable energy and carbon capture, as expanded by the IRA, will likely result in an incremental benefit to the Company, although at this time, the anticipated amount of such benefit has not been quantified due, in part, to the lack of regulatory guidance.</w:t>
      </w:r>
    </w:p>
    <w:p>
      <w:pPr>
        <w:spacing w:after="0" w:line="2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Investment in Natural Gas Vehicles and Infrastructure</w:t>
      </w:r>
    </w:p>
    <w:p>
      <w:pPr>
        <w:spacing w:after="0" w:line="238" w:lineRule="exact"/>
        <w:rPr>
          <w:sz w:val="20"/>
          <w:szCs w:val="20"/>
          <w:color w:val="auto"/>
        </w:rPr>
      </w:pPr>
    </w:p>
    <w:p>
      <w:pPr>
        <w:ind w:left="360" w:right="360" w:firstLine="360"/>
        <w:spacing w:after="0" w:line="304" w:lineRule="auto"/>
        <w:rPr>
          <w:sz w:val="20"/>
          <w:szCs w:val="20"/>
          <w:color w:val="auto"/>
        </w:rPr>
      </w:pPr>
      <w:r>
        <w:rPr>
          <w:rFonts w:ascii="Times New Roman" w:cs="Times New Roman" w:eastAsia="Times New Roman" w:hAnsi="Times New Roman"/>
          <w:sz w:val="19"/>
          <w:szCs w:val="19"/>
          <w:color w:val="auto"/>
        </w:rPr>
        <w:t>We operate a large fleet of natural gas vehicles, and we plan to continue to invest in these assets for our collection fleet. Natural gas fueling infrastructure is not yet broadly available in the U.S. and Canada; as a result, we have constructed</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3320" w:h="16920" w:orient="portrait"/>
          <w:cols w:equalWidth="0" w:num="1">
            <w:col w:w="10440"/>
          </w:cols>
          <w:pgMar w:left="1440" w:top="1440" w:right="1440" w:bottom="1440" w:gutter="0" w:footer="0" w:header="0"/>
          <w:type w:val="continuous"/>
        </w:sectPr>
      </w:pPr>
    </w:p>
    <w:bookmarkStart w:id="96" w:name="page97"/>
    <w:bookmarkEnd w:id="96"/>
    <w:p>
      <w:pPr>
        <w:spacing w:after="0" w:line="347" w:lineRule="exact"/>
        <w:rPr>
          <w:sz w:val="20"/>
          <w:szCs w:val="20"/>
          <w:color w:val="auto"/>
        </w:rPr>
      </w:pPr>
    </w:p>
    <w:p>
      <w:pPr>
        <w:jc w:val="both"/>
        <w:ind w:left="360" w:right="360"/>
        <w:spacing w:after="0" w:line="243" w:lineRule="auto"/>
        <w:rPr>
          <w:sz w:val="20"/>
          <w:szCs w:val="20"/>
          <w:color w:val="auto"/>
        </w:rPr>
      </w:pPr>
      <w:r>
        <w:rPr>
          <w:rFonts w:ascii="Times New Roman" w:cs="Times New Roman" w:eastAsia="Times New Roman" w:hAnsi="Times New Roman"/>
          <w:sz w:val="20"/>
          <w:szCs w:val="20"/>
          <w:color w:val="auto"/>
        </w:rPr>
        <w:t>and operate natural gas fueling stations, some of which also serve the public or pre-approved third parties. There is increasing pressure to reduce the use of fossil fuel in the heavy-duty truck industry, and some regulatory bodies are pursuing requirements for using alternative engine technology, such as electric powered vehicles, rather than natural gas or diesel vehicles. This is resulting in regulatory actions to advance the adoption of zero-emission vehicles and a shift away from tax incentives and grants for natural gas trucks and RNG infrastructure. For example, in April 2024, the EPA established new GHG emissions standards applicable to heavy-duty vehicles that rely on increased deployment of electric vehicles to meet declining emissions targets. California is also at various stages of regulation that would require heavy-duty vehicle fleets to phase-in zero-emissions vehicles. The extent to which states adopt standards similar to California’s into their own regulatory frameworks could accelerate the industry-wide adoption of electric powered vehicles. The full impact of these standards and regulations is uncertain, as several of the specific regulations are the subject of legal challenge, and could impact our long-term vehicle fleet strategies.</w:t>
      </w:r>
    </w:p>
    <w:p>
      <w:pPr>
        <w:spacing w:after="0" w:line="210"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Current options for heavy-duty electric powered vehicles lack sufficient range, recharging infrastructure and efficiency and proven experience for our operations, but we are proactively engaging in pilots of electric powered heavy - duty vehicles and anticipate that we could redirect future planned capital investments in our fleet toward these assets when the vehicles prove economically and operationally viable. We also are actively working with policymakers to help them understand the challenges involving the electrification of heavy-duty collection vehicles. If regulation requires widespread adoption of electric powered vehicles before the technology improves, we may suffer operational inefficiencies and incur higher operating costs. Regulation mandating an accelerated transition to electric powered vehicles would increase our cost to acquire vehicles needed to service our customers, and capital investment required to establish sufficient charging infrastructure could be significant. Additionally, the investments we have made in an industry-leading natural gas fleet and infrastructure could be impaired. Tax incentives and grants that advance the adoption of zero-emissions vehicles and lead to a shift away from natural gas trucks and RNG infrastructure would likely also negatively impact our investments in landfill gas-to-energy facilities.</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WM Renewable Energy</w:t>
      </w:r>
    </w:p>
    <w:p>
      <w:pPr>
        <w:spacing w:after="0" w:line="237"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In recent years, we have discussed our sustainability growth strategy that includes significant planned and ongoing investments in our WM Renewable Energy segment. We have invested, and continue to invest, in facilities to capture methane produced from the Company’s landfills and process it into RNG and electricity. RNG produced from our landfills constitutes a significant source of fuel allocated to our natural gas collection vehicles. The primary drivers of renewable fuel development at our landfills are tax policies, such as the federal tax credits for RNG production and renewable electricity generation under the IRA, and federal and state incentive programs, such as the federal Renewable Fuel Standard (“RFS”) program, California Low Carbon Fuel Standard and similar state programs that promote the production and use of renewable transportation fuels. At the federal level, oil refiners and importers are required through the RFS program to blend specified volumes of various categories of renewable transportation fuels with gasoline or buy credits, referred to as Renewable Identification Numbers (“RINs”), from renewable fuel producers. Many of our facilities are EPA-registered producers of transportation fuel making compressed and liquefied RNG from landfill biogas, which qualifies as a cellulosic biofuel under the RFS program. The Company has invested, and continues to invest, in facilities that capture and process landfill gas into RNG so that we can participate in the RFS program, and the Company has grown and stated its intention to continue to grow its asset base to increase its RNG production.</w:t>
      </w:r>
    </w:p>
    <w:p>
      <w:pPr>
        <w:spacing w:after="0" w:line="200" w:lineRule="exact"/>
        <w:rPr>
          <w:sz w:val="20"/>
          <w:szCs w:val="20"/>
          <w:color w:val="auto"/>
        </w:rPr>
      </w:pPr>
    </w:p>
    <w:p>
      <w:pPr>
        <w:jc w:val="both"/>
        <w:ind w:left="360" w:right="360" w:firstLine="360"/>
        <w:spacing w:after="0" w:line="257" w:lineRule="auto"/>
        <w:rPr>
          <w:sz w:val="20"/>
          <w:szCs w:val="20"/>
          <w:color w:val="auto"/>
        </w:rPr>
      </w:pPr>
      <w:r>
        <w:rPr>
          <w:rFonts w:ascii="Times New Roman" w:cs="Times New Roman" w:eastAsia="Times New Roman" w:hAnsi="Times New Roman"/>
          <w:sz w:val="19"/>
          <w:szCs w:val="19"/>
          <w:color w:val="auto"/>
        </w:rPr>
        <w:t>RINs prices generally respond to regulations enacted by the EPA, as well as fluctuations in supply and demand. The value of the RINs is set through a market established by the RFS program, which market has historically been very volatile. Prior to 2022, the EPA had promulgated rules on an annual basis establishing refiners’ obligations to purchase RNG and other cellulosic biofuels under the RFS program, which introduced a level of uncertainty into the renewable fuels and RINs market. However, in 2023, the EPA issued a rule establishing biofuel blending volumes under the RFS program for compliance years 2023 through 2025. The rule reflected the outsized role of biogas under the program, delivered on many reforms that benefit the solid waste sector, and recognized the continued growth of the market for RNG in vehicle applications. However, we cannot be certain that these changes, or the outcome of pending litigation challenging various aspects of the rule, will ultimately reduce volatility in the RINs market or that future rulemakings will be similarly favorable to our business. The new U.S. presidential administration could seek to reduce existing renewable fuel targets in a new rulemaking or otherwise set reduced targets for renewable fuels under the RFS program in future rulemakings. Moreover, consistent with its prior approach, the new administration may also increase the frequency with which it grants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3320" w:h="16920" w:orient="portrait"/>
          <w:cols w:equalWidth="0" w:num="1">
            <w:col w:w="10440"/>
          </w:cols>
          <w:pgMar w:left="1440" w:top="1440" w:right="1440" w:bottom="1440" w:gutter="0" w:footer="0" w:header="0"/>
          <w:type w:val="continuous"/>
        </w:sectPr>
      </w:pPr>
    </w:p>
    <w:bookmarkStart w:id="97" w:name="page98"/>
    <w:bookmarkEnd w:id="97"/>
    <w:p>
      <w:pPr>
        <w:spacing w:after="0" w:line="347" w:lineRule="exact"/>
        <w:rPr>
          <w:sz w:val="20"/>
          <w:szCs w:val="20"/>
          <w:color w:val="auto"/>
        </w:rPr>
      </w:pPr>
    </w:p>
    <w:p>
      <w:pPr>
        <w:jc w:val="both"/>
        <w:ind w:left="360" w:right="360"/>
        <w:spacing w:after="0" w:line="244" w:lineRule="auto"/>
        <w:rPr>
          <w:sz w:val="20"/>
          <w:szCs w:val="20"/>
          <w:color w:val="auto"/>
        </w:rPr>
      </w:pPr>
      <w:r>
        <w:rPr>
          <w:rFonts w:ascii="Times New Roman" w:cs="Times New Roman" w:eastAsia="Times New Roman" w:hAnsi="Times New Roman"/>
          <w:sz w:val="20"/>
          <w:szCs w:val="20"/>
          <w:color w:val="auto"/>
        </w:rPr>
        <w:t>small refinery exemptions from RFS program requirements. While we cannot predict what actions the new administration may take with respect to the RFS program, any changes to existing or future renewable fuel targets or more frequent approval of requests for small refinery exemptions could have a significant negative impact on demand for renewable fuels and the value of RINs. In an effort to mitigate against such risk and stabilize our RNG portfolio, we are pursuing long-term RNG sales transactions in the voluntary market. We continue to advocate for policies that could reduce the potential for volatility in the RINs market and ensure long-term stability for renewable transportation fuels, as changes in the RINs market or the structure of the RFS program can and has impacted the financial performance of our facilities. We are closely working with state policymakers and non-governmental stakeholders to understand the role of RNG as a renewable energy resource and in delivering GHG reductions.</w:t>
      </w:r>
    </w:p>
    <w:p>
      <w:pPr>
        <w:spacing w:after="0" w:line="206"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The Company’s sustainability growth strategy also is informed by the increased adoption of state and Canadian clean fuel standard programs, utility policies, and voluntary market demand for RNG in transportation and industrial applications. Clean fuel standard programs, originally developed in California and subsequently adopted in Oregon, Washington, and New Mexico, establish annual carbon intensity benchmarks for transportation fuels that decrease over time. These programs operate similar to the RFS program in that certain regulated parties purchase credits from fuel producers, including RNG producers, to meet their carbon intensity obligations. Like RINs, clean fuel standard program credit values can fluctuate with policy and market dynamics. As such, we are advocating for existing programs to adopt measures to promote stability in credit pricing and for other states to adopt similar programs that incentivize the growth in RNG. We also are working closely with stakeholders to encourage the voluntary market for RNG demand, including utility RNG procurement programs, and sustainability protocols, as companies and other customers increasingly look to reduce their GHG emissions profiles. However, these state and voluntary programs may be altered, paused, or otherwise revoked by the applicable governmental authorities or as result of legal challenges.</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Environmental Justice</w:t>
      </w:r>
    </w:p>
    <w:p>
      <w:pPr>
        <w:spacing w:after="0" w:line="238"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Governments are increasingly adopting requirements for environmental justice reviews as part of certain permitting decisions. These policies generally require permitting agencies to give heightened attention to the potential for projects to disproportionately impact low-income and minority communities. To that end, regulatory agencies have developed a number of screening tools, such as the EPA’s EJScreen, to aid and support relevant regulatory bodies in implementing various programs, such as permitting. Environmental justice considerations are also being increasingly adopted beyond permitting actions; for example, in rulemaking and enforcement priorities. In August 2023, the EPA announced that it would integrate environmental justice into each of its National Enforcement and Compliance Initiatives, and, in November 2023, the agency published a draft update to its Technical Guidance for Assessing Environmental Justice in Regulatory Analysis, which aims to provide agency analysts with the approaches and methods to use in evaluating environmental justice concerns in regulatory actions. Our Company supports policies seeking to advance high standards of environmental performance and the fair treatment of people of all races, cultures, and incomes, and we continue to proactively engage with local communities. We are actively monitoring recent regulatory developments in this area, particularly with respect to permitting, as additional conditions imposed on permitting decisions could increase the time and cost involved to pursue and maintain necessary authorizations.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Privacy and Information Security Regulation</w:t>
      </w:r>
    </w:p>
    <w:p>
      <w:pPr>
        <w:spacing w:after="0" w:line="238"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Various U.S. and international laws and regulations related to data privacy, the protection of confidential information and secure information destruction services apply to our business. Applicable laws require businesses to provide notice under certain circumstances to individuals whose personal information has been disclosed in a data breach. Regulatory enforcement action concerning privacy and security is generally increasing, including significant fines imposed by regulators. Secure handling and disposal of waste that may contain sensitive information may be subject to heightened privacy requirements, and in the event of a breach, could result in regulatory penalties or wider enforcement action, reputational harm, and financial liabilities.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3320" w:h="16920" w:orient="portrait"/>
          <w:cols w:equalWidth="0" w:num="1">
            <w:col w:w="10440"/>
          </w:cols>
          <w:pgMar w:left="1440" w:top="1440" w:right="1440" w:bottom="1440" w:gutter="0" w:footer="0" w:header="0"/>
          <w:type w:val="continuous"/>
        </w:sectPr>
      </w:pPr>
    </w:p>
    <w:bookmarkStart w:id="98" w:name="page99"/>
    <w:bookmarkEnd w:id="98"/>
    <w:p>
      <w:pPr>
        <w:spacing w:after="0" w:line="3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 xml:space="preserve">Item 1A. </w:t>
      </w:r>
      <w:r>
        <w:rPr>
          <w:rFonts w:ascii="Times New Roman" w:cs="Times New Roman" w:eastAsia="Times New Roman" w:hAnsi="Times New Roman"/>
          <w:sz w:val="20"/>
          <w:szCs w:val="20"/>
          <w:b w:val="1"/>
          <w:bCs w:val="1"/>
          <w:i w:val="1"/>
          <w:iCs w:val="1"/>
          <w:color w:val="auto"/>
        </w:rPr>
        <w:t>Risk Factors.</w:t>
      </w:r>
    </w:p>
    <w:p>
      <w:pPr>
        <w:spacing w:after="0" w:line="204" w:lineRule="exact"/>
        <w:rPr>
          <w:sz w:val="20"/>
          <w:szCs w:val="20"/>
          <w:color w:val="auto"/>
        </w:rPr>
      </w:pPr>
    </w:p>
    <w:p>
      <w:pPr>
        <w:jc w:val="both"/>
        <w:ind w:left="360" w:right="360" w:firstLine="360"/>
        <w:spacing w:after="0" w:line="265" w:lineRule="auto"/>
        <w:rPr>
          <w:sz w:val="20"/>
          <w:szCs w:val="20"/>
          <w:color w:val="auto"/>
        </w:rPr>
      </w:pPr>
      <w:r>
        <w:rPr>
          <w:rFonts w:ascii="Times New Roman" w:cs="Times New Roman" w:eastAsia="Times New Roman" w:hAnsi="Times New Roman"/>
          <w:sz w:val="19"/>
          <w:szCs w:val="19"/>
          <w:color w:val="auto"/>
        </w:rPr>
        <w:t>Our business, financial condition and results of operations are subject to numerous risks and uncertainties. You should carefully consider the following risk factors in conjunction with “Management’s Discussion and Analysis of Financial Condition and Results of Operations” in Item 7 and our “Financial Statements and Supplementary Data” in Item 8. In addition to the following risks, there may be additional risks and uncertainties that adversely affect our business, performance, or financial condition in the future that are not presently known or are not currently believed to be material.</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u w:val="single" w:color="auto"/>
          <w:color w:val="auto"/>
        </w:rPr>
        <w:t>Strategy and Operational Risks</w:t>
      </w:r>
    </w:p>
    <w:p>
      <w:pPr>
        <w:spacing w:after="0" w:line="233" w:lineRule="exact"/>
        <w:rPr>
          <w:sz w:val="20"/>
          <w:szCs w:val="20"/>
          <w:color w:val="auto"/>
        </w:rPr>
      </w:pPr>
    </w:p>
    <w:p>
      <w:pPr>
        <w:ind w:left="520"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implement our business strategy, our financial performance and our growth could be materially and adversely affected.</w:t>
      </w:r>
    </w:p>
    <w:p>
      <w:pPr>
        <w:spacing w:after="0" w:line="47"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20"/>
          <w:szCs w:val="20"/>
          <w:color w:val="auto"/>
        </w:rPr>
        <w:t xml:space="preserve">Our future financial performance and success are dependent in large part upon our ability to implement our business strategy successfully. Implementation of our strategy will require effective management of our operational, financial and human resources and will place significant demands on those resources. See Item 1. </w:t>
      </w:r>
      <w:r>
        <w:rPr>
          <w:rFonts w:ascii="Times New Roman" w:cs="Times New Roman" w:eastAsia="Times New Roman" w:hAnsi="Times New Roman"/>
          <w:sz w:val="20"/>
          <w:szCs w:val="20"/>
          <w:i w:val="1"/>
          <w:iCs w:val="1"/>
          <w:color w:val="auto"/>
        </w:rPr>
        <w:t>Business</w:t>
      </w:r>
      <w:r>
        <w:rPr>
          <w:rFonts w:ascii="Times New Roman" w:cs="Times New Roman" w:eastAsia="Times New Roman" w:hAnsi="Times New Roman"/>
          <w:sz w:val="20"/>
          <w:szCs w:val="20"/>
          <w:color w:val="auto"/>
        </w:rPr>
        <w:t xml:space="preserve"> for more information on our business strategy. There are risks involved in pursuing our strategy, including the following:</w:t>
      </w:r>
    </w:p>
    <w:p>
      <w:pPr>
        <w:spacing w:after="0" w:line="85" w:lineRule="exact"/>
        <w:rPr>
          <w:sz w:val="20"/>
          <w:szCs w:val="20"/>
          <w:color w:val="auto"/>
        </w:rPr>
      </w:pPr>
    </w:p>
    <w:p>
      <w:pPr>
        <w:ind w:left="1080" w:hanging="353"/>
        <w:spacing w:after="0"/>
        <w:tabs>
          <w:tab w:leader="none" w:pos="108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Our employees, customers or investors may not embrace and support our strategy.</w:t>
      </w:r>
    </w:p>
    <w:p>
      <w:pPr>
        <w:spacing w:after="0" w:line="43" w:lineRule="exact"/>
        <w:rPr>
          <w:rFonts w:ascii="Arial" w:cs="Arial" w:eastAsia="Arial" w:hAnsi="Arial"/>
          <w:sz w:val="20"/>
          <w:szCs w:val="20"/>
          <w:color w:val="auto"/>
        </w:rPr>
      </w:pPr>
    </w:p>
    <w:p>
      <w:pPr>
        <w:ind w:left="1080" w:hanging="353"/>
        <w:spacing w:after="0"/>
        <w:tabs>
          <w:tab w:leader="none" w:pos="108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hire or retain the personnel necessary to manage our strategy effectively.</w:t>
      </w:r>
    </w:p>
    <w:p>
      <w:pPr>
        <w:spacing w:after="0" w:line="42" w:lineRule="exact"/>
        <w:rPr>
          <w:rFonts w:ascii="Arial" w:cs="Arial" w:eastAsia="Arial" w:hAnsi="Arial"/>
          <w:sz w:val="20"/>
          <w:szCs w:val="20"/>
          <w:color w:val="auto"/>
        </w:rPr>
      </w:pPr>
    </w:p>
    <w:p>
      <w:pPr>
        <w:jc w:val="both"/>
        <w:ind w:left="1080" w:right="360" w:hanging="353"/>
        <w:spacing w:after="0" w:line="249" w:lineRule="auto"/>
        <w:tabs>
          <w:tab w:leader="none" w:pos="108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A key element of our strategy is yield management through focus on price leadership, which has presented challenges to keep existing business and win new business at reasonable returns. The loss of volumes as a result of price increases and our unwillingness to pursue lower margin volumes may negatively affect our cash flows or results of operations. Additionally, we have in the past and may in the future face purported class action lawsuits related to our customer service agreements, prices, surcharges and other mandated fees.</w:t>
      </w:r>
    </w:p>
    <w:p>
      <w:pPr>
        <w:ind w:left="1080" w:right="360" w:hanging="352"/>
        <w:spacing w:after="0" w:line="263" w:lineRule="auto"/>
        <w:tabs>
          <w:tab w:leader="none" w:pos="108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unsuccessful in implementing our technology-led automation and optimization strategy and other improvements to operational efficiency and such efforts may not yield the intended result.</w:t>
      </w:r>
    </w:p>
    <w:p>
      <w:pPr>
        <w:ind w:left="1080" w:right="360" w:hanging="352"/>
        <w:spacing w:after="0" w:line="262" w:lineRule="auto"/>
        <w:tabs>
          <w:tab w:leader="none" w:pos="108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maintain cost savings achieved, including through our automation and optimization efforts, due to inflationary cost pressures or otherwise.</w:t>
      </w:r>
    </w:p>
    <w:p>
      <w:pPr>
        <w:ind w:left="1080" w:hanging="352"/>
        <w:spacing w:after="0"/>
        <w:tabs>
          <w:tab w:leader="none" w:pos="108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Strategic decisions with respect to our asset portfolio may result in impairments to our assets.</w:t>
      </w:r>
    </w:p>
    <w:p>
      <w:pPr>
        <w:spacing w:after="0" w:line="42" w:lineRule="exact"/>
        <w:rPr>
          <w:rFonts w:ascii="Arial" w:cs="Arial" w:eastAsia="Arial" w:hAnsi="Arial"/>
          <w:sz w:val="20"/>
          <w:szCs w:val="20"/>
          <w:color w:val="auto"/>
        </w:rPr>
      </w:pPr>
    </w:p>
    <w:p>
      <w:pPr>
        <w:jc w:val="both"/>
        <w:ind w:left="1080" w:right="360" w:hanging="352"/>
        <w:spacing w:after="0" w:line="249" w:lineRule="auto"/>
        <w:tabs>
          <w:tab w:leader="none" w:pos="108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Execution of our strategy, including growth through acquisitions, such as our recent Stericycle acquisition, and our planned and ongoing expansion of our Recycling Processing and Sales and WM Renewable Energy segments, has caused, and may in the future, cause us to incur substantial additional indebtedness, which may divert capital away from our traditional business operations and other financial plans, and may introduce additional risks and volatility to our financial performance.</w:t>
      </w:r>
    </w:p>
    <w:p>
      <w:pPr>
        <w:spacing w:after="0" w:line="1" w:lineRule="exact"/>
        <w:rPr>
          <w:rFonts w:ascii="Arial" w:cs="Arial" w:eastAsia="Arial" w:hAnsi="Arial"/>
          <w:sz w:val="20"/>
          <w:szCs w:val="20"/>
          <w:color w:val="auto"/>
        </w:rPr>
      </w:pPr>
    </w:p>
    <w:p>
      <w:pPr>
        <w:jc w:val="both"/>
        <w:ind w:left="1080" w:right="360" w:hanging="352"/>
        <w:spacing w:after="0" w:line="255" w:lineRule="auto"/>
        <w:tabs>
          <w:tab w:leader="none" w:pos="108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make strategic acquisitions depends on our ability to identify desirable acquisition targets, negotiate advantageous transactions despite competition for such opportunities, fund such acquisitions on favorable terms, obtain regulatory approvals and realize the benefits we expect from those transactions.</w:t>
      </w:r>
    </w:p>
    <w:p>
      <w:pPr>
        <w:jc w:val="both"/>
        <w:ind w:left="1080" w:right="360" w:hanging="352"/>
        <w:spacing w:after="0" w:line="249" w:lineRule="auto"/>
        <w:tabs>
          <w:tab w:leader="none" w:pos="108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Acquisitions, investments and/or new service offerings or lines of business may not increase our earnings in the timeframe anticipated, or at all, due to difficulties operating in new markets or providing new service offerings or lines of business, failure of technologies to perform as expected, failure to operate within budget, integration issues, or regulatory issues and compliance costs, among others, and we may experience issues successfully integrating acquisitions into our internal controls, operations, and/or accounting systems.</w:t>
      </w:r>
    </w:p>
    <w:p>
      <w:pPr>
        <w:jc w:val="both"/>
        <w:ind w:left="1080" w:right="360" w:hanging="352"/>
        <w:spacing w:after="0" w:line="264" w:lineRule="auto"/>
        <w:tabs>
          <w:tab w:leader="none" w:pos="1080" w:val="left"/>
        </w:tabs>
        <w:numPr>
          <w:ilvl w:val="0"/>
          <w:numId w:val="63"/>
        </w:numPr>
        <w:rPr>
          <w:rFonts w:ascii="Arial" w:cs="Arial" w:eastAsia="Arial" w:hAnsi="Arial"/>
          <w:sz w:val="19"/>
          <w:szCs w:val="19"/>
          <w:color w:val="auto"/>
        </w:rPr>
      </w:pPr>
      <w:r>
        <w:rPr>
          <w:rFonts w:ascii="Times New Roman" w:cs="Times New Roman" w:eastAsia="Times New Roman" w:hAnsi="Times New Roman"/>
          <w:sz w:val="19"/>
          <w:szCs w:val="19"/>
          <w:color w:val="auto"/>
        </w:rPr>
        <w:t>Integration of acquisitions and/or new services offerings or lines of business, such as our expansion into medical waste, controlled substances waste and secure information destruction services, and additional expansion into markets outside of North America has and would result in our business being subject to new laws and regulatory regimes, resulting in greater exposure to risk of inadvertent noncompliance and additional compliance costs.</w:t>
      </w:r>
    </w:p>
    <w:p>
      <w:pPr>
        <w:spacing w:after="0" w:line="1" w:lineRule="exact"/>
        <w:rPr>
          <w:rFonts w:ascii="Arial" w:cs="Arial" w:eastAsia="Arial" w:hAnsi="Arial"/>
          <w:sz w:val="19"/>
          <w:szCs w:val="19"/>
          <w:color w:val="auto"/>
        </w:rPr>
      </w:pPr>
    </w:p>
    <w:p>
      <w:pPr>
        <w:jc w:val="both"/>
        <w:ind w:left="1080" w:right="360" w:hanging="352"/>
        <w:spacing w:after="0" w:line="252" w:lineRule="auto"/>
        <w:tabs>
          <w:tab w:leader="none" w:pos="108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Liabilities associated with acquisitions, including ones that may exist only because of past operations of an acquired business, may prove to be more difficult or costly to address than anticipated, and businesses or assets we acquire may have undisclosed liabilities, despite our efforts to minimize exposure to such risks through due diligence and other measures.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3320" w:h="16920" w:orient="portrait"/>
          <w:cols w:equalWidth="0" w:num="1">
            <w:col w:w="10440"/>
          </w:cols>
          <w:pgMar w:left="1440" w:top="1440" w:right="1440" w:bottom="1440" w:gutter="0" w:footer="0" w:header="0"/>
          <w:type w:val="continuous"/>
        </w:sectPr>
      </w:pPr>
    </w:p>
    <w:bookmarkStart w:id="99" w:name="page100"/>
    <w:bookmarkEnd w:id="99"/>
    <w:p>
      <w:pPr>
        <w:spacing w:after="0" w:line="361" w:lineRule="exact"/>
        <w:rPr>
          <w:sz w:val="20"/>
          <w:szCs w:val="20"/>
          <w:color w:val="auto"/>
        </w:rPr>
      </w:pPr>
    </w:p>
    <w:p>
      <w:pPr>
        <w:jc w:val="both"/>
        <w:ind w:left="1080" w:right="360" w:hanging="353"/>
        <w:spacing w:after="0" w:line="259" w:lineRule="auto"/>
        <w:tabs>
          <w:tab w:leader="none" w:pos="108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Supply chain, regulatory or permitting disruptions or delays could detrimentally impact the execution timeline for our planned and ongoing expansions of our Recycling Processing and Sales and WM Renewable Energy businesses.</w:t>
      </w:r>
    </w:p>
    <w:p>
      <w:pPr>
        <w:spacing w:after="0" w:line="19" w:lineRule="exact"/>
        <w:rPr>
          <w:rFonts w:ascii="Arial" w:cs="Arial" w:eastAsia="Arial" w:hAnsi="Arial"/>
          <w:sz w:val="20"/>
          <w:szCs w:val="20"/>
          <w:color w:val="auto"/>
        </w:rPr>
      </w:pPr>
    </w:p>
    <w:p>
      <w:pPr>
        <w:jc w:val="both"/>
        <w:ind w:left="1080" w:right="360" w:hanging="353"/>
        <w:spacing w:after="0" w:line="259" w:lineRule="auto"/>
        <w:tabs>
          <w:tab w:leader="none" w:pos="108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We continue to seek to divest underperforming and non-strategic assets and operations if we cannot improve their profitability. We may not be able to successfully divest underperforming and non-strategic assets and operations, which could result in asset impairments or the continued operation of low-margin businesses.</w:t>
      </w:r>
    </w:p>
    <w:p>
      <w:pPr>
        <w:spacing w:after="0" w:line="85"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In addition to the risks set forth above, implementation of our business strategy could be affected by other factors beyond our control, such as increased competition, legal developments, government regulation, global geopolitical instability, general economic conditions, including slower growth or recession, increased operating costs or expenses, inflation, subcontractor costs and availability and changes in industry trends. We may decide to alter or discontinue certain aspects of our business strategy at any time. Even if we are able to implement some or all of the initiatives of our business strategy successfully, our operating results may not improve to the extent we anticipate, or at all.</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We may not realize the strategic benefits and cost synergies anticipated from the Stericycle acquisition.</w:t>
      </w:r>
    </w:p>
    <w:p>
      <w:pPr>
        <w:spacing w:after="0" w:line="240" w:lineRule="exact"/>
        <w:rPr>
          <w:sz w:val="20"/>
          <w:szCs w:val="20"/>
          <w:color w:val="auto"/>
        </w:rPr>
      </w:pPr>
    </w:p>
    <w:p>
      <w:pPr>
        <w:jc w:val="both"/>
        <w:ind w:left="360" w:right="360" w:firstLine="404"/>
        <w:spacing w:after="0" w:line="256" w:lineRule="auto"/>
        <w:rPr>
          <w:sz w:val="20"/>
          <w:szCs w:val="20"/>
          <w:color w:val="auto"/>
        </w:rPr>
      </w:pPr>
      <w:r>
        <w:rPr>
          <w:rFonts w:ascii="Times New Roman" w:cs="Times New Roman" w:eastAsia="Times New Roman" w:hAnsi="Times New Roman"/>
          <w:sz w:val="19"/>
          <w:szCs w:val="19"/>
          <w:color w:val="auto"/>
        </w:rPr>
        <w:t>The benefits we expect to receive from the acquisition of Stericycle depend on the performance of the Stericycle business and its ability to achieve financial and operational targets and strategic goals. The acquired Stericycle business, which is now presented as our new WM Healthcare Solutions segment, is subject to numerous risks and uncertainties that could cause performance to be materially different than we anticipate; such factors include, but are not limited to, decreases in the volume of medical waste and controlled substances wastes or personal and confidential information collected from customers; disruptions resulting from deployment of systems, including with respect to the implementation of Stericycle’s enterprise resource planning system and billing and collection delays that Stericycle has experienced following the launch of such system upgrade; changing market conditions in the healthcare industry; competition and demand for services for the medical waste, controlled substances waste and secure information destruction industries; commodity price volatility; changes in regulation of the collection, transportation, treatment and disposal or destruction of medical waste and controlled substances waste or the proper handling and protection of personal and confidential information; the level of government enforcement of regulations governing medical waste and controlled substances waste collection and treatment or the proper handling and protection of personal and confidential information; and the outcome of pending, future or settled litigation or investigations. Should the Stericycle business be unsuccessful in achieving financial and operational targets and implementing the WM Healthcare Solutions business strategy, it could negatively impact our realization of benefits from the acquisition, as well as our stock price and our future business and financial results.</w:t>
      </w:r>
    </w:p>
    <w:p>
      <w:pPr>
        <w:spacing w:after="0" w:line="71" w:lineRule="exact"/>
        <w:rPr>
          <w:sz w:val="20"/>
          <w:szCs w:val="20"/>
          <w:color w:val="auto"/>
        </w:rPr>
      </w:pPr>
    </w:p>
    <w:p>
      <w:pPr>
        <w:jc w:val="both"/>
        <w:ind w:left="360" w:right="360" w:firstLine="403"/>
        <w:spacing w:after="0" w:line="243" w:lineRule="auto"/>
        <w:rPr>
          <w:sz w:val="20"/>
          <w:szCs w:val="20"/>
          <w:color w:val="auto"/>
        </w:rPr>
      </w:pPr>
      <w:r>
        <w:rPr>
          <w:rFonts w:ascii="Times New Roman" w:cs="Times New Roman" w:eastAsia="Times New Roman" w:hAnsi="Times New Roman"/>
          <w:sz w:val="20"/>
          <w:szCs w:val="20"/>
          <w:color w:val="auto"/>
        </w:rPr>
        <w:t>The benefits that are expected to result from our acquisition of Stericycle also depend, in part, on our ability to realize anticipated cost synergies. Our success in realizing these benefits and cost synergies, and the timing of this realization, depends on the successful integration of the Stericycle business. There is a significant degree of difficulty and management attention inherent in the process of integrating an acquisition of this size. The process of integrating operations could cause business interruption and distraction. Some members of our management may be required to devote considerable time to this integration process, which will decrease the time they will have to manage our Company, service existing customers, attract new customers and develop new products or strategies. If management is not able to effectively manage the integration process, including retention of key Stericycle personnel, or if any significant business activities are interrupted as a result of the integration process, our business, financial condition and results of operations could suffer. The acquisition of Stericycle may not result in realization of the benefits and cost synergies that we currently expect, and we cannot guarantee that these benefits and cost synergies will be achieved within anticipated time frames or at all. Additionally, we may incur substantial expenses in connection with the integration of the Stericycle business, which may exceed expectations and offset certain benefits.</w:t>
      </w:r>
    </w:p>
    <w:p>
      <w:pPr>
        <w:spacing w:after="0" w:line="193" w:lineRule="exact"/>
        <w:rPr>
          <w:sz w:val="20"/>
          <w:szCs w:val="20"/>
          <w:color w:val="auto"/>
        </w:rPr>
      </w:pPr>
    </w:p>
    <w:p>
      <w:pPr>
        <w:jc w:val="both"/>
        <w:ind w:left="520" w:right="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operations must comply with extensive existing regulations, and changes in regulations, including with respect to emerging contaminants and extended producer responsibility, can restrict or alter our operations, increase our operating costs, increase our tax liabilities, reduce revenues, or require us to make additional capital expenditures.</w:t>
      </w:r>
    </w:p>
    <w:p>
      <w:pPr>
        <w:spacing w:after="0" w:line="66" w:lineRule="exact"/>
        <w:rPr>
          <w:sz w:val="20"/>
          <w:szCs w:val="20"/>
          <w:color w:val="auto"/>
        </w:rPr>
      </w:pPr>
    </w:p>
    <w:p>
      <w:pPr>
        <w:jc w:val="both"/>
        <w:ind w:left="360" w:right="360" w:firstLine="360"/>
        <w:spacing w:after="0" w:line="270" w:lineRule="auto"/>
        <w:rPr>
          <w:sz w:val="20"/>
          <w:szCs w:val="20"/>
          <w:color w:val="auto"/>
        </w:rPr>
      </w:pPr>
      <w:r>
        <w:rPr>
          <w:rFonts w:ascii="Times New Roman" w:cs="Times New Roman" w:eastAsia="Times New Roman" w:hAnsi="Times New Roman"/>
          <w:sz w:val="19"/>
          <w:szCs w:val="19"/>
          <w:color w:val="auto"/>
        </w:rPr>
        <w:t xml:space="preserve">Stringent government regulations at the federal, state, provincial and local level in the U.S. and Canada, as well as other international jurisdictions where we operate, have a substantial impact on our operations, and compliance with such regulations is costly. See Item 1. </w:t>
      </w:r>
      <w:r>
        <w:rPr>
          <w:rFonts w:ascii="Times New Roman" w:cs="Times New Roman" w:eastAsia="Times New Roman" w:hAnsi="Times New Roman"/>
          <w:sz w:val="19"/>
          <w:szCs w:val="19"/>
          <w:i w:val="1"/>
          <w:iCs w:val="1"/>
          <w:color w:val="auto"/>
        </w:rPr>
        <w:t>Business – Regulation</w:t>
      </w:r>
      <w:r>
        <w:rPr>
          <w:rFonts w:ascii="Times New Roman" w:cs="Times New Roman" w:eastAsia="Times New Roman" w:hAnsi="Times New Roman"/>
          <w:sz w:val="19"/>
          <w:szCs w:val="19"/>
          <w:color w:val="auto"/>
        </w:rPr>
        <w:t xml:space="preserve"> for additional information. Many complex laws, rules, orders and interpretations govern environmental protection, health, safety, land use, zoning, transportation, ethical business conduct,</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3320" w:h="16920" w:orient="portrait"/>
          <w:cols w:equalWidth="0" w:num="1">
            <w:col w:w="10440"/>
          </w:cols>
          <w:pgMar w:left="1440" w:top="1440" w:right="1440" w:bottom="1440" w:gutter="0" w:footer="0" w:header="0"/>
          <w:type w:val="continuous"/>
        </w:sectPr>
      </w:pPr>
    </w:p>
    <w:bookmarkStart w:id="100" w:name="page101"/>
    <w:bookmarkEnd w:id="100"/>
    <w:p>
      <w:pPr>
        <w:spacing w:after="0" w:line="347" w:lineRule="exact"/>
        <w:rPr>
          <w:sz w:val="20"/>
          <w:szCs w:val="20"/>
          <w:color w:val="auto"/>
        </w:rPr>
      </w:pPr>
    </w:p>
    <w:p>
      <w:pPr>
        <w:jc w:val="both"/>
        <w:ind w:left="360" w:right="360"/>
        <w:spacing w:after="0" w:line="259" w:lineRule="auto"/>
        <w:rPr>
          <w:sz w:val="20"/>
          <w:szCs w:val="20"/>
          <w:color w:val="auto"/>
        </w:rPr>
      </w:pPr>
      <w:r>
        <w:rPr>
          <w:rFonts w:ascii="Times New Roman" w:cs="Times New Roman" w:eastAsia="Times New Roman" w:hAnsi="Times New Roman"/>
          <w:sz w:val="20"/>
          <w:szCs w:val="20"/>
          <w:color w:val="auto"/>
        </w:rPr>
        <w:t>data privacy and security, and other related and similar subjects. Among other things, governmental regulations and enforcement actions restrict our operations at times and may adversely affect our financial condition, results of operations and cash flows by imposing conditions such as:</w:t>
      </w:r>
    </w:p>
    <w:p>
      <w:pPr>
        <w:spacing w:after="0" w:line="20" w:lineRule="exact"/>
        <w:rPr>
          <w:sz w:val="20"/>
          <w:szCs w:val="20"/>
          <w:color w:val="auto"/>
        </w:rPr>
      </w:pPr>
    </w:p>
    <w:p>
      <w:pPr>
        <w:ind w:left="1080" w:right="360" w:hanging="353"/>
        <w:spacing w:after="0" w:line="263" w:lineRule="auto"/>
        <w:tabs>
          <w:tab w:leader="none" w:pos="108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on siting and constructing new waste disposal, destruction, transfer, recycling or processing facilities or on expanding existing facilities;</w:t>
      </w:r>
    </w:p>
    <w:p>
      <w:pPr>
        <w:ind w:left="1080" w:hanging="353"/>
        <w:spacing w:after="0"/>
        <w:tabs>
          <w:tab w:leader="none" w:pos="108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regulations or levies on collection and disposal prices, rates and volumes;</w:t>
      </w:r>
    </w:p>
    <w:p>
      <w:pPr>
        <w:spacing w:after="0" w:line="42" w:lineRule="exact"/>
        <w:rPr>
          <w:rFonts w:ascii="Arial" w:cs="Arial" w:eastAsia="Arial" w:hAnsi="Arial"/>
          <w:sz w:val="20"/>
          <w:szCs w:val="20"/>
          <w:color w:val="auto"/>
        </w:rPr>
      </w:pPr>
    </w:p>
    <w:p>
      <w:pPr>
        <w:ind w:left="1080" w:right="360" w:hanging="353"/>
        <w:spacing w:after="0" w:line="263" w:lineRule="auto"/>
        <w:tabs>
          <w:tab w:leader="none" w:pos="108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bans, taxes or charges on the disposal, destruction or transportation of out-of-state waste or certain categories of waste;</w:t>
      </w:r>
    </w:p>
    <w:p>
      <w:pPr>
        <w:jc w:val="both"/>
        <w:ind w:left="1080" w:right="360" w:hanging="353"/>
        <w:spacing w:after="0" w:line="255" w:lineRule="auto"/>
        <w:tabs>
          <w:tab w:leader="none" w:pos="108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mandates regarding the management of solid waste, organics, medical waste, controlled substances waste and other materials, including requirements to recycle, divert, destroy, or otherwise process certain waste, recycling and other streams; or</w:t>
      </w:r>
    </w:p>
    <w:p>
      <w:pPr>
        <w:ind w:left="1080" w:hanging="353"/>
        <w:spacing w:after="0"/>
        <w:tabs>
          <w:tab w:leader="none" w:pos="108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or restrictions on the recycling, processing or transformation of waste, recycling and other streams.</w:t>
      </w:r>
    </w:p>
    <w:p>
      <w:pPr>
        <w:spacing w:after="0" w:line="118"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 xml:space="preserve">Regulations affecting the siting, design and closure of landfills require us, at times, to undertake investigatory or remedial activities, curtail operations or close landfills temporarily or permanently. We have significant financial obligations relating to final capping, closure, post-closure and environmental remediation at our existing landfills and we establish accruals for these estimated costs. Expenditures could be accelerated or materially exceed our accruals due to earlier than expected closure of landfills; the types of waste collected and manner in which it is transported and disposed of, including actions taken in the past by companies we have acquired or third-party landfill operators; environmental regulatory changes; new information about waste types previously collected, or other emerging contaminants. Similar issues can also result in a significant increase in operating costs; for example, developments in recent years related to management of per-and polyfluoroalkyl substances (“PFAS”) have increased our landfill operating costs. Federal and state governments have increased their focus on efforts to safeguard communities from the potentially harmful effects associated with PFAS. See Item 1. </w:t>
      </w:r>
      <w:r>
        <w:rPr>
          <w:rFonts w:ascii="Times New Roman" w:cs="Times New Roman" w:eastAsia="Times New Roman" w:hAnsi="Times New Roman"/>
          <w:sz w:val="20"/>
          <w:szCs w:val="20"/>
          <w:i w:val="1"/>
          <w:iCs w:val="1"/>
          <w:color w:val="auto"/>
        </w:rPr>
        <w:t>Business – Regulation – Recent Developments and Focus Areas in Policy and Regulation – PFAS</w:t>
      </w:r>
      <w:r>
        <w:rPr>
          <w:rFonts w:ascii="Times New Roman" w:cs="Times New Roman" w:eastAsia="Times New Roman" w:hAnsi="Times New Roman"/>
          <w:sz w:val="20"/>
          <w:szCs w:val="20"/>
          <w:color w:val="auto"/>
        </w:rPr>
        <w:t xml:space="preserve"> for additional information. We may face increased exposure to testing, remediation and litigation costs as a result of new and emerging PFAS regulations and requirements.</w:t>
      </w:r>
    </w:p>
    <w:p>
      <w:pPr>
        <w:spacing w:after="0" w:line="84"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 xml:space="preserve">Regulations establishing extended producer responsibility (“EPR”) are being considered or implemented in many places around the world, including in certain states in the U.S. and provinces in Canada. EPR regulations are designed to place either partial or total responsibility on producers of consumer-packaged goods and other products to fund the post-use life cycle of the products and packaging they create. For additional information, See Item 1. </w:t>
      </w:r>
      <w:r>
        <w:rPr>
          <w:rFonts w:ascii="Times New Roman" w:cs="Times New Roman" w:eastAsia="Times New Roman" w:hAnsi="Times New Roman"/>
          <w:sz w:val="20"/>
          <w:szCs w:val="20"/>
          <w:i w:val="1"/>
          <w:iCs w:val="1"/>
          <w:color w:val="auto"/>
        </w:rPr>
        <w:t>Business – Regulation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Recent Developments and Focus Areas in Policy and Regulation – Extended Producer Responsibility</w:t>
      </w:r>
      <w:r>
        <w:rPr>
          <w:rFonts w:ascii="Times New Roman" w:cs="Times New Roman" w:eastAsia="Times New Roman" w:hAnsi="Times New Roman"/>
          <w:sz w:val="20"/>
          <w:szCs w:val="20"/>
          <w:color w:val="auto"/>
        </w:rPr>
        <w:t>. A significant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reduction in the waste, recycling and other streams we manage, including with respect to quality and volume, could have a material adverse effect on our financial condition, results of operations and cash flows.</w:t>
      </w:r>
    </w:p>
    <w:p>
      <w:pPr>
        <w:spacing w:after="0" w:line="79"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Following our acquisition of Stericycle, we are subject to additional laws and regulations in the U.S. and internationally concerning transportation, management and disposal or destruction of medical waste streams, including regulations that govern the definition, generation, segregation, handling, packaging, transportation, treatment, storage and disposal or destruction of medical waste and controlled substances waste, along with extensive recordkeeping and documentation requirements. Additionally, Stericycle’s secure information destruction services are subject to additional laws and regulations regarding proper handling and protection of personal and confidential information. Relaxation of enforcement, government shutdowns, or other changes in governmental regulation of medical waste and controlled substances waste and personal and confidential information could increase the number of competitors we face or reduce or delay the need for these services.</w:t>
      </w:r>
    </w:p>
    <w:p>
      <w:pPr>
        <w:spacing w:after="0" w:line="86"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Stericycle is, and has been, involved in government investigations, enforcement proceedings, private lawsuits and other disputes alleging noncompliance with applicable regulations, including alleged noncompliance with the Controlled Substances Act and other statutes involving its now-divested Domestic Environmental Solutions business of collecting, transporting, and destroying controlled substances from retail customers. With the acquisition of Stericycle, these matters may result in adverse consequences, including permit revocations or denials and civil, criminal and administrative penalties.</w:t>
      </w:r>
    </w:p>
    <w:p>
      <w:pPr>
        <w:spacing w:after="0" w:line="79" w:lineRule="exact"/>
        <w:rPr>
          <w:sz w:val="20"/>
          <w:szCs w:val="20"/>
          <w:color w:val="auto"/>
        </w:rPr>
      </w:pPr>
    </w:p>
    <w:p>
      <w:pPr>
        <w:jc w:val="both"/>
        <w:ind w:left="360" w:right="360" w:firstLine="360"/>
        <w:spacing w:after="0" w:line="270" w:lineRule="auto"/>
        <w:rPr>
          <w:sz w:val="20"/>
          <w:szCs w:val="20"/>
          <w:color w:val="auto"/>
        </w:rPr>
      </w:pPr>
      <w:r>
        <w:rPr>
          <w:rFonts w:ascii="Times New Roman" w:cs="Times New Roman" w:eastAsia="Times New Roman" w:hAnsi="Times New Roman"/>
          <w:sz w:val="19"/>
          <w:szCs w:val="19"/>
          <w:color w:val="auto"/>
        </w:rPr>
        <w:t>The new U.S. presidential administration has called for substantial changes to areas of foreign trade policy and has generally appeared to be in favor of reducing regulation, including environmental regulation. We do not know what impact the change in U.S. presidential administration will have on specific regulatory policies impacting our industry and our Company, especially given the number of rules currently in litigation, nor can we predict the timing of any such changes.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3320" w:h="16920" w:orient="portrait"/>
          <w:cols w:equalWidth="0" w:num="1">
            <w:col w:w="10440"/>
          </w:cols>
          <w:pgMar w:left="1440" w:top="1440" w:right="1440" w:bottom="1440" w:gutter="0" w:footer="0" w:header="0"/>
          <w:type w:val="continuous"/>
        </w:sectPr>
      </w:pPr>
    </w:p>
    <w:bookmarkStart w:id="101" w:name="page102"/>
    <w:bookmarkEnd w:id="101"/>
    <w:p>
      <w:pPr>
        <w:spacing w:after="0" w:line="347" w:lineRule="exact"/>
        <w:rPr>
          <w:sz w:val="20"/>
          <w:szCs w:val="20"/>
          <w:color w:val="auto"/>
        </w:rPr>
      </w:pPr>
    </w:p>
    <w:p>
      <w:pPr>
        <w:jc w:val="both"/>
        <w:ind w:left="360" w:right="360"/>
        <w:spacing w:after="0" w:line="246" w:lineRule="auto"/>
        <w:rPr>
          <w:sz w:val="20"/>
          <w:szCs w:val="20"/>
          <w:color w:val="auto"/>
        </w:rPr>
      </w:pPr>
      <w:r>
        <w:rPr>
          <w:rFonts w:ascii="Times New Roman" w:cs="Times New Roman" w:eastAsia="Times New Roman" w:hAnsi="Times New Roman"/>
          <w:sz w:val="20"/>
          <w:szCs w:val="20"/>
          <w:color w:val="auto"/>
        </w:rPr>
        <w:t>Reduction of regulation may have a favorable impact on our operating costs, but the extensive environmental regulation applicable to our industry is also a barrier to rapid entry that benefits our Company. Significant new restrictions and tariffs on foreign trade could have a negative impact on our recycling export business and our cross-border commerce, particularly with Canada, and could increase the cost of certain equipment and other materials used in our operations that we procure from outside the U.S., including our trucks and certain equipment used to implement our sustainability growth strategy. It is likely that some policies adopted by the new administration will benefit us and others will negatively affect us.</w:t>
      </w:r>
    </w:p>
    <w:p>
      <w:pPr>
        <w:spacing w:after="0" w:line="80"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If we encounter regulatory compliance issues in the course of operating our business, we may experience adverse publicity, which may intensify if such noncompliance results in legal liability. Any legal liability or adverse publicity from such noncompliance may harm our reputation and result in difficulties in attracting new customers, or retaining existing customers, which would negatively impact our results of operations and financial condition.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Our business is subject to operational and safety risks, including the risk of injury to employees and others.</w:t>
      </w:r>
    </w:p>
    <w:p>
      <w:pPr>
        <w:spacing w:after="0" w:line="119"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Providing environmental and waste management services, including constructing and operating landfills, transfer stations, processing facilities, recycling facilities and other disposal or destruction facilities, and landfill gas - to - energy facilities, involves risks such as truck accidents, equipment defects, malfunctions and failures, and improper use of dangerous equipment. Additionally, we closely monitor and manage landfills to minimize the risk of waste mass instability, releases of hazardous materials, and odors that are sometimes triggered by weather or natural disasters. There are also risks presented by the potential for subsurface heat reactions causing elevated landfill temperatures and increased production of leachate, landfill gas and odors, and we have proactively incurred increased costs to manage leachate in response to this risk. We build and operate natural gas fueling stations, some of which also serve the public or third parties. Operation of fueling stations and landfill gas collection and control systems, as well as operation of heavy machinery and management of flammable materials at our recycling facilities and transfer stations, involves additional risks of fire and explosion. The Stericycle business requires handling of medical waste and controlled substances waste. Incidents such as truck accidents, damaged or leaking containers, improper storage of medical waste and controlled substances waste, placement of prohibited materials into the waste stream, or malfunctioning plant equipment could result in exposure to contaminated or infectious waste or other hazardous materials.</w:t>
      </w:r>
    </w:p>
    <w:p>
      <w:pPr>
        <w:spacing w:after="0" w:line="80"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Any of these risks could potentially result in injury, illness or death of employees and others. These risks could also result in a need to shut down or reduce operation of facilities, increased operating costs and exposure to liability for pollution, public nuisance, and other environmental damage, and property damage or destruction. While we seek to minimize our exposure to such risks through comprehensive training, compliance and response and recovery programs, as well as vehicle and equipment maintenance programs, if we were to incur substantial liabilities in excess of any applicable insurance, our business, results of operations and financial condition could be adversely affected. Any such incidents could also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86" w:lineRule="exact"/>
        <w:rPr>
          <w:sz w:val="20"/>
          <w:szCs w:val="20"/>
          <w:color w:val="auto"/>
        </w:rPr>
      </w:pPr>
    </w:p>
    <w:p>
      <w:pPr>
        <w:jc w:val="both"/>
        <w:ind w:left="520" w:right="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obtain or maintain required permits for our operations or expand existing permitted capacity at our landfills, due to land scarcity, public opposition or otherwise, which can require us to identify disposal alternatives, resulting in decreased revenue and increased costs.</w:t>
      </w:r>
    </w:p>
    <w:p>
      <w:pPr>
        <w:spacing w:after="0" w:line="65" w:lineRule="exact"/>
        <w:rPr>
          <w:sz w:val="20"/>
          <w:szCs w:val="20"/>
          <w:color w:val="auto"/>
        </w:rPr>
      </w:pPr>
    </w:p>
    <w:p>
      <w:pPr>
        <w:jc w:val="both"/>
        <w:ind w:left="360" w:right="360" w:firstLine="360"/>
        <w:spacing w:after="0" w:line="257" w:lineRule="auto"/>
        <w:rPr>
          <w:sz w:val="20"/>
          <w:szCs w:val="20"/>
          <w:color w:val="auto"/>
        </w:rPr>
      </w:pPr>
      <w:r>
        <w:rPr>
          <w:rFonts w:ascii="Times New Roman" w:cs="Times New Roman" w:eastAsia="Times New Roman" w:hAnsi="Times New Roman"/>
          <w:sz w:val="19"/>
          <w:szCs w:val="19"/>
          <w:color w:val="auto"/>
        </w:rPr>
        <w:t>Our ability to meet our financial and operating objectives depends in part on our ability to obtain and maintain the permits, authorizations, approvals, certificates, and other governmental permissions necessary to operate landfill sites, recycling facilities, compost facilities, processing facilities, landfill gas-to-energy facilities, incineration facilities and transfer stations in the various jurisdictions in which we operate. Changes in applicable laws and regulations could require us to obtain new permits or to change the way in which we operate our business. Even where permits are obtained, they may contain conditions or restrictions that limit our ability to operate efficiently. Permits to build, operate and expand solid waste management facilities, including landfills and transfer stations,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or governmental agencies may oppose the issuance of a permit or approval we may need, allege violations of the permits under which we currently operate or laws or regulations to which we are subjected, or seek to impose liability on us for alleged environmental damage. Such actions could also impact our ability to do business by causing reputational harm. Our ability</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3320" w:h="16920" w:orient="portrait"/>
          <w:cols w:equalWidth="0" w:num="1">
            <w:col w:w="10440"/>
          </w:cols>
          <w:pgMar w:left="1440" w:top="1440" w:right="1440" w:bottom="1440" w:gutter="0" w:footer="0" w:header="0"/>
          <w:type w:val="continuous"/>
        </w:sectPr>
      </w:pPr>
    </w:p>
    <w:bookmarkStart w:id="102" w:name="page103"/>
    <w:bookmarkEnd w:id="102"/>
    <w:p>
      <w:pPr>
        <w:spacing w:after="0" w:line="347" w:lineRule="exact"/>
        <w:rPr>
          <w:sz w:val="20"/>
          <w:szCs w:val="20"/>
          <w:color w:val="auto"/>
        </w:rPr>
      </w:pPr>
    </w:p>
    <w:p>
      <w:pPr>
        <w:jc w:val="both"/>
        <w:ind w:left="360" w:right="360"/>
        <w:spacing w:after="0" w:line="244" w:lineRule="auto"/>
        <w:rPr>
          <w:sz w:val="20"/>
          <w:szCs w:val="20"/>
          <w:color w:val="auto"/>
        </w:rPr>
      </w:pPr>
      <w:r>
        <w:rPr>
          <w:rFonts w:ascii="Times New Roman" w:cs="Times New Roman" w:eastAsia="Times New Roman" w:hAnsi="Times New Roman"/>
          <w:sz w:val="20"/>
          <w:szCs w:val="20"/>
          <w:color w:val="auto"/>
        </w:rPr>
        <w:t>to receive permits is also impacted by land scarcity, particularly in densely populated areas. Diminishing disposal capacity, typically in proximity to major metropolitan areas, sometimes requires us to transport waste by rail or find alternative disposal solutions in affected areas, increasing our operating costs. Governments are increasingly adopting requirements for environmental justice reviews as part of certain permitting decisions. These policies generally require permitting agencies to give heightened attention to the potential for projects to disproportionately impact low-income and minority communities. Responding to permit challenges has, at times, increased our costs and extended the time associated with establishing new facilities and expanding existing facilities. Our failure to obtain the required permits and necessary capacity expansion to operate our business, including our landfills, could have a material adverse impact on our financial condition, results of operations and cash flows.</w:t>
      </w:r>
    </w:p>
    <w:p>
      <w:pPr>
        <w:spacing w:after="0" w:line="86" w:lineRule="exact"/>
        <w:rPr>
          <w:sz w:val="20"/>
          <w:szCs w:val="20"/>
          <w:color w:val="auto"/>
        </w:rPr>
      </w:pPr>
    </w:p>
    <w:p>
      <w:pPr>
        <w:jc w:val="both"/>
        <w:ind w:left="520" w:right="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w:t>
      </w:r>
    </w:p>
    <w:p>
      <w:pPr>
        <w:spacing w:after="0" w:line="65" w:lineRule="exact"/>
        <w:rPr>
          <w:sz w:val="20"/>
          <w:szCs w:val="20"/>
          <w:color w:val="auto"/>
        </w:rPr>
      </w:pPr>
    </w:p>
    <w:p>
      <w:pPr>
        <w:jc w:val="both"/>
        <w:ind w:left="360" w:right="360" w:firstLine="400"/>
        <w:spacing w:after="0" w:line="242" w:lineRule="auto"/>
        <w:rPr>
          <w:sz w:val="20"/>
          <w:szCs w:val="20"/>
          <w:color w:val="auto"/>
        </w:rPr>
      </w:pPr>
      <w:r>
        <w:rPr>
          <w:rFonts w:ascii="Times New Roman" w:cs="Times New Roman" w:eastAsia="Times New Roman" w:hAnsi="Times New Roman"/>
          <w:sz w:val="20"/>
          <w:szCs w:val="20"/>
          <w:color w:val="auto"/>
        </w:rPr>
        <w:t>Our operations require us to attract, hire, develop and retain a high-quality workforce to provide a superior customer experience. This includes key individuals in leadership and specialty roles, as well as a very large number of drivers, technicians and other front-line and back-office team members necessary to provide our environmental services. We experience significant competition to hire and retain individuals for certain front-line positions, such as commercial truck drivers, from within and outside our industry. (Also see Item 1A. Risk Factors — Market disruption, including labor shortages, external strikes, and supply chain constraints, and macroeconomic pressures, including inflation, have recently had, and may in the future have, an adverse impact on our business and results of operations.) Additionally, the market for employees that serve on our digital team is highly competitive. As we have accelerated our investments in our technology-led automation and optimization strategy, it is increasingly important that we are able to attract and retain employees with the skills and expertise necessary to implement and manage these projects. We also compete to attract skilled business leaders, and our own key team members are sought after by our competitors and other companies. We make significant investments, and engage in internal succession planning, to provide us with a robust pipeline of future leaders. If we are not able to attract, hire, develop and retain a high - quality workforce with the necessary skills and expertise, as well as key leaders, or if we experience significant employee turnover, it can result in business and strategic disruption, increased costs, and loss of institutional knowledge, which could negatively impact our results of operations.</w:t>
      </w:r>
    </w:p>
    <w:p>
      <w:pPr>
        <w:spacing w:after="0" w:line="91" w:lineRule="exact"/>
        <w:rPr>
          <w:sz w:val="20"/>
          <w:szCs w:val="20"/>
          <w:color w:val="auto"/>
        </w:rPr>
      </w:pPr>
    </w:p>
    <w:p>
      <w:pPr>
        <w:ind w:left="520"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Increases in our labor costs as a result of labor unions organizing, changes in regulations related to labor unions or increases in employee minimum wages, could adversely affect our future results.</w:t>
      </w:r>
    </w:p>
    <w:p>
      <w:pPr>
        <w:spacing w:after="0" w:line="47"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Labor unions continually attempt to organize our employees, and these efforts will likely continue in the future. Certain groups of our employees are currently represented by unions, and we have negotiated collective bargaining agreements with these unions. Additional groups of employees may seek union representation in the future, and, if successful, would enhance organized labor’s leverage to obtain higher than expected wage and benefits costs and resist the introduction of new technology and other initiatives, which can result in increased operating expenses and lower net income. If we are unable to negotiate acceptable collective bargaining agreements, our operating expenses could increase significantly as a result of work stoppages, including strikes. Additionally, a large portion of our workforce are hourly personnel, and many of these individuals, particularly in our recycling business, are paid at rates related to federal and state minimum wages. Increases in minimum wage rates, or the enactment of new wage-related legislation, may significantly increase our labor costs. Any of these matters could adversely affect our financial condition, results of operations and cash flows.</w:t>
      </w:r>
    </w:p>
    <w:p>
      <w:pPr>
        <w:spacing w:after="0" w:line="90" w:lineRule="exact"/>
        <w:rPr>
          <w:sz w:val="20"/>
          <w:szCs w:val="20"/>
          <w:color w:val="auto"/>
        </w:rPr>
      </w:pPr>
    </w:p>
    <w:p>
      <w:pPr>
        <w:ind w:left="520"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seasonal nature of our business, severe weather events resulting from climate change and event driven projects cause our results to fluctuate, and prior performance may not be indicative of our future results.</w:t>
      </w:r>
    </w:p>
    <w:p>
      <w:pPr>
        <w:spacing w:after="0" w:line="47"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19"/>
          <w:szCs w:val="19"/>
          <w:color w:val="auto"/>
        </w:rPr>
        <w:t>Our financial and operating results may fluctuate for many reasons. Our operating revenues and volumes typically experience seasonal increases in the summer months, that are reflected in second and third quarter revenues and results of operations. 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 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projects can boost revenues through additional</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3320" w:h="16920" w:orient="portrait"/>
          <w:cols w:equalWidth="0" w:num="1">
            <w:col w:w="10440"/>
          </w:cols>
          <w:pgMar w:left="1440" w:top="1440" w:right="1440" w:bottom="1440" w:gutter="0" w:footer="0" w:header="0"/>
          <w:type w:val="continuous"/>
        </w:sectPr>
      </w:pPr>
    </w:p>
    <w:bookmarkStart w:id="103" w:name="page104"/>
    <w:bookmarkEnd w:id="103"/>
    <w:p>
      <w:pPr>
        <w:spacing w:after="0" w:line="347" w:lineRule="exact"/>
        <w:rPr>
          <w:sz w:val="20"/>
          <w:szCs w:val="20"/>
          <w:color w:val="auto"/>
        </w:rPr>
      </w:pPr>
    </w:p>
    <w:p>
      <w:pPr>
        <w:jc w:val="both"/>
        <w:ind w:left="360" w:right="360"/>
        <w:spacing w:after="0" w:line="259" w:lineRule="auto"/>
        <w:rPr>
          <w:sz w:val="20"/>
          <w:szCs w:val="20"/>
          <w:color w:val="auto"/>
        </w:rPr>
      </w:pPr>
      <w:r>
        <w:rPr>
          <w:rFonts w:ascii="Times New Roman" w:cs="Times New Roman" w:eastAsia="Times New Roman" w:hAnsi="Times New Roman"/>
          <w:sz w:val="20"/>
          <w:szCs w:val="20"/>
          <w:color w:val="auto"/>
        </w:rPr>
        <w:t>work for a limited time, due to significant start-up costs and other factors, such revenue can generate earnings at comparatively lower margins. For these and other reasons, operating results in any period may not be indicative of operating results for any other period. Our stock price may be negatively impacted by interim variations in our results.</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Damage to our reputation and the value of our brand would negatively impact our business.</w:t>
      </w:r>
    </w:p>
    <w:p>
      <w:pPr>
        <w:spacing w:after="0" w:line="119" w:lineRule="exact"/>
        <w:rPr>
          <w:sz w:val="20"/>
          <w:szCs w:val="20"/>
          <w:color w:val="auto"/>
        </w:rPr>
      </w:pPr>
    </w:p>
    <w:p>
      <w:pPr>
        <w:jc w:val="both"/>
        <w:ind w:left="360" w:right="360" w:firstLine="400"/>
        <w:spacing w:after="0" w:line="246" w:lineRule="auto"/>
        <w:rPr>
          <w:sz w:val="20"/>
          <w:szCs w:val="20"/>
          <w:color w:val="auto"/>
        </w:rPr>
      </w:pPr>
      <w:r>
        <w:rPr>
          <w:rFonts w:ascii="Times New Roman" w:cs="Times New Roman" w:eastAsia="Times New Roman" w:hAnsi="Times New Roman"/>
          <w:sz w:val="20"/>
          <w:szCs w:val="20"/>
          <w:color w:val="auto"/>
        </w:rPr>
        <w:t>We believe we have developed a reputation for high-quality service, reliability and social and environmental responsibility, and we believe our brand symbolizes these attributes. The WM brand name, trademarks and logos and our reputation are powerful sales and marketing tools, and we devote significant resources to promoting and protecting them. Adverse publicity, whether or not justified, relating to activities by our operations, employees or agents, or challenges to our assertions of social and environmental responsibility, could tarnish our reputation and reduce the value of our brand. (Also see Item 1A. Risk Factors — Focus on, and regulation of, sustainability performance and disclosure can result in increased costs, risk of noncompliance, damage to our reputation and related adverse effects).</w:t>
      </w:r>
    </w:p>
    <w:p>
      <w:pPr>
        <w:spacing w:after="0" w:line="81" w:lineRule="exact"/>
        <w:rPr>
          <w:sz w:val="20"/>
          <w:szCs w:val="20"/>
          <w:color w:val="auto"/>
        </w:rPr>
      </w:pPr>
    </w:p>
    <w:p>
      <w:pPr>
        <w:jc w:val="both"/>
        <w:ind w:left="520" w:right="3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have made significant investments in an extensive natural gas truck fleet, which makes us partially dependent on the availability of natural gas and fueling infrastructure and vulnerable to natural gas prices, and requirements to transition away from our current vehicle fleet to electric powered vehicles could impair our investments and result in cost increases and significant additional capital investment.</w:t>
      </w:r>
    </w:p>
    <w:p>
      <w:pPr>
        <w:spacing w:after="0" w:line="73"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We operate a large fleet of natural gas vehicles, and we plan to continue to invest in these assets for our collection fleet. However, natural gas fueling infrastructure is not yet broadly available in the U.S. and Canada; as a result, we have constructed and operate natural gas fueling stations, some of which also serve the public or pre-approved third parties. It will remain necessary for us to invest capital in fueling infrastructure to power our natural gas fleet. Fluctuations in the price and supply of natural gas or diesel fuel could substantially increase our operating expenses; a reduction in the existing cost differential between natural gas and diesel fuel could materially reduce the benefits we anticipate from our investment in natural gas vehicles.</w:t>
      </w:r>
    </w:p>
    <w:p>
      <w:pPr>
        <w:spacing w:after="0" w:line="81"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19"/>
          <w:szCs w:val="19"/>
          <w:color w:val="auto"/>
        </w:rPr>
        <w:t xml:space="preserve">There is increasing pressure to reduce the use of fossil fuel in the heavy-duty truck industry, and some regulatory bodies are pursuing requirements for using alternative engine technology, such as electric powered vehicles, rather than natural gas or diesel vehicles. This is resulting in regulatory actions to advance the adoption of zero - emission vehicles and a shift away from tax incentives and grants for natural gas trucks and RNG infrastructure. See Item 1. </w:t>
      </w:r>
      <w:r>
        <w:rPr>
          <w:rFonts w:ascii="Times New Roman" w:cs="Times New Roman" w:eastAsia="Times New Roman" w:hAnsi="Times New Roman"/>
          <w:sz w:val="19"/>
          <w:szCs w:val="19"/>
          <w:i w:val="1"/>
          <w:iCs w:val="1"/>
          <w:color w:val="auto"/>
        </w:rPr>
        <w:t>Business – Regulation</w:t>
      </w:r>
    </w:p>
    <w:p>
      <w:pPr>
        <w:spacing w:after="0" w:line="4" w:lineRule="exact"/>
        <w:rPr>
          <w:sz w:val="20"/>
          <w:szCs w:val="20"/>
          <w:color w:val="auto"/>
        </w:rPr>
      </w:pPr>
    </w:p>
    <w:p>
      <w:pPr>
        <w:jc w:val="both"/>
        <w:ind w:left="360" w:right="360"/>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 Investment in Natural Gas Vehicles and Infrastructure </w:t>
      </w:r>
      <w:r>
        <w:rPr>
          <w:rFonts w:ascii="Times New Roman" w:cs="Times New Roman" w:eastAsia="Times New Roman" w:hAnsi="Times New Roman"/>
          <w:sz w:val="20"/>
          <w:szCs w:val="20"/>
          <w:color w:val="auto"/>
        </w:rPr>
        <w:t>for additional information. Regulation mandating an accelerated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transition away from natural gas trucks and our remaining diesel vehicles, including the recently acquired Stericycle fleet, to electric powered vehicles would increase our cost to acquire vehicles needed to service our customers, and capital investment required to establish sufficient charging infrastructure could be significant. Additionally, the investments we have made in an industry-leading natural gas fleet and infrastructure could be impaired. Tax incentives and grants that advance the adoption of zero-emissions vehicles and lead to a shift away from natural gas trucks and RNG infrastructure would likely also negatively impact our investments in landfill gas-to-energy facilities.</w:t>
      </w:r>
    </w:p>
    <w:p>
      <w:pPr>
        <w:spacing w:after="0" w:line="86" w:lineRule="exact"/>
        <w:rPr>
          <w:sz w:val="20"/>
          <w:szCs w:val="20"/>
          <w:color w:val="auto"/>
        </w:rPr>
      </w:pPr>
    </w:p>
    <w:p>
      <w:pPr>
        <w:jc w:val="both"/>
        <w:ind w:left="520" w:right="3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achieve our sustainability-related goals, including reduction of our greenhouse gas ("GHG") emissions, or execute on our sustainability-related growth strategy and initiatives, within planned timelines or anticipated budget, which could damage our reputation and negatively impact the benefits anticipated from our investments.</w:t>
      </w:r>
    </w:p>
    <w:p>
      <w:pPr>
        <w:spacing w:after="0" w:line="75"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Consistent with our Company’s long-standing commitment to sustainability and environmental stewardship, we have set goals to reduce our GHG emissions and announced other sustainability-related goals and initiatives. We may not be able to meet such goals or implement such initiatives in the manner or on timelines contemplated due to challenges including, but not limited to, unforeseen costs or delays, changes in how GHG emissions are calculated or otherwise reported, supply chain disruptions, regulatory impacts, integration of acquired assets or businesses, technology limitations or technical difficulties associated with achieving such goals. Changes to our business or asset base that were not contemplated when we set our sustainability-related goals, including the acquisition and integration of Stericycle’s business, assets and operations, could adversely impact our progress towards these goals and require us to adjust them. These changes could negatively impact public perception of our Company and stakeholders may view these changes unfavorably. Also, despite voluntarily announcing such sustainability goals, we may receive pressure from investors or other groups to adopt more aggressive sustainability-related goals that may not be technically, operationally, or financially feasible.</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3320" w:h="16920" w:orient="portrait"/>
          <w:cols w:equalWidth="0" w:num="1">
            <w:col w:w="10440"/>
          </w:cols>
          <w:pgMar w:left="1440" w:top="1440" w:right="1440" w:bottom="1440" w:gutter="0" w:footer="0" w:header="0"/>
          <w:type w:val="continuous"/>
        </w:sectPr>
      </w:pPr>
    </w:p>
    <w:bookmarkStart w:id="104" w:name="page105"/>
    <w:bookmarkEnd w:id="104"/>
    <w:p>
      <w:pPr>
        <w:spacing w:after="0" w:line="347"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 xml:space="preserve">In addition, our sustainability-related growth strategy includes significant planned and ongoing investments in our Recycling Processing and Sales and WM Renewable Energy segments. Our ability to successfully execute this strategy may be impacted by the numerous risks and uncertainties associated with our business and the environmental services industry, including financial and operating performance, availability of technology and financing, changes in regulation, commodity price fluctuation and general economic conditions. (Also see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Our revenues, earnings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and cash flows fluctuate based on changes in commodity prices and demand and may fluctuate substantially without notice in the future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 Our sustainability growth strategy includes significant planned and ongoing investments in our WM Renewable Energy segment; changes to federal and state renewable fuel policies could affect our financial performance, and such investments may not yield the results anticipated.</w:t>
      </w:r>
      <w:r>
        <w:rPr>
          <w:rFonts w:ascii="Times New Roman" w:cs="Times New Roman" w:eastAsia="Times New Roman" w:hAnsi="Times New Roman"/>
          <w:sz w:val="20"/>
          <w:szCs w:val="20"/>
          <w:color w:val="auto"/>
        </w:rPr>
        <w:t>) Favorable expectations regarding potential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investment tax credits or other benefits stemming from the Inflation Reduction Act of 2022 (“IRA”) may not materialize or could fail to meet expectations. See Item 1. </w:t>
      </w:r>
      <w:r>
        <w:rPr>
          <w:rFonts w:ascii="Times New Roman" w:cs="Times New Roman" w:eastAsia="Times New Roman" w:hAnsi="Times New Roman"/>
          <w:sz w:val="20"/>
          <w:szCs w:val="20"/>
          <w:i w:val="1"/>
          <w:iCs w:val="1"/>
          <w:color w:val="auto"/>
        </w:rPr>
        <w:t>Business – Regulation – Recent Developments and Focus Areas in Policy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and Regulation – Tax Legislation </w:t>
      </w:r>
      <w:r>
        <w:rPr>
          <w:rFonts w:ascii="Times New Roman" w:cs="Times New Roman" w:eastAsia="Times New Roman" w:hAnsi="Times New Roman"/>
          <w:sz w:val="20"/>
          <w:szCs w:val="20"/>
          <w:color w:val="auto"/>
        </w:rPr>
        <w:t>for additional information.</w:t>
      </w:r>
    </w:p>
    <w:p>
      <w:pPr>
        <w:spacing w:after="0" w:line="86"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Some or all of the expected benefits of our sustainability-related investments and initiatives may not occur within the anticipated time periods or may cost more to achieve than anticipated. An inability to develop, obtain, or scale necessary equipment, technology and innovations, and challenges arising from the availability or cost of materials and infrastructure or regulatory approvals or permitting requirements associated with our sustainability investments and initiatives, could impede our ability to execute on our plans and achieve our goals or realize our expected financial performance from these investments. Actions we take to achieve these goals and implement our sustainability growth strategy and initiatives, including development and implementation of enhanced technology and reporting systems, will require increased capital expenditures and management focus, which may divert investment and management focus away from other aspects of our business operations.</w:t>
      </w:r>
    </w:p>
    <w:p>
      <w:pPr>
        <w:spacing w:after="0" w:line="86"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19"/>
          <w:szCs w:val="19"/>
          <w:color w:val="auto"/>
        </w:rPr>
        <w:t xml:space="preserve">We have also forecasted or projected certain operational and financial information with respect to our sustainability investments and initiatives, and many of these statements are based on expectations and assumptions that are necessarily uncertain and are subject to risks and uncertainties that could cause actual results to be materially different from our forecasts and projections. For example, the </w:t>
      </w:r>
      <w:r>
        <w:rPr>
          <w:rFonts w:ascii="Times New Roman" w:cs="Times New Roman" w:eastAsia="Times New Roman" w:hAnsi="Times New Roman"/>
          <w:sz w:val="17"/>
          <w:szCs w:val="17"/>
          <w:color w:val="auto"/>
        </w:rPr>
        <w:t>amount of gas produced over time at landfills can vary depending on many factors,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 xml:space="preserve">including weather and the composition of the inbound waste stream. While we have sophisticated systems to predict gas curves, they are inherently uncertain, and if we have less gas than predicted at a site where we have invested in RNG infrastructure, it may take longer to achieve our return on investment. </w:t>
      </w:r>
      <w:r>
        <w:rPr>
          <w:rFonts w:ascii="Times New Roman" w:cs="Times New Roman" w:eastAsia="Times New Roman" w:hAnsi="Times New Roman"/>
          <w:sz w:val="19"/>
          <w:szCs w:val="19"/>
          <w:color w:val="auto"/>
        </w:rPr>
        <w:t>Relatedly, the quality of the gathered gas is subject to the composition of the waste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9"/>
          <w:szCs w:val="19"/>
          <w:color w:val="auto"/>
        </w:rPr>
        <w:t xml:space="preserve">deposited at our landfills, and the prevalence of certain chemical compounds may adversely affect the usability of such gas and require further investment in the treatment and management of such compounds. </w:t>
      </w:r>
      <w:r>
        <w:rPr>
          <w:rFonts w:ascii="Times New Roman" w:cs="Times New Roman" w:eastAsia="Times New Roman" w:hAnsi="Times New Roman"/>
          <w:sz w:val="17"/>
          <w:szCs w:val="17"/>
          <w:color w:val="auto"/>
        </w:rPr>
        <w:t>Regulations requiring diversion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organic wastes away from landfills could have the effect of decreasing the amount of landfill gas produced over time in our landfills.</w:t>
      </w:r>
    </w:p>
    <w:p>
      <w:pPr>
        <w:spacing w:after="0" w:line="75" w:lineRule="exact"/>
        <w:rPr>
          <w:sz w:val="20"/>
          <w:szCs w:val="20"/>
          <w:color w:val="auto"/>
        </w:rPr>
      </w:pPr>
    </w:p>
    <w:p>
      <w:pPr>
        <w:ind w:left="520"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Focus on, and regulation of, sustainability performance and disclosure can result in increased costs, risk of noncompliance, damage to our reputation and related adverse effects.</w:t>
      </w:r>
    </w:p>
    <w:p>
      <w:pPr>
        <w:spacing w:after="0" w:line="47"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19"/>
          <w:szCs w:val="19"/>
          <w:color w:val="auto"/>
        </w:rPr>
        <w:t xml:space="preserve">The nature, scope, and complexity of matters that our Company must assess, quantify and disclose are expanding due to current, proposed, and recently enacted governmental reporting requirements pertaining to sustainability and climate-related risks and other topics, such as water usage, waste production, labor, human capital, environmental justice, cybersecurity, privacy, and risk oversight. For example, see Item 1. </w:t>
      </w:r>
      <w:r>
        <w:rPr>
          <w:rFonts w:ascii="Times New Roman" w:cs="Times New Roman" w:eastAsia="Times New Roman" w:hAnsi="Times New Roman"/>
          <w:sz w:val="19"/>
          <w:szCs w:val="19"/>
          <w:i w:val="1"/>
          <w:iCs w:val="1"/>
          <w:color w:val="auto"/>
        </w:rPr>
        <w:t>Business – Regulation – Recent Developments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Focus Areas in Policy and Regulation – Climate and Sustainability </w:t>
      </w:r>
      <w:r>
        <w:rPr>
          <w:rFonts w:ascii="Times New Roman" w:cs="Times New Roman" w:eastAsia="Times New Roman" w:hAnsi="Times New Roman"/>
          <w:sz w:val="19"/>
          <w:szCs w:val="19"/>
          <w:color w:val="auto"/>
        </w:rPr>
        <w:t>for information about California’s Climate Corporate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Data Accountability Act and Climate-Related Financial Risk Act, the SEC’s climate-related disclosure rule, which is currently stayed pending judicial review, as well as potential international reporting obligations, including the Corporate Sustainability Reporting Directive. Methodology and timelines for mandatory reporting requirements may be inconsistent with requirements enacted by other governmental entities, including with respect to measuring emissions and requiring a determination of “materiality” that may differ from traditional disclosure requirements under U.S. federal securities laws. Such inconsistency could further increase costs and divert management time and attention.</w:t>
      </w:r>
    </w:p>
    <w:p>
      <w:pPr>
        <w:spacing w:after="0" w:line="68" w:lineRule="exact"/>
        <w:rPr>
          <w:sz w:val="20"/>
          <w:szCs w:val="20"/>
          <w:color w:val="auto"/>
        </w:rPr>
      </w:pPr>
    </w:p>
    <w:p>
      <w:pPr>
        <w:jc w:val="both"/>
        <w:ind w:left="360" w:right="360" w:firstLine="360"/>
        <w:spacing w:after="0" w:line="260" w:lineRule="auto"/>
        <w:rPr>
          <w:sz w:val="20"/>
          <w:szCs w:val="20"/>
          <w:color w:val="auto"/>
        </w:rPr>
      </w:pPr>
      <w:r>
        <w:rPr>
          <w:rFonts w:ascii="Times New Roman" w:cs="Times New Roman" w:eastAsia="Times New Roman" w:hAnsi="Times New Roman"/>
          <w:sz w:val="19"/>
          <w:szCs w:val="19"/>
          <w:color w:val="auto"/>
        </w:rPr>
        <w:t xml:space="preserve">Our industry faces challenges to implement these rapidly developing disclosure requirements, as well as the risk of enforcement actions by governmental and regulatory agencies for noncompliance. Significant expenditures and commitment of time by management, employees and consultants is involved in developing, implementing and overseeing policies, practices, additional disclosures and internal controls related to environmental and sustainability risk and performance. Public statements with respect to sustainability matters are becoming increasingly subject to heightened scrutiny from public and governmental authorities related to the risk of potential “greenwashing,”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misleading information or false claims overstating potential sustainability benefits. We are aware that non-governmental organizations and other private actors have filed lawsuits against companies under various securities and consumer protection laws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3320" w:h="16920" w:orient="portrait"/>
          <w:cols w:equalWidth="0" w:num="1">
            <w:col w:w="10440"/>
          </w:cols>
          <w:pgMar w:left="1440" w:top="1440" w:right="1440" w:bottom="1440" w:gutter="0" w:footer="0" w:header="0"/>
          <w:type w:val="continuous"/>
        </w:sectPr>
      </w:pPr>
    </w:p>
    <w:bookmarkStart w:id="105" w:name="page106"/>
    <w:bookmarkEnd w:id="105"/>
    <w:p>
      <w:pPr>
        <w:spacing w:after="0" w:line="347" w:lineRule="exact"/>
        <w:rPr>
          <w:sz w:val="20"/>
          <w:szCs w:val="20"/>
          <w:color w:val="auto"/>
        </w:rPr>
      </w:pPr>
    </w:p>
    <w:p>
      <w:pPr>
        <w:jc w:val="both"/>
        <w:ind w:left="360" w:right="360"/>
        <w:spacing w:after="0" w:line="249" w:lineRule="auto"/>
        <w:rPr>
          <w:sz w:val="20"/>
          <w:szCs w:val="20"/>
          <w:color w:val="auto"/>
        </w:rPr>
      </w:pPr>
      <w:r>
        <w:rPr>
          <w:rFonts w:ascii="Times New Roman" w:cs="Times New Roman" w:eastAsia="Times New Roman" w:hAnsi="Times New Roman"/>
          <w:sz w:val="20"/>
          <w:szCs w:val="20"/>
          <w:color w:val="auto"/>
        </w:rPr>
        <w:t>alleging that certain sustainability-related statements, goals or standards were misleading, false or otherwise deceptive. An inability to implement such policies, practices, and internal controls and maintain compliance with laws and regulations, or a perception among stakeholders that our sustainability disclosures and goals are insufficient or our goals are unattainable, could harm our reputation and competitive position and negatively impact our stock price and business performance.</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u w:val="single" w:color="auto"/>
          <w:color w:val="auto"/>
        </w:rPr>
        <w:t>External Economic and Industry Risks</w:t>
      </w:r>
    </w:p>
    <w:p>
      <w:pPr>
        <w:spacing w:after="0" w:line="233" w:lineRule="exact"/>
        <w:rPr>
          <w:sz w:val="20"/>
          <w:szCs w:val="20"/>
          <w:color w:val="auto"/>
        </w:rPr>
      </w:pPr>
    </w:p>
    <w:p>
      <w:pPr>
        <w:jc w:val="both"/>
        <w:ind w:left="520" w:right="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Market disruption, including labor shortages, external strikes, and supply chain constraints, and macroeconomic pressures, including inflation, have recently had, and may in the future have, an adverse impact on our business and results of operations.</w:t>
      </w:r>
    </w:p>
    <w:p>
      <w:pPr>
        <w:spacing w:after="0" w:line="65" w:lineRule="exact"/>
        <w:rPr>
          <w:sz w:val="20"/>
          <w:szCs w:val="20"/>
          <w:color w:val="auto"/>
        </w:rPr>
      </w:pPr>
    </w:p>
    <w:p>
      <w:pPr>
        <w:jc w:val="both"/>
        <w:ind w:left="360" w:right="360" w:firstLine="360"/>
        <w:spacing w:after="0" w:line="255" w:lineRule="auto"/>
        <w:rPr>
          <w:sz w:val="20"/>
          <w:szCs w:val="20"/>
          <w:color w:val="auto"/>
        </w:rPr>
      </w:pPr>
      <w:r>
        <w:rPr>
          <w:rFonts w:ascii="Times New Roman" w:cs="Times New Roman" w:eastAsia="Times New Roman" w:hAnsi="Times New Roman"/>
          <w:sz w:val="19"/>
          <w:szCs w:val="19"/>
          <w:color w:val="auto"/>
        </w:rPr>
        <w:t>Market disruption resulting from labor shortages, external labor disputes and strikes (such as the recent port strike) and supply chain and transportation constraints, and macroeconomic pressures, including inflation and rising interest rates, have recently had, and may in the future have, an adverse impact our results and can create risk and uncertainty in financial outlook. Inflation can and has increased costs for the goods and services we purchase, particularly for labor, repair and maintenance, and subcontractor costs. Supply chain activity has largely normalized, but disruption can reduce availability of certain assets used in our business. Aspects of our business rely on third-party transportation providers, and such services have become more limited and expensive. We may also experience margin pressures from commodity-driven business impacts. The October 2024 port strike negatively impacted recycling commodity prices, and the risk of another port strike, or global economic slowdown, could impact future prices. The constrained labor market has resulted in increased costs for wage adjustments, overtime hours and training new hires. If we are not able to overcome limitations on labor availability, it could materially impact our ability to service our customers and our financial results. Significant new restrictions and tariffs on foreign trade could have a negative impact on our recycling export business and our cross -border commerce, particularly with Canada, and could increase the cost of certain equipment and other materials used in our operations that we procure from outside the U.S., including our trucks and certain equipment used to implement our sustainability growth strategy. Geopolitical conflicts and the resulting international responses may also exacerbate market disruption, leading to volatility in commodity prices, impacts on the availability and cost of energy, increased cyberattacks, and vendor and supplier disruptions across the global supply chain. The extent and duration of the impact of these labor market, supply chain, transportation and commodity-price challenges are subject to numerous external factors beyond our control. If such impacts are prolonged and substantial, they could have a material negative effect on our results of operations.</w:t>
      </w:r>
    </w:p>
    <w:p>
      <w:pPr>
        <w:spacing w:after="0" w:line="80"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Accelerated and pronounced economic pressures, such as rising interest rates and inflationary cost pressures, have impacted and continue to impact our cost structure and capital expenditures. Significant components of our operating expenses vary directly as we experience changes in revenue due to volume and inflation, and we may not be able to dynamically manage our cost structure in response to such changes. A significant portion of our revenue is tied to a price escalation index with a lookback provision, resulting in a timing lag in our ability to recover increased costs under those contracts during periods of rapid inflation. Separately, for many of our customers we provide services under multi-year contracts that can restrict our ability to increase prices and the timing of such increases. Our overall strategic pricing efforts are focused on recovering as much of the inflationary cost increases we experience in our business as possible by increasing our average unit rate, but such efforts may not be successful for various reasons including the pace of inflation, operating cost inefficiencies, contractual limitations, and market responses. The inability to adequately increase prices to offset increased costs and inflationary pressures, or otherwise mitigate the impact of these conditions on our business, will increase our costs of doing business and reduce our margins.</w:t>
      </w:r>
    </w:p>
    <w:p>
      <w:pPr>
        <w:spacing w:after="0" w:line="86" w:lineRule="exact"/>
        <w:rPr>
          <w:sz w:val="20"/>
          <w:szCs w:val="20"/>
          <w:color w:val="auto"/>
        </w:rPr>
      </w:pPr>
    </w:p>
    <w:p>
      <w:pPr>
        <w:ind w:left="520"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environmental services industry is highly competitive, and if we cannot successfully compete in the marketplace, our business, financial condition and operating results may be materially adversely affected.</w:t>
      </w:r>
    </w:p>
    <w:p>
      <w:pPr>
        <w:spacing w:after="0" w:line="47"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19"/>
          <w:szCs w:val="19"/>
          <w:color w:val="auto"/>
        </w:rPr>
        <w:t>We encounter intense competition from governmental, quasi-governmental and private sources in all aspects of our operations and when expanding to new lines of business or new markets. We principally compete with large national waste management companies, counties and municipalities that maintain their own waste collection and disposal or recycling operations and regional and local companies of varying sizes and financial resources. The industry also includes companies that specialize in certain discrete areas of waste management, operators of alternative disposal facilities, companies that seek to use parts of the waste stream as feedstock for renewable energy and other by -products, and waste brokers that rely upon haulers in local markets to address customer needs. In recent years, the industry has seen some additional consolidation, though the industry remains intensely competitive. Counties and municipalities may have financial competitive advantages because tax revenues are available to them and tax-exempt financing is more readily available to</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3320" w:h="16920" w:orient="portrait"/>
          <w:cols w:equalWidth="0" w:num="1">
            <w:col w:w="10440"/>
          </w:cols>
          <w:pgMar w:left="1440" w:top="1440" w:right="1440" w:bottom="1440" w:gutter="0" w:footer="0" w:header="0"/>
          <w:type w:val="continuous"/>
        </w:sectPr>
      </w:pPr>
    </w:p>
    <w:bookmarkStart w:id="106" w:name="page107"/>
    <w:bookmarkEnd w:id="106"/>
    <w:p>
      <w:pPr>
        <w:spacing w:after="0" w:line="347" w:lineRule="exact"/>
        <w:rPr>
          <w:sz w:val="20"/>
          <w:szCs w:val="20"/>
          <w:color w:val="auto"/>
        </w:rPr>
      </w:pPr>
    </w:p>
    <w:p>
      <w:pPr>
        <w:jc w:val="both"/>
        <w:ind w:left="360" w:right="360"/>
        <w:spacing w:after="0" w:line="249" w:lineRule="auto"/>
        <w:rPr>
          <w:sz w:val="20"/>
          <w:szCs w:val="20"/>
          <w:color w:val="auto"/>
        </w:rPr>
      </w:pPr>
      <w:r>
        <w:rPr>
          <w:rFonts w:ascii="Times New Roman" w:cs="Times New Roman" w:eastAsia="Times New Roman" w:hAnsi="Times New Roman"/>
          <w:sz w:val="20"/>
          <w:szCs w:val="20"/>
          <w:color w:val="auto"/>
        </w:rPr>
        <w:t>them. Also, such governmental units may attempt to impose flow control or other restrictions that would give them a competitive advantage. In addition, some of our competitors may have lower financial expectations, allowing them to reduce their prices to expand sales volume or to win competitively-bid contracts, including large national accounts and exclusive franchise arrangements with municipalities. When this happens, we may lose customers and be unable to execute our pricing strategy, resulting in a negative impact to our revenue growth from yield on base business.</w:t>
      </w:r>
    </w:p>
    <w:p>
      <w:pPr>
        <w:spacing w:after="0" w:line="78" w:lineRule="exact"/>
        <w:rPr>
          <w:sz w:val="20"/>
          <w:szCs w:val="20"/>
          <w:color w:val="auto"/>
        </w:rPr>
      </w:pPr>
    </w:p>
    <w:p>
      <w:pPr>
        <w:ind w:left="520"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revenues, earnings and cash flows fluctuate based on changes in commodity prices and demand and may fluctuate substantially without notice in the future.</w:t>
      </w:r>
    </w:p>
    <w:p>
      <w:pPr>
        <w:spacing w:after="0" w:line="47"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Prices and demand for recyclables fluctuate and are particularly susceptible to volatility based on macroeconomic conditions and regulations. The fluctuations in the market prices or demand for these commodities can affect our operating income and cash flows positively, as we experienced in 2024, or negatively, as we experienced in 2023. The increase in market prices in 2024 for recyclable commodities resulted in a year-over-year increase in revenue of $245 million, and the decline in market prices in 2023 for recyclable commodities resulted in a year-over-year decrease in revenue of $308 million.</w:t>
      </w:r>
    </w:p>
    <w:p>
      <w:pPr>
        <w:spacing w:after="0" w:line="80"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Regulations affecting, and in some cases restricting, the international flow of certain recyclables have led to a reduction in export activity for such recyclables, as well as higher quality requirements and higher processing costs. Additionally, the new U.S. presidential administration has called for substantial changes to foreign trade policy. Significant new restrictions and tariffs on foreign trade could negatively impact commodity prices and our recycling export business. We are making significant planned and ongoing investments in our recycling business to increase automation and reduce labor dependency and address increases in regulatory- and customer-driven quality requirements for commodities. These investments increase our exposure to commodity price fluctuations. Future regulation, tariffs, international trade policies or other initiatives, including regulations addressing climate change or GHG emissions, may impact supply and demand of material, or increase operating costs, which could impact the profitability of our recycling operations. If we do not effectively manage changes in demand and commodity prices for recyclable materials, or if we do not successfully execute our sustainability growth strategy, our investments in recycling infrastructure and technology may not yield the results anticipated.</w:t>
      </w:r>
    </w:p>
    <w:p>
      <w:pPr>
        <w:spacing w:after="0" w:line="86"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Fluctuation in energy-related prices also affects our business, including recycling of plastics manufactured from petroleum products. Our sustainability growth strategy includes increased investment in landfill gas-to-energy facilities and expansion of our WM Renewable Energy segment, which generates and sells credits referred to as Renewable Identification Numbers (“RINs”). RINs prices generally respond to regulations enacted by the EPA, as well as fluctuations in supply and demand, and have historically been very volatile. Additionally, significant variations in the price of biogas, electricity and other energy-related products that are marketed and sold by our landfill gas recovery operations can result in a corresponding impact to our revenue from yield from such operations. Expansion of our WM Renewable Energy segment may introduce additional risks and volatility to our financial performance.</w:t>
      </w:r>
    </w:p>
    <w:p>
      <w:pPr>
        <w:spacing w:after="0" w:line="82" w:lineRule="exact"/>
        <w:rPr>
          <w:sz w:val="20"/>
          <w:szCs w:val="20"/>
          <w:color w:val="auto"/>
        </w:rPr>
      </w:pPr>
    </w:p>
    <w:p>
      <w:pPr>
        <w:ind w:left="520"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Increasing customer preference for alternatives to landfill disposal and bans on certain types of waste could reduce our landfill volumes and cause our revenues and operating results to decline.</w:t>
      </w:r>
    </w:p>
    <w:p>
      <w:pPr>
        <w:spacing w:after="0" w:line="47" w:lineRule="exact"/>
        <w:rPr>
          <w:sz w:val="20"/>
          <w:szCs w:val="20"/>
          <w:color w:val="auto"/>
        </w:rPr>
      </w:pPr>
    </w:p>
    <w:p>
      <w:pPr>
        <w:jc w:val="both"/>
        <w:ind w:left="360" w:right="360" w:firstLine="360"/>
        <w:spacing w:after="0" w:line="242" w:lineRule="auto"/>
        <w:rPr>
          <w:sz w:val="20"/>
          <w:szCs w:val="20"/>
          <w:color w:val="auto"/>
        </w:rPr>
      </w:pPr>
      <w:r>
        <w:rPr>
          <w:rFonts w:ascii="Times New Roman" w:cs="Times New Roman" w:eastAsia="Times New Roman" w:hAnsi="Times New Roman"/>
          <w:sz w:val="20"/>
          <w:szCs w:val="20"/>
          <w:color w:val="auto"/>
        </w:rPr>
        <w:t>Our customers are increasingly diverting waste to alternatives to landfill disposal, such as recycling and composting, while also working to reduce the amount of waste they generate. In addition, many state and local governments mandate diversion, recycling and waste reduction at the source and prohibit the disposal of certain types of materials at landfills, such as recyclables (cardboard, bottles and cans), yard waste, food waste and electronics. Where organic waste is not banned from disposal in landfills, some large customers such as grocery stores and restaurants are choosing to divert their organic waste from landfills. Zero-waste goals (sending no waste to the landfill) have been set by many large North American and global companies and government agencies. This increased focus on minimizing climate impacts may require the Company to invest in higher-cost technologies for more efficient waste collection and processing. Although such mandates and initiatives help to protect our environment, these developments reduce the volume of waste going to our landfills, which may affect the prices that we can charge for landfill disposal. Our landfills currently provide our highest income from operations margins. Reducing landfilled organic waste also reduces the amount of landfill gas produced from our landfills, adversely impacting our landfill gas-to-energy facilities. If we are not successful in expanding our service offerings, growing lines of businesses to service waste streams that do not go to landfills, and providing alternative services for customers that wish to reduce waste entirely, then our revenues and operating results may decline. Additionally, despite the development of new service offerings and lines of business, it is possible that our revenues and our income from operations margins could be negatively affected due to disposal alternatives.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3320" w:h="16920" w:orient="portrait"/>
          <w:cols w:equalWidth="0" w:num="1">
            <w:col w:w="10440"/>
          </w:cols>
          <w:pgMar w:left="1440" w:top="1440" w:right="1440" w:bottom="1440" w:gutter="0" w:footer="0" w:header="0"/>
          <w:type w:val="continuous"/>
        </w:sectPr>
      </w:pPr>
    </w:p>
    <w:bookmarkStart w:id="107" w:name="page108"/>
    <w:bookmarkEnd w:id="107"/>
    <w:p>
      <w:pPr>
        <w:spacing w:after="0" w:line="347"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With a heightened awareness of the global problems caused by plastic waste in the environment, and actual or perceived risks for human health, many governments have passed ordinances banning certain types of plastics from sale or use. The most common materials banned include plastic bags and straws, polystyrene plastic and some types of single use packaging. These bans have increased pressure by manufacturers on our recycling facilities to accept a broader array of materials in curbside recycling and composting programs to alleviate public pressures to ban the sale of those materials. However, there are currently no or limited viable end markets for recycling many of these materials, and inclusion of such materials in our recycling stream increases contamination and operating costs that can negatively affect the results of our recycling operations.</w:t>
      </w:r>
    </w:p>
    <w:p>
      <w:pPr>
        <w:spacing w:after="0" w:line="83" w:lineRule="exact"/>
        <w:rPr>
          <w:sz w:val="20"/>
          <w:szCs w:val="20"/>
          <w:color w:val="auto"/>
        </w:rPr>
      </w:pPr>
    </w:p>
    <w:p>
      <w:pPr>
        <w:ind w:left="520" w:right="3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General economic conditions can directly and adversely affect revenues for our services and our income from operations margins.</w:t>
      </w:r>
    </w:p>
    <w:p>
      <w:pPr>
        <w:spacing w:after="0" w:line="47"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Our business is directly affected by changes in national and general economic factors that are outside of our control, including consumer confidence, inflation, interest rates and access to capital markets. A weak economy generally results in decreased consumer spending and decreases in volumes of waste generated, which negatively impacts the ability to grow through new business or service upgrades, and may result in customer turnover and reduction in customers’ waste service needs. Consumer uncertainty and the loss of consumer confidence may also reduce the number and variety of services requested by customers. Additionally, a weak market for consumer goods can significantly decrease demand by paper mills for recycled corrugated cardboard used in packaging, which could negatively impact commodity prices and our operating income and cash flows.</w:t>
      </w:r>
    </w:p>
    <w:p>
      <w:pPr>
        <w:spacing w:after="0" w:line="82"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A decrease in waste volumes generated results in an increase in competitive pricing pressure; such economic conditions may also interfere with our ability to implement our pricing strategy. Many of our contracts have price adjustment provisions that are tied to an index such as the Consumer Price Index. Our costs may increase more than the increase, if any, in the Consumer Price Index, partially due to our relatively high fixed-cost structure. We may not be able to dynamically manage our cost structure in response to shifting volume levels and vendor costs, and our cost structure may not correlate with the Consumer Price Index or the waste industry. An economic recession or other economic weakness is likely to negatively impact our revenues and margins.</w:t>
      </w:r>
    </w:p>
    <w:p>
      <w:pPr>
        <w:spacing w:after="0" w:line="81" w:lineRule="exact"/>
        <w:rPr>
          <w:sz w:val="20"/>
          <w:szCs w:val="20"/>
          <w:color w:val="auto"/>
        </w:rPr>
      </w:pPr>
    </w:p>
    <w:p>
      <w:pPr>
        <w:ind w:left="520"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Reduction in volumes of medical waste, controlled substances wastes, and personal and confidential information, and changing conditions in the healthcare industry, could adversely affect our financial results.</w:t>
      </w:r>
    </w:p>
    <w:p>
      <w:pPr>
        <w:spacing w:after="0" w:line="47" w:lineRule="exact"/>
        <w:rPr>
          <w:sz w:val="20"/>
          <w:szCs w:val="20"/>
          <w:color w:val="auto"/>
        </w:rPr>
      </w:pPr>
    </w:p>
    <w:p>
      <w:pPr>
        <w:jc w:val="both"/>
        <w:ind w:left="360" w:right="360" w:firstLine="447"/>
        <w:spacing w:after="0" w:line="249" w:lineRule="auto"/>
        <w:rPr>
          <w:sz w:val="20"/>
          <w:szCs w:val="20"/>
          <w:color w:val="auto"/>
        </w:rPr>
      </w:pPr>
      <w:r>
        <w:rPr>
          <w:rFonts w:ascii="Times New Roman" w:cs="Times New Roman" w:eastAsia="Times New Roman" w:hAnsi="Times New Roman"/>
          <w:sz w:val="20"/>
          <w:szCs w:val="20"/>
          <w:color w:val="auto"/>
        </w:rPr>
        <w:t>Following our acquisition of Stericycle, we provide compliance-based services that rely on the generation of medical waste, controlled substances waste and personal and confidential information by our customers. The volume of such material may be impacted by macroeconomic trends associated with manufacturing and industrial markets, healthcare market dynamics, and trends associated with an increase in work-from-home arrangements and electronic and digital record keeping. Long-term trends resulting from these factors could reduce the demand for these services.</w:t>
      </w:r>
    </w:p>
    <w:p>
      <w:pPr>
        <w:spacing w:after="0" w:line="77"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In addition, in the U.S. and elsewhere, the healthcare industry is evolving to meet competing demands for increased healthcare coverage of a growing and aging population and economic pressures to reduce healthcare costs. As a result of these dynamics, hospital networks are consolidating physician practices into their networks, independent practices are consolidating, and healthcare providers are focused on cutting costs within their businesses. These changes and consolidation of the customer base increase the competitive nature of the healthcare waste industry and exert downward pricing pressure, which could adversely affect our financial results.</w:t>
      </w:r>
    </w:p>
    <w:p>
      <w:pPr>
        <w:spacing w:after="0" w:line="80" w:lineRule="exact"/>
        <w:rPr>
          <w:sz w:val="20"/>
          <w:szCs w:val="20"/>
          <w:color w:val="auto"/>
        </w:rPr>
      </w:pPr>
    </w:p>
    <w:p>
      <w:pPr>
        <w:ind w:left="520"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Weakness in the economy may expose us to credit risk of governmental entities and municipalities and other major customers, which could negatively impact our financial results.</w:t>
      </w:r>
    </w:p>
    <w:p>
      <w:pPr>
        <w:spacing w:after="0" w:line="48"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We provide service to a number of governmental entities, municipalities, and large national accounts. During periods of economic weakness, governmental entities and municipalities can suffer significant financial difficulties, due in part to reduced tax revenue and/or high-cost structures. During these periods, such entities, and our non-governmental customers, could be unable to pay amounts owed to us or renew contracts with us at previous or increased rates.</w:t>
      </w:r>
    </w:p>
    <w:p>
      <w:pPr>
        <w:spacing w:after="0" w:line="73"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Purchasers of our recycling commodities can be particularly vulnerable to financial difficulties in times of commodity price volatility. The inability of our customers to pay us in a timely manner or to pay increased rates, particularly large national accounts, could negatively affect our operating results.</w:t>
      </w:r>
    </w:p>
    <w:p>
      <w:pPr>
        <w:spacing w:after="0" w:line="65" w:lineRule="exact"/>
        <w:rPr>
          <w:sz w:val="20"/>
          <w:szCs w:val="20"/>
          <w:color w:val="auto"/>
        </w:rPr>
      </w:pPr>
    </w:p>
    <w:p>
      <w:pPr>
        <w:jc w:val="both"/>
        <w:ind w:left="360" w:right="360" w:firstLine="446"/>
        <w:spacing w:after="0" w:line="305" w:lineRule="auto"/>
        <w:rPr>
          <w:sz w:val="20"/>
          <w:szCs w:val="20"/>
          <w:color w:val="auto"/>
        </w:rPr>
      </w:pPr>
      <w:r>
        <w:rPr>
          <w:rFonts w:ascii="Times New Roman" w:cs="Times New Roman" w:eastAsia="Times New Roman" w:hAnsi="Times New Roman"/>
          <w:sz w:val="19"/>
          <w:szCs w:val="19"/>
          <w:color w:val="auto"/>
        </w:rPr>
        <w:t>In addition, the financial difficulties of municipalities could result in a decline in investors’ demand for municipal bonds and a correlating increase in interest rates. As of December 31, 2024, we had $1.4 billion of tax - exempt bonds with</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3320" w:h="16920" w:orient="portrait"/>
          <w:cols w:equalWidth="0" w:num="1">
            <w:col w:w="10440"/>
          </w:cols>
          <w:pgMar w:left="1440" w:top="1440" w:right="1440" w:bottom="1440" w:gutter="0" w:footer="0" w:header="0"/>
          <w:type w:val="continuous"/>
        </w:sectPr>
      </w:pPr>
    </w:p>
    <w:bookmarkStart w:id="108" w:name="page109"/>
    <w:bookmarkEnd w:id="108"/>
    <w:p>
      <w:pPr>
        <w:spacing w:after="0" w:line="347" w:lineRule="exact"/>
        <w:rPr>
          <w:sz w:val="20"/>
          <w:szCs w:val="20"/>
          <w:color w:val="auto"/>
        </w:rPr>
      </w:pPr>
    </w:p>
    <w:p>
      <w:pPr>
        <w:jc w:val="both"/>
        <w:ind w:left="360" w:right="360"/>
        <w:spacing w:after="0" w:line="259" w:lineRule="auto"/>
        <w:rPr>
          <w:sz w:val="20"/>
          <w:szCs w:val="20"/>
          <w:color w:val="auto"/>
        </w:rPr>
      </w:pPr>
      <w:r>
        <w:rPr>
          <w:rFonts w:ascii="Times New Roman" w:cs="Times New Roman" w:eastAsia="Times New Roman" w:hAnsi="Times New Roman"/>
          <w:sz w:val="20"/>
          <w:szCs w:val="20"/>
          <w:color w:val="auto"/>
        </w:rPr>
        <w:t>term interest rate periods that expire within the next 12 months, which is prior to their scheduled maturities. If market dynamics resulted in repricing of our tax - exempt bonds at significantly higher interest rates, we would incur increased interest expenses that may negatively affect our operating results and cash flows.</w:t>
      </w:r>
    </w:p>
    <w:p>
      <w:pPr>
        <w:spacing w:after="0" w:line="65" w:lineRule="exact"/>
        <w:rPr>
          <w:sz w:val="20"/>
          <w:szCs w:val="20"/>
          <w:color w:val="auto"/>
        </w:rPr>
      </w:pPr>
    </w:p>
    <w:p>
      <w:pPr>
        <w:ind w:left="520"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Changes to applicable tax laws and regulation or interpretation thereof or the imposition of new or increased taxes may increase our tax liabilities and could adversely affect our operating results and cash flows</w:t>
      </w:r>
      <w:r>
        <w:rPr>
          <w:rFonts w:ascii="Times New Roman" w:cs="Times New Roman" w:eastAsia="Times New Roman" w:hAnsi="Times New Roman"/>
          <w:sz w:val="20"/>
          <w:szCs w:val="20"/>
          <w:color w:val="auto"/>
        </w:rPr>
        <w:t>.</w:t>
      </w:r>
    </w:p>
    <w:p>
      <w:pPr>
        <w:spacing w:after="0" w:line="48"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We are subject to various complex and evolving U.S. federal, state, local and non-U.S. tax laws. Existing tax laws, policies, statutes, rules, regulations or ordinances, including those related to any non-U.S. tax jurisdictions in which we operate, could be interpreted, changed, modified or applied adversely to us, in each case, possibly with retroactive effect. Any significant variance in our interpretation of current tax laws or a successful challenge of one or more of our tax positions by the U.S. Internal Revenue Service or other tax authorities could increase our future tax liabilities and adversely affect our operating results and cash flows.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Shortages in diesel fuel supply or increases in diesel fuel prices will increase our operating expenses.</w:t>
      </w:r>
    </w:p>
    <w:p>
      <w:pPr>
        <w:spacing w:after="0" w:line="119"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The price and supply of diesel fuel can fluctuate significantly based on international, political and economic circumstances, as well as other factors outside our control, such as actions by oil and gas producers, regional production patterns, weather conditions and environmental concerns. We need diesel fuel to run a notable portion of our collection and transfer trucks and our equipment used in our landfill operations. We also recently acquired Stericycle’s fleet, including a substantial number of diesel vehicles. Fuel supply shortages and price increases could substantially increase our operating expenses. Regardless of any offsetting surcharge programs, increased operating costs due to higher diesel fuel prices will decrease our income from operations margins.</w:t>
      </w:r>
    </w:p>
    <w:p>
      <w:pPr>
        <w:spacing w:after="0" w:line="81" w:lineRule="exact"/>
        <w:rPr>
          <w:sz w:val="20"/>
          <w:szCs w:val="20"/>
          <w:color w:val="auto"/>
        </w:rPr>
      </w:pPr>
    </w:p>
    <w:p>
      <w:pPr>
        <w:ind w:left="520"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Large- scale disruption of social and commercial activity and financial markets may have a material adverse impact on our business, financial condition, results of operations and cash flows.</w:t>
      </w:r>
    </w:p>
    <w:p>
      <w:pPr>
        <w:spacing w:after="0" w:line="47"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Major external events, including pandemic conditions that result in large-scale disruption of social and commercial activity, such as business closures and social restrictions, could adversely impact our volumes, costs and operational execution. While pandemic conditions can increase demand for medical waste and controlled substances waste collection, treatment and disposal or destruction, protective actions such as travel restrictions, quarantines, or facility closures may interfere with our ability to provide services. If such conditions were to be severe, resulting in a broad-based economic slow-down, it may have a material adverse impact on our financial condition, results of operations and cash flows and hinder our ability to grow our business and execute our business strategy.</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u w:val="single" w:color="auto"/>
          <w:color w:val="auto"/>
        </w:rPr>
        <w:t>Technology and Information Security Risks</w:t>
      </w:r>
    </w:p>
    <w:p>
      <w:pPr>
        <w:spacing w:after="0" w:line="123" w:lineRule="exact"/>
        <w:rPr>
          <w:sz w:val="20"/>
          <w:szCs w:val="20"/>
          <w:color w:val="auto"/>
        </w:rPr>
      </w:pPr>
    </w:p>
    <w:p>
      <w:pPr>
        <w:ind w:left="520"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Developments in technology could trigger a fundamental change in our industry, as waste streams are increasingly viewed as a resource, which may adversely impact volumes at our landfills and our profitability.</w:t>
      </w:r>
    </w:p>
    <w:p>
      <w:pPr>
        <w:spacing w:after="0" w:line="48"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Our industry has recognized the value of the traditional waste stream as a potential resource. Research and development activities are ongoing to provide disposal alternatives that maximize the value of waste, including using waste as a source for renewable energy and other valuable by-products. We and many other companies are investing in and/or developing these new technologies. It is possible that such investments and technological advancements may reduce the cost of waste disposal or the value of landfill gas recovery to a level below our costs and may reduce the demand for landfill space. As a result, our revenues and margins could be adversely affected due to advancements in disposal alternatives.</w:t>
      </w:r>
    </w:p>
    <w:p>
      <w:pPr>
        <w:spacing w:after="0" w:line="79" w:lineRule="exact"/>
        <w:rPr>
          <w:sz w:val="20"/>
          <w:szCs w:val="20"/>
          <w:color w:val="auto"/>
        </w:rPr>
      </w:pPr>
    </w:p>
    <w:p>
      <w:pPr>
        <w:ind w:left="520"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develop new service offerings and protect intellectual property or if a competitor develops or obtains exclusive rights to a breakthrough technology, our financial results may suffer.</w:t>
      </w:r>
    </w:p>
    <w:p>
      <w:pPr>
        <w:spacing w:after="0" w:line="48"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Our existing and proposed service offerings to customers require that we invest in, develop, license, and protect new technologies. Our Company is increasingly focusing on new technologies that automate and innovate our operations, improve the customer experience, provide alternatives to traditional disposal and maximize the resource value of waste. We are continuing our multi-year commitment to strategic investments in technology that prioritize the reduction of labor dependency for certain high-turnover jobs, further digitalize our customer self-service and implement technologies to further enhance the safety, reliability and efficiency of our operations. Research, development and implementation of enhanced technology often requires significant spending that may divert capital investment away from our traditional business operations. We may experience difficulties or delays in the research, development, production and/or marketing of new products and services or implementation of technologies in which we have invested or acquired, which may</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3320" w:h="16920" w:orient="portrait"/>
          <w:cols w:equalWidth="0" w:num="1">
            <w:col w:w="10440"/>
          </w:cols>
          <w:pgMar w:left="1440" w:top="1440" w:right="1440" w:bottom="1440" w:gutter="0" w:footer="0" w:header="0"/>
          <w:type w:val="continuous"/>
        </w:sectPr>
      </w:pPr>
    </w:p>
    <w:bookmarkStart w:id="109" w:name="page110"/>
    <w:bookmarkEnd w:id="109"/>
    <w:p>
      <w:pPr>
        <w:spacing w:after="0" w:line="347" w:lineRule="exact"/>
        <w:rPr>
          <w:sz w:val="20"/>
          <w:szCs w:val="20"/>
          <w:color w:val="auto"/>
        </w:rPr>
      </w:pPr>
    </w:p>
    <w:p>
      <w:pPr>
        <w:jc w:val="both"/>
        <w:ind w:left="360" w:right="360"/>
        <w:spacing w:after="0" w:line="244" w:lineRule="auto"/>
        <w:rPr>
          <w:sz w:val="20"/>
          <w:szCs w:val="20"/>
          <w:color w:val="auto"/>
        </w:rPr>
      </w:pPr>
      <w:r>
        <w:rPr>
          <w:rFonts w:ascii="Times New Roman" w:cs="Times New Roman" w:eastAsia="Times New Roman" w:hAnsi="Times New Roman"/>
          <w:sz w:val="20"/>
          <w:szCs w:val="20"/>
          <w:color w:val="auto"/>
        </w:rPr>
        <w:t>negatively impact our operating results and prevent us from recouping or realizing a return on these investments and acquisitions. Further, protecting our intellectual property rights and combating unlicensed copying and use of intellectual property is difficult, and an inability to obtain or protect new technologies could impact our services to customers and the development of new revenue sources. We rely on a combination of patents and trade secrets to protect our intellectual property, as well as confidentiality and non-disclosure agreements with employees, contractors, and other third parties. We cannot guarantee that these measures will fully prevent unauthorized access or use. Furthermore, there is no assurance that current or future applications will result in issued patents or, if issued, will provide adequate protection against competitors. If a competitor develops or obtains exclusive rights to a “breakthrough technology” that provides a revolutionary change in our industry, or if we have inferior intellectual property to our competitors, our financial results may suffer.</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We are dependent on technology, and if our technology fails, our business would be adversely affected.</w:t>
      </w:r>
    </w:p>
    <w:p>
      <w:pPr>
        <w:spacing w:after="0" w:line="120"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Our Company, our customers, and the economy in general are increasingly dependent on continuous information technology systems and digital tools to conduct operations. This dependence spans nearly all areas of our business, from overseeing and controlling critical infrastructure to processing and securing proprietary and sensitive information. The information technology systems and networks that we, our customers, suppliers, and other third parties rely on can be vulnerable to disruptions from cyberattacks, power failures, telecommunications outages, major events like natural disasters, acts of war or terrorism, employee errors, and other unexpected or uncontrollable occurrences. Should these systems be compromised or cease to function effectively, we may face substantial costs to repair or replace them, as well as potential liability, loss of crucial data, reputational harm, and interruptions to our services or operations.</w:t>
      </w:r>
    </w:p>
    <w:p>
      <w:pPr>
        <w:spacing w:after="0" w:line="82"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Challenges in implementing new systems can also affect our ability to realize projected cost savings or other benefits. Significant system failures could impede our ability to timely collect and report financial results in accordance with applicable laws and regulations. Our post-acquisition efforts to integrate Stericycle’s technology and systems may result in substantial costs and uncertainties. Systems that increase our utilization of, and dependency on, third-party cloud computing services, and digital platforms to accommodate work - from - home arrangements, also increase various technology risks, including potential exposure to cyber incidents, loss of data, fraud, internal control challenges and other disruptions as a consequence of more employees accessing Company systems and information remotely in the course of their ordinary work.</w:t>
      </w:r>
    </w:p>
    <w:p>
      <w:pPr>
        <w:spacing w:after="0" w:line="81" w:lineRule="exact"/>
        <w:rPr>
          <w:sz w:val="20"/>
          <w:szCs w:val="20"/>
          <w:color w:val="auto"/>
        </w:rPr>
      </w:pPr>
    </w:p>
    <w:p>
      <w:pPr>
        <w:ind w:left="520"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Inability to adapt to and manage the benefits and risks of artificial intelligence could expose us to liability or put us at a disadvantage.</w:t>
      </w:r>
    </w:p>
    <w:p>
      <w:pPr>
        <w:spacing w:after="0" w:line="47"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Artificial intelligence could disrupt certain aspects of our business and change use of technology in ways that are not yet known. Artificial intelligence technologies are subject to a variety of laws, including intellectual property, privacy, data protection and cybersecurity, consumer protection, competition, and equal opportunity laws, and are expected to be subject to increased regulation and new laws or new applications of existing laws. Such laws and regulations may present a variety of compliance risks. The use of artificial intelligence may also result in litigation, ethical concerns, and other legal and business risks. If we are not able to adapt and effectively incorporate potential advantages of artificial intelligence in our business, it may negatively impact our ability to compete. If we are not able to effectively manage the risks of artificial intelligence, we may suffer harm to our results of operations and reputation.</w:t>
      </w:r>
    </w:p>
    <w:p>
      <w:pPr>
        <w:spacing w:after="0" w:line="83" w:lineRule="exact"/>
        <w:rPr>
          <w:sz w:val="20"/>
          <w:szCs w:val="20"/>
          <w:color w:val="auto"/>
        </w:rPr>
      </w:pPr>
    </w:p>
    <w:p>
      <w:pPr>
        <w:ind w:left="520"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Significant cybersecurity incidents may negatively impact our business and our relationships with customers, vendors and employees and expose us to increased liability.</w:t>
      </w:r>
    </w:p>
    <w:p>
      <w:pPr>
        <w:spacing w:after="0" w:line="47" w:lineRule="exact"/>
        <w:rPr>
          <w:sz w:val="20"/>
          <w:szCs w:val="20"/>
          <w:color w:val="auto"/>
        </w:rPr>
      </w:pPr>
    </w:p>
    <w:p>
      <w:pPr>
        <w:jc w:val="both"/>
        <w:ind w:left="360" w:right="360" w:firstLine="360"/>
        <w:spacing w:after="0" w:line="257" w:lineRule="auto"/>
        <w:rPr>
          <w:sz w:val="20"/>
          <w:szCs w:val="20"/>
          <w:color w:val="auto"/>
        </w:rPr>
      </w:pPr>
      <w:r>
        <w:rPr>
          <w:rFonts w:ascii="Times New Roman" w:cs="Times New Roman" w:eastAsia="Times New Roman" w:hAnsi="Times New Roman"/>
          <w:sz w:val="19"/>
          <w:szCs w:val="19"/>
          <w:color w:val="auto"/>
        </w:rPr>
        <w:t>Substantially all aspects of our business operations rely on digital technology. We use computers, mobile devices, social networking and other online platforms to connect with our employees, customers, vendors, as well as other individuals and third parties. These uses give rise to cybersecurity risks, including security breach, ransomware, espionage, system disruption, theft and/or inadvertent, accidental, unlawful, unauthorized access, loss, alteration, destruction and/or disclosure or release of information. Our business necessitates the processing, collection, use, storage and transmission of numerous classes of sensitive and/or confidential information and intellectual property, including individuals’ personal information, private and sensitive employment-related personal information, and financial and strategic information about the Company and other businesses. In addition to our own safeguarding efforts, we also rely on third parties to process, collect and store sensitive data, including a Payment Card Industry compliant third-party to protect our customers’ credit card information. We are regularly the target of attempted cyber intrusions, have experienced cyber intrusions, and we anticipate continuing to be subject to such attempts as cyber intrusions become increasingly sophisticated and more difficult to predict and protect against. Geopolitical conflicts and developments and technological advancements also</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3320" w:h="16920" w:orient="portrait"/>
          <w:cols w:equalWidth="0" w:num="1">
            <w:col w:w="10440"/>
          </w:cols>
          <w:pgMar w:left="1440" w:top="1440" w:right="1440" w:bottom="1440" w:gutter="0" w:footer="0" w:header="0"/>
          <w:type w:val="continuous"/>
        </w:sectPr>
      </w:pPr>
    </w:p>
    <w:bookmarkStart w:id="110" w:name="page111"/>
    <w:bookmarkEnd w:id="110"/>
    <w:p>
      <w:pPr>
        <w:spacing w:after="0" w:line="347" w:lineRule="exact"/>
        <w:rPr>
          <w:sz w:val="20"/>
          <w:szCs w:val="20"/>
          <w:color w:val="auto"/>
        </w:rPr>
      </w:pPr>
    </w:p>
    <w:p>
      <w:pPr>
        <w:jc w:val="both"/>
        <w:ind w:left="360" w:right="360"/>
        <w:spacing w:after="0" w:line="270" w:lineRule="auto"/>
        <w:rPr>
          <w:sz w:val="20"/>
          <w:szCs w:val="20"/>
          <w:color w:val="auto"/>
        </w:rPr>
      </w:pPr>
      <w:r>
        <w:rPr>
          <w:rFonts w:ascii="Times New Roman" w:cs="Times New Roman" w:eastAsia="Times New Roman" w:hAnsi="Times New Roman"/>
          <w:sz w:val="19"/>
          <w:szCs w:val="19"/>
          <w:color w:val="auto"/>
        </w:rPr>
        <w:t>increase the risk and likelihood of cyber incidents. As such, we must commit substantial resources to continuously monitor and further develop our networks and infrastructure to prevent, detect, and address the risk of unauthorized access, misuse, computer viruses and other events. These protections and other systems designed to mitigate cybersecurity risks may not fully defend against an attack or future cybersecurity incident, which can be unpredictable in nature.</w:t>
      </w:r>
    </w:p>
    <w:p>
      <w:pPr>
        <w:spacing w:after="0" w:line="57"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Additionally, we cannot assure that any security measures that our third-party service providers have implemented will be effective against current or future security threats. We also cannot guarantee that our systems and networks or those of our third-party service providers or the equipment and related third-party software that we use to operate our network have not been breached or otherwise compromised, or that they and any software in our or their supply chains do not contain bugs, vulnerabilities, or compromised code that could result in a breach of, or disruption to, our systems and networks or the systems and networks of third parties that support us and our services.</w:t>
      </w:r>
    </w:p>
    <w:p>
      <w:pPr>
        <w:spacing w:after="0" w:line="80" w:lineRule="exact"/>
        <w:rPr>
          <w:sz w:val="20"/>
          <w:szCs w:val="20"/>
          <w:color w:val="auto"/>
        </w:rPr>
      </w:pPr>
    </w:p>
    <w:p>
      <w:pPr>
        <w:jc w:val="both"/>
        <w:ind w:left="360" w:right="360" w:firstLine="360"/>
        <w:spacing w:after="0" w:line="256" w:lineRule="auto"/>
        <w:rPr>
          <w:sz w:val="20"/>
          <w:szCs w:val="20"/>
          <w:color w:val="auto"/>
        </w:rPr>
      </w:pPr>
      <w:r>
        <w:rPr>
          <w:rFonts w:ascii="Times New Roman" w:cs="Times New Roman" w:eastAsia="Times New Roman" w:hAnsi="Times New Roman"/>
          <w:sz w:val="19"/>
          <w:szCs w:val="19"/>
          <w:color w:val="auto"/>
        </w:rPr>
        <w:t>Although we believe that the probability of occurrence of a significant cybersecurity incident is less than likely, if such an incident were to occur, the impact on the Company could be substantial. The magnitude of future cyber intrusions that result in a theft, destruction, loss, misappropriation, or release of sensitive and/or confidential information (belonging to us or third parties) or intellectual property, or material interference with our information technology systems or the technology systems of third parties on which we rely cannot be predicted, such incidents could result in material business disruption, direct financial loss, remediation costs, negative publicity, brand damage, alleged violation of privacy laws, loss of customers, potential regulatory investigations and enforcement or private litigation liability and competitive disadvantage. To mitigate these risks, we maintain a cybersecurity insurance policy; however, due to policy terms, limits and exclusions, such insurance may not apply in all cases, and it may not be adequate to cover all liabilities incurred. Regulatory enforcement action concerning privacy infringement and security incidents is generally increasing, including significant fines recently imposed by European regulators. With the acquisition of Stericycle, we may be subject to short notification deadlines in international jurisdictions in the event of a significant cybersecurity incident that impacts us globally; it may not be possible for us to comply with such notification deadlines due to the time required to conduct investigations and assess the impact of such incident. Failure to comply with applicable laws and regulatory deadlines could attract enforcement action, penalties, litigation, investigations, proceedings, reputational harm and brand damage.</w:t>
      </w:r>
    </w:p>
    <w:p>
      <w:pPr>
        <w:spacing w:after="0" w:line="75"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As the Company pursues its strategy to grow through acquisitions, including the acquisition of Stericycle, and to pursue new initiatives that improve our operations and cost structure, the Company is also expanding and improving its information technologies, resulting in a larger technological presence, utilization of cloud computing services, and corresponding exposure to cybersecurity risk. Certain new technologies, such as the use of autonomous vehicles, remote-controlled equipment, virtual reality, automation and artificial intelligence, present new and significant cybersecurity safety risks that must be analyzed and addressed before implementation. If we fail to assess and identify cybersecurity risks associated with acquisitions and new initiatives, we may become increasingly vulnerable to such risks.</w:t>
      </w:r>
    </w:p>
    <w:p>
      <w:pPr>
        <w:spacing w:after="0" w:line="79" w:lineRule="exact"/>
        <w:rPr>
          <w:sz w:val="20"/>
          <w:szCs w:val="20"/>
          <w:color w:val="auto"/>
        </w:rPr>
      </w:pPr>
    </w:p>
    <w:p>
      <w:pPr>
        <w:jc w:val="both"/>
        <w:ind w:left="360" w:right="360" w:firstLine="360"/>
        <w:spacing w:after="0" w:line="270" w:lineRule="auto"/>
        <w:rPr>
          <w:sz w:val="20"/>
          <w:szCs w:val="20"/>
          <w:color w:val="auto"/>
        </w:rPr>
      </w:pPr>
      <w:r>
        <w:rPr>
          <w:rFonts w:ascii="Times New Roman" w:cs="Times New Roman" w:eastAsia="Times New Roman" w:hAnsi="Times New Roman"/>
          <w:sz w:val="19"/>
          <w:szCs w:val="19"/>
          <w:color w:val="auto"/>
        </w:rPr>
        <w:t>Increased state, federal and international laws and regulations related to cybersecurity protections and disclosures will require additional resources for compliance, and any inability, or perceived inability, to adequately address new requirements could subject us to regulatory enforcement, private litigation, public criticism, disrupt our operations, cause us to lose customers, result in additional costs and legal liability, damage our reputation, and otherwise harm our business.</w:t>
      </w:r>
    </w:p>
    <w:p>
      <w:pPr>
        <w:spacing w:after="0" w:line="57" w:lineRule="exact"/>
        <w:rPr>
          <w:sz w:val="20"/>
          <w:szCs w:val="20"/>
          <w:color w:val="auto"/>
        </w:rPr>
      </w:pPr>
    </w:p>
    <w:p>
      <w:pPr>
        <w:ind w:left="520"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Increasing regulatory focus on privacy and data protection issues and expanding laws could negatively impact our business, subject us to criticism and expose us to increased liability.</w:t>
      </w:r>
    </w:p>
    <w:p>
      <w:pPr>
        <w:spacing w:after="0" w:line="47"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The legislative and regulatory framework for security, privacy and data protection issues worldwide is rapidly evolving and becoming increasingly demanding and is likely to remain uncertain for the foreseeable future. We collect, use, share, retain, delete and otherwise process certain personal information and other sensitive information in connection with our operations and while providing services, including secure information destruction. We are subject to a variety of U.S. and international laws and regulations related to data privacy and the protection of confidential information, and we anticipate that regulation in this area will continue to expand. Applicable laws and regulations require disclosure and create other obligations for businesses that collect personal information and provide individual rights relating to personal information.</w:t>
      </w:r>
    </w:p>
    <w:p>
      <w:pPr>
        <w:spacing w:after="0" w:line="82" w:lineRule="exact"/>
        <w:rPr>
          <w:sz w:val="20"/>
          <w:szCs w:val="20"/>
          <w:color w:val="auto"/>
        </w:rPr>
      </w:pPr>
    </w:p>
    <w:p>
      <w:pPr>
        <w:jc w:val="both"/>
        <w:ind w:left="360" w:right="360" w:firstLine="360"/>
        <w:spacing w:after="0" w:line="266" w:lineRule="auto"/>
        <w:rPr>
          <w:sz w:val="20"/>
          <w:szCs w:val="20"/>
          <w:color w:val="auto"/>
        </w:rPr>
      </w:pPr>
      <w:r>
        <w:rPr>
          <w:rFonts w:ascii="Times New Roman" w:cs="Times New Roman" w:eastAsia="Times New Roman" w:hAnsi="Times New Roman"/>
          <w:sz w:val="19"/>
          <w:szCs w:val="19"/>
          <w:color w:val="auto"/>
        </w:rPr>
        <w:t>These laws and regulations are inconsistent across jurisdictions and are subject to evolving interpretations. Government officials, regulators, customers, privacy advocates and class action attorneys are increasingly scrutinizing how companies collect, process, use, store, share, transmit and destroy personal data. The continued emphasis on personal privacy and information security may result in customers requesting that we implement additional safeguards or controls. We must continually monitor the development and adoption of, and commit substantial time and resources to comply with,</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3320" w:h="16920" w:orient="portrait"/>
          <w:cols w:equalWidth="0" w:num="1">
            <w:col w:w="10440"/>
          </w:cols>
          <w:pgMar w:left="1440" w:top="1440" w:right="1440" w:bottom="1440" w:gutter="0" w:footer="0" w:header="0"/>
          <w:type w:val="continuous"/>
        </w:sectPr>
      </w:pPr>
    </w:p>
    <w:bookmarkStart w:id="111" w:name="page112"/>
    <w:bookmarkEnd w:id="111"/>
    <w:p>
      <w:pPr>
        <w:spacing w:after="0" w:line="347" w:lineRule="exact"/>
        <w:rPr>
          <w:sz w:val="20"/>
          <w:szCs w:val="20"/>
          <w:color w:val="auto"/>
        </w:rPr>
      </w:pPr>
    </w:p>
    <w:p>
      <w:pPr>
        <w:jc w:val="both"/>
        <w:ind w:left="360" w:right="360"/>
        <w:spacing w:after="0" w:line="259" w:lineRule="auto"/>
        <w:rPr>
          <w:sz w:val="20"/>
          <w:szCs w:val="20"/>
          <w:color w:val="auto"/>
        </w:rPr>
      </w:pPr>
      <w:r>
        <w:rPr>
          <w:rFonts w:ascii="Times New Roman" w:cs="Times New Roman" w:eastAsia="Times New Roman" w:hAnsi="Times New Roman"/>
          <w:sz w:val="20"/>
          <w:szCs w:val="20"/>
          <w:color w:val="auto"/>
        </w:rPr>
        <w:t>new and emerging laws and regulations and/ or expanded or novel interpretations of existing laws. Additionally, customers and regulators may seek to hold us responsible for the actions of third parties we work with, such as sub-processors, vendors, or developers.</w:t>
      </w:r>
    </w:p>
    <w:p>
      <w:pPr>
        <w:spacing w:after="0" w:line="65" w:lineRule="exact"/>
        <w:rPr>
          <w:sz w:val="20"/>
          <w:szCs w:val="20"/>
          <w:color w:val="auto"/>
        </w:rPr>
      </w:pPr>
    </w:p>
    <w:p>
      <w:pPr>
        <w:jc w:val="both"/>
        <w:ind w:left="360" w:right="360" w:firstLine="360"/>
        <w:spacing w:after="0" w:line="270" w:lineRule="auto"/>
        <w:rPr>
          <w:sz w:val="20"/>
          <w:szCs w:val="20"/>
          <w:color w:val="auto"/>
        </w:rPr>
      </w:pPr>
      <w:r>
        <w:rPr>
          <w:rFonts w:ascii="Times New Roman" w:cs="Times New Roman" w:eastAsia="Times New Roman" w:hAnsi="Times New Roman"/>
          <w:sz w:val="19"/>
          <w:szCs w:val="19"/>
          <w:color w:val="auto"/>
        </w:rPr>
        <w:t>Any inability, or perceived inability, to adequately address privacy and data protection concerns, even if unfounded, or to comply with laws, regulations, policies, industry standards, contractual obligations, or other legal obligations, including through acquired companies or third parties, could subject us to regulatory enforcement, private litigation, public criticism, business disruption, loss of customers, additional costs and legal liability, reputational damage, and other harm.</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u w:val="single" w:color="auto"/>
          <w:color w:val="auto"/>
        </w:rPr>
        <w:t>Legal, Regulatory and Compliance Risks</w:t>
      </w:r>
    </w:p>
    <w:p>
      <w:pPr>
        <w:spacing w:after="0" w:line="124" w:lineRule="exact"/>
        <w:rPr>
          <w:sz w:val="20"/>
          <w:szCs w:val="20"/>
          <w:color w:val="auto"/>
        </w:rPr>
      </w:pPr>
    </w:p>
    <w:p>
      <w:pPr>
        <w:ind w:left="520"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operations are subject to environmental, health and safety laws and regulations, as well as contractual obligations that may result in significant liabilities.</w:t>
      </w:r>
    </w:p>
    <w:p>
      <w:pPr>
        <w:spacing w:after="0" w:line="47"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There is risk of incurring significant environmental liabilities in the use, treatment, storage, transfer, processing and disposal or destruction of waste materials. Under applicable environmental laws and regulations, we could be liable if it is alleged that our operations cause environmental damage to our properties or to the property of other landowners, particularly as a result of the contamination of air, drinking water or soil. Under current law, we could also be held liable for damage caused by conditions that existed before we acquired the assets or operations involved and for conditions resulting from waste types or compounds previously considered non-hazardous but later determined to present possible threat to public health or the environment. The risks of successor liability and emerging contaminants are of particular concern as we execute our growth strategy, partially through acquisitions, because we may be unsuccessful in identifying and assessing potential liabilities during our due diligence investigations. Further, the counterparties in such transactions may be unable to perform their indemnification obligations owed to us. Any substantial liability for environmental damage could have a material adverse effect on our financial condition, results of operations and cash flows.</w:t>
      </w:r>
    </w:p>
    <w:p>
      <w:pPr>
        <w:spacing w:after="0" w:line="89"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In the ordinary course of our business, we have in the past, we are currently, and we may in the future, become involved in legal and administrative proceedings relating to land use and environmental laws and regulations. These include proceedings in which governmental entities, private groups or individuals seek to impose liability on us for alleged environmental damage or violation of statutes or desire to revoke or deny permits required for our operations. 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81"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Further,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 Costs to remediate or restore the condition of closed sites may be significant.</w:t>
      </w:r>
    </w:p>
    <w:p>
      <w:pPr>
        <w:spacing w:after="0" w:line="73" w:lineRule="exact"/>
        <w:rPr>
          <w:sz w:val="20"/>
          <w:szCs w:val="20"/>
          <w:color w:val="auto"/>
        </w:rPr>
      </w:pPr>
    </w:p>
    <w:p>
      <w:pPr>
        <w:jc w:val="both"/>
        <w:ind w:left="520" w:right="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sustainability growth strategy includes significant planned and ongoing investments in our WM Renewable Energy segment; changes to federal and state renewable fuel policies could affect our financial performance, and such investments may not yield the results anticipated.</w:t>
      </w:r>
    </w:p>
    <w:p>
      <w:pPr>
        <w:spacing w:after="0" w:line="65"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The primary drivers of renewable fuel development at our landfills are tax policies, such as the federal tax credits for RNG production and renewable electricity generation under the IRA, and federal and state incentive programs, such as the federal Renewable Fuel Standard (“RFS”) program, the California Low Carbon Fuel Standard and similar state programs that promote the production and use of renewable transportation fuels. At the federal level, oil refiners and importers are required through the RFS program to blend specified volumes of renewable transportation fuels with gasoline or buy RINs, from renewable fuel producers. The Company has invested, and continues to invest, in facilities that capture and process landfill gas into RNG so that we can participate in the RFS program, and the Company has grown and stated its intention to continue to grow its asset base to increase its RNG production.</w:t>
      </w:r>
    </w:p>
    <w:p>
      <w:pPr>
        <w:spacing w:after="0" w:line="82" w:lineRule="exact"/>
        <w:rPr>
          <w:sz w:val="20"/>
          <w:szCs w:val="20"/>
          <w:color w:val="auto"/>
        </w:rPr>
      </w:pPr>
    </w:p>
    <w:p>
      <w:pPr>
        <w:jc w:val="both"/>
        <w:ind w:left="360" w:right="360" w:firstLine="360"/>
        <w:spacing w:after="0" w:line="261" w:lineRule="auto"/>
        <w:rPr>
          <w:sz w:val="20"/>
          <w:szCs w:val="20"/>
          <w:color w:val="auto"/>
        </w:rPr>
      </w:pPr>
      <w:r>
        <w:rPr>
          <w:rFonts w:ascii="Times New Roman" w:cs="Times New Roman" w:eastAsia="Times New Roman" w:hAnsi="Times New Roman"/>
          <w:sz w:val="19"/>
          <w:szCs w:val="19"/>
          <w:color w:val="auto"/>
        </w:rPr>
        <w:t>RINs prices generally respond to regulations enacted by the EPA, as well as fluctuations in supply and demand. The value of the RINs is set through a market established by the RFS program, which market has historically been very volatile. The new U.S. presidential administration could seek to reduce existing renewable fuel targets in a new rulemaking or otherwise set reduced targets for renewable fuels under the RFS program in future rulemakings. Moreover, consistent with its prior approach, the new administration may also increase the frequency with which it grants small refinery exemptions from RFS program requirements. While we cannot predict what actions the new administration may take with respect to the RFS program, any changes to existing or future renewable fuel targets or more frequent approval of requests for small</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3320" w:h="16920" w:orient="portrait"/>
          <w:cols w:equalWidth="0" w:num="1">
            <w:col w:w="10440"/>
          </w:cols>
          <w:pgMar w:left="1440" w:top="1440" w:right="1440" w:bottom="1440" w:gutter="0" w:footer="0" w:header="0"/>
          <w:type w:val="continuous"/>
        </w:sectPr>
      </w:pPr>
    </w:p>
    <w:bookmarkStart w:id="112" w:name="page113"/>
    <w:bookmarkEnd w:id="112"/>
    <w:p>
      <w:pPr>
        <w:spacing w:after="0" w:line="347" w:lineRule="exact"/>
        <w:rPr>
          <w:sz w:val="20"/>
          <w:szCs w:val="20"/>
          <w:color w:val="auto"/>
        </w:rPr>
      </w:pPr>
    </w:p>
    <w:p>
      <w:pPr>
        <w:jc w:val="both"/>
        <w:ind w:left="360" w:right="360"/>
        <w:spacing w:after="0" w:line="266" w:lineRule="auto"/>
        <w:rPr>
          <w:sz w:val="20"/>
          <w:szCs w:val="20"/>
          <w:color w:val="auto"/>
        </w:rPr>
      </w:pPr>
      <w:r>
        <w:rPr>
          <w:rFonts w:ascii="Times New Roman" w:cs="Times New Roman" w:eastAsia="Times New Roman" w:hAnsi="Times New Roman"/>
          <w:sz w:val="19"/>
          <w:szCs w:val="19"/>
          <w:color w:val="auto"/>
        </w:rPr>
        <w:t xml:space="preserve">refinery exemptions could have a significant negative impact on demand for renewable fuels and the value of RINs. See Item 1. </w:t>
      </w:r>
      <w:r>
        <w:rPr>
          <w:rFonts w:ascii="Times New Roman" w:cs="Times New Roman" w:eastAsia="Times New Roman" w:hAnsi="Times New Roman"/>
          <w:sz w:val="19"/>
          <w:szCs w:val="19"/>
          <w:i w:val="1"/>
          <w:iCs w:val="1"/>
          <w:color w:val="auto"/>
        </w:rPr>
        <w:t>Business – Regulation – Recent Developments and Focus Areas in Policy and Regulation – WM Renewable Energy</w:t>
      </w:r>
      <w:r>
        <w:rPr>
          <w:rFonts w:ascii="Times New Roman" w:cs="Times New Roman" w:eastAsia="Times New Roman" w:hAnsi="Times New Roman"/>
          <w:sz w:val="19"/>
          <w:szCs w:val="19"/>
          <w:color w:val="auto"/>
        </w:rPr>
        <w:t xml:space="preserve"> for additional information. Changes and volatility in the RINs market, or changes in the structure of the RFS program or other clean fuel standard programs, can and has impacted the financial performance of our facilities. Such changes could impact or alter our projected future investments, and such investments may not yield the results anticipated.</w:t>
      </w:r>
    </w:p>
    <w:p>
      <w:pPr>
        <w:spacing w:after="0" w:line="60" w:lineRule="exact"/>
        <w:rPr>
          <w:sz w:val="20"/>
          <w:szCs w:val="20"/>
          <w:color w:val="auto"/>
        </w:rPr>
      </w:pPr>
    </w:p>
    <w:p>
      <w:pPr>
        <w:ind w:left="520" w:right="3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impact of climate change, and the adoption of climate change legislation or regulations restricting emissions of GHGs, could increase our costs to operate.</w:t>
      </w:r>
    </w:p>
    <w:p>
      <w:pPr>
        <w:spacing w:after="0" w:line="47" w:lineRule="exact"/>
        <w:rPr>
          <w:sz w:val="20"/>
          <w:szCs w:val="20"/>
          <w:color w:val="auto"/>
        </w:rPr>
      </w:pPr>
    </w:p>
    <w:p>
      <w:pPr>
        <w:jc w:val="both"/>
        <w:ind w:left="360" w:right="360" w:firstLine="360"/>
        <w:spacing w:after="0" w:line="279" w:lineRule="auto"/>
        <w:rPr>
          <w:sz w:val="20"/>
          <w:szCs w:val="20"/>
          <w:color w:val="auto"/>
        </w:rPr>
      </w:pPr>
      <w:r>
        <w:rPr>
          <w:rFonts w:ascii="Times New Roman" w:cs="Times New Roman" w:eastAsia="Times New Roman" w:hAnsi="Times New Roman"/>
          <w:sz w:val="19"/>
          <w:szCs w:val="19"/>
          <w:color w:val="auto"/>
        </w:rPr>
        <w:t>We continue to assess the physical risks, such as sea-level rise, catastrophic storms and other extreme weather conditions and long-term shifts in climate patterns, and transition risks, such as regulatory, market, policy, and technology changes, to our operations from the effects of climate change. These risks are expected to be unpredictable and widespread.</w:t>
      </w:r>
    </w:p>
    <w:p>
      <w:pPr>
        <w:spacing w:after="0" w:line="48"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Although we have made investments to mitigate risk associated with severe storm events, damage to our facilities or disruption of service caused by more frequent or more severe storms associated with climate extremes could negatively impact operating results. We have also identified risk to our assets and our employees associated with drought or water scarcity, flooding, extreme heat and rain events, and fire conditions associated with climate change. For example, wildfires influenced by climate change can damage landfill infrastructure such as gas collection systems, and extreme rain events and flooding in low-lying areas enhanced by sea level rise can result in greater maintenance expenses at our facilities, service disruption, erosion of the protective vegetative caps on our landfills and increased volumes of leachate to manage. Those areas of the country most prone to these occurrences have protocols in place, or are developing protocols to address these conditions, including employee safety, driver training, and equipment and facility protection protocols. We have incurred and will incur costs to develop and implement these protocols, and these protocols may not be effective in offsetting these risks. Additionally, the actions of others in response to climate change effects, such as rolling power blackouts, can result in service disruptions and increase our costs to operate.</w:t>
      </w:r>
    </w:p>
    <w:p>
      <w:pPr>
        <w:spacing w:after="0" w:line="86"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 xml:space="preserve">Our landfill operations emit methane, identified as a GHG. Existing technology presents challenges to our ability to quantify landfill emissions precisely. Ongoing review by government agencies of emerging methane measurement technologies and related regulatory developments could result in changes to how we have historically reported GHG emissions and may result in increases in such emissions reported for our operations. Such regulatory developments could also result in increased compliance costs and adversely affect our operations. Specifically, see Item 1. </w:t>
      </w:r>
      <w:r>
        <w:rPr>
          <w:rFonts w:ascii="Times New Roman" w:cs="Times New Roman" w:eastAsia="Times New Roman" w:hAnsi="Times New Roman"/>
          <w:sz w:val="20"/>
          <w:szCs w:val="20"/>
          <w:i w:val="1"/>
          <w:iCs w:val="1"/>
          <w:color w:val="auto"/>
        </w:rPr>
        <w:t>Business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Regulation – Recent Developments and Focus Areas in Policy and Regulation – Climate and Sustainability </w:t>
      </w:r>
      <w:r>
        <w:rPr>
          <w:rFonts w:ascii="Times New Roman" w:cs="Times New Roman" w:eastAsia="Times New Roman" w:hAnsi="Times New Roman"/>
          <w:sz w:val="20"/>
          <w:szCs w:val="20"/>
          <w:color w:val="auto"/>
        </w:rPr>
        <w:t>for additional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information.</w:t>
      </w:r>
    </w:p>
    <w:p>
      <w:pPr>
        <w:spacing w:after="0" w:line="79" w:lineRule="exact"/>
        <w:rPr>
          <w:sz w:val="20"/>
          <w:szCs w:val="20"/>
          <w:color w:val="auto"/>
        </w:rPr>
      </w:pPr>
    </w:p>
    <w:p>
      <w:pPr>
        <w:jc w:val="both"/>
        <w:ind w:left="360" w:right="360" w:firstLine="361"/>
        <w:spacing w:after="0" w:line="244" w:lineRule="auto"/>
        <w:rPr>
          <w:sz w:val="20"/>
          <w:szCs w:val="20"/>
          <w:color w:val="auto"/>
        </w:rPr>
      </w:pPr>
      <w:r>
        <w:rPr>
          <w:rFonts w:ascii="Times New Roman" w:cs="Times New Roman" w:eastAsia="Times New Roman" w:hAnsi="Times New Roman"/>
          <w:sz w:val="20"/>
          <w:szCs w:val="20"/>
          <w:color w:val="auto"/>
        </w:rPr>
        <w:t>Meanwhile, a number of legislative and regulatory efforts at the state, provincial, regional and federal levels and internationally aim to cap and/or curtail the emission of GHGs to ameliorate the effect of climate change, and otherwise to promote adaptation to climate change, support the transition to a low-carbon economy, and require disclosure of climate-related matters. We continue to monitor these efforts and the potential impacts to our operations. Should comprehensive federal climate change legislation be enacted, we expect it could impose operational and compliance costs that might not be offset by the revenue increases associated with our lower - carbon service options, the materiality of which we cannot predict. Climate change laws and regulations could also result in increased operational costs or disruption to the business of our customers, potentially impacting our operations and financial condition. We could experience damage to our reputation and brand, including as a result of a failure or perceived failure to respond responsibly and effectively to changes in legal and regulatory measures adopted to address climate change.</w:t>
      </w:r>
    </w:p>
    <w:p>
      <w:pPr>
        <w:spacing w:after="0" w:line="192" w:lineRule="exact"/>
        <w:rPr>
          <w:sz w:val="20"/>
          <w:szCs w:val="20"/>
          <w:color w:val="auto"/>
        </w:rPr>
      </w:pPr>
    </w:p>
    <w:p>
      <w:pPr>
        <w:jc w:val="both"/>
        <w:ind w:left="520" w:right="3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Failure to maintain an effective system of internal control over financial reporting, due to technology issues, difficulties integrating Stericycle’s operations and systems, or otherwise, could adversely affect our ability to provide accurate and timely financial statements, which may harm our business and reputation.</w:t>
      </w:r>
    </w:p>
    <w:p>
      <w:pPr>
        <w:spacing w:after="0" w:line="67"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It is critical that we maintain an effective system of internal control over financial reporting. As described further in Item 9A. Controls and Procedures, in accordance with SEC staff guidance, we have excluded Stericycle from the assessment of the effectiveness of our internal control over financial reporting as of December 31, 2024 contained in this Annual Report on Form 10-K; however, this exclusion may not extend beyond one year from the November 4, 2024 closing date. We are in the process of integrating Stericycle’s operations and systems to ensure the effectiveness of the internal control over financial reporting for this acquired business.</w:t>
      </w:r>
    </w:p>
    <w:p>
      <w:pPr>
        <w:spacing w:after="0" w:line="80"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Establishing, testing and maintaining an effective system of internal control over financial reporting requires significant resources and time commitments on the part of our management and our finance staff, and the time and</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3320" w:h="16920" w:orient="portrait"/>
          <w:cols w:equalWidth="0" w:num="1">
            <w:col w:w="10440"/>
          </w:cols>
          <w:pgMar w:left="1440" w:top="1440" w:right="1440" w:bottom="1440" w:gutter="0" w:footer="0" w:header="0"/>
          <w:type w:val="continuous"/>
        </w:sectPr>
      </w:pPr>
    </w:p>
    <w:bookmarkStart w:id="113" w:name="page114"/>
    <w:bookmarkEnd w:id="113"/>
    <w:p>
      <w:pPr>
        <w:spacing w:after="0" w:line="347" w:lineRule="exact"/>
        <w:rPr>
          <w:sz w:val="20"/>
          <w:szCs w:val="20"/>
          <w:color w:val="auto"/>
        </w:rPr>
      </w:pPr>
    </w:p>
    <w:p>
      <w:pPr>
        <w:jc w:val="both"/>
        <w:ind w:left="360" w:right="360"/>
        <w:spacing w:after="0" w:line="260" w:lineRule="auto"/>
        <w:rPr>
          <w:sz w:val="20"/>
          <w:szCs w:val="20"/>
          <w:color w:val="auto"/>
        </w:rPr>
      </w:pPr>
      <w:r>
        <w:rPr>
          <w:rFonts w:ascii="Times New Roman" w:cs="Times New Roman" w:eastAsia="Times New Roman" w:hAnsi="Times New Roman"/>
          <w:sz w:val="19"/>
          <w:szCs w:val="19"/>
          <w:color w:val="auto"/>
        </w:rPr>
        <w:t>expenditures needed may exceed our expectations. If we encounter issues with technology systems or difficulties integrating Stericycle’s operations and systems into our system of internal control over financial reporting, and if we are unable to correct any issues encountered in a timely manner, our ability to record, process, summarize, and report financial data may be adversely affected, which may impact the accuracy, quality and completeness of our financial statements. Such failure could materially and adversely impact our business and subject us to potential investigations, liability, and penalties. Additionally, if we are unable to conclude that our internal control over financial reporting is effective in any future period (or if our auditors are unable to express an opinion on the effectiveness of our internal controls or conclude that our internal controls are ineffective), we could lose investor confidence and suffer an adverse effect on our stock price.</w:t>
      </w:r>
    </w:p>
    <w:p>
      <w:pPr>
        <w:spacing w:after="0" w:line="68" w:lineRule="exact"/>
        <w:rPr>
          <w:sz w:val="20"/>
          <w:szCs w:val="20"/>
          <w:color w:val="auto"/>
        </w:rPr>
      </w:pPr>
    </w:p>
    <w:p>
      <w:pPr>
        <w:ind w:left="520"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could be subject to significant fines and penalties, and our reputation could be adversely affected, if we or third parties with whom we have a relationship fail to comply with U.S. or foreign laws or regulations.</w:t>
      </w:r>
    </w:p>
    <w:p>
      <w:pPr>
        <w:spacing w:after="0" w:line="47"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It is our policy to comply with all applicable anti-bribery laws, such as the U.S. Foreign Corrupt Practices Act (“FCPA”), and with applicable local laws of the foreign countries in which we operate, and we monitor our local partners’ compliance with such laws as well. Our reputation may be adversely affected if we were reported to be associated with corrupt practices or if we or our local partners failed to comply with such laws. Additionally, violations of such laws could subject us to significant fines and penalties.</w:t>
      </w:r>
    </w:p>
    <w:p>
      <w:pPr>
        <w:spacing w:after="0" w:line="77"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Under previously reported settlements with governmental authorities relating to Stericycle’s compliance with the FCPA and other anti-corruption laws with respect to now-divested operations in Latin America, Stericycle engaged an independent compliance monitor for two years and is required to undertake compliance with self-reporting obligations for an additional year through November 2025. Other matters may arise in the future involving alleged violations of the FCPA, other anti-corruption and anti-bribery laws, or laws prohibiting doing business with sanctioned parties. These could subject us to enforcement actions, fines, penalties, further oversight by an independent compliance monitor and/or self-reporting obligations, litigation, or orders of suspension or debarment, which could adversely affect our business, financial condition and results of operations.</w:t>
      </w:r>
    </w:p>
    <w:p>
      <w:pPr>
        <w:spacing w:after="0" w:line="81" w:lineRule="exact"/>
        <w:rPr>
          <w:sz w:val="20"/>
          <w:szCs w:val="20"/>
          <w:color w:val="auto"/>
        </w:rPr>
      </w:pPr>
    </w:p>
    <w:p>
      <w:pPr>
        <w:ind w:left="520"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Currently pending or future litigation or governmental proceedings could result in material adverse consequences, including judgments or settlements.</w:t>
      </w:r>
    </w:p>
    <w:p>
      <w:pPr>
        <w:spacing w:after="0" w:line="48"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As a large company with extensive operations, we are subject to various proceedings, lawsuits, disputes and claims arising in the ordinary course of our business, including governmental proceedings. Actions that have been filed against us, and that may be filed against us in the future, include personal injury, property damage, commercial, customer, and employment-related claims, including purported state and national class action lawsuits related to:</w:t>
      </w:r>
    </w:p>
    <w:p>
      <w:pPr>
        <w:spacing w:after="0" w:line="29" w:lineRule="exact"/>
        <w:rPr>
          <w:sz w:val="20"/>
          <w:szCs w:val="20"/>
          <w:color w:val="auto"/>
        </w:rPr>
      </w:pPr>
    </w:p>
    <w:p>
      <w:pPr>
        <w:ind w:left="1080" w:hanging="353"/>
        <w:spacing w:after="0"/>
        <w:tabs>
          <w:tab w:leader="none" w:pos="108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alleged environmental contamination, including releases of hazardous materials and odors;</w:t>
      </w:r>
    </w:p>
    <w:p>
      <w:pPr>
        <w:spacing w:after="0" w:line="42" w:lineRule="exact"/>
        <w:rPr>
          <w:rFonts w:ascii="Arial" w:cs="Arial" w:eastAsia="Arial" w:hAnsi="Arial"/>
          <w:sz w:val="20"/>
          <w:szCs w:val="20"/>
          <w:color w:val="auto"/>
        </w:rPr>
      </w:pPr>
    </w:p>
    <w:p>
      <w:pPr>
        <w:ind w:left="1080" w:hanging="353"/>
        <w:spacing w:after="0"/>
        <w:tabs>
          <w:tab w:leader="none" w:pos="108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sales and marketing practices, customer service agreements, prices and fees; and</w:t>
      </w:r>
    </w:p>
    <w:p>
      <w:pPr>
        <w:spacing w:after="0" w:line="43" w:lineRule="exact"/>
        <w:rPr>
          <w:rFonts w:ascii="Arial" w:cs="Arial" w:eastAsia="Arial" w:hAnsi="Arial"/>
          <w:sz w:val="20"/>
          <w:szCs w:val="20"/>
          <w:color w:val="auto"/>
        </w:rPr>
      </w:pPr>
    </w:p>
    <w:p>
      <w:pPr>
        <w:ind w:left="1080" w:hanging="353"/>
        <w:spacing w:after="0"/>
        <w:tabs>
          <w:tab w:leader="none" w:pos="108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federal and state wage and hour and other laws.</w:t>
      </w:r>
    </w:p>
    <w:p>
      <w:pPr>
        <w:spacing w:after="0" w:line="118"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65"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Stericycle is, and has been, involved in government investigations, enforcement proceedings, private lawsuits and other disputes alleging noncompliance with applicable regulations, including alleged noncompliance with the Controlled Substances Act and other statutes involving its now-divested Domestic Environmental Solutions business of collecting, transporting, and destroying controlled substances from retail customers. With the acquisition of Stericycle, these matters may result in adverse consequences, including permit revocations or denials and civil, criminal and administrative penalties.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3320" w:h="16920" w:orient="portrait"/>
          <w:cols w:equalWidth="0" w:num="1">
            <w:col w:w="10440"/>
          </w:cols>
          <w:pgMar w:left="1440" w:top="1440" w:right="1440" w:bottom="1440" w:gutter="0" w:footer="0" w:header="0"/>
          <w:type w:val="continuous"/>
        </w:sectPr>
      </w:pPr>
    </w:p>
    <w:bookmarkStart w:id="114" w:name="page115"/>
    <w:bookmarkEnd w:id="114"/>
    <w:p>
      <w:pPr>
        <w:spacing w:after="0" w:line="3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u w:val="single" w:color="auto"/>
          <w:color w:val="auto"/>
        </w:rPr>
        <w:t>Financial Risks</w:t>
      </w:r>
    </w:p>
    <w:p>
      <w:pPr>
        <w:spacing w:after="0" w:line="124" w:lineRule="exact"/>
        <w:rPr>
          <w:sz w:val="20"/>
          <w:szCs w:val="20"/>
          <w:color w:val="auto"/>
        </w:rPr>
      </w:pPr>
    </w:p>
    <w:p>
      <w:pPr>
        <w:ind w:left="520"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capital requirements and our business strategy could increase our expenses, cause us to change our growth and development plans, or result in an inability to maintain our desired credit profile.</w:t>
      </w:r>
    </w:p>
    <w:p>
      <w:pPr>
        <w:spacing w:after="0" w:line="47" w:lineRule="exact"/>
        <w:rPr>
          <w:sz w:val="20"/>
          <w:szCs w:val="20"/>
          <w:color w:val="auto"/>
        </w:rPr>
      </w:pPr>
    </w:p>
    <w:p>
      <w:pPr>
        <w:jc w:val="both"/>
        <w:ind w:left="360" w:right="360" w:firstLine="360"/>
        <w:spacing w:after="0" w:line="242" w:lineRule="auto"/>
        <w:rPr>
          <w:sz w:val="20"/>
          <w:szCs w:val="20"/>
          <w:color w:val="auto"/>
        </w:rPr>
      </w:pPr>
      <w:r>
        <w:rPr>
          <w:rFonts w:ascii="Times New Roman" w:cs="Times New Roman" w:eastAsia="Times New Roman" w:hAnsi="Times New Roman"/>
          <w:sz w:val="20"/>
          <w:szCs w:val="20"/>
          <w:color w:val="auto"/>
        </w:rPr>
        <w:t>If economic conditions or other risks and uncertainties cause a significant reduction in our cash flows from operations, we may reduce or suspend capital expenditures, growth and acquisition activity, implementation of our business strategy, dividend declarations or share repurchases. We may choose to incur indebtedness to pay for these activities, although our access to capital markets is not assured and we may not be able to incur indebtedness at a cost that is consistent with current borrowing rates. We also may need to incur indebtedness to refinance scheduled debt maturities, and it is possible that the cost of financing could increase significantly, thereby increasing our expenses and decreasing our net income. Macroeconomic pressures, including inflation and rising interest rates, and market disruption are continuing. The U.S. government’s future actions regarding its debt ceiling and any possibility that the U.S. could default on its debt obligations could cause further interest rate increases, disrupt access to capital markets and trigger recessionary conditions. Further, our ability to execute our financial strategy, manage interest rate exposure and incur indebtedness is somewhat dependent upon our ability to maintain investment grade credit ratings on our senior debt. The credit rating process is contingent upon our credit profile and several other factors, many of which are beyond our control, including methodologies established and interpreted by third-party rating agencies. An important factor in our credit ratings is our leverage. We have communicated the Company’s expectation that our leverage will return to targeted levels about 18 months after the November 2024 acquisition of Stericycle. If we do not achieve our projected reduction in leverage, it could negatively impact our credit ratings. If we were unable to maintain our investment grade credit ratings in the future, our interest expense would increase and our ability to obtain financing on favorable terms could be adversely affected. We have $2.7 billion of debt as of December 31, 2024 that is exposed to changes in market interest rates within the next 12 months, associated with our commercial paper borrowings and tax-exempt bonds. If interest rates increase, our interest expense would also increase, lowering our net income and decreasing our cash flow.</w:t>
      </w:r>
    </w:p>
    <w:p>
      <w:pPr>
        <w:spacing w:after="0" w:line="83"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We may use our $3.5 billion long-term U.S. and Canadian revolving credit facility (“$3.5 billion revolving credit facility”) to meet our cash needs, to the extent available, until maturity in May 2029. As of December 31, 2024, we had no outstanding borrowings under this facility. We had $1.2 billion of outstanding borrowings (net of related discount on issuance) under our commercial paper program and $224 million of letters of credit issued, both supported by this facility, leaving unused and available credit capacity of $2.1 billion as of December 31, 2024. In the event of a default under our $3.5 billion revolving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Without waivers from lenders party to those agreements, any such default would have a material adverse effect on our ability to operate.</w:t>
      </w:r>
    </w:p>
    <w:p>
      <w:pPr>
        <w:spacing w:after="0" w:line="86" w:lineRule="exact"/>
        <w:rPr>
          <w:sz w:val="20"/>
          <w:szCs w:val="20"/>
          <w:color w:val="auto"/>
        </w:rPr>
      </w:pPr>
    </w:p>
    <w:p>
      <w:pPr>
        <w:ind w:left="520"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Increases in the costs of obtaining adequate financial assurance, or the inadequacy of our insurance coverages, could negatively impact our liquidity and increase our liabilities.</w:t>
      </w:r>
    </w:p>
    <w:p>
      <w:pPr>
        <w:spacing w:after="0" w:line="48"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The amount of insurance we are required to maintain for environmental liability is governed by statutory requirements. We also carry a broad range of other insurance coverages that are customary for a company our size. To the extent our obligations for claims are more than we estimated, our insurance coverage is inadequate to cover our obligations, or our insurers are unable to meet their obligations, the requirement that we pay such obligations could have a material adverse effect on our financial results.</w:t>
      </w:r>
    </w:p>
    <w:p>
      <w:pPr>
        <w:spacing w:after="0" w:line="77"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19"/>
          <w:szCs w:val="19"/>
          <w:color w:val="auto"/>
        </w:rPr>
        <w:t>In addition, to fulfill our financial assurance obligations with respect to variable-rate tax-exempt debt, and final capping, closure, post-closure and environmental remediation obligations, we generally obtain letters of credit or surety bonds, rely on insurance, including captive insurance, fund trust and escrow accounts or rely upon WMI financial guarantees. Our financial position, which can be negatively affected by asset impairments, our credit profile and general economic factors, may increase the cost of our current financial assurance instruments, and changes in regulations may impose stricter requirements on the types of financial assurance that will be accepted.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required to deposit cash to collateralize certain obligations, which could negatively impact our liquidity.</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3320" w:h="16920" w:orient="portrait"/>
          <w:cols w:equalWidth="0" w:num="1">
            <w:col w:w="10440"/>
          </w:cols>
          <w:pgMar w:left="1440" w:top="1440" w:right="1440" w:bottom="1440" w:gutter="0" w:footer="0" w:header="0"/>
          <w:type w:val="continuous"/>
        </w:sectPr>
      </w:pPr>
    </w:p>
    <w:bookmarkStart w:id="115" w:name="page116"/>
    <w:bookmarkEnd w:id="115"/>
    <w:p>
      <w:pPr>
        <w:spacing w:after="0" w:line="3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We may record material charges against our earnings due to impairments to our assets.</w:t>
      </w:r>
    </w:p>
    <w:p>
      <w:pPr>
        <w:spacing w:after="0" w:line="119"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Events that have in the past and may in the future lead to an impairment include, but are not limited to, shutting down a facility or operation, abandoning a development project, project cost overruns or the denial of an expansion permit. Additionally, declining waste volumes and development of, and customer preference for, alternatives to traditional waste disposal could warrant asset impairments. If we determine an asset or expansion project is impaired, we will charge against earnings any unamortized capitalized expenditures and advances relating to such asset or project reduced by any portion of the capitalized costs that we estimate will be recoverable, through sale or otherwise. We also carry a significant amount of goodwill on our Consolidated Balance Sheets, which is required to be assessed for impairment annually, and more frequently in the case of certain triggering events. We have in the past and may in the future be required to incur charges against earnings if such impairment tests indicate that the fair value of a reporting unit is below its carrying amount. Any such charges could have a material adverse effect on our results of operations.</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We could face significant liabilities for withdrawal from Multiemployer Pension Plans.</w:t>
      </w:r>
    </w:p>
    <w:p>
      <w:pPr>
        <w:spacing w:after="0" w:line="119"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We are a participating employer in a number of trustee-managed multiemployer defined benefit pension plans (“Multiemployer Pension Plans”) for employees who are covered by collective bargaining agreements. In the event of our withdrawal from a Multiemployer Pension Plan, we may incur expenses associated with our obligations for unfunded vested benefits at the time of the withdrawal. Depending on various factors, including potential legislative changes, future withdrawals could have a material adverse effect on results of operations or cash flows for a particular reporting period, and our ongoing costs of participation in Multiemployer Pension Plans may increase. See Notes 9 and 10 to the Consolidated Financial Statements for more information related to our participation in Multiemployer Pension Plans.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3320" w:h="16920" w:orient="portrait"/>
          <w:cols w:equalWidth="0" w:num="1">
            <w:col w:w="10440"/>
          </w:cols>
          <w:pgMar w:left="1440" w:top="1440" w:right="1440" w:bottom="1440" w:gutter="0" w:footer="0" w:header="0"/>
          <w:type w:val="continuous"/>
        </w:sectPr>
      </w:pPr>
    </w:p>
    <w:bookmarkStart w:id="116" w:name="page117"/>
    <w:bookmarkEnd w:id="116"/>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 xml:space="preserve">Item 1B. </w:t>
      </w:r>
      <w:r>
        <w:rPr>
          <w:rFonts w:ascii="Times New Roman" w:cs="Times New Roman" w:eastAsia="Times New Roman" w:hAnsi="Times New Roman"/>
          <w:sz w:val="20"/>
          <w:szCs w:val="20"/>
          <w:b w:val="1"/>
          <w:bCs w:val="1"/>
          <w:i w:val="1"/>
          <w:iCs w:val="1"/>
          <w:color w:val="auto"/>
        </w:rPr>
        <w:t>Unresolved Staff Comments.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 xml:space="preserve">Item 1C. </w:t>
      </w:r>
      <w:r>
        <w:rPr>
          <w:rFonts w:ascii="Times New Roman" w:cs="Times New Roman" w:eastAsia="Times New Roman" w:hAnsi="Times New Roman"/>
          <w:sz w:val="20"/>
          <w:szCs w:val="20"/>
          <w:b w:val="1"/>
          <w:bCs w:val="1"/>
          <w:i w:val="1"/>
          <w:iCs w:val="1"/>
          <w:color w:val="auto"/>
        </w:rPr>
        <w:t>Cybersecurity.</w:t>
      </w:r>
    </w:p>
    <w:p>
      <w:pPr>
        <w:spacing w:after="0" w:line="2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Strategy, Governance and Risk Management</w:t>
      </w:r>
    </w:p>
    <w:p>
      <w:pPr>
        <w:spacing w:after="0" w:line="180" w:lineRule="exact"/>
        <w:rPr>
          <w:sz w:val="20"/>
          <w:szCs w:val="20"/>
          <w:color w:val="auto"/>
        </w:rPr>
      </w:pPr>
    </w:p>
    <w:p>
      <w:pPr>
        <w:jc w:val="both"/>
        <w:ind w:left="360" w:right="360" w:firstLine="360"/>
        <w:spacing w:after="0" w:line="242" w:lineRule="auto"/>
        <w:rPr>
          <w:sz w:val="20"/>
          <w:szCs w:val="20"/>
          <w:color w:val="auto"/>
        </w:rPr>
      </w:pPr>
      <w:r>
        <w:rPr>
          <w:rFonts w:ascii="Times New Roman" w:cs="Times New Roman" w:eastAsia="Times New Roman" w:hAnsi="Times New Roman"/>
          <w:sz w:val="20"/>
          <w:szCs w:val="20"/>
          <w:color w:val="auto"/>
        </w:rPr>
        <w:t>Our Technology Risk Program is designed to proactively identify, monitor, and mitigate technology-related risks across our digital operations and assess cybersecurity risks related to third-party vendors and suppliers. Our Cybersecurity Program and our Technology Risk Program are led by our Chief Information Security Officer (“CISO”) a Certified Information Systems Security Professional with two decades of cybersecurity leadership. The CISO and his team are responsible for leading enterprise-wide cybersecurity strategy, policy, standards, architecture and processes. The Technology Risk Oversight Committee chaired by our CISO, with members representing leadership throughout our Company, provides oversight and guidance to technology risks, including cybersecurity. Our Company’s Cybersecurity Program is designed to align with the National Institute of Standards and Technology (“NIST”) Cybersecurity Framework and leading industry practices, and our Cybersecurity Program is integrated into our Company’s Enterprise Risk Management framework. Internal and external experts regularly evaluate our Cybersecurity Program, and the results of those reviews are reported to senior management and our Company’s Board of Directors. Our Incident Response Committee, which is comprised of leaders in the areas of information security, digital, legal, finance, privacy, compliance and ethics, corporate security and communications, is responsible for leading our Company’s response to cyber incidents. Our Cybersecurity Incident Response Plan outlines the processes by which management is informed about and monitors detection and mediation of cyber incidents. We actively engage with key vendors, industry participants, and intelligence and law enforcement communities as part of our continuing efforts to evaluate and enhance the effectiveness of our information security policies and procedures. We have a Data Protection Office that works closely with, and assists, our enterprise Privacy Program, overseen by the Chief Privacy Officer, along with advisory support from appointed Data Protection Officers in Europe and Quebec.</w:t>
      </w:r>
    </w:p>
    <w:p>
      <w:pPr>
        <w:spacing w:after="0" w:line="125" w:lineRule="exact"/>
        <w:rPr>
          <w:sz w:val="20"/>
          <w:szCs w:val="20"/>
          <w:color w:val="auto"/>
        </w:rPr>
      </w:pPr>
    </w:p>
    <w:p>
      <w:pPr>
        <w:jc w:val="both"/>
        <w:ind w:left="360" w:right="360" w:firstLine="360"/>
        <w:spacing w:after="0" w:line="242" w:lineRule="auto"/>
        <w:rPr>
          <w:sz w:val="20"/>
          <w:szCs w:val="20"/>
          <w:color w:val="auto"/>
        </w:rPr>
      </w:pPr>
      <w:r>
        <w:rPr>
          <w:rFonts w:ascii="Times New Roman" w:cs="Times New Roman" w:eastAsia="Times New Roman" w:hAnsi="Times New Roman"/>
          <w:sz w:val="20"/>
          <w:szCs w:val="20"/>
          <w:color w:val="auto"/>
        </w:rPr>
        <w:t xml:space="preserve">While we have experienced cybersecurity threats and breaches targeting our information technology systems and networks and those of our third-party providers, including within the last three years, these incidents have not had a material impact on our Company, including our business strategy, results of operations or financial condition. Risks from cybersecurity threats, including previous cybersecurity incidents encountered by the Company and known incidents encountered by third parties with a connection to the Company, are also not currently viewed as reasonably likely to materially impact our Company, including our business strategy, results of operations or financial condition. We are regularly the target of attempted cyber intrusions, have experienced cyber intrusions, and we anticipate continuing to be subject to such attempts as cyber intrusions become increasingly sophisticated and more difficult to predict and protect against. Geopolitical conflicts and developments and technological advancements also increase the risk and likelihood of cyber incidents. As such, we must commit substantial resources to continuously monitor and further develop our networks and infrastructure to prevent, detect, and address the risk of unauthorized access, misuse, computer viruses and other events. Although we have implemented and maintain commercially reasonable security measures and safeguards, including to protect against and identify potential threats, these protections and other systems designed to mitigate cybersecurity risks may not fully defend against an attack or future cybersecurity incident, which can be unpredictable in nature. Although we believe that the probability of occurrence of a significant cybersecurity incident is less than likely, if such an incident were to occur, the impact on the Company could be substantial. See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Significant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cybersecurity incidents negatively impact our business and our relationships with customers, vendors and employees and expose us to increased liability </w:t>
      </w:r>
      <w:r>
        <w:rPr>
          <w:rFonts w:ascii="Times New Roman" w:cs="Times New Roman" w:eastAsia="Times New Roman" w:hAnsi="Times New Roman"/>
          <w:sz w:val="20"/>
          <w:szCs w:val="20"/>
          <w:color w:val="auto"/>
        </w:rPr>
        <w:t>for additional discussion.</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Board Oversight</w:t>
      </w:r>
    </w:p>
    <w:p>
      <w:pPr>
        <w:spacing w:after="0" w:line="181" w:lineRule="exact"/>
        <w:rPr>
          <w:sz w:val="20"/>
          <w:szCs w:val="20"/>
          <w:color w:val="auto"/>
        </w:rPr>
      </w:pPr>
    </w:p>
    <w:p>
      <w:pPr>
        <w:jc w:val="both"/>
        <w:ind w:left="360" w:right="360" w:firstLine="360"/>
        <w:spacing w:after="0" w:line="263" w:lineRule="auto"/>
        <w:rPr>
          <w:sz w:val="20"/>
          <w:szCs w:val="20"/>
          <w:color w:val="auto"/>
        </w:rPr>
      </w:pPr>
      <w:r>
        <w:rPr>
          <w:rFonts w:ascii="Times New Roman" w:cs="Times New Roman" w:eastAsia="Times New Roman" w:hAnsi="Times New Roman"/>
          <w:sz w:val="19"/>
          <w:szCs w:val="19"/>
          <w:color w:val="auto"/>
        </w:rPr>
        <w:t>Management has primary responsibility for risk management within our Company. The Company’s Board of Directors, with the support of its committees, oversees risk management to ensure that the processes designed, implemented and maintained by our executives are functioning as intended and adapted when necessary to respond to changes in our Company’s strategy as well as emerging risks. The Audit Committee of the Company’s Board of Directors has responsibility for oversight of information and cybersecurity risks and assessment of cyber threats and defenses. The Audit Committee receives reports on these matters from our most senior executives in the digital organization, including</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3320" w:h="16920" w:orient="portrait"/>
          <w:cols w:equalWidth="0" w:num="1">
            <w:col w:w="10440"/>
          </w:cols>
          <w:pgMar w:left="1440" w:top="1440" w:right="1440" w:bottom="1440" w:gutter="0" w:footer="0" w:header="0"/>
          <w:type w:val="continuous"/>
        </w:sectPr>
      </w:pPr>
    </w:p>
    <w:bookmarkStart w:id="117" w:name="page118"/>
    <w:bookmarkEnd w:id="117"/>
    <w:p>
      <w:pPr>
        <w:spacing w:after="0" w:line="347" w:lineRule="exact"/>
        <w:rPr>
          <w:sz w:val="20"/>
          <w:szCs w:val="20"/>
          <w:color w:val="auto"/>
        </w:rPr>
      </w:pPr>
    </w:p>
    <w:p>
      <w:pPr>
        <w:jc w:val="both"/>
        <w:ind w:left="360" w:right="360" w:firstLine="1"/>
        <w:spacing w:after="0" w:line="257" w:lineRule="auto"/>
        <w:rPr>
          <w:sz w:val="20"/>
          <w:szCs w:val="20"/>
          <w:color w:val="auto"/>
        </w:rPr>
      </w:pPr>
      <w:r>
        <w:rPr>
          <w:rFonts w:ascii="Times New Roman" w:cs="Times New Roman" w:eastAsia="Times New Roman" w:hAnsi="Times New Roman"/>
          <w:sz w:val="19"/>
          <w:szCs w:val="19"/>
          <w:color w:val="auto"/>
        </w:rPr>
        <w:t>our Chief Information Officer and CISO, and the Company’s executive officers, at least twice a year. Topics historically covered in such reports, and for which our Board exercises oversight, include third-party evaluation of our technology infrastructure and information security against the NIST cybersecurity framework; management of emerging cyber threats such as merger and acquisition activity and the adoption and governance of artificial intelligence; risk mitigation through the Company’s enterprise- wide cybersecurity training, including our Board of Directors, conducted at least annually; regular simulated phishing tests and third-party penetration testing; review of the Company’s cyber incident insurance coverage and external cyber incident resources; review of the Company’s Cybersecurity Incident Response Plan; review of readouts from cyber incident table top exercises; and consideration of applicable laws and regulations, including those related to privacy. The Company’s Cybersecurity Incident Response Plan includes a section on Board escalation that specifies the process for notification of the Chair of the Audit Committee and the Chair of the Board of the Directors upon certain triggering events, and that group then determines the appropriate form and frequency of communication with the full Audit Committee or Board of Directors, depending on the unique characteristics of the incident.</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 xml:space="preserve">Item 2. </w:t>
      </w:r>
      <w:r>
        <w:rPr>
          <w:rFonts w:ascii="Times New Roman" w:cs="Times New Roman" w:eastAsia="Times New Roman" w:hAnsi="Times New Roman"/>
          <w:sz w:val="20"/>
          <w:szCs w:val="20"/>
          <w:b w:val="1"/>
          <w:bCs w:val="1"/>
          <w:i w:val="1"/>
          <w:iCs w:val="1"/>
          <w:color w:val="auto"/>
        </w:rPr>
        <w:t>Properties.</w:t>
      </w:r>
    </w:p>
    <w:p>
      <w:pPr>
        <w:spacing w:after="0" w:line="244"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Our principal executive offices are in Houston, Texas where we lease approximately 285,000 square feet under a lease expiring in 2035. We also have administrative offices in Arizona, Connecticut, Illinois, India and parts of Western Europe. We own or lease real property in most locations where we have operations or administrative functions. We have operations (i) in all 50 states; (ii) in the District of Columbia; (iii) parts of Canada and (iv) parts of Western Europe.</w:t>
      </w:r>
    </w:p>
    <w:p>
      <w:pPr>
        <w:spacing w:after="0" w:line="193" w:lineRule="exact"/>
        <w:rPr>
          <w:sz w:val="20"/>
          <w:szCs w:val="20"/>
          <w:color w:val="auto"/>
        </w:rPr>
      </w:pPr>
    </w:p>
    <w:p>
      <w:pPr>
        <w:jc w:val="both"/>
        <w:ind w:left="360" w:right="360" w:firstLine="410"/>
        <w:spacing w:after="0" w:line="243" w:lineRule="auto"/>
        <w:rPr>
          <w:sz w:val="20"/>
          <w:szCs w:val="20"/>
          <w:color w:val="auto"/>
        </w:rPr>
      </w:pPr>
      <w:r>
        <w:rPr>
          <w:rFonts w:ascii="Times New Roman" w:cs="Times New Roman" w:eastAsia="Times New Roman" w:hAnsi="Times New Roman"/>
          <w:sz w:val="20"/>
          <w:szCs w:val="20"/>
          <w:color w:val="auto"/>
        </w:rPr>
        <w:t xml:space="preserve">Our principal property and equipment consist of land (primarily landfills and other disposal facilities, transfer stations and bases for collection operations), buildings, vehicles and equipment. We believe that our operating properties, vehicles and equipment are adequately maintained and sufficient for our current operations. However, we expect to continue to make investments in additional property and equipment for expansion, for the replacement of aging assets and investment in assets that support our strategy of continuous improvement through efficiency and innovation. In addition, we continue to make progress on our planned investments to expand our Recycling Processing and Sales and WM Renewable Energy segments. As of December 31, 2024, we had 102 landfill gas beneficial use projects producing commercial quantities of methane gas at owned or operated landfills. For 65 of these projects, the processed gas is used to fuel electricity generators. The electricity is then sold to public utilities, municipal utilities or power cooperatives. For 23 of these projects, the gas is used at the landfill or delivered by pipeline to industrial customers as a direct substitute for fossil fuels in industrial processes. For 11 of these projects, the landfill gas is processed to pipeline quality RNG and then sold to natural gas suppliers. Additionally, three of these projects are on third-party landfills. For more information, see Item 7. </w:t>
      </w:r>
      <w:r>
        <w:rPr>
          <w:rFonts w:ascii="Times New Roman" w:cs="Times New Roman" w:eastAsia="Times New Roman" w:hAnsi="Times New Roman"/>
          <w:sz w:val="20"/>
          <w:szCs w:val="20"/>
          <w:i w:val="1"/>
          <w:iCs w:val="1"/>
          <w:color w:val="auto"/>
        </w:rPr>
        <w:t>Management’s Discussion and Analysis of Financial Condition and Results of Operations</w:t>
      </w:r>
      <w:r>
        <w:rPr>
          <w:rFonts w:ascii="Times New Roman" w:cs="Times New Roman" w:eastAsia="Times New Roman" w:hAnsi="Times New Roman"/>
          <w:sz w:val="20"/>
          <w:szCs w:val="20"/>
          <w:color w:val="auto"/>
        </w:rPr>
        <w:t xml:space="preserve"> included within this report.</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our various operations as of December 31:</w:t>
      </w:r>
    </w:p>
    <w:p>
      <w:pPr>
        <w:spacing w:after="0" w:line="258"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7640" w:type="dxa"/>
            <w:vAlign w:val="bottom"/>
            <w:vMerge w:val="restart"/>
          </w:tcPr>
          <w:p>
            <w:pPr>
              <w:jc w:val="right"/>
              <w:ind w:right="5280"/>
              <w:spacing w:after="0"/>
              <w:rPr>
                <w:sz w:val="20"/>
                <w:szCs w:val="20"/>
                <w:color w:val="auto"/>
              </w:rPr>
            </w:pPr>
            <w:r>
              <w:rPr>
                <w:rFonts w:ascii="Times New Roman" w:cs="Times New Roman" w:eastAsia="Times New Roman" w:hAnsi="Times New Roman"/>
                <w:sz w:val="20"/>
                <w:szCs w:val="20"/>
                <w:color w:val="auto"/>
                <w:w w:val="99"/>
              </w:rPr>
              <w:t>Landfills owned or operated</w:t>
            </w: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2024(a)</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2"/>
        </w:trPr>
        <w:tc>
          <w:tcPr>
            <w:tcW w:w="7640" w:type="dxa"/>
            <w:vAlign w:val="bottom"/>
            <w:vMerge w:val="continue"/>
          </w:tcPr>
          <w:p>
            <w:pPr>
              <w:jc w:val="right"/>
              <w:ind w:right="2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w:t>
            </w:r>
          </w:p>
        </w:tc>
        <w:tc>
          <w:tcPr>
            <w:tcW w:w="92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262</w:t>
            </w:r>
          </w:p>
        </w:tc>
        <w:tc>
          <w:tcPr>
            <w:tcW w:w="240" w:type="dxa"/>
            <w:vAlign w:val="bottom"/>
          </w:tcPr>
          <w:p>
            <w:pPr>
              <w:spacing w:after="0"/>
              <w:rPr>
                <w:sz w:val="17"/>
                <w:szCs w:val="17"/>
                <w:color w:val="auto"/>
              </w:rPr>
            </w:pPr>
          </w:p>
        </w:tc>
        <w:tc>
          <w:tcPr>
            <w:tcW w:w="92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263</w:t>
            </w:r>
          </w:p>
        </w:tc>
        <w:tc>
          <w:tcPr>
            <w:tcW w:w="0" w:type="dxa"/>
            <w:vAlign w:val="bottom"/>
          </w:tcPr>
          <w:p>
            <w:pPr>
              <w:spacing w:after="0"/>
              <w:rPr>
                <w:sz w:val="1"/>
                <w:szCs w:val="1"/>
                <w:color w:val="auto"/>
              </w:rPr>
            </w:pPr>
          </w:p>
        </w:tc>
      </w:tr>
      <w:tr>
        <w:trPr>
          <w:trHeight w:val="230"/>
        </w:trPr>
        <w:tc>
          <w:tcPr>
            <w:tcW w:w="76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Transfer stations (a)(b) . . . . . . . . . . . . . . . . . . . . . . . . . . . . . . . . . . . . . . . . . . . . . . . . . . . . . . . .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332</w:t>
            </w:r>
          </w:p>
        </w:tc>
        <w:tc>
          <w:tcPr>
            <w:tcW w:w="0" w:type="dxa"/>
            <w:vAlign w:val="bottom"/>
          </w:tcPr>
          <w:p>
            <w:pPr>
              <w:spacing w:after="0"/>
              <w:rPr>
                <w:sz w:val="1"/>
                <w:szCs w:val="1"/>
                <w:color w:val="auto"/>
              </w:rPr>
            </w:pPr>
          </w:p>
        </w:tc>
      </w:tr>
      <w:tr>
        <w:trPr>
          <w:trHeight w:val="232"/>
        </w:trPr>
        <w:tc>
          <w:tcPr>
            <w:tcW w:w="76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Recycling facilities . . . . . . . . . . . . . . . . . . . . . . . . . . . . . . . . . . . . . . . . . . . . . . . . . . . . . . . . . . .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230"/>
        </w:trPr>
        <w:tc>
          <w:tcPr>
            <w:tcW w:w="76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Autoclave or alternative medical waste treatment facilities (b) . . . . . . . . . . . . . . . . . . . . . . . .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76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Medical waste incinerator facilities (b) . . . . . . . . . . . . . . . . . . . . . . . . . . . . . . . . . . . . . . . . . . .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7"/>
        </w:trPr>
        <w:tc>
          <w:tcPr>
            <w:tcW w:w="76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Secure information destruction processing facilities (b) . . . . . . . . . . . . . . . . . . . . . . . . . . . . .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95885</wp:posOffset>
                </wp:positionV>
                <wp:extent cx="1541145"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7.55pt" to="139.65pt,7.55pt" o:allowincell="f" strokecolor="#000000" strokeweight="1.02pt"/>
            </w:pict>
          </mc:Fallback>
        </mc:AlternateContent>
      </w:r>
    </w:p>
    <w:p>
      <w:pPr>
        <w:spacing w:after="0" w:line="174" w:lineRule="exact"/>
        <w:rPr>
          <w:sz w:val="20"/>
          <w:szCs w:val="20"/>
          <w:color w:val="auto"/>
        </w:rPr>
      </w:pPr>
    </w:p>
    <w:p>
      <w:pPr>
        <w:ind w:left="1080" w:hanging="353"/>
        <w:spacing w:after="0"/>
        <w:tabs>
          <w:tab w:leader="none" w:pos="10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167 transfer stations in 2024 that are related to our WM Healthcare Solutions segment.</w:t>
      </w:r>
    </w:p>
    <w:p>
      <w:pPr>
        <w:spacing w:after="0" w:line="239" w:lineRule="exact"/>
        <w:rPr>
          <w:rFonts w:ascii="Times New Roman" w:cs="Times New Roman" w:eastAsia="Times New Roman" w:hAnsi="Times New Roman"/>
          <w:sz w:val="20"/>
          <w:szCs w:val="20"/>
          <w:color w:val="auto"/>
        </w:rPr>
      </w:pPr>
    </w:p>
    <w:p>
      <w:pPr>
        <w:jc w:val="both"/>
        <w:ind w:left="1080" w:right="360" w:hanging="353"/>
        <w:spacing w:after="0" w:line="253" w:lineRule="auto"/>
        <w:tabs>
          <w:tab w:leader="none" w:pos="10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35 Spain and Portugal locations consisting of 19 transfer stations, 12 autoclave or alternative medical waste treatment facilities, 1 medical waste incinerator facility and 3 secure information destruction processing facilities which were classified as assets held for sale as of December 31, 2024. See Note 17 to the Consolidated Financial Statements for further discussion.</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3320" w:h="16920" w:orient="portrait"/>
          <w:cols w:equalWidth="0" w:num="1">
            <w:col w:w="10440"/>
          </w:cols>
          <w:pgMar w:left="1440" w:top="1440" w:right="1440" w:bottom="1440" w:gutter="0" w:footer="0" w:header="0"/>
          <w:type w:val="continuous"/>
        </w:sectPr>
      </w:pPr>
    </w:p>
    <w:bookmarkStart w:id="118" w:name="page119"/>
    <w:bookmarkEnd w:id="118"/>
    <w:p>
      <w:pPr>
        <w:spacing w:after="0" w:line="3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 xml:space="preserve">Item 3. </w:t>
      </w:r>
      <w:r>
        <w:rPr>
          <w:rFonts w:ascii="Times New Roman" w:cs="Times New Roman" w:eastAsia="Times New Roman" w:hAnsi="Times New Roman"/>
          <w:sz w:val="20"/>
          <w:szCs w:val="20"/>
          <w:b w:val="1"/>
          <w:bCs w:val="1"/>
          <w:i w:val="1"/>
          <w:iCs w:val="1"/>
          <w:color w:val="auto"/>
        </w:rPr>
        <w:t>Legal Proceedings.</w:t>
      </w:r>
    </w:p>
    <w:p>
      <w:pPr>
        <w:spacing w:after="0" w:line="243"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 xml:space="preserve">Information regarding our legal proceedings can be found under the </w:t>
      </w:r>
      <w:r>
        <w:rPr>
          <w:rFonts w:ascii="Times New Roman" w:cs="Times New Roman" w:eastAsia="Times New Roman" w:hAnsi="Times New Roman"/>
          <w:sz w:val="20"/>
          <w:szCs w:val="20"/>
          <w:i w:val="1"/>
          <w:iCs w:val="1"/>
          <w:color w:val="auto"/>
        </w:rPr>
        <w:t>Environmental Matters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Litigation</w:t>
      </w:r>
      <w:r>
        <w:rPr>
          <w:rFonts w:ascii="Times New Roman" w:cs="Times New Roman" w:eastAsia="Times New Roman" w:hAnsi="Times New Roman"/>
          <w:sz w:val="20"/>
          <w:szCs w:val="20"/>
          <w:color w:val="auto"/>
        </w:rPr>
        <w:t xml:space="preserve"> sections of Note 10 to the Consolidated Financial Statements included within this report.</w:t>
      </w:r>
    </w:p>
    <w:p>
      <w:pPr>
        <w:spacing w:after="0" w:line="1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 xml:space="preserve">Item 4. </w:t>
      </w:r>
      <w:r>
        <w:rPr>
          <w:rFonts w:ascii="Times New Roman" w:cs="Times New Roman" w:eastAsia="Times New Roman" w:hAnsi="Times New Roman"/>
          <w:sz w:val="20"/>
          <w:szCs w:val="20"/>
          <w:b w:val="1"/>
          <w:bCs w:val="1"/>
          <w:i w:val="1"/>
          <w:iCs w:val="1"/>
          <w:color w:val="auto"/>
        </w:rPr>
        <w:t>Mine Safety Disclosures.</w:t>
      </w:r>
    </w:p>
    <w:p>
      <w:pPr>
        <w:spacing w:after="0" w:line="244" w:lineRule="exact"/>
        <w:rPr>
          <w:sz w:val="20"/>
          <w:szCs w:val="20"/>
          <w:color w:val="auto"/>
        </w:rPr>
      </w:pPr>
    </w:p>
    <w:p>
      <w:pPr>
        <w:jc w:val="both"/>
        <w:ind w:left="360" w:right="360" w:firstLine="360"/>
        <w:spacing w:after="0" w:line="305" w:lineRule="auto"/>
        <w:rPr>
          <w:sz w:val="20"/>
          <w:szCs w:val="20"/>
          <w:color w:val="auto"/>
        </w:rPr>
      </w:pPr>
      <w:r>
        <w:rPr>
          <w:rFonts w:ascii="Times New Roman" w:cs="Times New Roman" w:eastAsia="Times New Roman" w:hAnsi="Times New Roman"/>
          <w:sz w:val="19"/>
          <w:szCs w:val="19"/>
          <w:color w:val="auto"/>
        </w:rPr>
        <w:t>Information concerning mine safety and other regulatory matters required by Section 1503(a) of the Dodd-Frank Wall Street Reform and Consumer Protection Act and Item 104 of Regulation S-K is included in Exhibit 95 to this annual report.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0" w:lineRule="exact"/>
        <w:rPr>
          <w:sz w:val="20"/>
          <w:szCs w:val="20"/>
          <w:color w:val="auto"/>
        </w:rPr>
      </w:pPr>
    </w:p>
    <w:p>
      <w:pPr>
        <w:jc w:val="both"/>
        <w:ind w:left="520" w:right="360" w:hanging="143"/>
        <w:spacing w:after="0" w:line="282" w:lineRule="auto"/>
        <w:rPr>
          <w:sz w:val="20"/>
          <w:szCs w:val="20"/>
          <w:color w:val="auto"/>
        </w:rPr>
      </w:pPr>
      <w:r>
        <w:rPr>
          <w:rFonts w:ascii="Times New Roman" w:cs="Times New Roman" w:eastAsia="Times New Roman" w:hAnsi="Times New Roman"/>
          <w:sz w:val="20"/>
          <w:szCs w:val="20"/>
          <w:b w:val="1"/>
          <w:bCs w:val="1"/>
          <w:color w:val="auto"/>
        </w:rPr>
        <w:t xml:space="preserve">Item 5. </w:t>
      </w:r>
      <w:r>
        <w:rPr>
          <w:rFonts w:ascii="Times New Roman" w:cs="Times New Roman" w:eastAsia="Times New Roman" w:hAnsi="Times New Roman"/>
          <w:sz w:val="20"/>
          <w:szCs w:val="20"/>
          <w:b w:val="1"/>
          <w:bCs w:val="1"/>
          <w:i w:val="1"/>
          <w:iCs w:val="1"/>
          <w:color w:val="auto"/>
        </w:rPr>
        <w:t>Market for Registrant’s Common Equity, Related Stockholder Matters and Issuer Purchases of Equity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Securities.</w:t>
      </w:r>
    </w:p>
    <w:p>
      <w:pPr>
        <w:spacing w:after="0" w:line="163"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Our common stock is traded on the New York Stock Exchange (“NYSE”) under the symbol “WM.” The number of holders of record of our common stock on February 14, 2025 was 7,046.</w:t>
      </w:r>
    </w:p>
    <w:p>
      <w:pPr>
        <w:spacing w:after="0" w:line="167"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The graph below shows the relative investment performance of Waste Management, Inc. common stock, the S&amp;P 500 Index and the Dow Jones Waste &amp; Disposal Services Index for the last five years, assuming reinvestment of dividends at date of payment into the common stock. The graph is presented pursuant to SEC rules and is not meant to be an indication of our future performance.</w:t>
      </w: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Comparison of Cumulative Five Year Total Return</w:t>
      </w:r>
    </w:p>
    <w:p>
      <w:pPr>
        <w:spacing w:after="0" w:line="213"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-49530</wp:posOffset>
            </wp:positionV>
            <wp:extent cx="5073015" cy="28917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74">
                      <a:extLst>
                        <a:ext uri="{28A0092B-C50C-407E-A947-70E740481C1C}"/>
                      </a:extLst>
                    </a:blip>
                    <a:srcRect/>
                    <a:stretch>
                      <a:fillRect/>
                    </a:stretch>
                  </pic:blipFill>
                  <pic:spPr bwMode="auto">
                    <a:xfrm>
                      <a:off x="0" y="0"/>
                      <a:ext cx="5073015" cy="2891790"/>
                    </a:xfrm>
                    <a:prstGeom prst="rect">
                      <a:avLst/>
                    </a:prstGeom>
                    <a:noFill/>
                  </pic:spPr>
                </pic:pic>
              </a:graphicData>
            </a:graphic>
          </wp:anchor>
        </w:drawing>
      </w:r>
    </w:p>
    <w:p>
      <w:pPr>
        <w:spacing w:after="0" w:line="102" w:lineRule="exact"/>
        <w:rPr>
          <w:sz w:val="20"/>
          <w:szCs w:val="20"/>
          <w:color w:val="auto"/>
        </w:rPr>
      </w:pPr>
    </w:p>
    <w:p>
      <w:pPr>
        <w:ind w:left="2060"/>
        <w:spacing w:after="0"/>
        <w:rPr>
          <w:sz w:val="20"/>
          <w:szCs w:val="20"/>
          <w:color w:val="auto"/>
        </w:rPr>
      </w:pPr>
      <w:r>
        <w:rPr>
          <w:sz w:val="1"/>
          <w:szCs w:val="1"/>
          <w:color w:val="auto"/>
        </w:rPr>
        <w:drawing>
          <wp:inline distT="0" distB="0" distL="0" distR="0">
            <wp:extent cx="149860" cy="76835"/>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75">
                      <a:extLst>
                        <a:ext uri="{28A0092B-C50C-407E-A947-70E740481C1C}"/>
                      </a:extLst>
                    </a:blip>
                    <a:srcRect/>
                    <a:stretch>
                      <a:fillRect/>
                    </a:stretch>
                  </pic:blipFill>
                  <pic:spPr bwMode="auto">
                    <a:xfrm>
                      <a:off x="0" y="0"/>
                      <a:ext cx="149860" cy="76835"/>
                    </a:xfrm>
                    <a:prstGeom prst="rect">
                      <a:avLst/>
                    </a:prstGeom>
                    <a:noFill/>
                    <a:ln>
                      <a:noFill/>
                    </a:ln>
                  </pic:spPr>
                </pic:pic>
              </a:graphicData>
            </a:graphic>
          </wp:inline>
        </w:drawing>
        <w:drawing>
          <wp:inline distT="0" distB="0" distL="0" distR="0">
            <wp:extent cx="83185" cy="76835"/>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76">
                      <a:extLst>
                        <a:ext uri="{28A0092B-C50C-407E-A947-70E740481C1C}"/>
                      </a:extLst>
                    </a:blip>
                    <a:srcRect/>
                    <a:stretch>
                      <a:fillRect/>
                    </a:stretch>
                  </pic:blipFill>
                  <pic:spPr bwMode="auto">
                    <a:xfrm>
                      <a:off x="0" y="0"/>
                      <a:ext cx="83185" cy="76835"/>
                    </a:xfrm>
                    <a:prstGeom prst="rect">
                      <a:avLst/>
                    </a:prstGeom>
                    <a:noFill/>
                    <a:ln>
                      <a:noFill/>
                    </a:ln>
                  </pic:spPr>
                </pic:pic>
              </a:graphicData>
            </a:graphic>
          </wp:inline>
        </w:drawing>
      </w:r>
      <w:r>
        <w:rPr>
          <w:rFonts w:ascii="Arial" w:cs="Arial" w:eastAsia="Arial" w:hAnsi="Arial"/>
          <w:sz w:val="20"/>
          <w:szCs w:val="20"/>
          <w:color w:val="auto"/>
        </w:rPr>
        <w:t xml:space="preserve"> Waste Management, Inc.</w:t>
      </w:r>
    </w:p>
    <w:p>
      <w:pPr>
        <w:spacing w:after="0" w:line="170" w:lineRule="exact"/>
        <w:rPr>
          <w:sz w:val="20"/>
          <w:szCs w:val="20"/>
          <w:color w:val="auto"/>
        </w:rPr>
      </w:pPr>
    </w:p>
    <w:p>
      <w:pPr>
        <w:ind w:left="2060"/>
        <w:spacing w:after="0"/>
        <w:rPr>
          <w:sz w:val="20"/>
          <w:szCs w:val="20"/>
          <w:color w:val="auto"/>
        </w:rPr>
      </w:pPr>
      <w:r>
        <w:rPr>
          <w:sz w:val="1"/>
          <w:szCs w:val="1"/>
          <w:color w:val="auto"/>
        </w:rPr>
        <w:drawing>
          <wp:inline distT="0" distB="0" distL="0" distR="0">
            <wp:extent cx="227330" cy="9652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177">
                      <a:extLst>
                        <a:ext uri="{28A0092B-C50C-407E-A947-70E740481C1C}"/>
                      </a:extLst>
                    </a:blip>
                    <a:srcRect/>
                    <a:stretch>
                      <a:fillRect/>
                    </a:stretch>
                  </pic:blipFill>
                  <pic:spPr bwMode="auto">
                    <a:xfrm>
                      <a:off x="0" y="0"/>
                      <a:ext cx="227330" cy="96520"/>
                    </a:xfrm>
                    <a:prstGeom prst="rect">
                      <a:avLst/>
                    </a:prstGeom>
                    <a:noFill/>
                    <a:ln>
                      <a:noFill/>
                    </a:ln>
                  </pic:spPr>
                </pic:pic>
              </a:graphicData>
            </a:graphic>
          </wp:inline>
        </w:drawing>
      </w:r>
      <w:r>
        <w:rPr>
          <w:rFonts w:ascii="Arial" w:cs="Arial" w:eastAsia="Arial" w:hAnsi="Arial"/>
          <w:sz w:val="20"/>
          <w:szCs w:val="20"/>
          <w:color w:val="auto"/>
        </w:rPr>
        <w:t xml:space="preserve"> S&amp;P 500 Index</w:t>
      </w:r>
    </w:p>
    <w:p>
      <w:pPr>
        <w:spacing w:after="0" w:line="17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 xml:space="preserve">$200  </w:t>
      </w:r>
      <w:r>
        <w:rPr>
          <w:sz w:val="1"/>
          <w:szCs w:val="1"/>
          <w:color w:val="auto"/>
        </w:rPr>
        <w:drawing>
          <wp:inline distT="0" distB="0" distL="0" distR="0">
            <wp:extent cx="204470" cy="4763"/>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78">
                      <a:extLst>
                        <a:ext uri="{28A0092B-C50C-407E-A947-70E740481C1C}"/>
                      </a:extLst>
                    </a:blip>
                    <a:srcRect/>
                    <a:stretch>
                      <a:fillRect/>
                    </a:stretch>
                  </pic:blipFill>
                  <pic:spPr bwMode="auto">
                    <a:xfrm>
                      <a:off x="0" y="0"/>
                      <a:ext cx="204470" cy="4763"/>
                    </a:xfrm>
                    <a:prstGeom prst="rect">
                      <a:avLst/>
                    </a:prstGeom>
                    <a:noFill/>
                    <a:ln>
                      <a:noFill/>
                    </a:ln>
                  </pic:spPr>
                </pic:pic>
              </a:graphicData>
            </a:graphic>
          </wp:inline>
        </w:drawing>
        <w:drawing>
          <wp:inline distT="0" distB="0" distL="0" distR="0">
            <wp:extent cx="227330" cy="9652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179">
                      <a:extLst>
                        <a:ext uri="{28A0092B-C50C-407E-A947-70E740481C1C}"/>
                      </a:extLst>
                    </a:blip>
                    <a:srcRect/>
                    <a:stretch>
                      <a:fillRect/>
                    </a:stretch>
                  </pic:blipFill>
                  <pic:spPr bwMode="auto">
                    <a:xfrm>
                      <a:off x="0" y="0"/>
                      <a:ext cx="227330" cy="96520"/>
                    </a:xfrm>
                    <a:prstGeom prst="rect">
                      <a:avLst/>
                    </a:prstGeom>
                    <a:noFill/>
                    <a:ln>
                      <a:noFill/>
                    </a:ln>
                  </pic:spPr>
                </pic:pic>
              </a:graphicData>
            </a:graphic>
          </wp:inline>
        </w:drawing>
      </w:r>
      <w:r>
        <w:rPr>
          <w:rFonts w:ascii="Arial" w:cs="Arial" w:eastAsia="Arial" w:hAnsi="Arial"/>
          <w:sz w:val="20"/>
          <w:szCs w:val="20"/>
          <w:color w:val="auto"/>
        </w:rPr>
        <w:t xml:space="preserve"> Dow Jones Waste &amp; Disposal Services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$150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 xml:space="preserve">$100 </w:t>
      </w:r>
      <w:r>
        <w:rPr>
          <w:sz w:val="1"/>
          <w:szCs w:val="1"/>
          <w:color w:val="auto"/>
        </w:rPr>
        <w:drawing>
          <wp:inline distT="0" distB="0" distL="0" distR="0">
            <wp:extent cx="120650" cy="12001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80">
                      <a:extLst>
                        <a:ext uri="{28A0092B-C50C-407E-A947-70E740481C1C}"/>
                      </a:extLst>
                    </a:blip>
                    <a:srcRect/>
                    <a:stretch>
                      <a:fillRect/>
                    </a:stretch>
                  </pic:blipFill>
                  <pic:spPr bwMode="auto">
                    <a:xfrm>
                      <a:off x="0" y="0"/>
                      <a:ext cx="120650" cy="120015"/>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360" w:type="dxa"/>
        <w:tblCellMar>
          <w:top w:w="0" w:type="dxa"/>
          <w:left w:w="0" w:type="dxa"/>
          <w:bottom w:w="0" w:type="dxa"/>
          <w:right w:w="0" w:type="dxa"/>
        </w:tblCellMar>
      </w:tblPr>
      <w:tr>
        <w:trPr>
          <w:trHeight w:val="109"/>
        </w:trPr>
        <w:tc>
          <w:tcPr>
            <w:tcW w:w="1200" w:type="dxa"/>
            <w:vAlign w:val="bottom"/>
            <w:vMerge w:val="restart"/>
          </w:tcPr>
          <w:p>
            <w:pPr>
              <w:jc w:val="right"/>
              <w:ind w:right="25"/>
              <w:spacing w:after="0"/>
              <w:rPr>
                <w:sz w:val="20"/>
                <w:szCs w:val="20"/>
                <w:color w:val="auto"/>
              </w:rPr>
            </w:pPr>
            <w:r>
              <w:rPr>
                <w:rFonts w:ascii="Arial" w:cs="Arial" w:eastAsia="Arial" w:hAnsi="Arial"/>
                <w:sz w:val="17"/>
                <w:szCs w:val="17"/>
                <w:color w:val="auto"/>
              </w:rPr>
              <w:t>$50</w:t>
            </w:r>
          </w:p>
        </w:tc>
        <w:tc>
          <w:tcPr>
            <w:tcW w:w="12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20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440" w:type="dxa"/>
            <w:vAlign w:val="bottom"/>
            <w:gridSpan w:val="2"/>
          </w:tcPr>
          <w:p>
            <w:pPr>
              <w:jc w:val="right"/>
              <w:ind w:right="900"/>
              <w:spacing w:after="0"/>
              <w:rPr>
                <w:sz w:val="20"/>
                <w:szCs w:val="20"/>
                <w:color w:val="auto"/>
              </w:rPr>
            </w:pPr>
            <w:r>
              <w:rPr>
                <w:rFonts w:ascii="Arial" w:cs="Arial" w:eastAsia="Arial" w:hAnsi="Arial"/>
                <w:sz w:val="17"/>
                <w:szCs w:val="17"/>
                <w:color w:val="auto"/>
              </w:rPr>
              <w:t>12/31/19</w:t>
            </w:r>
          </w:p>
        </w:tc>
        <w:tc>
          <w:tcPr>
            <w:tcW w:w="1560" w:type="dxa"/>
            <w:vAlign w:val="bottom"/>
          </w:tcPr>
          <w:p>
            <w:pPr>
              <w:jc w:val="right"/>
              <w:ind w:right="805"/>
              <w:spacing w:after="0"/>
              <w:rPr>
                <w:sz w:val="20"/>
                <w:szCs w:val="20"/>
                <w:color w:val="auto"/>
              </w:rPr>
            </w:pPr>
            <w:r>
              <w:rPr>
                <w:rFonts w:ascii="Arial" w:cs="Arial" w:eastAsia="Arial" w:hAnsi="Arial"/>
                <w:sz w:val="17"/>
                <w:szCs w:val="17"/>
                <w:color w:val="auto"/>
                <w:w w:val="96"/>
              </w:rPr>
              <w:t>12/31/20</w:t>
            </w:r>
          </w:p>
        </w:tc>
        <w:tc>
          <w:tcPr>
            <w:tcW w:w="980" w:type="dxa"/>
            <w:vAlign w:val="bottom"/>
            <w:gridSpan w:val="3"/>
          </w:tcPr>
          <w:p>
            <w:pPr>
              <w:jc w:val="right"/>
              <w:ind w:right="225"/>
              <w:spacing w:after="0"/>
              <w:rPr>
                <w:sz w:val="20"/>
                <w:szCs w:val="20"/>
                <w:color w:val="auto"/>
              </w:rPr>
            </w:pPr>
            <w:r>
              <w:rPr>
                <w:rFonts w:ascii="Arial" w:cs="Arial" w:eastAsia="Arial" w:hAnsi="Arial"/>
                <w:sz w:val="17"/>
                <w:szCs w:val="17"/>
                <w:color w:val="auto"/>
                <w:w w:val="96"/>
              </w:rPr>
              <w:t>12/31/21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4"/>
          </w:tcPr>
          <w:p>
            <w:pPr>
              <w:ind w:left="320"/>
              <w:spacing w:after="0"/>
              <w:rPr>
                <w:sz w:val="20"/>
                <w:szCs w:val="20"/>
                <w:color w:val="auto"/>
              </w:rPr>
            </w:pPr>
            <w:r>
              <w:rPr>
                <w:rFonts w:ascii="Arial" w:cs="Arial" w:eastAsia="Arial" w:hAnsi="Arial"/>
                <w:sz w:val="17"/>
                <w:szCs w:val="17"/>
                <w:color w:val="auto"/>
              </w:rPr>
              <w:t>12/31/22</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12/31/23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gridSpan w:val="4"/>
          </w:tcPr>
          <w:p>
            <w:pPr>
              <w:jc w:val="right"/>
              <w:ind w:right="265"/>
              <w:spacing w:after="0"/>
              <w:rPr>
                <w:sz w:val="20"/>
                <w:szCs w:val="20"/>
                <w:color w:val="auto"/>
              </w:rPr>
            </w:pPr>
            <w:r>
              <w:rPr>
                <w:rFonts w:ascii="Arial" w:cs="Arial" w:eastAsia="Arial" w:hAnsi="Arial"/>
                <w:sz w:val="17"/>
                <w:szCs w:val="17"/>
                <w:color w:val="auto"/>
                <w:w w:val="96"/>
              </w:rPr>
              <w:t>12/31/24</w:t>
            </w:r>
          </w:p>
        </w:tc>
        <w:tc>
          <w:tcPr>
            <w:tcW w:w="0" w:type="dxa"/>
            <w:vAlign w:val="bottom"/>
          </w:tcPr>
          <w:p>
            <w:pPr>
              <w:spacing w:after="0"/>
              <w:rPr>
                <w:sz w:val="1"/>
                <w:szCs w:val="1"/>
                <w:color w:val="auto"/>
              </w:rPr>
            </w:pPr>
          </w:p>
        </w:tc>
      </w:tr>
      <w:tr>
        <w:trPr>
          <w:trHeight w:val="588"/>
        </w:trPr>
        <w:tc>
          <w:tcPr>
            <w:tcW w:w="24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20"/>
                <w:szCs w:val="20"/>
                <w:color w:val="auto"/>
                <w:w w:val="99"/>
              </w:rPr>
              <w:t>Waste Management, Inc</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auto"/>
                <w:w w:val="98"/>
              </w:rPr>
              <w:t>12/31/19</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12/31/20</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auto"/>
                <w:w w:val="98"/>
              </w:rPr>
              <w:t>12/31/21</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auto"/>
                <w:w w:val="94"/>
              </w:rPr>
              <w:t>12/31/22</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12/31/23</w:t>
            </w:r>
          </w:p>
        </w:tc>
        <w:tc>
          <w:tcPr>
            <w:tcW w:w="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auto"/>
                <w:w w:val="98"/>
              </w:rPr>
              <w:t>12/31/24</w:t>
            </w:r>
          </w:p>
        </w:tc>
        <w:tc>
          <w:tcPr>
            <w:tcW w:w="0" w:type="dxa"/>
            <w:vAlign w:val="bottom"/>
          </w:tcPr>
          <w:p>
            <w:pPr>
              <w:spacing w:after="0"/>
              <w:rPr>
                <w:sz w:val="1"/>
                <w:szCs w:val="1"/>
                <w:color w:val="auto"/>
              </w:rPr>
            </w:pPr>
          </w:p>
        </w:tc>
      </w:tr>
      <w:tr>
        <w:trPr>
          <w:trHeight w:val="202"/>
        </w:trPr>
        <w:tc>
          <w:tcPr>
            <w:tcW w:w="2440" w:type="dxa"/>
            <w:vAlign w:val="bottom"/>
            <w:gridSpan w:val="2"/>
            <w:vMerge w:val="continue"/>
          </w:tcPr>
          <w:p>
            <w:pPr>
              <w:jc w:val="right"/>
              <w:spacing w:after="0" w:line="178" w:lineRule="exact"/>
              <w:rPr>
                <w:sz w:val="20"/>
                <w:szCs w:val="20"/>
                <w:color w:val="auto"/>
              </w:rPr>
            </w:pPr>
            <w:r>
              <w:rPr>
                <w:rFonts w:ascii="Times New Roman" w:cs="Times New Roman" w:eastAsia="Times New Roman" w:hAnsi="Times New Roman"/>
                <w:sz w:val="20"/>
                <w:szCs w:val="20"/>
                <w:color w:val="auto"/>
              </w:rPr>
              <w:t>. . . . .</w:t>
            </w:r>
          </w:p>
        </w:tc>
        <w:tc>
          <w:tcPr>
            <w:tcW w:w="15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w w:val="98"/>
              </w:rPr>
              <w:t>. . . . . . . . . . . . . . . .</w:t>
            </w:r>
          </w:p>
        </w:tc>
        <w:tc>
          <w:tcPr>
            <w:tcW w:w="2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100</w:t>
            </w:r>
          </w:p>
        </w:tc>
        <w:tc>
          <w:tcPr>
            <w:tcW w:w="1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ind w:left="300"/>
              <w:spacing w:after="0" w:line="202" w:lineRule="exact"/>
              <w:rPr>
                <w:sz w:val="20"/>
                <w:szCs w:val="20"/>
                <w:color w:val="auto"/>
              </w:rPr>
            </w:pPr>
            <w:r>
              <w:rPr>
                <w:rFonts w:ascii="Times New Roman" w:cs="Times New Roman" w:eastAsia="Times New Roman" w:hAnsi="Times New Roman"/>
                <w:sz w:val="20"/>
                <w:szCs w:val="20"/>
                <w:color w:val="auto"/>
              </w:rPr>
              <w:t>105</w:t>
            </w:r>
          </w:p>
        </w:tc>
        <w:tc>
          <w:tcPr>
            <w:tcW w:w="1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152</w:t>
            </w:r>
          </w:p>
        </w:tc>
        <w:tc>
          <w:tcPr>
            <w:tcW w:w="1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145</w:t>
            </w:r>
          </w:p>
        </w:tc>
        <w:tc>
          <w:tcPr>
            <w:tcW w:w="1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168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192</w:t>
            </w:r>
          </w:p>
        </w:tc>
        <w:tc>
          <w:tcPr>
            <w:tcW w:w="0" w:type="dxa"/>
            <w:vAlign w:val="bottom"/>
          </w:tcPr>
          <w:p>
            <w:pPr>
              <w:spacing w:after="0"/>
              <w:rPr>
                <w:sz w:val="1"/>
                <w:szCs w:val="1"/>
                <w:color w:val="auto"/>
              </w:rPr>
            </w:pPr>
          </w:p>
        </w:tc>
      </w:tr>
      <w:tr>
        <w:trPr>
          <w:trHeight w:val="232"/>
        </w:trPr>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S&amp;P 500 Index . . . . . . . . . . . .</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 . . . . . . . . . . . . .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118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0" w:type="dxa"/>
            <w:vAlign w:val="bottom"/>
          </w:tcPr>
          <w:p>
            <w:pPr>
              <w:spacing w:after="0"/>
              <w:rPr>
                <w:sz w:val="1"/>
                <w:szCs w:val="1"/>
                <w:color w:val="auto"/>
              </w:rPr>
            </w:pPr>
          </w:p>
        </w:tc>
      </w:tr>
      <w:tr>
        <w:trPr>
          <w:trHeight w:val="267"/>
        </w:trPr>
        <w:tc>
          <w:tcPr>
            <w:tcW w:w="4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8"/>
              </w:rPr>
              <w:t>Dow Jones Waste &amp; Disposal Services Index . . .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107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3320" w:h="16920" w:orient="portrait"/>
          <w:cols w:equalWidth="0" w:num="1">
            <w:col w:w="10440"/>
          </w:cols>
          <w:pgMar w:left="1440" w:top="1440" w:right="1440" w:bottom="1440" w:gutter="0" w:footer="0" w:header="0"/>
          <w:type w:val="continuous"/>
        </w:sectPr>
      </w:pPr>
    </w:p>
    <w:bookmarkStart w:id="119" w:name="page120"/>
    <w:bookmarkEnd w:id="119"/>
    <w:p>
      <w:pPr>
        <w:spacing w:after="0" w:line="347"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The Company repurchases shares of its common stock as part of capital allocation programs authorized by our Board of Directors. Share repurchases are a part of our long-term strategy and incorporated into our overall capital allocation plan to enhance our Company’s performance, in conjunction with our other uses of capital, and to return value to stockholders in a tax-efficient manner. During 2024, we allocated an aggregate of $262 million to repurchase our common stock under accelerated share repurchase (“ASR”) agreements and open market transactions. As of December 31, 2024, we had received 1.5 million shares with a weighted average price per share of $196.95, exclusive of per-share commissions. As a result of the Stericycle acquisition, the Company has temporarily suspended share repurchases. We expect to resume share repurchases once the Company’s leverage returns to targeted levels, which is currently projected to be about 18 months after the November 2024 acquisition of Stericycle. See Note 13 to the Consolidated Financial Statements for additional information.</w:t>
      </w:r>
    </w:p>
    <w:p>
      <w:pPr>
        <w:spacing w:after="0" w:line="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There were no common stock repurchases during the fourth quarter of 2024.</w:t>
      </w:r>
    </w:p>
    <w:p>
      <w:pPr>
        <w:spacing w:after="0" w:line="3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 xml:space="preserve">Item 6. </w:t>
      </w:r>
      <w:r>
        <w:rPr>
          <w:rFonts w:ascii="Times New Roman" w:cs="Times New Roman" w:eastAsia="Times New Roman" w:hAnsi="Times New Roman"/>
          <w:sz w:val="20"/>
          <w:szCs w:val="20"/>
          <w:b w:val="1"/>
          <w:bCs w:val="1"/>
          <w:i w:val="1"/>
          <w:iCs w:val="1"/>
          <w:color w:val="auto"/>
        </w:rPr>
        <w:t>[Reserved]</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 xml:space="preserve">Item 7. </w:t>
      </w:r>
      <w:r>
        <w:rPr>
          <w:rFonts w:ascii="Times New Roman" w:cs="Times New Roman" w:eastAsia="Times New Roman" w:hAnsi="Times New Roman"/>
          <w:sz w:val="20"/>
          <w:szCs w:val="20"/>
          <w:b w:val="1"/>
          <w:bCs w:val="1"/>
          <w:i w:val="1"/>
          <w:iCs w:val="1"/>
          <w:color w:val="auto"/>
        </w:rPr>
        <w:t>Management’s Discussion and Analysis of Financial Condition and Results of Operations.</w:t>
      </w:r>
    </w:p>
    <w:p>
      <w:pPr>
        <w:spacing w:after="0" w:line="243"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 xml:space="preserve">This section includes a discussion of our results of operations for the three years ended December 31, 2024. This discussion may contain forward-looking statements. See “Cautionary Statement about Forward-Looking Statements” in Part I of this Annual Report on Form 10-K for more information. Forward-looking statements are subject to certain risks and uncertainties that could cause actual results to differ materially from our historical experience and our present expectations or anticipated results. These risks and uncertainties include, but are not limited to, those described in Part I,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and elsewhere in this report and may also be described from time to time in our future reports filed with the U.S. Securities and Exchange Commission (“SEC”). The following discussion should be read considering those disclosures and together with the Consolidated Financial Statements and the notes thereto.</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39"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We are North America’s leading provider of comprehensive environmental solutions, primarily providing services throughout the United States (“U.S.”) and Canada. We partner with our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 Our solid waste business is operated and managed locally by our subsidiaries that focus on distinct geographic areas and provide collection, transfer, disposal, recycling and resource recovery services. Through our subsidiaries, including our Waste Management Renewable Energy (“WM Renewable Energy”) segment, we are also a leading developer, operator and owner of landfill gas-to-energy facilities in the U.S. and Canada that produce renewable electricity and renewable natural gas, which is a significant source of fuel that we allocate to our natural gas fleet. Additionally, we are a leading recycler in the U.S. and Canada, handling materials that include paper, cardboard, glass, plastic and metal.</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Stericycle Acquisition</w:t>
      </w:r>
    </w:p>
    <w:p>
      <w:pPr>
        <w:spacing w:after="0" w:line="240"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On November 4, 2024, we completed our acquisition of all outstanding shares of Stericycle for $62.00 per share in cash, pursuant to an Agreement and Plan of Merger dated June 3, 2024. Total enterprise value of the acquisition was $7.2 billion (net of cash acquired) when including the assumption of $0.5 billion of debt and the repayment of approximately $0.8 billion of net debt. The acquisition expands our offerings in the U.S., Canada and parts of Western Europe. The post-closing operating results of Stericycle have been included in our Consolidated Financial Statements, as a new reportable segment referred to as WM Healthcare Solutions.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3320" w:h="16920" w:orient="portrait"/>
          <w:cols w:equalWidth="0" w:num="1">
            <w:col w:w="10440"/>
          </w:cols>
          <w:pgMar w:left="1440" w:top="1440" w:right="1440" w:bottom="1440" w:gutter="0" w:footer="0" w:header="0"/>
          <w:type w:val="continuous"/>
        </w:sectPr>
      </w:pPr>
    </w:p>
    <w:bookmarkStart w:id="120" w:name="page121"/>
    <w:bookmarkEnd w:id="120"/>
    <w:p>
      <w:pPr>
        <w:spacing w:after="0" w:line="347"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For the year ended December 31, 2024, we incurred approximately $160 million of acquisition and integration related costs, which are primarily classified as “Selling, general and administrative expenses.” Refer to Note 19 for more information on the performance of our WM Healthcare Solutions segment.</w:t>
      </w:r>
    </w:p>
    <w:p>
      <w:pPr>
        <w:spacing w:after="0" w:line="186" w:lineRule="exact"/>
        <w:rPr>
          <w:sz w:val="20"/>
          <w:szCs w:val="20"/>
          <w:color w:val="auto"/>
        </w:rPr>
      </w:pPr>
    </w:p>
    <w:p>
      <w:pPr>
        <w:jc w:val="both"/>
        <w:ind w:left="360" w:right="360" w:firstLine="360"/>
        <w:spacing w:after="0" w:line="263" w:lineRule="auto"/>
        <w:rPr>
          <w:sz w:val="20"/>
          <w:szCs w:val="20"/>
          <w:color w:val="auto"/>
        </w:rPr>
      </w:pPr>
      <w:r>
        <w:rPr>
          <w:rFonts w:ascii="Times New Roman" w:cs="Times New Roman" w:eastAsia="Times New Roman" w:hAnsi="Times New Roman"/>
          <w:sz w:val="19"/>
          <w:szCs w:val="19"/>
          <w:color w:val="auto"/>
        </w:rPr>
        <w:t>Our senior management evaluates, oversees and manages the financial performance of our business through five reportable segments, referred to as (i) Collection and Disposal - East Tier (“East Tier”); (ii) Collection and Disposal - West Tier (“West Tier”); (iii) Recycling Processing and Sales; (iv) WM Renewable Energy and (v) WM Healthcare Solutions. Our East and West Tiers along with certain ancillary services (“Other Ancillary”) that are not managed through our Tier segments, but that support our collection and disposal operations, form our “Collection and Disposal” businesses. We also provide additional services not managed through our five reportable segments, which are presented as Corporate and Other.</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i w:val="1"/>
          <w:iCs w:val="1"/>
          <w:color w:val="auto"/>
        </w:rPr>
        <w:t>Collection and Disposal</w:t>
      </w:r>
    </w:p>
    <w:p>
      <w:pPr>
        <w:spacing w:after="0" w:line="239"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Our Collection and Disposal businesses provide integrated environmental services, including collection, transfer, disposal and resource recovery services. We evaluate our Collection and Disposal businesses primarily through two geographic segments, East Tier and West Tier. Our East Tier primarily consists of geographic areas located in the Eastern U.S., the Great Lakes region and substantially all of Canada. Our West Tier primarily includes geographic areas located in the Western U.S., including the upper Midwest region, and British Columbia, Canada. Additionally, we provide Other Ancillary services that are not managed through the Tier segments but that support our collection and disposal operations. Other Ancillary includes specialized services performed for customers that have differentiated needs. These specialized services are targeted at large industrial customers managed through our Sustainability and Environmental Solutions (“SES”) business or geographically dispersed customers managed through our Strategic Business Solutions (“WMSBS”) business. Also included within Other Ancillary are the results of non-operating entities that provide financial assurance and self-insurance support for our business, net of intercompany activity.</w:t>
      </w:r>
    </w:p>
    <w:p>
      <w:pPr>
        <w:spacing w:after="0" w:line="209"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Our Collection and Disposal businesses’ operating revenues are primarily generated from fees charged for our collection, transfer, disposal and resource recovery services. Revenues from our collection operations are influenced by factors such as collection frequency, type of collection equipment furnished, type and volume or weight of the waste collected, distance to the disposal facility or recycling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considering our cost of loading, transporting and disposing of the solid waste at a disposal site.</w:t>
      </w:r>
    </w:p>
    <w:p>
      <w:pPr>
        <w:spacing w:after="0" w:line="201"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Included within our Collection and Disposal businesses are landfills having (i) 20 third-party power generating facilities converting our landfill gas to fuel electricity generators; (ii) 16 third-party renewable natural gas (“RNG”) facilities processing landfill gas to be sold to natural gas suppliers and (iii) six third-party projects delivering our landfill gas by pipeline to industrial customers as a direct substitute for fossil fuels in industrial processes. In return for providing our landfill gas, we receive royalties from each facility, including the benefit of a 15% royalty from our WM Renewable Energy segment based on net operating revenue generated through the sale of RNG, renewable identification numbers (“RINs”), electricity and capacity, Renewable Energy Credits (“RECs”) and related environmental attributes from the 84 landfill beneficial use renewable energy projects owned by WM Renewable Energy on our active landfills, which is eliminated in consolidation.</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Recycling Processing and Sales</w:t>
      </w:r>
    </w:p>
    <w:p>
      <w:pPr>
        <w:spacing w:after="0" w:line="239"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Our Recycling Processing and Sales segment includes the processing and sales of materials collected from residential, commercial and industrial customers. The materials are delivered to and processed at one of our many recycling facilities. Through our brokerage business, we also manage the marketing of recycling commodities that are processed in our facilities and by third parties by maintaining comprehensive service centers that continuously analyze market prices, logistics, market demands and product quality.</w:t>
      </w:r>
    </w:p>
    <w:p>
      <w:pPr>
        <w:spacing w:after="0" w:line="197" w:lineRule="exact"/>
        <w:rPr>
          <w:sz w:val="20"/>
          <w:szCs w:val="20"/>
          <w:color w:val="auto"/>
        </w:rPr>
      </w:pPr>
    </w:p>
    <w:p>
      <w:pPr>
        <w:jc w:val="both"/>
        <w:ind w:left="360" w:right="360" w:firstLine="360"/>
        <w:spacing w:after="0" w:line="305" w:lineRule="auto"/>
        <w:rPr>
          <w:sz w:val="20"/>
          <w:szCs w:val="20"/>
          <w:color w:val="auto"/>
        </w:rPr>
      </w:pPr>
      <w:r>
        <w:rPr>
          <w:rFonts w:ascii="Times New Roman" w:cs="Times New Roman" w:eastAsia="Times New Roman" w:hAnsi="Times New Roman"/>
          <w:sz w:val="19"/>
          <w:szCs w:val="19"/>
          <w:color w:val="auto"/>
        </w:rPr>
        <w:t>Recycling Processing and Sales revenues generally consist of tipping fees and the sale of recycling commodities to and/or on behalf of third parties. Our Recycling Processing and Sales segment excludes the collection of recycled materials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3320" w:h="16920" w:orient="portrait"/>
          <w:cols w:equalWidth="0" w:num="1">
            <w:col w:w="10440"/>
          </w:cols>
          <w:pgMar w:left="1440" w:top="1440" w:right="1440" w:bottom="1440" w:gutter="0" w:footer="0" w:header="0"/>
          <w:type w:val="continuous"/>
        </w:sectPr>
      </w:pPr>
    </w:p>
    <w:bookmarkStart w:id="121" w:name="page122"/>
    <w:bookmarkEnd w:id="121"/>
    <w:p>
      <w:pPr>
        <w:spacing w:after="0" w:line="347" w:lineRule="exact"/>
        <w:rPr>
          <w:sz w:val="20"/>
          <w:szCs w:val="20"/>
          <w:color w:val="auto"/>
        </w:rPr>
      </w:pPr>
    </w:p>
    <w:p>
      <w:pPr>
        <w:jc w:val="both"/>
        <w:ind w:left="360" w:right="360"/>
        <w:spacing w:after="0" w:line="278" w:lineRule="auto"/>
        <w:rPr>
          <w:sz w:val="20"/>
          <w:szCs w:val="20"/>
          <w:color w:val="auto"/>
        </w:rPr>
      </w:pPr>
      <w:r>
        <w:rPr>
          <w:rFonts w:ascii="Times New Roman" w:cs="Times New Roman" w:eastAsia="Times New Roman" w:hAnsi="Times New Roman"/>
          <w:sz w:val="20"/>
          <w:szCs w:val="20"/>
          <w:color w:val="auto"/>
        </w:rPr>
        <w:t>from our residential, commercial, and industrial customers which is included within our Collection and Disposal businesses.</w:t>
      </w:r>
    </w:p>
    <w:p>
      <w:pPr>
        <w:spacing w:after="0" w:line="1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WM Renewable Energy</w:t>
      </w:r>
    </w:p>
    <w:p>
      <w:pPr>
        <w:spacing w:after="0" w:line="239"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Our WM Renewable Energy segment develops, operates and promotes projects for the beneficial use of landfill gas. Landfill gas is produced naturally as waste decomposes in a landfill. The methane component of the landfill gas is a readily available, renewable energy source that can be gathered and used beneficially as an alternative to fossil fuel. WM Renewable Energy converts landfill gas into several sources of renewable energy to be sold which include RNG, electricity and capacity, heat and/or steam. WM Renewable Energy also generates and sells (i) RINs under the Renewable Fuel Standard (“RFS”) program; (ii) other credits under a variety of state programs associated with the use of RNG in our compressed natural gas fleet and (iii) RECs associated with the production of electricity. The RINs, RECs, and other credits are sold to counterparties who are obligated under the regulatory programs and have a responsibility to procure RINs, RECs, and other credits proportionate to their fossil fuel production and imports. RINs and RECs prices generally fluctuate in response to regulations enacted by the Environmental Protection Agency (“EPA”) or other regulatory bodies, as well as changes in supply and demand.</w:t>
      </w:r>
    </w:p>
    <w:p>
      <w:pPr>
        <w:spacing w:after="0" w:line="210" w:lineRule="exact"/>
        <w:rPr>
          <w:sz w:val="20"/>
          <w:szCs w:val="20"/>
          <w:color w:val="auto"/>
        </w:rPr>
      </w:pPr>
    </w:p>
    <w:p>
      <w:pPr>
        <w:jc w:val="both"/>
        <w:ind w:left="360" w:right="360" w:firstLine="360"/>
        <w:spacing w:after="0" w:line="257" w:lineRule="auto"/>
        <w:rPr>
          <w:sz w:val="20"/>
          <w:szCs w:val="20"/>
          <w:color w:val="auto"/>
        </w:rPr>
      </w:pPr>
      <w:r>
        <w:rPr>
          <w:rFonts w:ascii="Times New Roman" w:cs="Times New Roman" w:eastAsia="Times New Roman" w:hAnsi="Times New Roman"/>
          <w:sz w:val="19"/>
          <w:szCs w:val="19"/>
          <w:color w:val="auto"/>
        </w:rPr>
        <w:t>As of December 31, 2024, we had 102 landfill gas beneficial use projects producing commercial quantities of methane gas at owned or operated landfills. For 65 of these projects, the processed gas is used to fuel electricity generators. The electricity is then sold to public utilities, municipal utilities or power cooperatives. For 23 of these projects, the gas is used at the landfill or delivered by pipeline to industrial customers as a direct substitute for fossil fuels in industrial processes. For 11 of these projects, the landfill gas is processed to pipeline quality RNG and then sold to natural gas suppliers. Additionally, three of these projects are on third -party landfills. The revenues from these facilities are primarily generated through the sale of RNG, RINs, electricity and capacity, heat and/or steam, RECs and related environmental attributes. WM Renewable Energy is charged a 15% royalty on net operating revenue from these facilities residing on our active and closed landfills from our Collection and Disposal and Corporate and Other businesses, which is eliminated in consolidation. Additionally, WM Renewable Energy operates and maintains seven third-party landfill beneficial gas use projects in return for service revenue. Our Collection and Disposal and Corporate and Other businesses benefit from these projects as well as 52 additional third-party landfill beneficial gas use projects in the form of royalties.</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WM Healthcare Solutions</w:t>
      </w:r>
    </w:p>
    <w:p>
      <w:pPr>
        <w:spacing w:after="0" w:line="239" w:lineRule="exact"/>
        <w:rPr>
          <w:sz w:val="20"/>
          <w:szCs w:val="20"/>
          <w:color w:val="auto"/>
        </w:rPr>
      </w:pPr>
    </w:p>
    <w:p>
      <w:pPr>
        <w:jc w:val="both"/>
        <w:ind w:left="360" w:right="360" w:firstLine="360"/>
        <w:spacing w:after="0" w:line="263" w:lineRule="auto"/>
        <w:rPr>
          <w:sz w:val="20"/>
          <w:szCs w:val="20"/>
          <w:color w:val="auto"/>
        </w:rPr>
      </w:pPr>
      <w:r>
        <w:rPr>
          <w:rFonts w:ascii="Times New Roman" w:cs="Times New Roman" w:eastAsia="Times New Roman" w:hAnsi="Times New Roman"/>
          <w:sz w:val="19"/>
          <w:szCs w:val="19"/>
          <w:color w:val="auto"/>
        </w:rPr>
        <w:t>Our WM Healthcare Solutions segment includes (i) Regulated Waste and Compliance Services (“RWCS”) which provide compliance programs and collection, processing, and disposal of regulated and specialized waste, including medical, pharmaceutical and hazardous waste and (ii) Secure Information Destruction (“SID”) services, which provide for the collection of personal and confidential information for secure destruction and recycling of sorted office paper. RWCS are provided to customers in the U.S., Canada, Ireland and the United Kingdom (“U.K.”). SID services are provided to customers in the U.S., Belgium, Canada, France, Germany, Ireland, Luxembourg, the Netherlands and the U.K.</w:t>
      </w:r>
    </w:p>
    <w:p>
      <w:pPr>
        <w:spacing w:after="0" w:line="184"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Our WM Healthcare Solutions customers are primarily in the following industries: enterprise healthcare (i.e., hospitals, health systems, and national and corporate healthcare), practices and care providers (i.e., physician offices, surgery centers, veterinary clinics, nursing and long-term care facilities, dental clinics, clinics and urgent care, dialysis centers, and home health organizations), and pharmacy labs and research centers. Our WM Healthcare Solutions businesses also provide services to airports and seaports, education institutions, funeral homes and crematories, government and military, banks and professional services, and other businesses. While the WM Healthcare Solutions businesses manage large volumes of waste and other materials, the average volume per customer site is relatively small.</w:t>
      </w:r>
    </w:p>
    <w:p>
      <w:pPr>
        <w:spacing w:after="0" w:line="201"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Our customers typically enter into a contract for the provision of services on a scheduled basis, including weekly, monthly or on an as-needed basis over the contract term. Under the contract terms, the WM Healthcare Solutions businesses receive fees based on a monthly, quarterly or annual rate and/or fees based on contractual rates depending upon measures including the volume, weight, and type of waste. Operating revenues are invoiced based on the terms of the underlying contract either on a regular basis, or as services are performed and are generally due within a short period of time after invoicing based upon normal terms and conditions for our business type and the geography of the services performed.</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3320" w:h="16920" w:orient="portrait"/>
          <w:cols w:equalWidth="0" w:num="1">
            <w:col w:w="10440"/>
          </w:cols>
          <w:pgMar w:left="1440" w:top="1440" w:right="1440" w:bottom="1440" w:gutter="0" w:footer="0" w:header="0"/>
          <w:type w:val="continuous"/>
        </w:sectPr>
      </w:pPr>
    </w:p>
    <w:bookmarkStart w:id="122" w:name="page123"/>
    <w:bookmarkEnd w:id="122"/>
    <w:p>
      <w:pPr>
        <w:spacing w:after="0" w:line="347" w:lineRule="exact"/>
        <w:rPr>
          <w:sz w:val="20"/>
          <w:szCs w:val="20"/>
          <w:color w:val="auto"/>
        </w:rPr>
      </w:pPr>
    </w:p>
    <w:p>
      <w:pPr>
        <w:jc w:val="both"/>
        <w:ind w:left="360" w:right="360" w:firstLine="360"/>
        <w:spacing w:after="0" w:line="266" w:lineRule="auto"/>
        <w:rPr>
          <w:sz w:val="20"/>
          <w:szCs w:val="20"/>
          <w:color w:val="auto"/>
        </w:rPr>
      </w:pPr>
      <w:r>
        <w:rPr>
          <w:rFonts w:ascii="Times New Roman" w:cs="Times New Roman" w:eastAsia="Times New Roman" w:hAnsi="Times New Roman"/>
          <w:sz w:val="19"/>
          <w:szCs w:val="19"/>
          <w:color w:val="auto"/>
        </w:rPr>
        <w:t>As of December 31, 2024, our WM Healthcare Solutions businesses include a global fleet of approximately 6,100 routed trucks, tractors, collection vans and small duty vehicles. Our WM Healthcare Solutions segment operates out of approximately 361 leased and owned facilities worldwide with 69 autoclaves or other alternative medical waste treatment facilities, 18 medical waste incinerator facilities, 107 SID processing facilities and 167 transfer stations. Included within our WM Healthcare Solutions segment are 35 locations that are classified as held for sale as of December 31, 2024.</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Corporate and Other</w:t>
      </w:r>
    </w:p>
    <w:p>
      <w:pPr>
        <w:spacing w:after="0" w:line="239"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We also provide additional services that are not managed through our operating segments, which are presented in this report as Corporate and Other. This includes the activities of our corporate office, including costs associated with our long - term incentive program, expanded service offerings and solutions (such as our investments in businesses and technologies that are designed to offer services and solutions ancillary or supplementary to our current operations) as well as our closed sites. Also included within our Corporate and Other businesses closed sites are (i) six third - party power generating facilities converting our landfill gas to fuel electricity generators; (ii) two third-party projects delivering our landfill gas by pipeline to industrial customers as a direct substitute for fossil fuels in industrial processes and (iii) two third-party RNG facilities processing landfill gas to be sold to natural gas suppliers in return for a royalty. Additionally, Corporate and Other benefits from a 15% royalty from our WM Renewable Energy segment based on net operating revenue generated through the sale of RNG, RINs, electricity and capacity, RECs and related environmental attributes from the 15 landfill beneficial use renewable energy projects owned by WM Renewable Energy on our closed sites, which is eliminated in consolidation.</w:t>
      </w:r>
    </w:p>
    <w:p>
      <w:pPr>
        <w:spacing w:after="0" w:line="206"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Included in the fees we charge for our services is our energy surcharge and other charges that are intended to pass through costs to customers.</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Business Environment</w:t>
      </w:r>
    </w:p>
    <w:p>
      <w:pPr>
        <w:spacing w:after="0" w:line="239" w:lineRule="exact"/>
        <w:rPr>
          <w:sz w:val="20"/>
          <w:szCs w:val="20"/>
          <w:color w:val="auto"/>
        </w:rPr>
      </w:pPr>
    </w:p>
    <w:p>
      <w:pPr>
        <w:jc w:val="both"/>
        <w:ind w:left="360" w:right="360" w:firstLine="360"/>
        <w:spacing w:after="0" w:line="242" w:lineRule="auto"/>
        <w:rPr>
          <w:sz w:val="20"/>
          <w:szCs w:val="20"/>
          <w:color w:val="auto"/>
        </w:rPr>
      </w:pPr>
      <w:r>
        <w:rPr>
          <w:rFonts w:ascii="Times New Roman" w:cs="Times New Roman" w:eastAsia="Times New Roman" w:hAnsi="Times New Roman"/>
          <w:sz w:val="20"/>
          <w:szCs w:val="20"/>
          <w:color w:val="auto"/>
        </w:rPr>
        <w:t xml:space="preserve">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providing medical waste services and expanding our renewable energy projects to meet the evolving needs of our diverse customer base. As North America’s leading provider of comprehensive environmental solutions, we are taking big, bold steps to catalyze positive change – change that will impact our Company as well as the communities we serve. Consistent with our Company’s long-standing commitment to sustainability and environmental stewardship, we have published our 2024 Sustainability Report, providing details on our sustainability - related performance and outlining progress towards our 2030 sustainability goals. The Sustainability Report conveys the strong linkage between the Company’s sustainability goals and our growth strategy, inclusive of the planned and ongoing expansion of the Company’s Recycling Processing and Sales and WM Renewable Energy segments. The information in this report can be found at sustainability.wm.com but it does not constitute a part of, and is not incorporated by reference into, this Annual Report on Form 10 - K. For further discussion see Item 1. </w:t>
      </w:r>
      <w:r>
        <w:rPr>
          <w:rFonts w:ascii="Times New Roman" w:cs="Times New Roman" w:eastAsia="Times New Roman" w:hAnsi="Times New Roman"/>
          <w:sz w:val="20"/>
          <w:szCs w:val="20"/>
          <w:i w:val="1"/>
          <w:iCs w:val="1"/>
          <w:color w:val="auto"/>
        </w:rPr>
        <w:t>Business – Regulation – Recent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Developments and Focus Areas in Policy and Regulation</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19"/>
          <w:szCs w:val="19"/>
          <w:color w:val="auto"/>
        </w:rPr>
        <w:t>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and other macroeconomic trends can and have caused customers to reduce their service needs. Such negative economic conditions, in addition to competitor actions, can impact our strategy to negotiate, renew, or expand service contracts and grow our business.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and inflation. Volume changes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3320" w:h="16920" w:orient="portrait"/>
          <w:cols w:equalWidth="0" w:num="1">
            <w:col w:w="10440"/>
          </w:cols>
          <w:pgMar w:left="1440" w:top="1440" w:right="1440" w:bottom="1440" w:gutter="0" w:footer="0" w:header="0"/>
          <w:type w:val="continuous"/>
        </w:sectPr>
      </w:pPr>
    </w:p>
    <w:bookmarkStart w:id="123" w:name="page124"/>
    <w:bookmarkEnd w:id="123"/>
    <w:p>
      <w:pPr>
        <w:spacing w:after="0" w:line="347" w:lineRule="exact"/>
        <w:rPr>
          <w:sz w:val="20"/>
          <w:szCs w:val="20"/>
          <w:color w:val="auto"/>
        </w:rPr>
      </w:pPr>
    </w:p>
    <w:p>
      <w:pPr>
        <w:jc w:val="both"/>
        <w:ind w:left="360" w:right="360"/>
        <w:spacing w:after="0" w:line="278" w:lineRule="auto"/>
        <w:rPr>
          <w:sz w:val="20"/>
          <w:szCs w:val="20"/>
          <w:color w:val="auto"/>
        </w:rPr>
      </w:pPr>
      <w:r>
        <w:rPr>
          <w:rFonts w:ascii="Times New Roman" w:cs="Times New Roman" w:eastAsia="Times New Roman" w:hAnsi="Times New Roman"/>
          <w:sz w:val="20"/>
          <w:szCs w:val="20"/>
          <w:color w:val="auto"/>
        </w:rPr>
        <w:t>can fluctuate significantly by line of business and volume changes in higher margin businesses can impact key financial metrics. We must dynamically manage our cost structure in response to volume changes and cost inflation.</w:t>
      </w:r>
    </w:p>
    <w:p>
      <w:pPr>
        <w:spacing w:after="0" w:line="168"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automation and optimization investments to enhance our operational efficiency and change the way we interact with our customers. Advancements made through these initiatives are intended to seamlessly and digitally connect all enterprise functions required to service customers and provide the best experience. We have made significant progress in executing this technology enablement strategy to automate and optimize certain elements of our service delivery model. The key benefits are reduced labor dependency on certain high - turnover jobs, particularly in customer experience, recycling and residential collection, while further elevating our customer self-service through digitalization and implementation of technologies to enhance the safety, reliability and efficiency within our collection operations. Additionally, in 2022, we implemented a new general ledger accounting system, complementary finance enterprise resource planning system and a human capital management system, which will continue to drive operational and service excellence by empowering our people through a modern, simplified and connected employee experience.</w:t>
      </w:r>
    </w:p>
    <w:p>
      <w:pPr>
        <w:spacing w:after="0" w:line="202" w:lineRule="exact"/>
        <w:rPr>
          <w:sz w:val="20"/>
          <w:szCs w:val="20"/>
          <w:color w:val="auto"/>
        </w:rPr>
      </w:pPr>
    </w:p>
    <w:p>
      <w:pPr>
        <w:jc w:val="both"/>
        <w:ind w:left="360" w:right="360" w:firstLine="360"/>
        <w:spacing w:after="0" w:line="261" w:lineRule="auto"/>
        <w:rPr>
          <w:sz w:val="20"/>
          <w:szCs w:val="20"/>
          <w:color w:val="auto"/>
        </w:rPr>
      </w:pPr>
      <w:r>
        <w:rPr>
          <w:rFonts w:ascii="Times New Roman" w:cs="Times New Roman" w:eastAsia="Times New Roman" w:hAnsi="Times New Roman"/>
          <w:sz w:val="19"/>
          <w:szCs w:val="19"/>
          <w:color w:val="auto"/>
        </w:rPr>
        <w:t>We sometimes experience margin pressures and variability in earnings and margins from our commodity-driven businesses, specifically within our Recycling Processing and Sales and WM Renewable Energy segments. While recycling commodity prices have recovered in 2024 from the low levels experienced in 2023, commodity prices are still below levels seen at the beginning of 2022. The impacts of commodity price fluctuations are not currently material to our WM Renewable Energy segment; however, as we continue to make investments to grow that segment, we may experience more significant impacts from fluctuations in the prices of electricity, natural gas, RINs and RECs. We continue to take proactive steps to adjust our business models to protect against the down-side risk of changes in commodity prices.</w:t>
      </w:r>
    </w:p>
    <w:p>
      <w:pPr>
        <w:spacing w:after="0" w:line="188" w:lineRule="exact"/>
        <w:rPr>
          <w:sz w:val="20"/>
          <w:szCs w:val="20"/>
          <w:color w:val="auto"/>
        </w:rPr>
      </w:pPr>
    </w:p>
    <w:p>
      <w:pPr>
        <w:jc w:val="both"/>
        <w:ind w:left="360" w:right="360" w:firstLine="360"/>
        <w:spacing w:after="0" w:line="261" w:lineRule="auto"/>
        <w:rPr>
          <w:sz w:val="20"/>
          <w:szCs w:val="20"/>
          <w:color w:val="auto"/>
        </w:rPr>
      </w:pPr>
      <w:r>
        <w:rPr>
          <w:rFonts w:ascii="Times New Roman" w:cs="Times New Roman" w:eastAsia="Times New Roman" w:hAnsi="Times New Roman"/>
          <w:sz w:val="19"/>
          <w:szCs w:val="19"/>
          <w:color w:val="auto"/>
        </w:rPr>
        <w:t>Variability in economic conditions, including inflation, interest rates, employment trends and supply chain reliability, can create risk and uncertainty in financial outlook. We take proactive steps to recover and mitigate inflationary cost pressures through our overall pricing efforts and by managing our costs through efficiency, labor productivity, and investments in technology to automate certain aspects of our business. We remain committed to putting our people first to ensure that they are well positioned to execute our daily operations diligently and safely. We remain focused on delivering outstanding customer service, managing our variable costs with changing volumes and investing in technology that will enhance our customers’ experience and provide operating efficiencies intended to reduce our cost to serve.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Current Year Financial Results</w:t>
      </w:r>
    </w:p>
    <w:p>
      <w:pPr>
        <w:spacing w:after="0" w:line="239"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During 2024, we continued to focus on our priorities to advance our strategy—enhancing employee engagement, reducing our cost to serve through the use of technology and automation, and investing in growth through acquisitions and our Recycling Processing and Sales and WM Renewable Energy segments. We invested approximately $8 billion, with $7.5 billion funded in cash and $0.5 billion as the assumption of debt, on acquisitions in 2024, including having completed our acquisition of Stericycle in early November. We remain diligent in offering competitive and differentiated services that meet the needs of our customers, and we are focused on driving operating efficiencies and reducing discretionary spend. We continue to invest in our people through paying a competitive market wage, investing in our digital platform and providing training for our team members. We also continue to make investments in automation and optimization to enhance our operational efficiency and improve labor productivity for all lines of business. This strategic focus, combined with strong operational execution, resulted in increased revenue, income from operations and income from operations margin in 2024 when compared to the prior year. During 2024, the Company allocated $3,231 million of available cash to capital expenditures. We also allocated $1,472 million of available cash to our shareholders during 2024 through dividends and common stock repurchases.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3320" w:h="16920" w:orient="portrait"/>
          <w:cols w:equalWidth="0" w:num="1">
            <w:col w:w="10440"/>
          </w:cols>
          <w:pgMar w:left="1440" w:top="1440" w:right="1440" w:bottom="1440" w:gutter="0" w:footer="0" w:header="0"/>
          <w:type w:val="continuous"/>
        </w:sectPr>
      </w:pPr>
    </w:p>
    <w:bookmarkStart w:id="124" w:name="page125"/>
    <w:bookmarkEnd w:id="124"/>
    <w:p>
      <w:pPr>
        <w:spacing w:after="0" w:line="3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Key elements of our 2024 financial results include:</w:t>
      </w:r>
    </w:p>
    <w:p>
      <w:pPr>
        <w:spacing w:after="0" w:line="134" w:lineRule="exact"/>
        <w:rPr>
          <w:sz w:val="20"/>
          <w:szCs w:val="20"/>
          <w:color w:val="auto"/>
        </w:rPr>
      </w:pPr>
    </w:p>
    <w:p>
      <w:pPr>
        <w:jc w:val="both"/>
        <w:ind w:left="1080" w:right="360" w:hanging="353"/>
        <w:spacing w:after="0" w:line="254" w:lineRule="auto"/>
        <w:tabs>
          <w:tab w:leader="none" w:pos="108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Revenues of $22,063 million for 2024 compared with $20,426 million in 2023, an increase of $1,637 million, or 8.0%. The increase is primarily attributable to (i) higher yield in our Collection and Disposal businesses;</w:t>
      </w:r>
    </w:p>
    <w:p>
      <w:pPr>
        <w:jc w:val="both"/>
        <w:ind w:left="1080" w:right="360" w:firstLine="7"/>
        <w:spacing w:after="0" w:line="244" w:lineRule="auto"/>
        <w:tabs>
          <w:tab w:leader="none" w:pos="1374"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net of divestitures; (iii) increases in commodity prices in our Recycling and Sales and WM Renewable Energy segments and (iv) increased volumes. These increases were partially offset by a decrease in revenue from our energy surcharge program as a result of a decline in the price of fuel, particularly diesel;</w:t>
      </w:r>
    </w:p>
    <w:p>
      <w:pPr>
        <w:spacing w:after="0" w:line="95" w:lineRule="exact"/>
        <w:rPr>
          <w:rFonts w:ascii="Times New Roman" w:cs="Times New Roman" w:eastAsia="Times New Roman" w:hAnsi="Times New Roman"/>
          <w:sz w:val="20"/>
          <w:szCs w:val="20"/>
          <w:color w:val="auto"/>
        </w:rPr>
      </w:pPr>
    </w:p>
    <w:p>
      <w:pPr>
        <w:jc w:val="both"/>
        <w:ind w:left="1080" w:right="360" w:hanging="353"/>
        <w:spacing w:after="0" w:line="257" w:lineRule="auto"/>
        <w:tabs>
          <w:tab w:leader="none" w:pos="1080" w:val="left"/>
        </w:tabs>
        <w:numPr>
          <w:ilvl w:val="0"/>
          <w:numId w:val="69"/>
        </w:numPr>
        <w:rPr>
          <w:rFonts w:ascii="Arial" w:cs="Arial" w:eastAsia="Arial" w:hAnsi="Arial"/>
          <w:sz w:val="19"/>
          <w:szCs w:val="19"/>
          <w:color w:val="auto"/>
        </w:rPr>
      </w:pPr>
      <w:r>
        <w:rPr>
          <w:rFonts w:ascii="Times New Roman" w:cs="Times New Roman" w:eastAsia="Times New Roman" w:hAnsi="Times New Roman"/>
          <w:sz w:val="19"/>
          <w:szCs w:val="19"/>
          <w:color w:val="auto"/>
        </w:rPr>
        <w:t>Operating expenses of $13,383 million in 2024, or 60.7% of revenues, compared with $12,606 million, or 61.7% of revenues, in 2023. As a percentage of revenue, operating expenses improved significantly compared to the prior year as revenue growth from price, efficiency gains, improved employee retention and momentum in truck deliveries offset the impacts of inflationary increases in wages and other expenses. The increase in total operating expenses from prior year related primarily to (i) acquisitions; (ii) inflationary pressure on wages and expenses; (iii) higher recycling customer rebates resulting from an approximate 50% increase in single-stream recycling commodity prices; (iv) volume growth within our WMSBS business which relies more extensively on subcontracted hauling and services than our Collection and Disposal businesses; (v) increases in landfill operating costs, particularly for higher leachate costs due to wet weather and (vi) higher risk management spend, due in part, to increases in certain large loss claims reserves. These increases were partially offset by lower diesel fuel prices and an increase in gains on the sale of non-strategic assets in 2024 as compared with the prior year;</w:t>
      </w:r>
    </w:p>
    <w:p>
      <w:pPr>
        <w:spacing w:after="0" w:line="90" w:lineRule="exact"/>
        <w:rPr>
          <w:rFonts w:ascii="Arial" w:cs="Arial" w:eastAsia="Arial" w:hAnsi="Arial"/>
          <w:sz w:val="19"/>
          <w:szCs w:val="19"/>
          <w:color w:val="auto"/>
        </w:rPr>
      </w:pPr>
    </w:p>
    <w:p>
      <w:pPr>
        <w:jc w:val="both"/>
        <w:ind w:left="1080" w:right="360" w:hanging="353"/>
        <w:spacing w:after="0" w:line="247" w:lineRule="auto"/>
        <w:tabs>
          <w:tab w:leader="none" w:pos="108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Selling, general and administrative expenses of $2,264 million in 2024, or 10.3% of revenues, compared with $1,926 million, or 9.4% of revenues, in 2023. The $338 million increase was primarily due to (i) costs incurred in connection with the acquisition and integration of Stericycle of which a significant portion were transaction and integration costs that are not expected to recur; (ii) increased labor costs from higher annual and long-term incentive compensation costs and annual wage increases and (iii) increased professional fees to support strategic initiatives. Partially offsetting these increases was a decline in litigation costs;</w:t>
      </w:r>
    </w:p>
    <w:p>
      <w:pPr>
        <w:spacing w:after="0" w:line="93" w:lineRule="exact"/>
        <w:rPr>
          <w:rFonts w:ascii="Arial" w:cs="Arial" w:eastAsia="Arial" w:hAnsi="Arial"/>
          <w:sz w:val="20"/>
          <w:szCs w:val="20"/>
          <w:color w:val="auto"/>
        </w:rPr>
      </w:pPr>
    </w:p>
    <w:p>
      <w:pPr>
        <w:jc w:val="both"/>
        <w:ind w:left="1080" w:right="360" w:hanging="353"/>
        <w:spacing w:after="0" w:line="263" w:lineRule="auto"/>
        <w:tabs>
          <w:tab w:leader="none" w:pos="1080" w:val="left"/>
        </w:tabs>
        <w:numPr>
          <w:ilvl w:val="0"/>
          <w:numId w:val="69"/>
        </w:numPr>
        <w:rPr>
          <w:rFonts w:ascii="Arial" w:cs="Arial" w:eastAsia="Arial" w:hAnsi="Arial"/>
          <w:sz w:val="19"/>
          <w:szCs w:val="19"/>
          <w:color w:val="auto"/>
        </w:rPr>
      </w:pPr>
      <w:r>
        <w:rPr>
          <w:rFonts w:ascii="Times New Roman" w:cs="Times New Roman" w:eastAsia="Times New Roman" w:hAnsi="Times New Roman"/>
          <w:sz w:val="19"/>
          <w:szCs w:val="19"/>
          <w:color w:val="auto"/>
        </w:rPr>
        <w:t>Income from operations of $4,063 million, or 18.4% of revenues, in 2024 compared with $3,575 million, or 17.5% of revenues, in 2023. The increase in the current year earnings was primarily driven by (i) revenue growth and improved performance within our Collection and Disposal businesses; (ii) impairments incurred in 2023 and</w:t>
      </w:r>
    </w:p>
    <w:p>
      <w:pPr>
        <w:ind w:left="1440" w:hanging="353"/>
        <w:spacing w:after="0"/>
        <w:tabs>
          <w:tab w:leader="none" w:pos="144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RIN quantities generated and sold at higher market values in the current year;</w:t>
      </w:r>
    </w:p>
    <w:p>
      <w:pPr>
        <w:spacing w:after="0" w:line="105" w:lineRule="exact"/>
        <w:rPr>
          <w:rFonts w:ascii="Times New Roman" w:cs="Times New Roman" w:eastAsia="Times New Roman" w:hAnsi="Times New Roman"/>
          <w:sz w:val="20"/>
          <w:szCs w:val="20"/>
          <w:color w:val="auto"/>
        </w:rPr>
      </w:pPr>
    </w:p>
    <w:p>
      <w:pPr>
        <w:jc w:val="both"/>
        <w:ind w:left="1080" w:right="360" w:hanging="353"/>
        <w:spacing w:after="0" w:line="249" w:lineRule="auto"/>
        <w:tabs>
          <w:tab w:leader="none" w:pos="1080"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Net income attributable to Waste Management, Inc. was $2,746 million, or $6.81 per diluted share, compared with $2,304 million, or $5.66 per diluted share, in 2023. The $442 million increase is due to an increase in income from operations discussed above, as well as lower income tax expense driven by benefits generated from our low-income housing investments and federal tax credits realized from our RNG investments. These increases were partially offset by higher interest expense;</w:t>
      </w:r>
    </w:p>
    <w:p>
      <w:pPr>
        <w:spacing w:after="0" w:line="90" w:lineRule="exact"/>
        <w:rPr>
          <w:rFonts w:ascii="Arial" w:cs="Arial" w:eastAsia="Arial" w:hAnsi="Arial"/>
          <w:sz w:val="20"/>
          <w:szCs w:val="20"/>
          <w:color w:val="auto"/>
        </w:rPr>
      </w:pPr>
    </w:p>
    <w:p>
      <w:pPr>
        <w:jc w:val="both"/>
        <w:ind w:left="1080" w:right="360" w:hanging="353"/>
        <w:spacing w:after="0" w:line="249" w:lineRule="auto"/>
        <w:tabs>
          <w:tab w:leader="none" w:pos="1080"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Net cash provided by operating activities was $5,390 million in 2024, compared with $4,719 million in 2023. The $671 million increase in net cash provided by operating activities was primarily driven by (i) higher earnings in our Collection and Disposal businesses; (ii) favorable changes in working capital, net of effects of acquisitions and divestitures and (iii) lower annual incentive compensation payments. This increase was partially offset by higher cash interest payments and income tax payments; and</w:t>
      </w:r>
    </w:p>
    <w:p>
      <w:pPr>
        <w:spacing w:after="0" w:line="90" w:lineRule="exact"/>
        <w:rPr>
          <w:rFonts w:ascii="Arial" w:cs="Arial" w:eastAsia="Arial" w:hAnsi="Arial"/>
          <w:sz w:val="20"/>
          <w:szCs w:val="20"/>
          <w:color w:val="auto"/>
        </w:rPr>
      </w:pPr>
    </w:p>
    <w:p>
      <w:pPr>
        <w:jc w:val="both"/>
        <w:ind w:left="1080" w:right="360" w:hanging="353"/>
        <w:spacing w:after="0" w:line="245" w:lineRule="auto"/>
        <w:tabs>
          <w:tab w:leader="none" w:pos="1080"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Free cash flow was $2,317 million in 2024, compared with $1,902 million in 2023. The $415 million increase in free cash flow was primarily due to the increases in operating cash described above and increase in proceeds from the divestiture of non-strategic assets and businesses. These increases were partially offset by an increase in capital spending, which was driven by our planned and ongoing investments in our Recycling Processing and Sales and WM Renewable Energy segments and higher capital asset purchases in the current year to support our Collection and Disposal businesses. Free cash flow is a non-GAAP measure of liquidity. Refer to Free Cash Flow below for our definition of free cash flow, additional information about our use of this measure, and a reconciliation to net cash provided by operating activities, which is the most comparable GAAP measure.</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3320" w:h="16920" w:orient="portrait"/>
          <w:cols w:equalWidth="0" w:num="1">
            <w:col w:w="10440"/>
          </w:cols>
          <w:pgMar w:left="1440" w:top="1440" w:right="1440" w:bottom="1440" w:gutter="0" w:footer="0" w:header="0"/>
          <w:type w:val="continuous"/>
        </w:sectPr>
      </w:pPr>
    </w:p>
    <w:bookmarkStart w:id="125" w:name="page126"/>
    <w:bookmarkEnd w:id="125"/>
    <w:p>
      <w:pPr>
        <w:spacing w:after="0" w:line="3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Operating Revenues</w:t>
      </w:r>
    </w:p>
    <w:p>
      <w:pPr>
        <w:spacing w:after="0" w:line="1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mix of operating revenues for the years ended December 31 are as follows (in millions):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u w:val="single" w:color="auto"/>
          <w:color w:val="auto"/>
        </w:rPr>
        <w:t>Year Ended December 31:</w:t>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2024</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Commercial . . . . . . . . . . . . . . . . . . . . . . . . . . . . . . . . $ Industrial . . . . . . . . . . . . . . . . . . . . . . . . . . . . . . . . . . Residential . . . . . . . . . . . . . . . . . . . . . . . . . . . . . . . . .</w:t>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Other collection . . . . . . . . . . . . . . . . . . . . . . . . . . . . .</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Total collection . . . . . . . . . . . . . . . . . . . . . . . . . . .</w:t>
      </w:r>
    </w:p>
    <w:p>
      <w:pPr>
        <w:spacing w:after="0" w:line="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Landfill . . . . . . . . . . . . . . . . . . . . . . . . . . . . . . . . . . .</w:t>
      </w:r>
    </w:p>
    <w:p>
      <w:pPr>
        <w:ind w:left="360"/>
        <w:spacing w:after="0"/>
        <w:rPr>
          <w:sz w:val="20"/>
          <w:szCs w:val="20"/>
          <w:color w:val="auto"/>
        </w:rPr>
      </w:pPr>
      <w:r>
        <w:rPr>
          <w:rFonts w:ascii="Times New Roman" w:cs="Times New Roman" w:eastAsia="Times New Roman" w:hAnsi="Times New Roman"/>
          <w:sz w:val="20"/>
          <w:szCs w:val="20"/>
          <w:color w:val="auto"/>
        </w:rPr>
        <w:t>Transfer . . . . . . . . . . . . . . . . . . . . . . . . . . . . . . . . . . .</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Total Collection and Disposal . . . . . . . . . . . . . . .</w:t>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Recycling Processing and Sales  . . . . . . . . . . . . . . .</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WM Renewable Energy . . . . . . . . . . . . . . . . . . . . . .</w:t>
      </w:r>
    </w:p>
    <w:p>
      <w:pPr>
        <w:ind w:left="360"/>
        <w:spacing w:after="0"/>
        <w:rPr>
          <w:sz w:val="20"/>
          <w:szCs w:val="20"/>
          <w:color w:val="auto"/>
        </w:rPr>
      </w:pPr>
      <w:r>
        <w:rPr>
          <w:rFonts w:ascii="Times New Roman" w:cs="Times New Roman" w:eastAsia="Times New Roman" w:hAnsi="Times New Roman"/>
          <w:sz w:val="20"/>
          <w:szCs w:val="20"/>
          <w:color w:val="auto"/>
        </w:rPr>
        <w:t>WM Healthcare Solutions . . . . . . . . . . . . . . . . . . . . .</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Corporate and Other . . . . . . . . . . . . . . . . . . . . . . . . .</w:t>
      </w:r>
    </w:p>
    <w:p>
      <w:pPr>
        <w:spacing w:after="0" w:line="9" w:lineRule="exact"/>
        <w:rPr>
          <w:sz w:val="20"/>
          <w:szCs w:val="20"/>
          <w:color w:val="auto"/>
        </w:rPr>
      </w:pPr>
    </w:p>
    <w:p>
      <w:pPr>
        <w:ind w:left="600"/>
        <w:spacing w:after="0"/>
        <w:tabs>
          <w:tab w:leader="none" w:pos="4760" w:val="left"/>
        </w:tabs>
        <w:rPr>
          <w:sz w:val="20"/>
          <w:szCs w:val="20"/>
          <w:color w:val="auto"/>
        </w:rPr>
      </w:pPr>
      <w:r>
        <w:rPr>
          <w:rFonts w:ascii="Times New Roman" w:cs="Times New Roman" w:eastAsia="Times New Roman" w:hAnsi="Times New Roman"/>
          <w:sz w:val="20"/>
          <w:szCs w:val="20"/>
          <w:color w:val="auto"/>
        </w:rPr>
        <w:t>Total . . . . . . . . . . . . . . . . . . . . . . . . . . . . . . . . . . .</w:t>
      </w:r>
      <w:r>
        <w:rPr>
          <w:sz w:val="20"/>
          <w:szCs w:val="20"/>
          <w:color w:val="auto"/>
        </w:rPr>
        <w:tab/>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2023</w:t>
      </w:r>
    </w:p>
    <w:p>
      <w:pPr>
        <w:spacing w:after="0" w:line="32" w:lineRule="exact"/>
        <w:rPr>
          <w:sz w:val="20"/>
          <w:szCs w:val="20"/>
          <w:color w:val="auto"/>
        </w:rPr>
      </w:pPr>
    </w:p>
    <w:p>
      <w:pPr>
        <w:ind w:left="360"/>
        <w:spacing w:after="0" w:line="241" w:lineRule="auto"/>
        <w:rPr>
          <w:sz w:val="20"/>
          <w:szCs w:val="20"/>
          <w:color w:val="auto"/>
        </w:rPr>
      </w:pPr>
      <w:r>
        <w:rPr>
          <w:rFonts w:ascii="Times New Roman" w:cs="Times New Roman" w:eastAsia="Times New Roman" w:hAnsi="Times New Roman"/>
          <w:sz w:val="20"/>
          <w:szCs w:val="20"/>
          <w:color w:val="auto"/>
        </w:rPr>
        <w:t>Commercial . . . . . . . . . . . . . . . . . . . . . . . . . . . . . . . . $ Industrial . . . . . . . . . . . . . . . . . . . . . . . . . . . . . . . . . . Residential . . . . . . . . . . . . . . . . . . . . . . . . . . . . . . . . .</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Other collection . . . . . . . . . . . . . . . . . . . . . . . . . . . . .</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Total collection . . . . . . . . . . . . . . . . . . . . . . . . . . .</w:t>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Landfill . . . . . . . . . . . . . . . . . . . . . . . . . . . . . . . . . . .</w:t>
      </w:r>
    </w:p>
    <w:p>
      <w:pPr>
        <w:ind w:left="360"/>
        <w:spacing w:after="0"/>
        <w:rPr>
          <w:sz w:val="20"/>
          <w:szCs w:val="20"/>
          <w:color w:val="auto"/>
        </w:rPr>
      </w:pPr>
      <w:r>
        <w:rPr>
          <w:rFonts w:ascii="Times New Roman" w:cs="Times New Roman" w:eastAsia="Times New Roman" w:hAnsi="Times New Roman"/>
          <w:sz w:val="20"/>
          <w:szCs w:val="20"/>
          <w:color w:val="auto"/>
        </w:rPr>
        <w:t>Transfer . . . . . . . . . . . . . . . . . . . . . . . . . . . . . . . . . . .</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Total Collection and Disposal . . . . . . . . . . . . . . .</w:t>
      </w:r>
    </w:p>
    <w:p>
      <w:pPr>
        <w:spacing w:after="0" w:line="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Recycling Processing and Sales  . . . . . . . . . . . . . . .</w:t>
      </w:r>
    </w:p>
    <w:p>
      <w:pPr>
        <w:ind w:left="360"/>
        <w:spacing w:after="0"/>
        <w:rPr>
          <w:sz w:val="20"/>
          <w:szCs w:val="20"/>
          <w:color w:val="auto"/>
        </w:rPr>
      </w:pPr>
      <w:r>
        <w:rPr>
          <w:rFonts w:ascii="Times New Roman" w:cs="Times New Roman" w:eastAsia="Times New Roman" w:hAnsi="Times New Roman"/>
          <w:sz w:val="20"/>
          <w:szCs w:val="20"/>
          <w:color w:val="auto"/>
        </w:rPr>
        <w:t>WM Renewable Energy . . . . . . . . . . . . . . . . . . . . . .</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Corporate and Other . . . . . . . . . . . . . . . . . . . . . . . . .</w:t>
      </w:r>
    </w:p>
    <w:p>
      <w:pPr>
        <w:spacing w:after="0" w:line="9" w:lineRule="exact"/>
        <w:rPr>
          <w:sz w:val="20"/>
          <w:szCs w:val="20"/>
          <w:color w:val="auto"/>
        </w:rPr>
      </w:pPr>
    </w:p>
    <w:p>
      <w:pPr>
        <w:ind w:left="600"/>
        <w:spacing w:after="0"/>
        <w:tabs>
          <w:tab w:leader="none" w:pos="4760" w:val="left"/>
        </w:tabs>
        <w:rPr>
          <w:sz w:val="20"/>
          <w:szCs w:val="20"/>
          <w:color w:val="auto"/>
        </w:rPr>
      </w:pPr>
      <w:r>
        <w:rPr>
          <w:rFonts w:ascii="Times New Roman" w:cs="Times New Roman" w:eastAsia="Times New Roman" w:hAnsi="Times New Roman"/>
          <w:sz w:val="20"/>
          <w:szCs w:val="20"/>
          <w:color w:val="auto"/>
        </w:rPr>
        <w:t>Total . . . . . . . . . . . . . . . . . . . . . . . . . . . . . . . . . . .</w:t>
      </w:r>
      <w:r>
        <w:rPr>
          <w:sz w:val="20"/>
          <w:szCs w:val="20"/>
          <w:color w:val="auto"/>
        </w:rPr>
        <w:tab/>
      </w:r>
      <w:r>
        <w:rPr>
          <w:rFonts w:ascii="Times New Roman" w:cs="Times New Roman" w:eastAsia="Times New Roman" w:hAnsi="Times New Roman"/>
          <w:sz w:val="20"/>
          <w:szCs w:val="20"/>
          <w:color w:val="auto"/>
        </w:rPr>
        <w:t>$</w:t>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2022</w:t>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Commercial . . . . . . . . . . . . . . . . . . . . . . . . . . . . . . . . $ Industrial . . . . . . . . . . . . . . . . . . . . . . . . . . . . . . . . . . Residential . . . . . . . . . . . . . . . . . . . . . . . . . . . . . . . . .</w:t>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Other collection . . . . . . . . . . . . . . . . . . . . . . . . . . . . .</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Total collection . . . . . . . . . . . . . . . . . . . . . . . . . . .</w:t>
      </w:r>
    </w:p>
    <w:p>
      <w:pPr>
        <w:spacing w:after="0" w:line="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Landfill . . . . . . . . . . . . . . . . . . . . . . . . . . . . . . . . . . .</w:t>
      </w:r>
    </w:p>
    <w:p>
      <w:pPr>
        <w:ind w:left="360"/>
        <w:spacing w:after="0"/>
        <w:rPr>
          <w:sz w:val="20"/>
          <w:szCs w:val="20"/>
          <w:color w:val="auto"/>
        </w:rPr>
      </w:pPr>
      <w:r>
        <w:rPr>
          <w:rFonts w:ascii="Times New Roman" w:cs="Times New Roman" w:eastAsia="Times New Roman" w:hAnsi="Times New Roman"/>
          <w:sz w:val="20"/>
          <w:szCs w:val="20"/>
          <w:color w:val="auto"/>
        </w:rPr>
        <w:t>Transfer . . . . . . . . . . . . . . . . . . . . . . . . . . . . . . . . . . .</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Total Collection and Disposal  . . . . . . . . . . . . . .</w:t>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Recycling Processing and Sales  . . . . . . . . . . . . . . .</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WM Renewable Energy . . . . . . . . . . . . . . . . . . . . . .</w:t>
      </w:r>
    </w:p>
    <w:p>
      <w:pPr>
        <w:ind w:left="360"/>
        <w:spacing w:after="0"/>
        <w:rPr>
          <w:sz w:val="20"/>
          <w:szCs w:val="20"/>
          <w:color w:val="auto"/>
        </w:rPr>
      </w:pPr>
      <w:r>
        <w:rPr>
          <w:rFonts w:ascii="Times New Roman" w:cs="Times New Roman" w:eastAsia="Times New Roman" w:hAnsi="Times New Roman"/>
          <w:sz w:val="20"/>
          <w:szCs w:val="20"/>
          <w:color w:val="auto"/>
        </w:rPr>
        <w:t>Corporate and Other . . . . . . . . . . . . . . . . . . . . . . . . .</w:t>
      </w:r>
    </w:p>
    <w:p>
      <w:pPr>
        <w:spacing w:after="0" w:line="9" w:lineRule="exact"/>
        <w:rPr>
          <w:sz w:val="20"/>
          <w:szCs w:val="20"/>
          <w:color w:val="auto"/>
        </w:rPr>
      </w:pPr>
    </w:p>
    <w:p>
      <w:pPr>
        <w:ind w:left="600"/>
        <w:spacing w:after="0"/>
        <w:tabs>
          <w:tab w:leader="none" w:pos="4760" w:val="left"/>
        </w:tabs>
        <w:rPr>
          <w:sz w:val="20"/>
          <w:szCs w:val="20"/>
          <w:color w:val="auto"/>
        </w:rPr>
      </w:pPr>
      <w:r>
        <w:rPr>
          <w:rFonts w:ascii="Times New Roman" w:cs="Times New Roman" w:eastAsia="Times New Roman" w:hAnsi="Times New Roman"/>
          <w:sz w:val="20"/>
          <w:szCs w:val="20"/>
          <w:color w:val="auto"/>
        </w:rPr>
        <w:t>Total . . . . . . . . . . . . . . . . . . . . . . . . . . . . . . . . . . .</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121920</wp:posOffset>
                </wp:positionV>
                <wp:extent cx="1541145"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9.6pt" to="139.65pt,9.6pt" o:allowincell="f" strokecolor="#000000" strokeweight="1.02pt"/>
            </w:pict>
          </mc:Fallback>
        </mc:AlternateConten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580" w:type="dxa"/>
            <w:vAlign w:val="bottom"/>
          </w:tcPr>
          <w:p>
            <w:pPr>
              <w:jc w:val="center"/>
              <w:ind w:right="78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Intercompany</w:t>
            </w:r>
          </w:p>
        </w:tc>
        <w:tc>
          <w:tcPr>
            <w:tcW w:w="3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Gross</w:t>
            </w:r>
          </w:p>
        </w:tc>
      </w:tr>
      <w:tr>
        <w:trPr>
          <w:trHeight w:val="185"/>
        </w:trPr>
        <w:tc>
          <w:tcPr>
            <w:tcW w:w="1580" w:type="dxa"/>
            <w:vAlign w:val="bottom"/>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3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Operating</w:t>
            </w:r>
          </w:p>
        </w:tc>
      </w:tr>
      <w:tr>
        <w:trPr>
          <w:trHeight w:val="205"/>
        </w:trPr>
        <w:tc>
          <w:tcPr>
            <w:tcW w:w="1580" w:type="dxa"/>
            <w:vAlign w:val="bottom"/>
          </w:tcPr>
          <w:p>
            <w:pPr>
              <w:jc w:val="center"/>
              <w:ind w:right="780"/>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Revenues(a)(b)</w:t>
            </w:r>
          </w:p>
        </w:tc>
        <w:tc>
          <w:tcPr>
            <w:tcW w:w="38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Revenues(b)</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-292735</wp:posOffset>
                </wp:positionH>
                <wp:positionV relativeFrom="paragraph">
                  <wp:posOffset>-2540</wp:posOffset>
                </wp:positionV>
                <wp:extent cx="1042670" cy="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26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499pt,-0.1999pt" to="59.05pt,-0.1999pt" o:allowincell="f" strokecolor="#000000" strokeweight="0.4799pt"/>
            </w:pict>
          </mc:Fallback>
        </mc:AlternateContent>
      </w:r>
    </w:p>
    <w:p>
      <w:pPr>
        <w:spacing w:after="0" w:line="200" w:lineRule="exact"/>
        <w:rPr>
          <w:sz w:val="20"/>
          <w:szCs w:val="20"/>
          <w:color w:val="auto"/>
        </w:rPr>
      </w:pP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5,371</w:t>
            </w:r>
          </w:p>
        </w:tc>
        <w:tc>
          <w:tcPr>
            <w:tcW w:w="20" w:type="dxa"/>
            <w:vAlign w:val="bottom"/>
          </w:tcPr>
          <w:p>
            <w:pPr>
              <w:spacing w:after="0"/>
              <w:rPr>
                <w:sz w:val="20"/>
                <w:szCs w:val="20"/>
                <w:color w:val="auto"/>
              </w:rPr>
            </w:pPr>
          </w:p>
        </w:tc>
        <w:tc>
          <w:tcPr>
            <w:tcW w:w="60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798</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6,169</w:t>
            </w:r>
          </w:p>
        </w:tc>
      </w:tr>
      <w:tr>
        <w:trPr>
          <w:trHeight w:val="232"/>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3,089</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794</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3,883</w:t>
            </w:r>
          </w:p>
        </w:tc>
      </w:tr>
      <w:tr>
        <w:trPr>
          <w:trHeight w:val="230"/>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3,466</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3,555</w:t>
            </w:r>
          </w:p>
        </w:tc>
      </w:tr>
      <w:tr>
        <w:trPr>
          <w:trHeight w:val="251"/>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2,964</w:t>
            </w:r>
          </w:p>
        </w:tc>
        <w:tc>
          <w:tcPr>
            <w:tcW w:w="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3,194</w:t>
            </w:r>
          </w:p>
        </w:tc>
      </w:tr>
      <w:tr>
        <w:trPr>
          <w:trHeight w:val="202"/>
        </w:trPr>
        <w:tc>
          <w:tcPr>
            <w:tcW w:w="980" w:type="dxa"/>
            <w:vAlign w:val="bottom"/>
          </w:tcPr>
          <w:p>
            <w:pPr>
              <w:jc w:val="right"/>
              <w:ind w:right="340"/>
              <w:spacing w:after="0" w:line="202" w:lineRule="exact"/>
              <w:rPr>
                <w:sz w:val="20"/>
                <w:szCs w:val="20"/>
                <w:color w:val="auto"/>
              </w:rPr>
            </w:pPr>
            <w:r>
              <w:rPr>
                <w:rFonts w:ascii="Times New Roman" w:cs="Times New Roman" w:eastAsia="Times New Roman" w:hAnsi="Times New Roman"/>
                <w:sz w:val="20"/>
                <w:szCs w:val="20"/>
                <w:color w:val="auto"/>
                <w:w w:val="94"/>
              </w:rPr>
              <w:t>14,890</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1,911</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16,801</w:t>
            </w:r>
          </w:p>
        </w:tc>
      </w:tr>
      <w:tr>
        <w:trPr>
          <w:trHeight w:val="230"/>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3,445</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1,513</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4,958</w:t>
            </w:r>
          </w:p>
        </w:tc>
      </w:tr>
      <w:tr>
        <w:trPr>
          <w:trHeight w:val="251"/>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1,381</w:t>
            </w:r>
          </w:p>
        </w:tc>
        <w:tc>
          <w:tcPr>
            <w:tcW w:w="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1,067</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2,448</w:t>
            </w:r>
          </w:p>
        </w:tc>
      </w:tr>
      <w:tr>
        <w:trPr>
          <w:trHeight w:val="201"/>
        </w:trPr>
        <w:tc>
          <w:tcPr>
            <w:tcW w:w="980" w:type="dxa"/>
            <w:vAlign w:val="bottom"/>
          </w:tcPr>
          <w:p>
            <w:pPr>
              <w:jc w:val="right"/>
              <w:ind w:right="340"/>
              <w:spacing w:after="0" w:line="201" w:lineRule="exact"/>
              <w:rPr>
                <w:sz w:val="20"/>
                <w:szCs w:val="20"/>
                <w:color w:val="auto"/>
              </w:rPr>
            </w:pPr>
            <w:r>
              <w:rPr>
                <w:rFonts w:ascii="Times New Roman" w:cs="Times New Roman" w:eastAsia="Times New Roman" w:hAnsi="Times New Roman"/>
                <w:sz w:val="20"/>
                <w:szCs w:val="20"/>
                <w:color w:val="auto"/>
                <w:w w:val="94"/>
              </w:rPr>
              <w:t>19,716</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4,491</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24,207</w:t>
            </w:r>
          </w:p>
        </w:tc>
      </w:tr>
      <w:tr>
        <w:trPr>
          <w:trHeight w:val="232"/>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1,603</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1,890</w:t>
            </w:r>
          </w:p>
        </w:tc>
      </w:tr>
      <w:tr>
        <w:trPr>
          <w:trHeight w:val="230"/>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318</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w:t>
            </w:r>
          </w:p>
        </w:tc>
      </w:tr>
      <w:tr>
        <w:trPr>
          <w:trHeight w:val="232"/>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403</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w:t>
            </w:r>
          </w:p>
        </w:tc>
      </w:tr>
      <w:tr>
        <w:trPr>
          <w:trHeight w:val="250"/>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23</w:t>
            </w:r>
          </w:p>
        </w:tc>
        <w:tc>
          <w:tcPr>
            <w:tcW w:w="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30"/>
        </w:trPr>
        <w:tc>
          <w:tcPr>
            <w:tcW w:w="980" w:type="dxa"/>
            <w:vAlign w:val="bottom"/>
          </w:tcPr>
          <w:p>
            <w:pPr>
              <w:jc w:val="right"/>
              <w:ind w:right="340"/>
              <w:spacing w:after="0" w:line="221" w:lineRule="exact"/>
              <w:rPr>
                <w:sz w:val="20"/>
                <w:szCs w:val="20"/>
                <w:color w:val="auto"/>
              </w:rPr>
            </w:pPr>
            <w:r>
              <w:rPr>
                <w:rFonts w:ascii="Times New Roman" w:cs="Times New Roman" w:eastAsia="Times New Roman" w:hAnsi="Times New Roman"/>
                <w:sz w:val="20"/>
                <w:szCs w:val="20"/>
                <w:color w:val="auto"/>
                <w:w w:val="94"/>
              </w:rPr>
              <w:t>22,063</w:t>
            </w:r>
          </w:p>
        </w:tc>
        <w:tc>
          <w:tcPr>
            <w:tcW w:w="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40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4,816</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26,879</w:t>
            </w:r>
          </w:p>
        </w:tc>
      </w:tr>
      <w:tr>
        <w:trPr>
          <w:trHeight w:val="676"/>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5,109</w:t>
            </w:r>
          </w:p>
        </w:tc>
        <w:tc>
          <w:tcPr>
            <w:tcW w:w="20" w:type="dxa"/>
            <w:vAlign w:val="bottom"/>
          </w:tcPr>
          <w:p>
            <w:pPr>
              <w:spacing w:after="0"/>
              <w:rPr>
                <w:sz w:val="24"/>
                <w:szCs w:val="24"/>
                <w:color w:val="auto"/>
              </w:rPr>
            </w:pPr>
          </w:p>
        </w:tc>
        <w:tc>
          <w:tcPr>
            <w:tcW w:w="60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5,801</w:t>
            </w:r>
          </w:p>
        </w:tc>
      </w:tr>
      <w:tr>
        <w:trPr>
          <w:trHeight w:val="230"/>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3,083</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753</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3,836</w:t>
            </w:r>
          </w:p>
        </w:tc>
      </w:tr>
      <w:tr>
        <w:trPr>
          <w:trHeight w:val="232"/>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3,378</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3,474</w:t>
            </w:r>
          </w:p>
        </w:tc>
      </w:tr>
      <w:tr>
        <w:trPr>
          <w:trHeight w:val="250"/>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2,786</w:t>
            </w:r>
          </w:p>
        </w:tc>
        <w:tc>
          <w:tcPr>
            <w:tcW w:w="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3,006</w:t>
            </w:r>
          </w:p>
        </w:tc>
      </w:tr>
      <w:tr>
        <w:trPr>
          <w:trHeight w:val="202"/>
        </w:trPr>
        <w:tc>
          <w:tcPr>
            <w:tcW w:w="980" w:type="dxa"/>
            <w:vAlign w:val="bottom"/>
          </w:tcPr>
          <w:p>
            <w:pPr>
              <w:jc w:val="right"/>
              <w:ind w:right="340"/>
              <w:spacing w:after="0" w:line="202" w:lineRule="exact"/>
              <w:rPr>
                <w:sz w:val="20"/>
                <w:szCs w:val="20"/>
                <w:color w:val="auto"/>
              </w:rPr>
            </w:pPr>
            <w:r>
              <w:rPr>
                <w:rFonts w:ascii="Times New Roman" w:cs="Times New Roman" w:eastAsia="Times New Roman" w:hAnsi="Times New Roman"/>
                <w:sz w:val="20"/>
                <w:szCs w:val="20"/>
                <w:color w:val="auto"/>
                <w:w w:val="94"/>
              </w:rPr>
              <w:t>14,356</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1,761</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16,117</w:t>
            </w:r>
          </w:p>
        </w:tc>
      </w:tr>
      <w:tr>
        <w:trPr>
          <w:trHeight w:val="230"/>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3,252</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1,479</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4,731</w:t>
            </w:r>
          </w:p>
        </w:tc>
      </w:tr>
      <w:tr>
        <w:trPr>
          <w:trHeight w:val="251"/>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1,257</w:t>
            </w:r>
          </w:p>
        </w:tc>
        <w:tc>
          <w:tcPr>
            <w:tcW w:w="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1,036</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2,293</w:t>
            </w:r>
          </w:p>
        </w:tc>
      </w:tr>
      <w:tr>
        <w:trPr>
          <w:trHeight w:val="202"/>
        </w:trPr>
        <w:tc>
          <w:tcPr>
            <w:tcW w:w="980" w:type="dxa"/>
            <w:vAlign w:val="bottom"/>
          </w:tcPr>
          <w:p>
            <w:pPr>
              <w:jc w:val="right"/>
              <w:ind w:right="340"/>
              <w:spacing w:after="0" w:line="202" w:lineRule="exact"/>
              <w:rPr>
                <w:sz w:val="20"/>
                <w:szCs w:val="20"/>
                <w:color w:val="auto"/>
              </w:rPr>
            </w:pPr>
            <w:r>
              <w:rPr>
                <w:rFonts w:ascii="Times New Roman" w:cs="Times New Roman" w:eastAsia="Times New Roman" w:hAnsi="Times New Roman"/>
                <w:sz w:val="20"/>
                <w:szCs w:val="20"/>
                <w:color w:val="auto"/>
                <w:w w:val="94"/>
              </w:rPr>
              <w:t>18,865</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4,276</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23,141</w:t>
            </w:r>
          </w:p>
        </w:tc>
      </w:tr>
      <w:tr>
        <w:trPr>
          <w:trHeight w:val="230"/>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1,264</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1,576</w:t>
            </w:r>
          </w:p>
        </w:tc>
      </w:tr>
      <w:tr>
        <w:trPr>
          <w:trHeight w:val="232"/>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273</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w:t>
            </w:r>
          </w:p>
        </w:tc>
      </w:tr>
      <w:tr>
        <w:trPr>
          <w:trHeight w:val="250"/>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24</w:t>
            </w:r>
          </w:p>
        </w:tc>
        <w:tc>
          <w:tcPr>
            <w:tcW w:w="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30"/>
        </w:trPr>
        <w:tc>
          <w:tcPr>
            <w:tcW w:w="980" w:type="dxa"/>
            <w:vAlign w:val="bottom"/>
          </w:tcPr>
          <w:p>
            <w:pPr>
              <w:jc w:val="right"/>
              <w:ind w:right="340"/>
              <w:spacing w:after="0" w:line="221" w:lineRule="exact"/>
              <w:rPr>
                <w:sz w:val="20"/>
                <w:szCs w:val="20"/>
                <w:color w:val="auto"/>
              </w:rPr>
            </w:pPr>
            <w:r>
              <w:rPr>
                <w:rFonts w:ascii="Times New Roman" w:cs="Times New Roman" w:eastAsia="Times New Roman" w:hAnsi="Times New Roman"/>
                <w:sz w:val="20"/>
                <w:szCs w:val="20"/>
                <w:color w:val="auto"/>
                <w:w w:val="94"/>
              </w:rPr>
              <w:t>20,426</w:t>
            </w:r>
          </w:p>
        </w:tc>
        <w:tc>
          <w:tcPr>
            <w:tcW w:w="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40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4,613</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25,039</w:t>
            </w:r>
          </w:p>
        </w:tc>
      </w:tr>
      <w:tr>
        <w:trPr>
          <w:trHeight w:val="674"/>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4,860</w:t>
            </w:r>
          </w:p>
        </w:tc>
        <w:tc>
          <w:tcPr>
            <w:tcW w:w="20" w:type="dxa"/>
            <w:vAlign w:val="bottom"/>
          </w:tcPr>
          <w:p>
            <w:pPr>
              <w:spacing w:after="0"/>
              <w:rPr>
                <w:sz w:val="24"/>
                <w:szCs w:val="24"/>
                <w:color w:val="auto"/>
              </w:rPr>
            </w:pPr>
          </w:p>
        </w:tc>
        <w:tc>
          <w:tcPr>
            <w:tcW w:w="60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5,450</w:t>
            </w:r>
          </w:p>
        </w:tc>
      </w:tr>
      <w:tr>
        <w:trPr>
          <w:trHeight w:val="232"/>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3,025</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3,681</w:t>
            </w:r>
          </w:p>
        </w:tc>
      </w:tr>
      <w:tr>
        <w:trPr>
          <w:trHeight w:val="230"/>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3,264</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3,339</w:t>
            </w:r>
          </w:p>
        </w:tc>
      </w:tr>
      <w:tr>
        <w:trPr>
          <w:trHeight w:val="251"/>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2,466</w:t>
            </w:r>
          </w:p>
        </w:tc>
        <w:tc>
          <w:tcPr>
            <w:tcW w:w="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2,683</w:t>
            </w:r>
          </w:p>
        </w:tc>
      </w:tr>
      <w:tr>
        <w:trPr>
          <w:trHeight w:val="202"/>
        </w:trPr>
        <w:tc>
          <w:tcPr>
            <w:tcW w:w="980" w:type="dxa"/>
            <w:vAlign w:val="bottom"/>
          </w:tcPr>
          <w:p>
            <w:pPr>
              <w:jc w:val="right"/>
              <w:ind w:right="340"/>
              <w:spacing w:after="0" w:line="202" w:lineRule="exact"/>
              <w:rPr>
                <w:sz w:val="20"/>
                <w:szCs w:val="20"/>
                <w:color w:val="auto"/>
              </w:rPr>
            </w:pPr>
            <w:r>
              <w:rPr>
                <w:rFonts w:ascii="Times New Roman" w:cs="Times New Roman" w:eastAsia="Times New Roman" w:hAnsi="Times New Roman"/>
                <w:sz w:val="20"/>
                <w:szCs w:val="20"/>
                <w:color w:val="auto"/>
                <w:w w:val="94"/>
              </w:rPr>
              <w:t>13,615</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1,538</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15,153</w:t>
            </w:r>
          </w:p>
        </w:tc>
      </w:tr>
      <w:tr>
        <w:trPr>
          <w:trHeight w:val="230"/>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3,062</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1,454</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4,516</w:t>
            </w:r>
          </w:p>
        </w:tc>
      </w:tr>
      <w:tr>
        <w:trPr>
          <w:trHeight w:val="251"/>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1,166</w:t>
            </w:r>
          </w:p>
        </w:tc>
        <w:tc>
          <w:tcPr>
            <w:tcW w:w="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977</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2,143</w:t>
            </w:r>
          </w:p>
        </w:tc>
      </w:tr>
      <w:tr>
        <w:trPr>
          <w:trHeight w:val="201"/>
        </w:trPr>
        <w:tc>
          <w:tcPr>
            <w:tcW w:w="980" w:type="dxa"/>
            <w:vAlign w:val="bottom"/>
          </w:tcPr>
          <w:p>
            <w:pPr>
              <w:jc w:val="right"/>
              <w:ind w:right="340"/>
              <w:spacing w:after="0" w:line="201" w:lineRule="exact"/>
              <w:rPr>
                <w:sz w:val="20"/>
                <w:szCs w:val="20"/>
                <w:color w:val="auto"/>
              </w:rPr>
            </w:pPr>
            <w:r>
              <w:rPr>
                <w:rFonts w:ascii="Times New Roman" w:cs="Times New Roman" w:eastAsia="Times New Roman" w:hAnsi="Times New Roman"/>
                <w:sz w:val="20"/>
                <w:szCs w:val="20"/>
                <w:color w:val="auto"/>
                <w:w w:val="94"/>
              </w:rPr>
              <w:t>17,843</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3,969</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21,812</w:t>
            </w:r>
          </w:p>
        </w:tc>
      </w:tr>
      <w:tr>
        <w:trPr>
          <w:trHeight w:val="232"/>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1,516</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1,760</w:t>
            </w:r>
          </w:p>
        </w:tc>
      </w:tr>
      <w:tr>
        <w:trPr>
          <w:trHeight w:val="230"/>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312</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w:t>
            </w:r>
          </w:p>
        </w:tc>
      </w:tr>
      <w:tr>
        <w:trPr>
          <w:trHeight w:val="251"/>
        </w:trPr>
        <w:tc>
          <w:tcPr>
            <w:tcW w:w="9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27</w:t>
            </w:r>
          </w:p>
        </w:tc>
        <w:tc>
          <w:tcPr>
            <w:tcW w:w="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31"/>
        </w:trPr>
        <w:tc>
          <w:tcPr>
            <w:tcW w:w="980" w:type="dxa"/>
            <w:vAlign w:val="bottom"/>
          </w:tcPr>
          <w:p>
            <w:pPr>
              <w:jc w:val="right"/>
              <w:ind w:right="340"/>
              <w:spacing w:after="0" w:line="223" w:lineRule="exact"/>
              <w:rPr>
                <w:sz w:val="20"/>
                <w:szCs w:val="20"/>
                <w:color w:val="auto"/>
              </w:rPr>
            </w:pPr>
            <w:r>
              <w:rPr>
                <w:rFonts w:ascii="Times New Roman" w:cs="Times New Roman" w:eastAsia="Times New Roman" w:hAnsi="Times New Roman"/>
                <w:sz w:val="20"/>
                <w:szCs w:val="20"/>
                <w:color w:val="auto"/>
                <w:w w:val="94"/>
              </w:rPr>
              <w:t>19,698</w:t>
            </w:r>
          </w:p>
        </w:tc>
        <w:tc>
          <w:tcPr>
            <w:tcW w:w="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40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4,238</w:t>
            </w:r>
          </w:p>
        </w:tc>
        <w:tc>
          <w:tcPr>
            <w:tcW w:w="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23,936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-292735</wp:posOffset>
                </wp:positionH>
                <wp:positionV relativeFrom="paragraph">
                  <wp:posOffset>-5537835</wp:posOffset>
                </wp:positionV>
                <wp:extent cx="1042670"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26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499pt,-436.0499pt" to="59.05pt,-436.0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-292735</wp:posOffset>
                </wp:positionH>
                <wp:positionV relativeFrom="paragraph">
                  <wp:posOffset>-5091430</wp:posOffset>
                </wp:positionV>
                <wp:extent cx="1042670"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26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499pt,-400.8999pt" to="59.05pt,-400.8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-292735</wp:posOffset>
                </wp:positionH>
                <wp:positionV relativeFrom="paragraph">
                  <wp:posOffset>-4352290</wp:posOffset>
                </wp:positionV>
                <wp:extent cx="1042670"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26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499pt,-342.6999pt" to="59.05pt,-342.6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-292735</wp:posOffset>
                </wp:positionH>
                <wp:positionV relativeFrom="paragraph">
                  <wp:posOffset>-4199255</wp:posOffset>
                </wp:positionV>
                <wp:extent cx="1042670"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26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499pt,-330.6499pt" to="59.05pt,-330.6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-292735</wp:posOffset>
                </wp:positionH>
                <wp:positionV relativeFrom="paragraph">
                  <wp:posOffset>-4187190</wp:posOffset>
                </wp:positionV>
                <wp:extent cx="1042670" cy="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26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499pt,-329.6999pt" to="59.05pt,-329.6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-292735</wp:posOffset>
                </wp:positionH>
                <wp:positionV relativeFrom="paragraph">
                  <wp:posOffset>-3300095</wp:posOffset>
                </wp:positionV>
                <wp:extent cx="1042670"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26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499pt,-259.8499pt" to="59.05pt,-259.8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-292735</wp:posOffset>
                </wp:positionH>
                <wp:positionV relativeFrom="paragraph">
                  <wp:posOffset>-2853690</wp:posOffset>
                </wp:positionV>
                <wp:extent cx="1042670" cy="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26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499pt,-224.6999pt" to="59.05pt,-224.6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-292735</wp:posOffset>
                </wp:positionH>
                <wp:positionV relativeFrom="paragraph">
                  <wp:posOffset>-2260600</wp:posOffset>
                </wp:positionV>
                <wp:extent cx="1042670" cy="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26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499pt,-178pt" to="59.05pt,-178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-292735</wp:posOffset>
                </wp:positionH>
                <wp:positionV relativeFrom="paragraph">
                  <wp:posOffset>-2107565</wp:posOffset>
                </wp:positionV>
                <wp:extent cx="1042670"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26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499pt,-165.9499pt" to="59.05pt,-165.9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-292735</wp:posOffset>
                </wp:positionH>
                <wp:positionV relativeFrom="paragraph">
                  <wp:posOffset>-2095500</wp:posOffset>
                </wp:positionV>
                <wp:extent cx="1042670"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26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499pt,-165pt" to="59.05pt,-16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-292735</wp:posOffset>
                </wp:positionH>
                <wp:positionV relativeFrom="paragraph">
                  <wp:posOffset>-1208405</wp:posOffset>
                </wp:positionV>
                <wp:extent cx="1042670" cy="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26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499pt,-95.1499pt" to="59.05pt,-95.1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-292735</wp:posOffset>
                </wp:positionH>
                <wp:positionV relativeFrom="paragraph">
                  <wp:posOffset>-762000</wp:posOffset>
                </wp:positionV>
                <wp:extent cx="1042670"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26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499pt,-60pt" to="59.05pt,-60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-292735</wp:posOffset>
                </wp:positionH>
                <wp:positionV relativeFrom="paragraph">
                  <wp:posOffset>-168910</wp:posOffset>
                </wp:positionV>
                <wp:extent cx="1042670" cy="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26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499pt,-13.2999pt" to="59.05pt,-13.2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-301625</wp:posOffset>
                </wp:positionH>
                <wp:positionV relativeFrom="paragraph">
                  <wp:posOffset>-2540</wp:posOffset>
                </wp:positionV>
                <wp:extent cx="1051560"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515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7499pt,-0.1999pt" to="59.05pt,-0.1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-301625</wp:posOffset>
                </wp:positionH>
                <wp:positionV relativeFrom="paragraph">
                  <wp:posOffset>-14605</wp:posOffset>
                </wp:positionV>
                <wp:extent cx="1051560"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5156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7499pt,-1.1499pt" to="59.05pt,-1.1499pt" o:allowincell="f" strokecolor="#000000" strokeweight="0.48pt"/>
            </w:pict>
          </mc:Fallback>
        </mc:AlternateContent>
      </w:r>
    </w:p>
    <w:p>
      <w:pPr>
        <w:spacing w:after="0" w:line="200" w:lineRule="exact"/>
        <w:rPr>
          <w:sz w:val="20"/>
          <w:szCs w:val="20"/>
          <w:color w:val="auto"/>
        </w:rPr>
      </w:pPr>
    </w:p>
    <w:p>
      <w:pPr>
        <w:sectPr>
          <w:pgSz w:w="13320" w:h="16920" w:orient="portrait"/>
          <w:cols w:equalWidth="0" w:num="2">
            <w:col w:w="4880" w:space="360"/>
            <w:col w:w="5200"/>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3320" w:h="16920" w:orient="portrait"/>
          <w:cols w:equalWidth="0" w:num="1">
            <w:col w:w="10440"/>
          </w:cols>
          <w:pgMar w:left="1440" w:top="1440" w:right="1440" w:bottom="1440" w:gutter="0" w:footer="0" w:header="0"/>
          <w:type w:val="continuous"/>
        </w:sectPr>
      </w:pPr>
    </w:p>
    <w:bookmarkStart w:id="126" w:name="page127"/>
    <w:bookmarkEnd w:id="126"/>
    <w:p>
      <w:pPr>
        <w:spacing w:after="0" w:line="347" w:lineRule="exact"/>
        <w:rPr>
          <w:sz w:val="20"/>
          <w:szCs w:val="20"/>
          <w:color w:val="auto"/>
        </w:rPr>
      </w:pPr>
    </w:p>
    <w:p>
      <w:pPr>
        <w:jc w:val="both"/>
        <w:ind w:left="720" w:right="360" w:hanging="353"/>
        <w:spacing w:after="0" w:line="259" w:lineRule="auto"/>
        <w:tabs>
          <w:tab w:leader="none" w:pos="7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65" w:lineRule="exact"/>
        <w:rPr>
          <w:rFonts w:ascii="Times New Roman" w:cs="Times New Roman" w:eastAsia="Times New Roman" w:hAnsi="Times New Roman"/>
          <w:sz w:val="20"/>
          <w:szCs w:val="20"/>
          <w:color w:val="auto"/>
        </w:rPr>
      </w:pPr>
    </w:p>
    <w:p>
      <w:pPr>
        <w:jc w:val="both"/>
        <w:ind w:left="720" w:right="360" w:hanging="353"/>
        <w:spacing w:after="0" w:line="253" w:lineRule="auto"/>
        <w:tabs>
          <w:tab w:leader="none" w:pos="7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fourth quarter of 2024, the Company adjusted gross and intercompany operating revenues to reflect the 15% royalty paid by WM Renewable Energy to Collection and Disposal and Corporate and Other businesses for the purchase of landfill gas. There was no change to net operating revenues. Prior periods were recast to conform to current year presentation.</w:t>
      </w:r>
    </w:p>
    <w:p>
      <w:pPr>
        <w:spacing w:after="0" w:line="71" w:lineRule="exact"/>
        <w:rPr>
          <w:sz w:val="20"/>
          <w:szCs w:val="20"/>
          <w:color w:val="auto"/>
        </w:rPr>
      </w:pPr>
    </w:p>
    <w:p>
      <w:pPr>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The following table provides details associated with the period-to-period change in revenues and average yield for the year ended December 31 (dollars in millions):</w:t>
      </w:r>
    </w:p>
    <w:p>
      <w:pPr>
        <w:spacing w:after="0" w:line="74"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7"/>
          </w:tcPr>
          <w:p>
            <w:pPr>
              <w:ind w:left="540"/>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8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5"/>
                <w:szCs w:val="15"/>
                <w:b w:val="1"/>
                <w:bCs w:val="1"/>
                <w:color w:val="auto"/>
              </w:rPr>
              <w:t>2023 vs. 2022</w:t>
            </w: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46"/>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30"/>
              <w:spacing w:after="0" w:line="146" w:lineRule="exact"/>
              <w:rPr>
                <w:sz w:val="20"/>
                <w:szCs w:val="20"/>
                <w:color w:val="auto"/>
              </w:rPr>
            </w:pPr>
            <w:r>
              <w:rPr>
                <w:rFonts w:ascii="Times New Roman" w:cs="Times New Roman" w:eastAsia="Times New Roman" w:hAnsi="Times New Roman"/>
                <w:sz w:val="15"/>
                <w:szCs w:val="15"/>
                <w:b w:val="1"/>
                <w:bCs w:val="1"/>
                <w:color w:val="auto"/>
                <w:w w:val="98"/>
              </w:rPr>
              <w:t>As a % of</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b w:val="1"/>
                <w:bCs w:val="1"/>
                <w:color w:val="auto"/>
                <w:w w:val="98"/>
              </w:rPr>
              <w:t>As a %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260"/>
              <w:spacing w:after="0" w:line="146" w:lineRule="exact"/>
              <w:rPr>
                <w:sz w:val="20"/>
                <w:szCs w:val="20"/>
                <w:color w:val="auto"/>
              </w:rPr>
            </w:pPr>
            <w:r>
              <w:rPr>
                <w:rFonts w:ascii="Times New Roman" w:cs="Times New Roman" w:eastAsia="Times New Roman" w:hAnsi="Times New Roman"/>
                <w:sz w:val="15"/>
                <w:szCs w:val="15"/>
                <w:b w:val="1"/>
                <w:bCs w:val="1"/>
                <w:color w:val="auto"/>
              </w:rPr>
              <w:t>As a % of</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b w:val="1"/>
                <w:bCs w:val="1"/>
                <w:color w:val="auto"/>
                <w:w w:val="98"/>
              </w:rPr>
              <w:t>As a % of</w:t>
            </w:r>
          </w:p>
        </w:tc>
        <w:tc>
          <w:tcPr>
            <w:tcW w:w="140" w:type="dxa"/>
            <w:vAlign w:val="bottom"/>
          </w:tcPr>
          <w:p>
            <w:pPr>
              <w:spacing w:after="0"/>
              <w:rPr>
                <w:sz w:val="12"/>
                <w:szCs w:val="12"/>
                <w:color w:val="auto"/>
              </w:rPr>
            </w:pPr>
          </w:p>
        </w:tc>
      </w:tr>
      <w:tr>
        <w:trPr>
          <w:trHeight w:val="174"/>
        </w:trPr>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130"/>
              <w:spacing w:after="0"/>
              <w:rPr>
                <w:sz w:val="20"/>
                <w:szCs w:val="20"/>
                <w:color w:val="auto"/>
              </w:rPr>
            </w:pPr>
            <w:r>
              <w:rPr>
                <w:rFonts w:ascii="Times New Roman" w:cs="Times New Roman" w:eastAsia="Times New Roman" w:hAnsi="Times New Roman"/>
                <w:sz w:val="15"/>
                <w:szCs w:val="15"/>
                <w:b w:val="1"/>
                <w:bCs w:val="1"/>
                <w:color w:val="auto"/>
              </w:rPr>
              <w:t>Related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Related</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140" w:type="dxa"/>
            <w:vAlign w:val="bottom"/>
          </w:tcPr>
          <w:p>
            <w:pPr>
              <w:spacing w:after="0"/>
              <w:rPr>
                <w:sz w:val="15"/>
                <w:szCs w:val="15"/>
                <w:color w:val="auto"/>
              </w:rPr>
            </w:pPr>
          </w:p>
        </w:tc>
      </w:tr>
      <w:tr>
        <w:trPr>
          <w:trHeight w:val="190"/>
        </w:trPr>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0" w:type="dxa"/>
            <w:vAlign w:val="bottom"/>
            <w:gridSpan w:val="2"/>
          </w:tcPr>
          <w:p>
            <w:pPr>
              <w:jc w:val="center"/>
              <w:ind w:right="130"/>
              <w:spacing w:after="0"/>
              <w:rPr>
                <w:sz w:val="20"/>
                <w:szCs w:val="20"/>
                <w:color w:val="auto"/>
              </w:rPr>
            </w:pPr>
            <w:r>
              <w:rPr>
                <w:rFonts w:ascii="Times New Roman" w:cs="Times New Roman" w:eastAsia="Times New Roman" w:hAnsi="Times New Roman"/>
                <w:sz w:val="15"/>
                <w:szCs w:val="15"/>
                <w:b w:val="1"/>
                <w:bCs w:val="1"/>
                <w:color w:val="auto"/>
              </w:rPr>
              <w:t>Business(a)</w:t>
            </w:r>
          </w:p>
        </w:tc>
        <w:tc>
          <w:tcPr>
            <w:tcW w:w="20" w:type="dxa"/>
            <w:vAlign w:val="bottom"/>
          </w:tcPr>
          <w:p>
            <w:pPr>
              <w:spacing w:after="0"/>
              <w:rPr>
                <w:sz w:val="16"/>
                <w:szCs w:val="16"/>
                <w:color w:val="auto"/>
              </w:rPr>
            </w:pPr>
          </w:p>
        </w:tc>
        <w:tc>
          <w:tcPr>
            <w:tcW w:w="820" w:type="dxa"/>
            <w:vAlign w:val="bottom"/>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Company(b)</w:t>
            </w:r>
          </w:p>
        </w:tc>
        <w:tc>
          <w:tcPr>
            <w:tcW w:w="32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Business(a)</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Company(b)</w:t>
            </w:r>
          </w:p>
        </w:tc>
        <w:tc>
          <w:tcPr>
            <w:tcW w:w="140" w:type="dxa"/>
            <w:vAlign w:val="bottom"/>
          </w:tcPr>
          <w:p>
            <w:pPr>
              <w:spacing w:after="0"/>
              <w:rPr>
                <w:sz w:val="16"/>
                <w:szCs w:val="16"/>
                <w:color w:val="auto"/>
              </w:rPr>
            </w:pPr>
          </w:p>
        </w:tc>
      </w:tr>
      <w:tr>
        <w:trPr>
          <w:trHeight w:val="180"/>
        </w:trPr>
        <w:tc>
          <w:tcPr>
            <w:tcW w:w="2200" w:type="dxa"/>
            <w:vAlign w:val="bottom"/>
          </w:tcPr>
          <w:p>
            <w:pPr>
              <w:jc w:val="right"/>
              <w:ind w:right="50"/>
              <w:spacing w:after="0" w:line="180" w:lineRule="exact"/>
              <w:rPr>
                <w:sz w:val="20"/>
                <w:szCs w:val="20"/>
                <w:color w:val="auto"/>
              </w:rPr>
            </w:pPr>
            <w:r>
              <w:rPr>
                <w:rFonts w:ascii="Times New Roman" w:cs="Times New Roman" w:eastAsia="Times New Roman" w:hAnsi="Times New Roman"/>
                <w:sz w:val="18"/>
                <w:szCs w:val="18"/>
                <w:color w:val="auto"/>
              </w:rPr>
              <w:t>. . . .Collectionanddisposal</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0"/>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8"/>
                <w:szCs w:val="18"/>
                <w:color w:val="auto"/>
              </w:rPr>
              <w:t>811</w:t>
            </w:r>
          </w:p>
        </w:tc>
        <w:tc>
          <w:tcPr>
            <w:tcW w:w="160" w:type="dxa"/>
            <w:vAlign w:val="bottom"/>
          </w:tcPr>
          <w:p>
            <w:pPr>
              <w:spacing w:after="0"/>
              <w:rPr>
                <w:sz w:val="15"/>
                <w:szCs w:val="15"/>
                <w:color w:val="auto"/>
              </w:rPr>
            </w:pPr>
          </w:p>
        </w:tc>
        <w:tc>
          <w:tcPr>
            <w:tcW w:w="78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jc w:val="right"/>
              <w:spacing w:after="0" w:line="180" w:lineRule="exact"/>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center"/>
              <w:ind w:left="30"/>
              <w:spacing w:after="0" w:line="180" w:lineRule="exact"/>
              <w:rPr>
                <w:sz w:val="20"/>
                <w:szCs w:val="20"/>
                <w:color w:val="auto"/>
              </w:rPr>
            </w:pPr>
            <w:r>
              <w:rPr>
                <w:rFonts w:ascii="Times New Roman" w:cs="Times New Roman" w:eastAsia="Times New Roman" w:hAnsi="Times New Roman"/>
                <w:sz w:val="18"/>
                <w:szCs w:val="18"/>
                <w:color w:val="auto"/>
                <w:w w:val="96"/>
              </w:rPr>
              <w:t>911</w:t>
            </w:r>
          </w:p>
        </w:tc>
        <w:tc>
          <w:tcPr>
            <w:tcW w:w="160" w:type="dxa"/>
            <w:vAlign w:val="bottom"/>
          </w:tcPr>
          <w:p>
            <w:pPr>
              <w:spacing w:after="0"/>
              <w:rPr>
                <w:sz w:val="15"/>
                <w:szCs w:val="15"/>
                <w:color w:val="auto"/>
              </w:rPr>
            </w:pPr>
          </w:p>
        </w:tc>
        <w:tc>
          <w:tcPr>
            <w:tcW w:w="76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06"/>
        </w:trPr>
        <w:tc>
          <w:tcPr>
            <w:tcW w:w="22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Recycling Processing</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8"/>
        </w:trPr>
        <w:tc>
          <w:tcPr>
            <w:tcW w:w="22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and Sales and WM</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8"/>
        </w:trPr>
        <w:tc>
          <w:tcPr>
            <w:tcW w:w="2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Renewable Energy (c) . .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(381)</w:t>
            </w: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8"/>
        </w:trPr>
        <w:tc>
          <w:tcPr>
            <w:tcW w:w="22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Energy surcharge and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6"/>
        </w:trPr>
        <w:tc>
          <w:tcPr>
            <w:tcW w:w="2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mandated fees . . . . . . . .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80"/>
        </w:trPr>
        <w:tc>
          <w:tcPr>
            <w:tcW w:w="2200" w:type="dxa"/>
            <w:vAlign w:val="bottom"/>
          </w:tcPr>
          <w:p>
            <w:pPr>
              <w:jc w:val="right"/>
              <w:ind w:right="50"/>
              <w:spacing w:after="0" w:line="180" w:lineRule="exact"/>
              <w:rPr>
                <w:sz w:val="20"/>
                <w:szCs w:val="20"/>
                <w:color w:val="auto"/>
              </w:rPr>
            </w:pPr>
            <w:r>
              <w:rPr>
                <w:rFonts w:ascii="Times New Roman" w:cs="Times New Roman" w:eastAsia="Times New Roman" w:hAnsi="Times New Roman"/>
                <w:sz w:val="18"/>
                <w:szCs w:val="18"/>
                <w:color w:val="auto"/>
              </w:rPr>
              <w:t>. . .Totalaverageyield(d)</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8"/>
                <w:szCs w:val="18"/>
                <w:color w:val="auto"/>
              </w:rPr>
              <w:t>985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8"/>
                <w:szCs w:val="18"/>
                <w:color w:val="auto"/>
              </w:rPr>
              <w:t>4.8</w:t>
            </w:r>
          </w:p>
        </w:tc>
        <w:tc>
          <w:tcPr>
            <w:tcW w:w="320" w:type="dxa"/>
            <w:vAlign w:val="bottom"/>
          </w:tcPr>
          <w:p>
            <w:pPr>
              <w:jc w:val="right"/>
              <w:ind w:right="90"/>
              <w:spacing w:after="0" w:line="180"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jc w:val="right"/>
              <w:ind w:right="18"/>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8"/>
                <w:szCs w:val="18"/>
                <w:color w:val="auto"/>
              </w:rPr>
              <w:t>426</w:t>
            </w:r>
          </w:p>
        </w:tc>
        <w:tc>
          <w:tcPr>
            <w:tcW w:w="102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8"/>
                <w:szCs w:val="18"/>
                <w:color w:val="auto"/>
                <w:w w:val="79"/>
              </w:rPr>
              <w:t>%</w:t>
            </w:r>
          </w:p>
        </w:tc>
      </w:tr>
      <w:tr>
        <w:trPr>
          <w:trHeight w:val="226"/>
        </w:trPr>
        <w:tc>
          <w:tcPr>
            <w:tcW w:w="2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Volume (e) . . . . . . . . . . .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9"/>
                <w:szCs w:val="19"/>
                <w:color w:val="auto"/>
              </w:rPr>
            </w:pPr>
          </w:p>
        </w:tc>
      </w:tr>
      <w:tr>
        <w:trPr>
          <w:trHeight w:val="180"/>
        </w:trPr>
        <w:tc>
          <w:tcPr>
            <w:tcW w:w="2200" w:type="dxa"/>
            <w:vAlign w:val="bottom"/>
          </w:tcPr>
          <w:p>
            <w:pPr>
              <w:jc w:val="right"/>
              <w:ind w:right="50"/>
              <w:spacing w:after="0" w:line="180" w:lineRule="exact"/>
              <w:rPr>
                <w:sz w:val="20"/>
                <w:szCs w:val="20"/>
                <w:color w:val="auto"/>
              </w:rPr>
            </w:pPr>
            <w:r>
              <w:rPr>
                <w:rFonts w:ascii="Times New Roman" w:cs="Times New Roman" w:eastAsia="Times New Roman" w:hAnsi="Times New Roman"/>
                <w:sz w:val="18"/>
                <w:szCs w:val="18"/>
                <w:color w:val="auto"/>
              </w:rPr>
              <w:t>. .Internalrevenuegrowth</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8"/>
                <w:szCs w:val="18"/>
                <w:color w:val="auto"/>
              </w:rPr>
              <w:t>1,073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8"/>
                <w:szCs w:val="18"/>
                <w:color w:val="auto"/>
              </w:rPr>
              <w:t>576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5"/>
                <w:szCs w:val="15"/>
                <w:color w:val="auto"/>
              </w:rPr>
            </w:pPr>
          </w:p>
        </w:tc>
      </w:tr>
      <w:tr>
        <w:trPr>
          <w:trHeight w:val="208"/>
        </w:trPr>
        <w:tc>
          <w:tcPr>
            <w:tcW w:w="2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Acquisitions . . . . . . . . . .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8"/>
                <w:szCs w:val="18"/>
                <w:color w:val="auto"/>
              </w:rPr>
            </w:pPr>
          </w:p>
        </w:tc>
      </w:tr>
      <w:tr>
        <w:trPr>
          <w:trHeight w:val="208"/>
        </w:trPr>
        <w:tc>
          <w:tcPr>
            <w:tcW w:w="2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Divestitures . . . . . . . . . . .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08"/>
        </w:trPr>
        <w:tc>
          <w:tcPr>
            <w:tcW w:w="22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Foreign currency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6"/>
        </w:trPr>
        <w:tc>
          <w:tcPr>
            <w:tcW w:w="2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translation . . . . . . . . . .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r>
      <w:tr>
        <w:trPr>
          <w:trHeight w:val="208"/>
        </w:trPr>
        <w:tc>
          <w:tcPr>
            <w:tcW w:w="2200" w:type="dxa"/>
            <w:vAlign w:val="bottom"/>
          </w:tcPr>
          <w:p>
            <w:pPr>
              <w:jc w:val="right"/>
              <w:ind w:right="50"/>
              <w:spacing w:after="0" w:line="200" w:lineRule="exact"/>
              <w:rPr>
                <w:sz w:val="20"/>
                <w:szCs w:val="20"/>
                <w:color w:val="auto"/>
              </w:rPr>
            </w:pPr>
            <w:r>
              <w:rPr>
                <w:rFonts w:ascii="Times New Roman" w:cs="Times New Roman" w:eastAsia="Times New Roman" w:hAnsi="Times New Roman"/>
                <w:sz w:val="18"/>
                <w:szCs w:val="18"/>
                <w:color w:val="auto"/>
              </w:rPr>
              <w:t>. . . . . . . . . . . . .Total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1,637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8.0</w:t>
            </w:r>
          </w:p>
        </w:tc>
        <w:tc>
          <w:tcPr>
            <w:tcW w:w="320" w:type="dxa"/>
            <w:vAlign w:val="bottom"/>
          </w:tcPr>
          <w:p>
            <w:pPr>
              <w:jc w:val="right"/>
              <w:ind w:right="90"/>
              <w:spacing w:after="0" w:line="200"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728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w w:val="79"/>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106045</wp:posOffset>
                </wp:positionV>
                <wp:extent cx="1541145"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8.35pt" to="139.65pt,8.35pt" o:allowincell="f" strokecolor="#000000" strokeweight="1.0199pt"/>
            </w:pict>
          </mc:Fallback>
        </mc:AlternateContent>
      </w:r>
    </w:p>
    <w:p>
      <w:pPr>
        <w:spacing w:after="0" w:line="190" w:lineRule="exact"/>
        <w:rPr>
          <w:sz w:val="20"/>
          <w:szCs w:val="20"/>
          <w:color w:val="auto"/>
        </w:rPr>
      </w:pPr>
    </w:p>
    <w:p>
      <w:pPr>
        <w:ind w:left="720" w:right="360" w:hanging="353"/>
        <w:spacing w:after="0" w:line="278" w:lineRule="auto"/>
        <w:tabs>
          <w:tab w:leader="none" w:pos="7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Calculated by dividing the increase or decrease for the current year by the prior year’s related business revenue adjusted to exclude the impacts of divestitures for the current year.</w:t>
      </w:r>
    </w:p>
    <w:p>
      <w:pPr>
        <w:spacing w:after="0" w:line="46" w:lineRule="exact"/>
        <w:rPr>
          <w:rFonts w:ascii="Times New Roman" w:cs="Times New Roman" w:eastAsia="Times New Roman" w:hAnsi="Times New Roman"/>
          <w:sz w:val="20"/>
          <w:szCs w:val="20"/>
          <w:color w:val="auto"/>
        </w:rPr>
      </w:pPr>
    </w:p>
    <w:p>
      <w:pPr>
        <w:ind w:left="720" w:right="360" w:hanging="353"/>
        <w:spacing w:after="0" w:line="278" w:lineRule="auto"/>
        <w:tabs>
          <w:tab w:leader="none" w:pos="7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Calculated by dividing the increase or decrease for the current year by the prior year’s total Company revenue adjusted to exclude the impacts of divestitures for the current year.</w:t>
      </w:r>
    </w:p>
    <w:p>
      <w:pPr>
        <w:spacing w:after="0" w:line="47" w:lineRule="exact"/>
        <w:rPr>
          <w:rFonts w:ascii="Times New Roman" w:cs="Times New Roman" w:eastAsia="Times New Roman" w:hAnsi="Times New Roman"/>
          <w:sz w:val="20"/>
          <w:szCs w:val="20"/>
          <w:color w:val="auto"/>
        </w:rPr>
      </w:pPr>
    </w:p>
    <w:p>
      <w:pPr>
        <w:jc w:val="both"/>
        <w:ind w:left="720" w:right="360" w:hanging="353"/>
        <w:spacing w:after="0" w:line="258" w:lineRule="auto"/>
        <w:tabs>
          <w:tab w:leader="none" w:pos="7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combined impact of commodity price variability in both our Recycling Processing and Sales and WM Renewable Energy segments, as well as changes in certain recycling fees charged by our collection and disposal operations.</w:t>
      </w:r>
    </w:p>
    <w:p>
      <w:pPr>
        <w:spacing w:after="0" w:line="68" w:lineRule="exact"/>
        <w:rPr>
          <w:rFonts w:ascii="Times New Roman" w:cs="Times New Roman" w:eastAsia="Times New Roman" w:hAnsi="Times New Roman"/>
          <w:sz w:val="20"/>
          <w:szCs w:val="20"/>
          <w:color w:val="auto"/>
        </w:rPr>
      </w:pPr>
    </w:p>
    <w:p>
      <w:pPr>
        <w:ind w:left="720" w:hanging="353"/>
        <w:spacing w:after="0"/>
        <w:tabs>
          <w:tab w:leader="none" w:pos="72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amounts reported herein represent the changes in our revenue attributable to average yield for the total Company.</w:t>
      </w:r>
    </w:p>
    <w:p>
      <w:pPr>
        <w:spacing w:after="0" w:line="131" w:lineRule="exact"/>
        <w:rPr>
          <w:rFonts w:ascii="Times New Roman" w:cs="Times New Roman" w:eastAsia="Times New Roman" w:hAnsi="Times New Roman"/>
          <w:sz w:val="19"/>
          <w:szCs w:val="19"/>
          <w:color w:val="auto"/>
        </w:rPr>
      </w:pPr>
    </w:p>
    <w:p>
      <w:pPr>
        <w:ind w:left="720" w:hanging="353"/>
        <w:spacing w:after="0"/>
        <w:tabs>
          <w:tab w:leader="none" w:pos="7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activities from our Corporate and Other businesses.</w:t>
      </w:r>
    </w:p>
    <w:p>
      <w:pPr>
        <w:spacing w:after="0" w:line="119" w:lineRule="exact"/>
        <w:rPr>
          <w:rFonts w:ascii="Times New Roman" w:cs="Times New Roman" w:eastAsia="Times New Roman" w:hAnsi="Times New Roman"/>
          <w:sz w:val="20"/>
          <w:szCs w:val="20"/>
          <w:color w:val="auto"/>
        </w:rPr>
      </w:pPr>
    </w:p>
    <w:p>
      <w:pPr>
        <w:ind w:left="720" w:right="2860"/>
        <w:spacing w:after="0" w:line="49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following provides further details about our period-to-period change in revenues: </w:t>
      </w:r>
      <w:r>
        <w:rPr>
          <w:rFonts w:ascii="Times New Roman" w:cs="Times New Roman" w:eastAsia="Times New Roman" w:hAnsi="Times New Roman"/>
          <w:sz w:val="20"/>
          <w:szCs w:val="20"/>
          <w:i w:val="1"/>
          <w:iCs w:val="1"/>
          <w:color w:val="auto"/>
        </w:rPr>
        <w:t>Average Yield</w:t>
      </w: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Collection and Disposal Average Yield </w:t>
      </w:r>
      <w:r>
        <w:rPr>
          <w:rFonts w:ascii="Times New Roman" w:cs="Times New Roman" w:eastAsia="Times New Roman" w:hAnsi="Times New Roman"/>
          <w:sz w:val="20"/>
          <w:szCs w:val="20"/>
          <w:color w:val="auto"/>
        </w:rPr>
        <w:t>— This measure reflects the effect on our revenue from the pricing activities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our collection, transfer and landfill operations, exclusive of volume changes. Revenue growth from Collection and Disposal average yield includes not only base rate changes and environmental and service fee fluctuations, but also</w:t>
      </w:r>
    </w:p>
    <w:p>
      <w:pPr>
        <w:spacing w:after="0" w:line="2" w:lineRule="exact"/>
        <w:rPr>
          <w:sz w:val="20"/>
          <w:szCs w:val="20"/>
          <w:color w:val="auto"/>
        </w:rPr>
      </w:pPr>
    </w:p>
    <w:p>
      <w:pPr>
        <w:ind w:left="600" w:hanging="233"/>
        <w:spacing w:after="0"/>
        <w:tabs>
          <w:tab w:leader="none" w:pos="6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average price changes related to the overall mix of services, which are due to the types of services provided;</w:t>
      </w:r>
    </w:p>
    <w:p>
      <w:pPr>
        <w:ind w:left="660" w:hanging="293"/>
        <w:spacing w:after="0"/>
        <w:tabs>
          <w:tab w:leader="none" w:pos="6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average price from new and lost business and (iii) price decreases to retain customers.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3320" w:h="16920" w:orient="portrait"/>
          <w:cols w:equalWidth="0" w:num="1">
            <w:col w:w="10440"/>
          </w:cols>
          <w:pgMar w:left="1440" w:top="1440" w:right="1440" w:bottom="1440" w:gutter="0" w:footer="0" w:header="0"/>
          <w:type w:val="continuous"/>
        </w:sectPr>
      </w:pPr>
    </w:p>
    <w:bookmarkStart w:id="127" w:name="page128"/>
    <w:bookmarkEnd w:id="127"/>
    <w:p>
      <w:pPr>
        <w:spacing w:after="0" w:line="347"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The details of our revenue growth from Collection and Disposal average yield for the year ended December 31 are as follows (dollars in millions):</w:t>
      </w:r>
    </w:p>
    <w:p>
      <w:pPr>
        <w:spacing w:after="0" w:line="188"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5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As a % of</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As a % of</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Related</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Related</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vMerge w:val="restart"/>
          </w:tcPr>
          <w:p>
            <w:pPr>
              <w:jc w:val="right"/>
              <w:ind w:right="4700"/>
              <w:spacing w:after="0"/>
              <w:rPr>
                <w:sz w:val="20"/>
                <w:szCs w:val="20"/>
                <w:color w:val="auto"/>
              </w:rPr>
            </w:pPr>
            <w:r>
              <w:rPr>
                <w:rFonts w:ascii="Times New Roman" w:cs="Times New Roman" w:eastAsia="Times New Roman" w:hAnsi="Times New Roman"/>
                <w:sz w:val="20"/>
                <w:szCs w:val="20"/>
                <w:color w:val="auto"/>
                <w:w w:val="99"/>
              </w:rPr>
              <w:t>Commercial</w:t>
            </w:r>
          </w:p>
        </w:tc>
        <w:tc>
          <w:tcPr>
            <w:tcW w:w="20" w:type="dxa"/>
            <w:vAlign w:val="bottom"/>
          </w:tcPr>
          <w:p>
            <w:pPr>
              <w:spacing w:after="0"/>
              <w:rPr>
                <w:sz w:val="17"/>
                <w:szCs w:val="17"/>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Business</w:t>
            </w:r>
          </w:p>
        </w:tc>
        <w:tc>
          <w:tcPr>
            <w:tcW w:w="20" w:type="dxa"/>
            <w:vAlign w:val="bottom"/>
            <w:tcBorders>
              <w:bottom w:val="single" w:sz="8" w:color="auto"/>
            </w:tcBorders>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Business</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800" w:type="dxa"/>
            <w:vAlign w:val="bottom"/>
            <w:vMerge w:val="continue"/>
          </w:tcPr>
          <w:p>
            <w:pPr>
              <w:jc w:val="right"/>
              <w:ind w:right="280"/>
              <w:spacing w:after="0" w:line="191" w:lineRule="exact"/>
              <w:rPr>
                <w:sz w:val="20"/>
                <w:szCs w:val="20"/>
                <w:color w:val="auto"/>
              </w:rPr>
            </w:pPr>
            <w:r>
              <w:rPr>
                <w:rFonts w:ascii="Times New Roman" w:cs="Times New Roman" w:eastAsia="Times New Roman" w:hAnsi="Times New Roman"/>
                <w:sz w:val="20"/>
                <w:szCs w:val="20"/>
                <w:color w:val="auto"/>
              </w:rPr>
              <w:t>. . . . . . . . . . . . . . . . . . . . . . . . . . . . . . . . . . . . . . . . . . . . . .</w:t>
            </w:r>
          </w:p>
        </w:tc>
        <w:tc>
          <w:tcPr>
            <w:tcW w:w="20" w:type="dxa"/>
            <w:vAlign w:val="bottom"/>
          </w:tcPr>
          <w:p>
            <w:pPr>
              <w:spacing w:after="0"/>
              <w:rPr>
                <w:sz w:val="18"/>
                <w:szCs w:val="18"/>
                <w:color w:val="auto"/>
              </w:rPr>
            </w:pPr>
          </w:p>
        </w:tc>
        <w:tc>
          <w:tcPr>
            <w:tcW w:w="220" w:type="dxa"/>
            <w:vAlign w:val="bottom"/>
          </w:tcPr>
          <w:p>
            <w:pPr>
              <w:jc w:val="right"/>
              <w:ind w:right="27"/>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327</w:t>
            </w:r>
          </w:p>
        </w:tc>
        <w:tc>
          <w:tcPr>
            <w:tcW w:w="300" w:type="dxa"/>
            <w:vAlign w:val="bottom"/>
          </w:tcPr>
          <w:p>
            <w:pPr>
              <w:spacing w:after="0"/>
              <w:rPr>
                <w:sz w:val="18"/>
                <w:szCs w:val="18"/>
                <w:color w:val="auto"/>
              </w:rPr>
            </w:pPr>
          </w:p>
        </w:tc>
        <w:tc>
          <w:tcPr>
            <w:tcW w:w="740" w:type="dxa"/>
            <w:vAlign w:val="bottom"/>
            <w:gridSpan w:val="2"/>
          </w:tcPr>
          <w:p>
            <w:pPr>
              <w:jc w:val="right"/>
              <w:spacing w:after="0" w:line="214" w:lineRule="exact"/>
              <w:rPr>
                <w:sz w:val="20"/>
                <w:szCs w:val="20"/>
                <w:color w:val="auto"/>
              </w:rPr>
            </w:pPr>
            <w:r>
              <w:rPr>
                <w:rFonts w:ascii="Times New Roman" w:cs="Times New Roman" w:eastAsia="Times New Roman" w:hAnsi="Times New Roman"/>
                <w:sz w:val="20"/>
                <w:szCs w:val="20"/>
                <w:color w:val="auto"/>
              </w:rPr>
              <w:t>6.2</w:t>
            </w:r>
          </w:p>
        </w:tc>
        <w:tc>
          <w:tcPr>
            <w:tcW w:w="2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7"/>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321</w:t>
            </w:r>
          </w:p>
        </w:tc>
        <w:tc>
          <w:tcPr>
            <w:tcW w:w="320" w:type="dxa"/>
            <w:vAlign w:val="bottom"/>
          </w:tcPr>
          <w:p>
            <w:pPr>
              <w:spacing w:after="0"/>
              <w:rPr>
                <w:sz w:val="18"/>
                <w:szCs w:val="18"/>
                <w:color w:val="auto"/>
              </w:rPr>
            </w:pPr>
          </w:p>
        </w:tc>
        <w:tc>
          <w:tcPr>
            <w:tcW w:w="7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6.5</w:t>
            </w:r>
          </w:p>
        </w:tc>
        <w:tc>
          <w:tcPr>
            <w:tcW w:w="1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230"/>
        </w:trPr>
        <w:tc>
          <w:tcPr>
            <w:tcW w:w="580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6"/>
              </w:rPr>
              <w:t>Industrial . . . . . .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80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6"/>
              </w:rPr>
              <w:t>Residential . . . . . . . . . . . . . . . . . . . . . . . . . . . . . . . . . . . . . . . . . . . . . . .</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5800" w:type="dxa"/>
            <w:vAlign w:val="bottom"/>
          </w:tcPr>
          <w:p>
            <w:pPr>
              <w:jc w:val="right"/>
              <w:ind w:right="280"/>
              <w:spacing w:after="0" w:line="201" w:lineRule="exact"/>
              <w:rPr>
                <w:sz w:val="20"/>
                <w:szCs w:val="20"/>
                <w:color w:val="auto"/>
              </w:rPr>
            </w:pPr>
            <w:r>
              <w:rPr>
                <w:rFonts w:ascii="Times New Roman" w:cs="Times New Roman" w:eastAsia="Times New Roman" w:hAnsi="Times New Roman"/>
                <w:sz w:val="20"/>
                <w:szCs w:val="20"/>
                <w:color w:val="auto"/>
              </w:rPr>
              <w:t>. . . . . . . . . . . . . . . . . . . . . . . . . . . . . . . . . . . . . . . . .Totalcollection</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703</w:t>
            </w:r>
          </w:p>
        </w:tc>
        <w:tc>
          <w:tcPr>
            <w:tcW w:w="102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rPr>
              <w:t>5.6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752</w:t>
            </w:r>
          </w:p>
        </w:tc>
        <w:tc>
          <w:tcPr>
            <w:tcW w:w="104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rPr>
              <w:t>6.3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0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6"/>
              </w:rPr>
              <w:t>Landfill. . . . . . . . . . . . . . . . . . . . . . . . . . . . . . . . . . . . . . . . . . . . . . . . . .</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0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6"/>
              </w:rPr>
              <w:t>Transfer . . . . . . . . . . . . . . . . . . . . . . . . . . . . . . . . . . . . . . . . . . . . . . . . .</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80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 . . . . . . . . . . . . . . . . . . . . . . . . . . . .TotalCollectionandDisposal</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260" w:type="dxa"/>
            <w:vAlign w:val="bottom"/>
            <w:gridSpan w:val="2"/>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Our overall pricing efforts are focused on keeping pace with the increasing costs and capital intensity of our business. We are continuing to see growth in our landfill business with our municipal solid waste experiencing average yield of 3.1% in 2024.</w:t>
      </w:r>
    </w:p>
    <w:p>
      <w:pPr>
        <w:spacing w:after="0" w:line="186"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Recycling Processing and Sales and WM Renewable Energy — </w:t>
      </w:r>
      <w:r>
        <w:rPr>
          <w:rFonts w:ascii="Times New Roman" w:cs="Times New Roman" w:eastAsia="Times New Roman" w:hAnsi="Times New Roman"/>
          <w:sz w:val="20"/>
          <w:szCs w:val="20"/>
          <w:color w:val="auto"/>
        </w:rPr>
        <w:t>Recycling Processing and Sales revenues attributable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yield increased $245 million in 2024 and decreased $308 million in 2023, respectively, as compared with the prior year periods. Average market prices for single-stream recycled commodities increased approximately 50% in 2024 and decreased 40% in 2023 as compared with the prior year period. During 2023, the revenue decline from lower commodity pricing that started in 2022 was partially offset by higher pricing in our recycling brokerage business as well as our continued focus on a fee-based pricing model. Additionally, revenue in our WM Renewable Energy segment increased $26 million in 2024 and decreased $73 million in 2023 as compared with the prior year periods, primarily driven by fluctuations in energy prices and the value and quantity of RINs. While there may be short-term fluctuations in our commodity-driven businesses as prices change, we believe that our business models and processes appropriately mitigate the downside risk of changes in commodity prices.</w:t>
      </w:r>
    </w:p>
    <w:p>
      <w:pPr>
        <w:spacing w:after="0" w:line="203"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Energy Surcharge and Mandated Fees — </w:t>
      </w:r>
      <w:r>
        <w:rPr>
          <w:rFonts w:ascii="Times New Roman" w:cs="Times New Roman" w:eastAsia="Times New Roman" w:hAnsi="Times New Roman"/>
          <w:sz w:val="20"/>
          <w:szCs w:val="20"/>
          <w:color w:val="auto"/>
        </w:rPr>
        <w:t>These fees decreased $97 million and $104 million in 2024 and 2023,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respectively, as compared to the prior year periods. Beginning in the second quarter of 2023, our energy surcharge was revised to incorporate market prices for both diesel and CNG. The decrease in energy surcharge revenues is primarily due to a decline in market prices for diesel fuel of approximately 10% in 2024 and 15% in 2023 as compared to the prior year periods. The mandated fees are primarily related to fees and taxes assessed by various state, county and municipal government agencies at our landfills and transfer stations. These amounts have not significantly impacted the change in revenue for the periods presented.</w:t>
      </w:r>
    </w:p>
    <w:p>
      <w:pPr>
        <w:spacing w:after="0" w:line="20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Volume</w:t>
      </w:r>
    </w:p>
    <w:p>
      <w:pPr>
        <w:spacing w:after="0" w:line="237"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Our revenues from volume (excluding volumes from acquisitions and divestitures) increased $88 million, or 0.4%, and $150 million, or 0.8%, in 2024 and 2023, respectively, as compared with the prior year periods. Although our 2024 volume growth has moderated when compared to 2023, special waste and municipal solid waste tons at our landfills continue to be a significant driver of our growth. Additionally, in 2024 we saw an increase in volumes in our WMSBS business due to our continued focus on a differentiated service model for national accounts customers and our recycling activity, renewable energy projects and commercial collection business contributed to our overall volume growth. These increases were partially offset by a decrease in industrial collection volumes and the intentional shedding of low-margin residential collection business. Furthermore, our construction and demolition landfill volumes for the year ended December 31, 2024, declined as compared to prior year due to clean-up efforts in our East Tier from Hurricane Ian in 2023.</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3320" w:h="16920" w:orient="portrait"/>
          <w:cols w:equalWidth="0" w:num="1">
            <w:col w:w="10440"/>
          </w:cols>
          <w:pgMar w:left="1440" w:top="1440" w:right="1440" w:bottom="1440" w:gutter="0" w:footer="0" w:header="0"/>
          <w:type w:val="continuous"/>
        </w:sectPr>
      </w:pPr>
    </w:p>
    <w:bookmarkStart w:id="128" w:name="page129"/>
    <w:bookmarkEnd w:id="128"/>
    <w:p>
      <w:pPr>
        <w:spacing w:after="0" w:line="3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Acquisitions and Divestitures</w:t>
      </w:r>
    </w:p>
    <w:p>
      <w:pPr>
        <w:spacing w:after="0" w:line="237" w:lineRule="exact"/>
        <w:rPr>
          <w:sz w:val="20"/>
          <w:szCs w:val="20"/>
          <w:color w:val="auto"/>
        </w:rPr>
      </w:pPr>
    </w:p>
    <w:p>
      <w:pPr>
        <w:jc w:val="both"/>
        <w:ind w:left="360" w:right="360" w:firstLine="288"/>
        <w:spacing w:after="0" w:line="252" w:lineRule="auto"/>
        <w:rPr>
          <w:sz w:val="20"/>
          <w:szCs w:val="20"/>
          <w:color w:val="auto"/>
        </w:rPr>
      </w:pPr>
      <w:r>
        <w:rPr>
          <w:rFonts w:ascii="Times New Roman" w:cs="Times New Roman" w:eastAsia="Times New Roman" w:hAnsi="Times New Roman"/>
          <w:sz w:val="20"/>
          <w:szCs w:val="20"/>
          <w:color w:val="auto"/>
        </w:rPr>
        <w:t>Acquisitions and divestitures resulted in a net increase in revenues of $576 million, or 2.9%, and $181 million, or 0.9%, in 2024 and 2023, respectively, as compared to the prior year periods. The 2024 increase was primarily due to our acquisition of Stericycle in November 2024. The remaining increases were related to our ongoing investment in tuck-in acquisitions of solid waste businesses.</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39" w:lineRule="exact"/>
        <w:rPr>
          <w:sz w:val="20"/>
          <w:szCs w:val="20"/>
          <w:color w:val="auto"/>
        </w:rPr>
      </w:pPr>
    </w:p>
    <w:p>
      <w:pPr>
        <w:jc w:val="both"/>
        <w:ind w:left="360" w:right="360" w:firstLine="360"/>
        <w:spacing w:after="0" w:line="255" w:lineRule="auto"/>
        <w:rPr>
          <w:sz w:val="20"/>
          <w:szCs w:val="20"/>
          <w:color w:val="auto"/>
        </w:rPr>
      </w:pPr>
      <w:r>
        <w:rPr>
          <w:rFonts w:ascii="Times New Roman" w:cs="Times New Roman" w:eastAsia="Times New Roman" w:hAnsi="Times New Roman"/>
          <w:sz w:val="19"/>
          <w:szCs w:val="19"/>
          <w:color w:val="auto"/>
        </w:rPr>
        <w:t>Our operating expenses are comprised of (i) labor and related benefits costs (excluding labor costs associated with maintenance and repairs discussed below), which include salaries and wages, bonuses, related payroll taxes, insurance and benefits costs and the costs associated with contract labor; (ii) transfer and disposal costs, which include tipping fees paid to third-party disposal facilities and transfer stations; (iii) maintenance and repairs costs relating to equipment, vehicles and facilities and related labor costs; (iv) subcontractor costs, which include the costs of independent haulers who transport waste collected by us to disposal facilities and are affected by variables such as volumes, distance and fuel prices; (v) costs of goods sold, which includes the cost to purchase recycling materials for our Recycling Processing and Sales segment, including certain rebates paid to suppliers; (vi) fuel costs, net of tax credits for alternative fuel, which represent the costs of fuel to operate our truck fleet and landfill operating equipment; (vii) disposal and franchise fees and taxes, which include landfill taxes, municipal franchise fees, host community fees, contingent landfill lease payments and royalties;</w:t>
      </w:r>
    </w:p>
    <w:p>
      <w:pPr>
        <w:spacing w:after="0" w:line="8" w:lineRule="exact"/>
        <w:rPr>
          <w:sz w:val="20"/>
          <w:szCs w:val="20"/>
          <w:color w:val="auto"/>
        </w:rPr>
      </w:pPr>
    </w:p>
    <w:p>
      <w:pPr>
        <w:jc w:val="both"/>
        <w:ind w:left="360" w:right="360" w:firstLine="7"/>
        <w:spacing w:after="0" w:line="241" w:lineRule="auto"/>
        <w:tabs>
          <w:tab w:leader="none" w:pos="81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landfill operating costs, which include interest accretion on landfill liabilities, interest accretion on and discount rate adjustments to environmental remediation liabilities, leachate and methane collection and treatment, landfill remediation costs and other landfill site costs; (ix) risk management costs, which include general liability, automobile liability and workers’ compensation claims programs costs and (x) other operating costs, which include gains and losses on sale of assets, telecommunications, equipment and facility lease expenses, property taxes, utilities and supplies. Variations in volumes year-over-year, as discussed above in </w:t>
      </w:r>
      <w:r>
        <w:rPr>
          <w:rFonts w:ascii="Times New Roman" w:cs="Times New Roman" w:eastAsia="Times New Roman" w:hAnsi="Times New Roman"/>
          <w:sz w:val="20"/>
          <w:szCs w:val="20"/>
          <w:i w:val="1"/>
          <w:iCs w:val="1"/>
          <w:color w:val="auto"/>
        </w:rPr>
        <w:t>Operating Revenues</w:t>
      </w:r>
      <w:r>
        <w:rPr>
          <w:rFonts w:ascii="Times New Roman" w:cs="Times New Roman" w:eastAsia="Times New Roman" w:hAnsi="Times New Roman"/>
          <w:sz w:val="20"/>
          <w:szCs w:val="20"/>
          <w:color w:val="auto"/>
        </w:rPr>
        <w:t>, in addition to cost inflation, affect the comparability of the components of our operating expenses.</w:t>
      </w:r>
    </w:p>
    <w:p>
      <w:pPr>
        <w:spacing w:after="0" w:line="2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the  major  components  of  our  operating  expenses  for  the  year  ended</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December 31 (dollars in millions and as a percentage of revenues):</w:t>
      </w:r>
    </w:p>
    <w:p>
      <w:pPr>
        <w:spacing w:after="0" w:line="232"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Labor and related benefits</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0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4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201"/>
        </w:trPr>
        <w:tc>
          <w:tcPr>
            <w:tcW w:w="4780" w:type="dxa"/>
            <w:vAlign w:val="bottom"/>
            <w:gridSpan w:val="2"/>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 . . . . . . . . . . . . . .</w:t>
            </w:r>
          </w:p>
        </w:tc>
        <w:tc>
          <w:tcPr>
            <w:tcW w:w="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3,845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17.4</w:t>
            </w:r>
          </w:p>
        </w:tc>
        <w:tc>
          <w:tcPr>
            <w:tcW w:w="3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3,669</w:t>
            </w:r>
          </w:p>
        </w:tc>
        <w:tc>
          <w:tcPr>
            <w:tcW w:w="160" w:type="dxa"/>
            <w:vAlign w:val="bottom"/>
          </w:tcPr>
          <w:p>
            <w:pPr>
              <w:spacing w:after="0"/>
              <w:rPr>
                <w:sz w:val="17"/>
                <w:szCs w:val="17"/>
                <w:color w:val="auto"/>
              </w:rPr>
            </w:pPr>
          </w:p>
        </w:tc>
        <w:tc>
          <w:tcPr>
            <w:tcW w:w="42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w w:val="97"/>
              </w:rPr>
              <w:t>18.0</w:t>
            </w:r>
          </w:p>
        </w:tc>
        <w:tc>
          <w:tcPr>
            <w:tcW w:w="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3,452</w:t>
            </w:r>
          </w:p>
        </w:tc>
        <w:tc>
          <w:tcPr>
            <w:tcW w:w="160" w:type="dxa"/>
            <w:vAlign w:val="bottom"/>
          </w:tcPr>
          <w:p>
            <w:pPr>
              <w:spacing w:after="0"/>
              <w:rPr>
                <w:sz w:val="17"/>
                <w:szCs w:val="17"/>
                <w:color w:val="auto"/>
              </w:rPr>
            </w:pPr>
          </w:p>
        </w:tc>
        <w:tc>
          <w:tcPr>
            <w:tcW w:w="42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w w:val="97"/>
              </w:rPr>
              <w:t>17.5</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Transfer and disposal costs . . . . . . . . . . . . . . . . . . . . . . . . .</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1,273</w:t>
            </w: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1,215</w:t>
            </w: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7"/>
              </w:rPr>
              <w:t>Maintenance and repairs . . . . . . . . . . . . . . . . . . . . . . . . . . .</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1,978</w:t>
            </w:r>
          </w:p>
        </w:tc>
        <w:tc>
          <w:tcPr>
            <w:tcW w:w="1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1,835</w:t>
            </w:r>
          </w:p>
        </w:tc>
        <w:tc>
          <w:tcPr>
            <w:tcW w:w="1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Subcontractor costs . . . . . . . . . . . . . . . . . . . . . . . . . . . . . . .</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2,185</w:t>
            </w:r>
          </w:p>
        </w:tc>
        <w:tc>
          <w:tcPr>
            <w:tcW w:w="1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7"/>
              </w:rPr>
              <w:t>10.7</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2,006</w:t>
            </w:r>
          </w:p>
        </w:tc>
        <w:tc>
          <w:tcPr>
            <w:tcW w:w="1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7"/>
              </w:rPr>
              <w:t>10.2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Cost of goods sold . . . . . . . . . . . . . . . . . . . . . . . . . . . . . . . .</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w:t>
            </w: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w:t>
            </w: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5"/>
              </w:rPr>
              <w:t>Fuel . . . . . . . . . . . . . . . . . . . . . . . . . . . . . . . . . . . . . . . . . . . .</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w:t>
            </w:r>
          </w:p>
        </w:tc>
        <w:tc>
          <w:tcPr>
            <w:tcW w:w="1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w:t>
            </w:r>
          </w:p>
        </w:tc>
        <w:tc>
          <w:tcPr>
            <w:tcW w:w="1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8"/>
              </w:rPr>
              <w:t>Disposal and franchise fees and taxes . . . . . . . . . . . . . . . .</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w:t>
            </w:r>
          </w:p>
        </w:tc>
        <w:tc>
          <w:tcPr>
            <w:tcW w:w="1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w:t>
            </w:r>
          </w:p>
        </w:tc>
        <w:tc>
          <w:tcPr>
            <w:tcW w:w="1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Landfill operating costs . . . . . . . . . . . . . . . . . . . . . . . . . . . .</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w:t>
            </w: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w:t>
            </w: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Risk management . . . . . . . . . . . . . . . . . . . . . . . . . . . . . . . .</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w:t>
            </w:r>
          </w:p>
        </w:tc>
        <w:tc>
          <w:tcPr>
            <w:tcW w:w="1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w:t>
            </w:r>
          </w:p>
        </w:tc>
        <w:tc>
          <w:tcPr>
            <w:tcW w:w="1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7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5"/>
              </w:rPr>
              <w:t>Other . . . . . . . . . . . . . . . . . . . . . . . . . . . . . . . . . . . . . . . . . . .</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30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722</w:t>
            </w:r>
          </w:p>
        </w:tc>
        <w:tc>
          <w:tcPr>
            <w:tcW w:w="16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34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732</w:t>
            </w:r>
          </w:p>
        </w:tc>
        <w:tc>
          <w:tcPr>
            <w:tcW w:w="16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13,383</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60.7</w:t>
            </w:r>
          </w:p>
        </w:tc>
        <w:tc>
          <w:tcPr>
            <w:tcW w:w="300" w:type="dxa"/>
            <w:vAlign w:val="bottom"/>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12,606</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91"/>
              </w:rPr>
              <w:t>61.</w:t>
            </w:r>
            <w:r>
              <w:rPr>
                <w:rFonts w:ascii="Times New Roman" w:cs="Times New Roman" w:eastAsia="Times New Roman" w:hAnsi="Times New Roman"/>
                <w:sz w:val="20"/>
                <w:szCs w:val="20"/>
                <w:u w:val="single" w:color="auto"/>
                <w:color w:val="auto"/>
                <w:w w:val="91"/>
              </w:rPr>
              <w:t>7</w:t>
            </w:r>
          </w:p>
        </w:tc>
        <w:tc>
          <w:tcPr>
            <w:tcW w:w="340" w:type="dxa"/>
            <w:vAlign w:val="bottom"/>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12,294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91"/>
              </w:rPr>
              <w:t>62.</w:t>
            </w:r>
            <w:r>
              <w:rPr>
                <w:rFonts w:ascii="Times New Roman" w:cs="Times New Roman" w:eastAsia="Times New Roman" w:hAnsi="Times New Roman"/>
                <w:sz w:val="20"/>
                <w:szCs w:val="20"/>
                <w:u w:val="single" w:color="auto"/>
                <w:color w:val="auto"/>
                <w:w w:val="91"/>
              </w:rPr>
              <w:t>4</w:t>
            </w: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As a percentage of revenue, operating expenses improved significantly compared to the prior year as revenue growth from price, efficiency gains, improved employee retention and momentum in truck deliveries offset the impacts of inflationary increases in wages and other expenses. The increase in total operating expenses from prior year related primarily to (i) acquisitions; (ii) inflationary pressure on wages and expenses; (iii) higher recycling customer rebates resulting from an approximate 50% increase in single-stream recycling commodity prices; (iv) volume growth within our WMSBS business which relies more extensively on subcontracted hauling and services than our Collection and Disposal businesses; (v) increases in landfill operating costs due to wet weather and (vi) higher risk management spend, due in part, to increases in certain large loss claims reserves. These increases were partially offset by lower diesel fuel prices and an increase in gains on the sale of non-strategic assets in 2024 as compared with the prior year.</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operating expenses increased in 2023, as compared with 2022, primarily due to (i) inflationary cost pressures,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3320" w:h="16920" w:orient="portrait"/>
          <w:cols w:equalWidth="0" w:num="1">
            <w:col w:w="10440"/>
          </w:cols>
          <w:pgMar w:left="1440" w:top="1440" w:right="1440" w:bottom="1440" w:gutter="0" w:footer="0" w:header="0"/>
          <w:type w:val="continuous"/>
        </w:sectPr>
      </w:pPr>
    </w:p>
    <w:bookmarkStart w:id="129" w:name="page130"/>
    <w:bookmarkEnd w:id="129"/>
    <w:p>
      <w:pPr>
        <w:spacing w:after="0" w:line="347" w:lineRule="exact"/>
        <w:rPr>
          <w:sz w:val="20"/>
          <w:szCs w:val="20"/>
          <w:color w:val="auto"/>
        </w:rPr>
      </w:pPr>
    </w:p>
    <w:p>
      <w:pPr>
        <w:jc w:val="both"/>
        <w:ind w:left="360" w:right="360"/>
        <w:spacing w:after="0" w:line="249" w:lineRule="auto"/>
        <w:rPr>
          <w:sz w:val="20"/>
          <w:szCs w:val="20"/>
          <w:color w:val="auto"/>
        </w:rPr>
      </w:pPr>
      <w:r>
        <w:rPr>
          <w:rFonts w:ascii="Times New Roman" w:cs="Times New Roman" w:eastAsia="Times New Roman" w:hAnsi="Times New Roman"/>
          <w:sz w:val="20"/>
          <w:szCs w:val="20"/>
          <w:color w:val="auto"/>
        </w:rPr>
        <w:t>particularly for maintenance and repairs and subcontractor costs and (ii) labor cost pressure from frontline employee market wage adjustments. These increases were offset, in part, by commodity-driven business impacts, particularly from lower recycling rebates reflected in costs of goods sold and lower fuel prices. Our focus on operating efficiency and efforts to control our costs, along with revenue growth, enabled us to improve operating costs as a percent of revenues in 2023 as compared with 2022.</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Significant items affecting the comparison of operating expenses between reported periods include:</w:t>
      </w:r>
    </w:p>
    <w:p>
      <w:pPr>
        <w:spacing w:after="0" w:line="239"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Labor and Related Benefits </w:t>
      </w:r>
      <w:r>
        <w:rPr>
          <w:rFonts w:ascii="Times New Roman" w:cs="Times New Roman" w:eastAsia="Times New Roman" w:hAnsi="Times New Roman"/>
          <w:sz w:val="20"/>
          <w:szCs w:val="20"/>
          <w:color w:val="auto"/>
        </w:rPr>
        <w:t>— Our investments in technology that focus on driving route optimization, improving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driver retention, and creating efficiencies have positively impacted our labor and related benefits costs. The increase in costs in 2024, as compared with 2023, was primarily driven by (i) increased headcount from our recent acquisitions and</w:t>
      </w:r>
    </w:p>
    <w:p>
      <w:pPr>
        <w:spacing w:after="0" w:line="2" w:lineRule="exact"/>
        <w:rPr>
          <w:sz w:val="20"/>
          <w:szCs w:val="20"/>
          <w:color w:val="auto"/>
        </w:rPr>
      </w:pPr>
    </w:p>
    <w:p>
      <w:pPr>
        <w:jc w:val="both"/>
        <w:ind w:left="360" w:right="360" w:firstLine="7"/>
        <w:spacing w:after="0" w:line="242" w:lineRule="auto"/>
        <w:tabs>
          <w:tab w:leader="none" w:pos="66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employee wage increases and higher annual incentive compensation. These increases were offset, in part, by the benefit of productivity and operational efficiency gains. The increase in labor and related benefits costs in 2023, as compared with 2022, was primarily driven by (i) employee market wage adjustments; (ii) increased headcount primarily from acquisitions and (iii) increases in health and welfare costs and in medical care activity. These increases were offset, in part, by lower annual incentive compensation.</w:t>
      </w:r>
    </w:p>
    <w:p>
      <w:pPr>
        <w:spacing w:after="0" w:line="204"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Transfer and Disposal Costs </w:t>
      </w:r>
      <w:r>
        <w:rPr>
          <w:rFonts w:ascii="Times New Roman" w:cs="Times New Roman" w:eastAsia="Times New Roman" w:hAnsi="Times New Roman"/>
          <w:sz w:val="20"/>
          <w:szCs w:val="20"/>
          <w:color w:val="auto"/>
        </w:rPr>
        <w:t>— The increase in transfer and disposal costs in 2024, as compared with 2023, was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primarily due to (i) inflationary cost increases, which includes increased disposal fees at third-party sites and higher rates from our third-party haulers and (ii) incremental third-party transfer and disposal costs as a result of our recent acquisitions. These cost increases were offset, in part, by decreases in industrial and residential collection volumes. The increase in transfer and disposal costs in 2023, as compared with 2022, was primarily due to inflationary cost increases, which includes increased disposal fees at third-party sites and higher rates from our third-party haulers, offset, in part, by a decrease in collection volumes.</w:t>
      </w:r>
    </w:p>
    <w:p>
      <w:pPr>
        <w:spacing w:after="0" w:line="199" w:lineRule="exact"/>
        <w:rPr>
          <w:sz w:val="20"/>
          <w:szCs w:val="20"/>
          <w:color w:val="auto"/>
        </w:rPr>
      </w:pPr>
    </w:p>
    <w:p>
      <w:pPr>
        <w:jc w:val="both"/>
        <w:ind w:left="360" w:right="360" w:firstLine="360"/>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Maintenance and Repairs </w:t>
      </w:r>
      <w:r>
        <w:rPr>
          <w:rFonts w:ascii="Times New Roman" w:cs="Times New Roman" w:eastAsia="Times New Roman" w:hAnsi="Times New Roman"/>
          <w:sz w:val="20"/>
          <w:szCs w:val="20"/>
          <w:color w:val="auto"/>
        </w:rPr>
        <w:t>— The increase in maintenance and repairs costs in 2024, as compared with 2023, was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primarily driven by (i) inflationary and acquisition related cost increases for parts, supplies and third-party services, and</w:t>
      </w:r>
    </w:p>
    <w:p>
      <w:pPr>
        <w:spacing w:after="0" w:line="1" w:lineRule="exact"/>
        <w:rPr>
          <w:sz w:val="20"/>
          <w:szCs w:val="20"/>
          <w:color w:val="auto"/>
        </w:rPr>
      </w:pPr>
    </w:p>
    <w:p>
      <w:pPr>
        <w:jc w:val="both"/>
        <w:ind w:left="360" w:right="360" w:firstLine="6"/>
        <w:spacing w:after="0" w:line="242" w:lineRule="auto"/>
        <w:tabs>
          <w:tab w:leader="none" w:pos="657"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wage increases and higher technician headcount. These cost increases were offset, in part, by an improvement in new truck deliveries, which require less maintenance than older trucks, (ii) fleet rationalization efforts that removed older trucks and reduced our fleet count and (iii) improvements in operational efficiencies. The increase in maintenance and repairs costs in 2023, as compared with 2022, was primarily driven by (i) continued inflationary cost increases for parts, supplies and third-party services, although the impact of such inflationary cost increases moderated throughout the year and (ii) labor cost increases for our technicians, including additional headcount.</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 xml:space="preserve">Subcontractor Costs </w:t>
      </w:r>
      <w:r>
        <w:rPr>
          <w:rFonts w:ascii="Times New Roman" w:cs="Times New Roman" w:eastAsia="Times New Roman" w:hAnsi="Times New Roman"/>
          <w:sz w:val="20"/>
          <w:szCs w:val="20"/>
          <w:color w:val="auto"/>
        </w:rPr>
        <w:t>— The increase in subcontractor costs in 2024, as compared with 2023, was primarily due to</w:t>
      </w:r>
    </w:p>
    <w:p>
      <w:pPr>
        <w:spacing w:after="0" w:line="28" w:lineRule="exact"/>
        <w:rPr>
          <w:sz w:val="20"/>
          <w:szCs w:val="20"/>
          <w:color w:val="auto"/>
        </w:rPr>
      </w:pPr>
    </w:p>
    <w:p>
      <w:pPr>
        <w:jc w:val="both"/>
        <w:ind w:left="360" w:right="360" w:firstLine="6"/>
        <w:spacing w:after="0" w:line="241" w:lineRule="auto"/>
        <w:tabs>
          <w:tab w:leader="none" w:pos="6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in volumes in our WMSBS business, which relies more extensively on subcontracted hauling and services than our Collection and Disposal businesses (ii) continued inflationary cost increases related to labor costs from third-party haulers and (iii) our recent acquisitions. These increases were offset, in part, by the impact of lower fuel prices on third-party subcontracted hauling and services. The increase in subcontractor costs in 2023, as compared with 2022, was primarily due to (i) an increase in volumes in our WMSBS and SES businesses, which rely more extensively on subcontracted hauling and services than other parts of our Collection and Disposal businesses and (ii) continued inflationary cost increases, particularly labor and other costs from third-party haulers.</w:t>
      </w:r>
    </w:p>
    <w:p>
      <w:pPr>
        <w:spacing w:after="0" w:line="206"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Cost of Goods Sold — </w:t>
      </w:r>
      <w:r>
        <w:rPr>
          <w:rFonts w:ascii="Times New Roman" w:cs="Times New Roman" w:eastAsia="Times New Roman" w:hAnsi="Times New Roman"/>
          <w:sz w:val="20"/>
          <w:szCs w:val="20"/>
          <w:color w:val="auto"/>
        </w:rPr>
        <w:t>The increase in cost of goods sold in 2024, as compared with 2023, was primarily driven by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approximate 50% increase in single-stream recycling commodity prices. The decrease in cost of goods sold in 2023, as compared with 2022, was primarily driven by a 40% decrease in average single-stream recycling commodity prices.</w:t>
      </w:r>
    </w:p>
    <w:p>
      <w:pPr>
        <w:spacing w:after="0" w:line="189"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Fuel — </w:t>
      </w:r>
      <w:r>
        <w:rPr>
          <w:rFonts w:ascii="Times New Roman" w:cs="Times New Roman" w:eastAsia="Times New Roman" w:hAnsi="Times New Roman"/>
          <w:sz w:val="20"/>
          <w:szCs w:val="20"/>
          <w:color w:val="auto"/>
        </w:rPr>
        <w:t>The decrease in fuel costs was primarily due to a decrease of approximately 10% in average market prices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diesel fuel in 2024 and 15% in 2023.</w:t>
      </w:r>
    </w:p>
    <w:p>
      <w:pPr>
        <w:spacing w:after="0" w:line="167" w:lineRule="exact"/>
        <w:rPr>
          <w:sz w:val="20"/>
          <w:szCs w:val="20"/>
          <w:color w:val="auto"/>
        </w:rPr>
      </w:pPr>
    </w:p>
    <w:p>
      <w:pPr>
        <w:jc w:val="both"/>
        <w:ind w:left="360" w:right="360" w:firstLine="360"/>
        <w:spacing w:after="0" w:line="270" w:lineRule="auto"/>
        <w:rPr>
          <w:sz w:val="20"/>
          <w:szCs w:val="20"/>
          <w:color w:val="auto"/>
        </w:rPr>
      </w:pPr>
      <w:r>
        <w:rPr>
          <w:rFonts w:ascii="Times New Roman" w:cs="Times New Roman" w:eastAsia="Times New Roman" w:hAnsi="Times New Roman"/>
          <w:sz w:val="19"/>
          <w:szCs w:val="19"/>
          <w:i w:val="1"/>
          <w:iCs w:val="1"/>
          <w:color w:val="auto"/>
        </w:rPr>
        <w:t xml:space="preserve">Disposal and Franchise Fees and Taxes — </w:t>
      </w:r>
      <w:r>
        <w:rPr>
          <w:rFonts w:ascii="Times New Roman" w:cs="Times New Roman" w:eastAsia="Times New Roman" w:hAnsi="Times New Roman"/>
          <w:sz w:val="19"/>
          <w:szCs w:val="19"/>
          <w:color w:val="auto"/>
        </w:rPr>
        <w:t>The increase in disposal and franchise fees and taxes in 2024, as compared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 2023, was primarily driven by an increase in landfill volumes and an overall rate increase in fees and taxes paid to municipalities on our disposal volumes. The increase in disposal and franchise fees and taxes in 2023, as compared with 2022, was primarily driven by an overall rate increase in fees and taxes paid to municipalities on our disposal volumes.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3320" w:h="16920" w:orient="portrait"/>
          <w:cols w:equalWidth="0" w:num="1">
            <w:col w:w="10440"/>
          </w:cols>
          <w:pgMar w:left="1440" w:top="1440" w:right="1440" w:bottom="1440" w:gutter="0" w:footer="0" w:header="0"/>
          <w:type w:val="continuous"/>
        </w:sectPr>
      </w:pPr>
    </w:p>
    <w:bookmarkStart w:id="130" w:name="page131"/>
    <w:bookmarkEnd w:id="130"/>
    <w:p>
      <w:pPr>
        <w:spacing w:after="0" w:line="347"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Landfill Operating Costs — </w:t>
      </w:r>
      <w:r>
        <w:rPr>
          <w:rFonts w:ascii="Times New Roman" w:cs="Times New Roman" w:eastAsia="Times New Roman" w:hAnsi="Times New Roman"/>
          <w:sz w:val="20"/>
          <w:szCs w:val="20"/>
          <w:color w:val="auto"/>
        </w:rPr>
        <w:t>The increase in landfill operating costs in 2024, as compared with 2023, was primarily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due to (i) higher leachate collection and treatment and site maintenance costs which can largely be attributed to particularly wet weather in certain markets throughout 2024 and (ii) increased methane collection and treatment costs. Our landfill operating costs increased in 2023, as compared with 2022, primarily due to (i) higher expenses for interest accretion on landfill and environmental remediation liabilities and (ii) an increase in remediation expense due to changes in measurement of certain environmental remediation obligations.</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 xml:space="preserve">Risk Management </w:t>
      </w:r>
      <w:r>
        <w:rPr>
          <w:rFonts w:ascii="Times New Roman" w:cs="Times New Roman" w:eastAsia="Times New Roman" w:hAnsi="Times New Roman"/>
          <w:sz w:val="20"/>
          <w:szCs w:val="20"/>
          <w:color w:val="auto"/>
        </w:rPr>
        <w:t>— The increase in risk management in 2024, as compared with 2023, was primarily due to</w:t>
      </w:r>
    </w:p>
    <w:p>
      <w:pPr>
        <w:spacing w:after="0" w:line="28" w:lineRule="exact"/>
        <w:rPr>
          <w:sz w:val="20"/>
          <w:szCs w:val="20"/>
          <w:color w:val="auto"/>
        </w:rPr>
      </w:pPr>
    </w:p>
    <w:p>
      <w:pPr>
        <w:ind w:left="600" w:hanging="233"/>
        <w:spacing w:after="0"/>
        <w:tabs>
          <w:tab w:leader="none" w:pos="6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our reserves for certain large loss claims; (ii) higher auto and workers compensation claims costs and</w:t>
      </w:r>
    </w:p>
    <w:p>
      <w:pPr>
        <w:jc w:val="both"/>
        <w:ind w:left="360" w:right="360" w:firstLine="7"/>
        <w:spacing w:after="0" w:line="244" w:lineRule="auto"/>
        <w:tabs>
          <w:tab w:leader="none" w:pos="70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premiums for property coverage. These increases were offset, in part, by current year insurance recoveries for property claims associated with a fire and natural disasters. Risk management costs decreased in 2023, as compared with 2022, primarily due to lower levels of large loss claims.</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i w:val="1"/>
          <w:iCs w:val="1"/>
          <w:color w:val="auto"/>
        </w:rPr>
        <w:t xml:space="preserve">Other </w:t>
      </w:r>
      <w:r>
        <w:rPr>
          <w:rFonts w:ascii="Times New Roman" w:cs="Times New Roman" w:eastAsia="Times New Roman" w:hAnsi="Times New Roman"/>
          <w:sz w:val="19"/>
          <w:szCs w:val="19"/>
          <w:color w:val="auto"/>
        </w:rPr>
        <w:t>— Other operating costs increased in 2024, as compared with 2023, primarily due to (i) our recent acquisitions</w:t>
      </w:r>
    </w:p>
    <w:p>
      <w:pPr>
        <w:spacing w:after="0" w:line="40" w:lineRule="exact"/>
        <w:rPr>
          <w:sz w:val="20"/>
          <w:szCs w:val="20"/>
          <w:color w:val="auto"/>
        </w:rPr>
      </w:pPr>
    </w:p>
    <w:p>
      <w:pPr>
        <w:jc w:val="both"/>
        <w:ind w:left="360" w:right="360" w:firstLine="7"/>
        <w:spacing w:after="0" w:line="241" w:lineRule="auto"/>
        <w:tabs>
          <w:tab w:leader="none" w:pos="65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supply chain rebates in 2023 and (iii) a prior year favorable litigation settlement, which reduced our expenses in that period. These increases were offset, in part, by gains on the sales of non-strategic assets in 2024. Other operating costs decreased in 2023, as compared with 2022, primarily due to (i) supply chain rebates in 2023 and (ii) a favorable litigation settlement, which were offset, in part, by (i) inflationary cost pressures, although the impact of such continued inflationary cost increases moderated throughout the year; (ii) higher utility costs at our facilities; (iii) an increase in business travel and (iv) higher equipment rental costs.</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 Expenses</w:t>
      </w:r>
    </w:p>
    <w:p>
      <w:pPr>
        <w:spacing w:after="0" w:line="239" w:lineRule="exact"/>
        <w:rPr>
          <w:sz w:val="20"/>
          <w:szCs w:val="20"/>
          <w:color w:val="auto"/>
        </w:rPr>
      </w:pPr>
    </w:p>
    <w:p>
      <w:pPr>
        <w:jc w:val="both"/>
        <w:ind w:left="360" w:right="360" w:firstLine="360"/>
        <w:spacing w:after="0" w:line="261" w:lineRule="auto"/>
        <w:rPr>
          <w:sz w:val="20"/>
          <w:szCs w:val="20"/>
          <w:color w:val="auto"/>
        </w:rPr>
      </w:pPr>
      <w:r>
        <w:rPr>
          <w:rFonts w:ascii="Times New Roman" w:cs="Times New Roman" w:eastAsia="Times New Roman" w:hAnsi="Times New Roman"/>
          <w:sz w:val="19"/>
          <w:szCs w:val="19"/>
          <w:color w:val="auto"/>
        </w:rPr>
        <w:t>Our selling, general and administrative expenses consist of (i) labor and related benefits costs, which include salaries, bonuses,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selling, general and administrative expenses, which include, among other costs, facility-related expenses, voice and data telecommunication, advertising, bank charges, computer costs, travel and entertainment, rentals, postage and printing. In addition, the financial impacts of litigation reserves generally are included in our “Other” selling, general and administrative expenses.</w:t>
      </w:r>
    </w:p>
    <w:p>
      <w:pPr>
        <w:spacing w:after="0" w:line="188"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major components of our selling, general and administrative expenses for the year ended December 31 (dollars in millions and as a percentage of revenues):</w:t>
      </w:r>
    </w:p>
    <w:p>
      <w:pPr>
        <w:spacing w:after="0" w:line="187" w:lineRule="exact"/>
        <w:rPr>
          <w:sz w:val="20"/>
          <w:szCs w:val="20"/>
          <w:color w:val="auto"/>
        </w:rPr>
      </w:pPr>
    </w:p>
    <w:tbl>
      <w:tblPr>
        <w:tblLayout w:type="fixed"/>
        <w:tblInd w:w="360" w:type="dxa"/>
        <w:tblCellMar>
          <w:top w:w="0" w:type="dxa"/>
          <w:left w:w="0" w:type="dxa"/>
          <w:bottom w:w="0" w:type="dxa"/>
          <w:right w:w="0" w:type="dxa"/>
        </w:tblCellMar>
      </w:tblPr>
      <w:tr>
        <w:trPr>
          <w:trHeight w:val="223"/>
        </w:trPr>
        <w:tc>
          <w:tcPr>
            <w:tcW w:w="5180" w:type="dxa"/>
            <w:vAlign w:val="bottom"/>
            <w:vMerge w:val="restart"/>
          </w:tcPr>
          <w:p>
            <w:pPr>
              <w:jc w:val="right"/>
              <w:ind w:right="2982"/>
              <w:spacing w:after="0"/>
              <w:rPr>
                <w:sz w:val="20"/>
                <w:szCs w:val="20"/>
                <w:color w:val="auto"/>
              </w:rPr>
            </w:pPr>
            <w:r>
              <w:rPr>
                <w:rFonts w:ascii="Times New Roman" w:cs="Times New Roman" w:eastAsia="Times New Roman" w:hAnsi="Times New Roman"/>
                <w:sz w:val="20"/>
                <w:szCs w:val="20"/>
                <w:color w:val="auto"/>
                <w:w w:val="99"/>
              </w:rPr>
              <w:t>Labor and related benefits</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w w:val="83"/>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w w:val="83"/>
              </w:rPr>
              <w:t>%</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181"/>
        </w:trPr>
        <w:tc>
          <w:tcPr>
            <w:tcW w:w="5180" w:type="dxa"/>
            <w:vAlign w:val="bottom"/>
            <w:vMerge w:val="continue"/>
          </w:tcPr>
          <w:p>
            <w:pPr>
              <w:jc w:val="right"/>
              <w:ind w:right="142"/>
              <w:spacing w:after="0" w:line="157" w:lineRule="exact"/>
              <w:rPr>
                <w:sz w:val="20"/>
                <w:szCs w:val="20"/>
                <w:color w:val="auto"/>
              </w:rPr>
            </w:pPr>
            <w:r>
              <w:rPr>
                <w:rFonts w:ascii="Times New Roman" w:cs="Times New Roman" w:eastAsia="Times New Roman" w:hAnsi="Times New Roman"/>
                <w:sz w:val="18"/>
                <w:szCs w:val="18"/>
                <w:color w:val="auto"/>
              </w:rPr>
              <w:t>. . . . . . . . . . . . . . . . . . . . . . . . . . . . .</w:t>
            </w:r>
          </w:p>
        </w:tc>
        <w:tc>
          <w:tcPr>
            <w:tcW w:w="20" w:type="dxa"/>
            <w:vAlign w:val="bottom"/>
          </w:tcPr>
          <w:p>
            <w:pPr>
              <w:spacing w:after="0"/>
              <w:rPr>
                <w:sz w:val="15"/>
                <w:szCs w:val="15"/>
                <w:color w:val="auto"/>
              </w:rPr>
            </w:pPr>
          </w:p>
        </w:tc>
        <w:tc>
          <w:tcPr>
            <w:tcW w:w="6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20"/>
                <w:szCs w:val="20"/>
                <w:color w:val="auto"/>
                <w:w w:val="96"/>
              </w:rPr>
              <w:t>$ 1,400</w:t>
            </w: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20"/>
                <w:szCs w:val="20"/>
                <w:color w:val="auto"/>
              </w:rPr>
              <w:t>6.4</w:t>
            </w:r>
          </w:p>
        </w:tc>
        <w:tc>
          <w:tcPr>
            <w:tcW w:w="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20"/>
                <w:szCs w:val="20"/>
                <w:color w:val="auto"/>
                <w:w w:val="96"/>
              </w:rPr>
              <w:t>$ 1,205</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20"/>
                <w:szCs w:val="20"/>
                <w:color w:val="auto"/>
              </w:rPr>
              <w:t>5.9</w:t>
            </w:r>
          </w:p>
        </w:tc>
        <w:tc>
          <w:tcPr>
            <w:tcW w:w="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20"/>
                <w:szCs w:val="20"/>
                <w:color w:val="auto"/>
                <w:w w:val="93"/>
              </w:rPr>
              <w:t>$ 1,195</w:t>
            </w: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20"/>
                <w:szCs w:val="20"/>
                <w:color w:val="auto"/>
              </w:rPr>
              <w:t>6.1</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8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7"/>
              </w:rPr>
              <w:t>Professional fees . . . . . . . . . . . . . . . . . . . . . . . . . . . . . . . . . . .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3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3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8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7"/>
              </w:rPr>
              <w:t>Provision for bad debts . . . . . . . . . . . . . . . . . . . . . . . . . . . . . .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3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3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8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5"/>
              </w:rPr>
              <w:t>Other . . . . . . . . . . . . . . . . . . . . . . . . . . . . . . . . . . . . . . . . . . . . .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455</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30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w w:val="83"/>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437</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32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w w:val="83"/>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425</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210"/>
        </w:trPr>
        <w:tc>
          <w:tcPr>
            <w:tcW w:w="5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96"/>
              </w:rPr>
              <w:t>$ 2,264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10.3</w:t>
            </w:r>
          </w:p>
        </w:tc>
        <w:tc>
          <w:tcPr>
            <w:tcW w:w="3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96"/>
              </w:rPr>
              <w:t>$ 1,926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9.4</w:t>
            </w:r>
          </w:p>
        </w:tc>
        <w:tc>
          <w:tcPr>
            <w:tcW w:w="3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93"/>
              </w:rPr>
              <w:t>$ 1,938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9.8</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Selling, general and administrative expenses in 2024, as compared with 2023, have increased due to (i) severance and consulting costs incurred in connection with the acquisition and integration of Stericycle, of which a significant portion are transaction and integration costs that are not expected to recur; (ii) increased labor costs from higher annual and long-term incentive compensation and annual wage increases and (iii) increased professional fees to support strategic initiatives. Partially offsetting these increases was a decline in litigation costs.</w:t>
      </w:r>
    </w:p>
    <w:p>
      <w:pPr>
        <w:spacing w:after="0" w:line="186"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Selling, general and administrative expenses in 2023, as compared with 2022, decreased primarily due to (i) reduced professional fees in connection with investments in our digital platform, as certain digital projects have moved from higher cost development activities to implementation activities, and (ii) lower annual incentive compensation costs. These decreases were partially offset by annual wage increases and increased litigation costs.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3320" w:h="16920" w:orient="portrait"/>
          <w:cols w:equalWidth="0" w:num="1">
            <w:col w:w="10440"/>
          </w:cols>
          <w:pgMar w:left="1440" w:top="1440" w:right="1440" w:bottom="1440" w:gutter="0" w:footer="0" w:header="0"/>
          <w:type w:val="continuous"/>
        </w:sectPr>
      </w:pPr>
    </w:p>
    <w:bookmarkStart w:id="131" w:name="page132"/>
    <w:bookmarkEnd w:id="131"/>
    <w:p>
      <w:pPr>
        <w:spacing w:after="0" w:line="347"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Significant items affecting the comparison of our selling, general and administrative expenses between reported periods include:</w:t>
      </w:r>
    </w:p>
    <w:p>
      <w:pPr>
        <w:spacing w:after="0" w:line="168"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Labor and Related Benefits </w:t>
      </w:r>
      <w:r>
        <w:rPr>
          <w:rFonts w:ascii="Times New Roman" w:cs="Times New Roman" w:eastAsia="Times New Roman" w:hAnsi="Times New Roman"/>
          <w:sz w:val="20"/>
          <w:szCs w:val="20"/>
          <w:color w:val="auto"/>
        </w:rPr>
        <w:t>— The increase in labor and related benefits costs in 2024, as compared with 2023, was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primarily related to (i) costs incurred in connection with our acquisition of Stericycle, including severance costs and additional headcount; (ii) higher annual and long-term incentive compensation costs and (iii) annual employee wage increases. The increase in labor and related benefits costs in 2023, as compared with 2022, was primarily related to</w:t>
      </w:r>
    </w:p>
    <w:p>
      <w:pPr>
        <w:spacing w:after="0" w:line="1" w:lineRule="exact"/>
        <w:rPr>
          <w:sz w:val="20"/>
          <w:szCs w:val="20"/>
          <w:color w:val="auto"/>
        </w:rPr>
      </w:pPr>
    </w:p>
    <w:p>
      <w:pPr>
        <w:jc w:val="both"/>
        <w:ind w:left="360" w:right="360" w:firstLine="7"/>
        <w:spacing w:after="0" w:line="244" w:lineRule="auto"/>
        <w:tabs>
          <w:tab w:leader="none" w:pos="6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wage increases for our employees; (ii) market adjustments for deferred compensation plans related to investment performance and (iii) higher long-term incentive compensation costs, partially offset by lower annual incentive compensation costs and lower contract labor expenses.</w:t>
      </w:r>
    </w:p>
    <w:p>
      <w:pPr>
        <w:spacing w:after="0" w:line="201"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Professional Fees </w:t>
      </w:r>
      <w:r>
        <w:rPr>
          <w:rFonts w:ascii="Times New Roman" w:cs="Times New Roman" w:eastAsia="Times New Roman" w:hAnsi="Times New Roman"/>
          <w:sz w:val="20"/>
          <w:szCs w:val="20"/>
          <w:color w:val="auto"/>
        </w:rPr>
        <w:t>— The increase in professional fees in 2024, as compared with 2023, was primarily attributable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legal, consulting and accounting costs incurred to support strategic initiatives, including our acquisition of Stericycle. The decrease in professional fees in 2023, as compared with 2022, was primarily attributable to reduced expenses in connection with investments in our digital platform.</w:t>
      </w:r>
    </w:p>
    <w:p>
      <w:pPr>
        <w:spacing w:after="0" w:line="191" w:lineRule="exact"/>
        <w:rPr>
          <w:sz w:val="20"/>
          <w:szCs w:val="20"/>
          <w:color w:val="auto"/>
        </w:rPr>
      </w:pPr>
    </w:p>
    <w:p>
      <w:pPr>
        <w:jc w:val="both"/>
        <w:ind w:left="360" w:right="360" w:firstLine="360"/>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Other — </w:t>
      </w:r>
      <w:r>
        <w:rPr>
          <w:rFonts w:ascii="Times New Roman" w:cs="Times New Roman" w:eastAsia="Times New Roman" w:hAnsi="Times New Roman"/>
          <w:sz w:val="19"/>
          <w:szCs w:val="19"/>
          <w:color w:val="auto"/>
        </w:rPr>
        <w:t>The increase in other expenses in 2024, as compared with 2023, was primarily related to (i) risk management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costs incurred in connection with the acquisition and integration of Stericycle and (ii) increased spend across multiple cost categories including technology and travel. These cost increases were partially offset by a decline in litigation costs. The increase in other expenses in 2023, as compared with 2022, was primarily related to (i) increased litigation costs;</w:t>
      </w:r>
    </w:p>
    <w:p>
      <w:pPr>
        <w:spacing w:after="0" w:line="2" w:lineRule="exact"/>
        <w:rPr>
          <w:sz w:val="20"/>
          <w:szCs w:val="20"/>
          <w:color w:val="auto"/>
        </w:rPr>
      </w:pPr>
    </w:p>
    <w:p>
      <w:pPr>
        <w:ind w:left="360" w:right="360" w:firstLine="8"/>
        <w:spacing w:after="0" w:line="249" w:lineRule="auto"/>
        <w:tabs>
          <w:tab w:leader="none" w:pos="65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bank charges and (iii) higher advertising spend, which were partially offset by lower travel expenses and lower telecommunication costs.</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Depreciation, Depletion and Amortization Expenses</w:t>
      </w:r>
    </w:p>
    <w:p>
      <w:pPr>
        <w:spacing w:after="0" w:line="239"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components of our depreciation, depletion and amortization expenses for the year ended December 31 (dollars in millions and as a percentage of revenues):</w:t>
      </w:r>
    </w:p>
    <w:p>
      <w:pPr>
        <w:spacing w:after="0" w:line="188"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1"/>
        </w:trPr>
        <w:tc>
          <w:tcPr>
            <w:tcW w:w="5140" w:type="dxa"/>
            <w:vAlign w:val="bottom"/>
            <w:gridSpan w:val="2"/>
          </w:tcPr>
          <w:p>
            <w:pPr>
              <w:jc w:val="right"/>
              <w:ind w:right="300"/>
              <w:spacing w:after="0" w:line="201" w:lineRule="exact"/>
              <w:rPr>
                <w:sz w:val="20"/>
                <w:szCs w:val="20"/>
                <w:color w:val="auto"/>
              </w:rPr>
            </w:pPr>
            <w:r>
              <w:rPr>
                <w:rFonts w:ascii="Times New Roman" w:cs="Times New Roman" w:eastAsia="Times New Roman" w:hAnsi="Times New Roman"/>
                <w:sz w:val="20"/>
                <w:szCs w:val="20"/>
                <w:color w:val="auto"/>
              </w:rPr>
              <w:t>. . . . . . . . . .Depreciationoftangiblepropertyandequipment</w:t>
            </w:r>
          </w:p>
        </w:tc>
        <w:tc>
          <w:tcPr>
            <w:tcW w:w="6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96"/>
              </w:rPr>
              <w:t>$ 1,292</w:t>
            </w:r>
          </w:p>
        </w:tc>
        <w:tc>
          <w:tcPr>
            <w:tcW w:w="1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rPr>
              <w:t>5.9</w:t>
            </w:r>
          </w:p>
        </w:tc>
        <w:tc>
          <w:tcPr>
            <w:tcW w:w="40" w:type="dxa"/>
            <w:vAlign w:val="bottom"/>
            <w:tcBorders>
              <w:top w:val="single" w:sz="8" w:color="auto"/>
            </w:tcBorders>
          </w:tcPr>
          <w:p>
            <w:pPr>
              <w:spacing w:after="0"/>
              <w:rPr>
                <w:sz w:val="17"/>
                <w:szCs w:val="17"/>
                <w:color w:val="auto"/>
              </w:rPr>
            </w:pPr>
          </w:p>
        </w:tc>
        <w:tc>
          <w:tcPr>
            <w:tcW w:w="320" w:type="dxa"/>
            <w:vAlign w:val="bottom"/>
          </w:tcPr>
          <w:p>
            <w:pPr>
              <w:jc w:val="right"/>
              <w:ind w:right="60"/>
              <w:spacing w:after="0" w:line="201" w:lineRule="exact"/>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93"/>
              </w:rPr>
              <w:t>$ 1,197</w:t>
            </w:r>
          </w:p>
        </w:tc>
        <w:tc>
          <w:tcPr>
            <w:tcW w:w="1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rPr>
              <w:t>5.9</w:t>
            </w:r>
          </w:p>
        </w:tc>
        <w:tc>
          <w:tcPr>
            <w:tcW w:w="40" w:type="dxa"/>
            <w:vAlign w:val="bottom"/>
            <w:tcBorders>
              <w:top w:val="single" w:sz="8" w:color="auto"/>
            </w:tcBorders>
          </w:tcPr>
          <w:p>
            <w:pPr>
              <w:spacing w:after="0"/>
              <w:rPr>
                <w:sz w:val="17"/>
                <w:szCs w:val="17"/>
                <w:color w:val="auto"/>
              </w:rPr>
            </w:pPr>
          </w:p>
        </w:tc>
        <w:tc>
          <w:tcPr>
            <w:tcW w:w="320" w:type="dxa"/>
            <w:vAlign w:val="bottom"/>
          </w:tcPr>
          <w:p>
            <w:pPr>
              <w:jc w:val="right"/>
              <w:ind w:right="60"/>
              <w:spacing w:after="0" w:line="201" w:lineRule="exact"/>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93"/>
              </w:rPr>
              <w:t>$ 1,155</w:t>
            </w: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rPr>
              <w:t>5.9</w:t>
            </w:r>
          </w:p>
        </w:tc>
        <w:tc>
          <w:tcPr>
            <w:tcW w:w="1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83"/>
              </w:rPr>
              <w:t>%</w:t>
            </w:r>
          </w:p>
        </w:tc>
      </w:tr>
      <w:tr>
        <w:trPr>
          <w:trHeight w:val="229"/>
        </w:trPr>
        <w:tc>
          <w:tcPr>
            <w:tcW w:w="51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7"/>
              </w:rPr>
              <w:t>Depletion of landfill airspace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795</w:t>
            </w:r>
          </w:p>
        </w:tc>
        <w:tc>
          <w:tcPr>
            <w:tcW w:w="1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745</w:t>
            </w:r>
          </w:p>
        </w:tc>
        <w:tc>
          <w:tcPr>
            <w:tcW w:w="1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754</w:t>
            </w:r>
          </w:p>
        </w:tc>
        <w:tc>
          <w:tcPr>
            <w:tcW w:w="1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60" w:type="dxa"/>
            <w:vAlign w:val="bottom"/>
          </w:tcPr>
          <w:p>
            <w:pPr>
              <w:spacing w:after="0"/>
              <w:rPr>
                <w:sz w:val="19"/>
                <w:szCs w:val="19"/>
                <w:color w:val="auto"/>
              </w:rPr>
            </w:pPr>
          </w:p>
        </w:tc>
      </w:tr>
      <w:tr>
        <w:trPr>
          <w:trHeight w:val="270"/>
        </w:trPr>
        <w:tc>
          <w:tcPr>
            <w:tcW w:w="51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7"/>
              </w:rPr>
              <w:t>Amortization of intangible assets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140" w:type="dxa"/>
            <w:vAlign w:val="bottom"/>
          </w:tcPr>
          <w:p>
            <w:pPr>
              <w:spacing w:after="0"/>
              <w:rPr>
                <w:sz w:val="23"/>
                <w:szCs w:val="23"/>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140" w:type="dxa"/>
            <w:vAlign w:val="bottom"/>
          </w:tcPr>
          <w:p>
            <w:pPr>
              <w:spacing w:after="0"/>
              <w:rPr>
                <w:sz w:val="23"/>
                <w:szCs w:val="23"/>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14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160" w:type="dxa"/>
            <w:vAlign w:val="bottom"/>
          </w:tcPr>
          <w:p>
            <w:pPr>
              <w:spacing w:after="0"/>
              <w:rPr>
                <w:sz w:val="23"/>
                <w:szCs w:val="23"/>
                <w:color w:val="auto"/>
              </w:rPr>
            </w:pPr>
          </w:p>
        </w:tc>
      </w:tr>
      <w:tr>
        <w:trPr>
          <w:trHeight w:val="210"/>
        </w:trPr>
        <w:tc>
          <w:tcPr>
            <w:tcW w:w="5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96"/>
              </w:rPr>
              <w:t>$ 2,267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96"/>
              </w:rPr>
              <w:t>10.</w:t>
            </w:r>
            <w:r>
              <w:rPr>
                <w:rFonts w:ascii="Times New Roman" w:cs="Times New Roman" w:eastAsia="Times New Roman" w:hAnsi="Times New Roman"/>
                <w:sz w:val="20"/>
                <w:szCs w:val="20"/>
                <w:u w:val="single" w:color="auto"/>
                <w:color w:val="auto"/>
                <w:w w:val="96"/>
              </w:rPr>
              <w:t>3</w:t>
            </w:r>
          </w:p>
        </w:tc>
        <w:tc>
          <w:tcPr>
            <w:tcW w:w="40" w:type="dxa"/>
            <w:vAlign w:val="bottom"/>
            <w:tcBorders>
              <w:top w:val="single" w:sz="8" w:color="auto"/>
              <w:bottom w:val="single" w:sz="8" w:color="auto"/>
            </w:tcBorders>
          </w:tcPr>
          <w:p>
            <w:pPr>
              <w:spacing w:after="0"/>
              <w:rPr>
                <w:sz w:val="18"/>
                <w:szCs w:val="18"/>
                <w:color w:val="auto"/>
              </w:rPr>
            </w:pPr>
          </w:p>
        </w:tc>
        <w:tc>
          <w:tcPr>
            <w:tcW w:w="320" w:type="dxa"/>
            <w:vAlign w:val="bottom"/>
          </w:tcPr>
          <w:p>
            <w:pPr>
              <w:jc w:val="right"/>
              <w:ind w:right="60"/>
              <w:spacing w:after="0" w:line="201" w:lineRule="exact"/>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93"/>
              </w:rPr>
              <w:t>$ 2,071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91"/>
              </w:rPr>
              <w:t>10.</w:t>
            </w:r>
            <w:r>
              <w:rPr>
                <w:rFonts w:ascii="Times New Roman" w:cs="Times New Roman" w:eastAsia="Times New Roman" w:hAnsi="Times New Roman"/>
                <w:sz w:val="20"/>
                <w:szCs w:val="20"/>
                <w:u w:val="single" w:color="auto"/>
                <w:color w:val="auto"/>
                <w:w w:val="91"/>
              </w:rPr>
              <w:t>1</w:t>
            </w:r>
          </w:p>
        </w:tc>
        <w:tc>
          <w:tcPr>
            <w:tcW w:w="40" w:type="dxa"/>
            <w:vAlign w:val="bottom"/>
            <w:tcBorders>
              <w:top w:val="single" w:sz="8" w:color="auto"/>
              <w:bottom w:val="single" w:sz="8" w:color="auto"/>
            </w:tcBorders>
          </w:tcPr>
          <w:p>
            <w:pPr>
              <w:spacing w:after="0"/>
              <w:rPr>
                <w:sz w:val="18"/>
                <w:szCs w:val="18"/>
                <w:color w:val="auto"/>
              </w:rPr>
            </w:pPr>
          </w:p>
        </w:tc>
        <w:tc>
          <w:tcPr>
            <w:tcW w:w="320" w:type="dxa"/>
            <w:vAlign w:val="bottom"/>
          </w:tcPr>
          <w:p>
            <w:pPr>
              <w:jc w:val="right"/>
              <w:ind w:right="60"/>
              <w:spacing w:after="0" w:line="201" w:lineRule="exact"/>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93"/>
              </w:rPr>
              <w:t>$ 2,038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91"/>
              </w:rPr>
              <w:t>10.</w:t>
            </w:r>
            <w:r>
              <w:rPr>
                <w:rFonts w:ascii="Times New Roman" w:cs="Times New Roman" w:eastAsia="Times New Roman" w:hAnsi="Times New Roman"/>
                <w:sz w:val="20"/>
                <w:szCs w:val="20"/>
                <w:u w:val="single" w:color="auto"/>
                <w:color w:val="auto"/>
                <w:w w:val="91"/>
              </w:rPr>
              <w:t>3</w:t>
            </w:r>
          </w:p>
        </w:tc>
        <w:tc>
          <w:tcPr>
            <w:tcW w:w="1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83"/>
              </w:rPr>
              <w:t>%</w:t>
            </w:r>
          </w:p>
        </w:tc>
      </w:tr>
    </w:tbl>
    <w:p>
      <w:pPr>
        <w:spacing w:after="0" w:line="211"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The increase in depreciation of tangible property and equipment in 2024, as compared with 2023, was driven by (i) increased investments in capital assets such as trucks and containers and (ii) the acquisition of Stericycle. The increase in depletion of landfill airspace in 2024, as compared to with 2023, was driven by changes in amortization rates from revisions in landfill estimates and volume increases, partially offset by the closure of a landfill in our East Tier. The increase in amortization of intangibles was driven by the amortization of acquired intangible assets.</w:t>
      </w:r>
    </w:p>
    <w:p>
      <w:pPr>
        <w:spacing w:after="0" w:line="197"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The increase in depreciation of tangible property and equipment in 2023, as compared with 2022, was mainly influenced by strategic investments in our digital platform and investments in capital assets to service our customers, such as machinery and containers. The decrease in depletion of landfill airspace in 2023, as compared with 2022, was primarily driven by reductions in volume partially offset by the reopening of a previously closed site in our East Tier.</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3320" w:h="16920" w:orient="portrait"/>
          <w:cols w:equalWidth="0" w:num="1">
            <w:col w:w="10440"/>
          </w:cols>
          <w:pgMar w:left="1440" w:top="1440" w:right="1440" w:bottom="1440" w:gutter="0" w:footer="0" w:header="0"/>
          <w:type w:val="continuous"/>
        </w:sectPr>
      </w:pPr>
    </w:p>
    <w:bookmarkStart w:id="132" w:name="page133"/>
    <w:bookmarkEnd w:id="132"/>
    <w:p>
      <w:pPr>
        <w:spacing w:after="0" w:line="3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(Gain) Loss from Divestitures, Asset Impairments and Unusual Items, Net</w:t>
      </w:r>
    </w:p>
    <w:p>
      <w:pPr>
        <w:spacing w:after="0" w:line="239"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major components of (gain) loss from divestitures, asset impairments and unusual items, net for the year ended December 31 (in millions):</w:t>
      </w:r>
    </w:p>
    <w:p>
      <w:pPr>
        <w:spacing w:after="0" w:line="187"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6540" w:type="dxa"/>
            <w:vAlign w:val="bottom"/>
            <w:vMerge w:val="restart"/>
          </w:tcPr>
          <w:p>
            <w:pPr>
              <w:jc w:val="right"/>
              <w:ind w:right="4280"/>
              <w:spacing w:after="0"/>
              <w:rPr>
                <w:sz w:val="20"/>
                <w:szCs w:val="20"/>
                <w:color w:val="auto"/>
              </w:rPr>
            </w:pPr>
            <w:r>
              <w:rPr>
                <w:rFonts w:ascii="Times New Roman" w:cs="Times New Roman" w:eastAsia="Times New Roman" w:hAnsi="Times New Roman"/>
                <w:sz w:val="20"/>
                <w:szCs w:val="20"/>
                <w:color w:val="auto"/>
                <w:w w:val="99"/>
              </w:rPr>
              <w:t>Gain from divestitures, net</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540" w:type="dxa"/>
            <w:vAlign w:val="bottom"/>
            <w:vMerge w:val="continue"/>
          </w:tcPr>
          <w:p>
            <w:pPr>
              <w:jc w:val="right"/>
              <w:ind w:right="1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w:t>
            </w:r>
          </w:p>
        </w:tc>
        <w:tc>
          <w:tcPr>
            <w:tcW w:w="2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Asset impairments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5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Other, net . . . . . . . . . . . . . . . . . . . . . . . . .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82</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243</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During the year ended December 31, 2024, we recognized $82 million of net charges primarily consisting of (i) a $54 million charge required to increase the estimated fair value of a liability associated with the expected disposition of an investment the Company holds in a waste diversion technology business; (ii) a $ 14 million loss associated with the divestiture of a minority investment in a medical waste company within Corporate and Other, in connection with our acquisition of Stericycle and (iii) a $13 million charge pertaining to reserves for loss contingencies in our Corporate and Other segment to adjust an indirect wholly-owned subsidiary’s estimated potential share of the liability for a proposed environmental remediation plan at a closed site, as discussed in Note 10 to the Consolidated Financial Statements for further information.</w:t>
      </w:r>
    </w:p>
    <w:p>
      <w:pPr>
        <w:spacing w:after="0" w:line="203"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During the year ended December 31, 2023, we recognized $243 million of net charges primarily consisting of (i) a $168 million goodwill impairment charge within our Recycling Processing and Sales segment related to a business engaged in accelerating film and plastic wrap recycling capabilities, with $22 million attributable to noncontrolling interests. This charge was partially offset by the recognition of $46 million of income related to the reversal of a liability for contingent consideration associated with our investment in such business; (ii) $107 million of impairment charges within Corporate and Other for certain investments in waste diversion technology businesses and (iii) a $17 million charge within Corporate and Other to adjust an indirect wholly owned subsidiary’s estimated potential share of the liability for a proposed environmental remediation plan at a closed site. Refer to Notes 5 and 10 to the Consolidated Financial Statements for further information.</w:t>
      </w:r>
    </w:p>
    <w:p>
      <w:pPr>
        <w:spacing w:after="0" w:line="205"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During the year ended December 31, 2022, we recognized $62 million of net charges consisting of (i) $50 million of asset impairment charges primarily related to management’s decision to close two landfills within our East Tier and (ii) a $17 million charge pertaining to reserves for loss contingencies within Corporate and Other to adjust an indirect wholly owned subsidiary’s estimated potential share of the liability for a proposed environmental remediation plan at a closed site, as discussed in Note 10 to the Consolidated Financial Statements. These losses were partially offset by a $5 million gain from the divestiture of a collection and disposal operation in our West Tier.</w:t>
      </w:r>
    </w:p>
    <w:p>
      <w:pPr>
        <w:spacing w:after="0" w:line="200"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See Note 2 to the Consolidated Financial Statements for additional information related to the accounting policy and analysis involved in identifying and calculating impairments. See Note 19 to the Consolidated Financial Statements for additional information related to the impact of impairments on the results of operations of our reportable segments.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3320" w:h="16920" w:orient="portrait"/>
          <w:cols w:equalWidth="0" w:num="1">
            <w:col w:w="10440"/>
          </w:cols>
          <w:pgMar w:left="1440" w:top="1440" w:right="1440" w:bottom="1440" w:gutter="0" w:footer="0" w:header="0"/>
          <w:type w:val="continuous"/>
        </w:sectPr>
      </w:pPr>
    </w:p>
    <w:bookmarkStart w:id="133" w:name="page134"/>
    <w:bookmarkEnd w:id="133"/>
    <w:p>
      <w:pPr>
        <w:spacing w:after="0" w:line="3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Income from Operations</w:t>
      </w:r>
    </w:p>
    <w:p>
      <w:pPr>
        <w:spacing w:after="0" w:line="2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income from operations for the year ended December 31 (dollars in millions):</w:t>
      </w:r>
    </w:p>
    <w:p>
      <w:pPr>
        <w:spacing w:after="0" w:line="263" w:lineRule="exact"/>
        <w:rPr>
          <w:sz w:val="20"/>
          <w:szCs w:val="20"/>
          <w:color w:val="auto"/>
        </w:rPr>
      </w:pPr>
    </w:p>
    <w:tbl>
      <w:tblPr>
        <w:tblLayout w:type="fixed"/>
        <w:tblInd w:w="420" w:type="dxa"/>
        <w:tblCellMar>
          <w:top w:w="0" w:type="dxa"/>
          <w:left w:w="0" w:type="dxa"/>
          <w:bottom w:w="0" w:type="dxa"/>
          <w:right w:w="0" w:type="dxa"/>
        </w:tblCellMar>
      </w:tblPr>
      <w:tr>
        <w:trPr>
          <w:trHeight w:val="185"/>
        </w:trPr>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center"/>
              <w:ind w:left="125"/>
              <w:spacing w:after="0"/>
              <w:rPr>
                <w:sz w:val="20"/>
                <w:szCs w:val="20"/>
                <w:color w:val="auto"/>
              </w:rPr>
            </w:pPr>
            <w:r>
              <w:rPr>
                <w:rFonts w:ascii="Times New Roman" w:cs="Times New Roman" w:eastAsia="Times New Roman" w:hAnsi="Times New Roman"/>
                <w:sz w:val="16"/>
                <w:szCs w:val="16"/>
                <w:b w:val="1"/>
                <w:bCs w:val="1"/>
                <w:color w:val="auto"/>
              </w:rPr>
              <w:t>Period-to-</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6"/>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Period-to-</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center"/>
              <w:ind w:left="125"/>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center"/>
              <w:ind w:left="205"/>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Collection and Disposal:</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left="145"/>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4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left="225"/>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East Tier . . . . . . . . . . . . . . . . . .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2,760</w:t>
            </w:r>
          </w:p>
        </w:tc>
        <w:tc>
          <w:tcPr>
            <w:tcW w:w="1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400" w:type="dxa"/>
            <w:vAlign w:val="bottom"/>
          </w:tcPr>
          <w:p>
            <w:pPr>
              <w:spacing w:after="0"/>
              <w:rPr>
                <w:sz w:val="20"/>
                <w:szCs w:val="20"/>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12.8 % $</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2,446</w:t>
            </w:r>
          </w:p>
        </w:tc>
        <w:tc>
          <w:tcPr>
            <w:tcW w:w="1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340" w:type="dxa"/>
            <w:vAlign w:val="bottom"/>
          </w:tcPr>
          <w:p>
            <w:pPr>
              <w:spacing w:after="0"/>
              <w:rPr>
                <w:sz w:val="20"/>
                <w:szCs w:val="20"/>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12.3 %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West Tier . . . . . . . . . . . . . . . . . . .</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4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Other Ancillary . . . . . . . . . . . . . .</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(1)</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(8)</w:t>
            </w:r>
          </w:p>
        </w:tc>
        <w:tc>
          <w:tcPr>
            <w:tcW w:w="200" w:type="dxa"/>
            <w:vAlign w:val="bottom"/>
          </w:tcPr>
          <w:p>
            <w:pPr>
              <w:spacing w:after="0"/>
              <w:rPr>
                <w:sz w:val="21"/>
                <w:szCs w:val="21"/>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(8)</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1"/>
        </w:trPr>
        <w:tc>
          <w:tcPr>
            <w:tcW w:w="3120" w:type="dxa"/>
            <w:vAlign w:val="bottom"/>
            <w:gridSpan w:val="2"/>
          </w:tcPr>
          <w:p>
            <w:pPr>
              <w:jc w:val="right"/>
              <w:ind w:right="260"/>
              <w:spacing w:after="0" w:line="201" w:lineRule="exact"/>
              <w:rPr>
                <w:sz w:val="20"/>
                <w:szCs w:val="20"/>
                <w:color w:val="auto"/>
              </w:rPr>
            </w:pPr>
            <w:r>
              <w:rPr>
                <w:rFonts w:ascii="Times New Roman" w:cs="Times New Roman" w:eastAsia="Times New Roman" w:hAnsi="Times New Roman"/>
                <w:sz w:val="20"/>
                <w:szCs w:val="20"/>
                <w:color w:val="auto"/>
              </w:rPr>
              <w:t>. . . . . . . . .CollectionandDisposal</w:t>
            </w: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5,444</w:t>
            </w: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623</w:t>
            </w:r>
          </w:p>
        </w:tc>
        <w:tc>
          <w:tcPr>
            <w:tcW w:w="400" w:type="dxa"/>
            <w:vAlign w:val="bottom"/>
          </w:tcPr>
          <w:p>
            <w:pPr>
              <w:spacing w:after="0"/>
              <w:rPr>
                <w:sz w:val="17"/>
                <w:szCs w:val="17"/>
                <w:color w:val="auto"/>
              </w:rPr>
            </w:pPr>
          </w:p>
        </w:tc>
        <w:tc>
          <w:tcPr>
            <w:tcW w:w="4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12.9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4,821</w:t>
            </w: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461</w:t>
            </w:r>
          </w:p>
        </w:tc>
        <w:tc>
          <w:tcPr>
            <w:tcW w:w="340" w:type="dxa"/>
            <w:vAlign w:val="bottom"/>
          </w:tcPr>
          <w:p>
            <w:pPr>
              <w:spacing w:after="0"/>
              <w:rPr>
                <w:sz w:val="17"/>
                <w:szCs w:val="17"/>
                <w:color w:val="auto"/>
              </w:rPr>
            </w:pPr>
          </w:p>
        </w:tc>
        <w:tc>
          <w:tcPr>
            <w:tcW w:w="5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10.6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4,360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Recycling Processing and Sales . . .</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4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(44)</w:t>
            </w:r>
          </w:p>
        </w:tc>
        <w:tc>
          <w:tcPr>
            <w:tcW w:w="2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(172)</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6"/>
              </w:rPr>
              <w:t>WM Renewable Energy . . . . . . . . . .</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4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(53)</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9"/>
              </w:rPr>
              <w:t>(40.2)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8"/>
              </w:rPr>
              <w:t>WM Healthcare Solutions . . . . . . . .</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(69)</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31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6"/>
              </w:rPr>
              <w:t>Corporate and Other . . . . . . . . . . . . .</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(1,497)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(216)</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(1,281)</w:t>
            </w:r>
          </w:p>
        </w:tc>
        <w:tc>
          <w:tcPr>
            <w:tcW w:w="200" w:type="dxa"/>
            <w:vAlign w:val="bottom"/>
          </w:tcPr>
          <w:p>
            <w:pPr>
              <w:spacing w:after="0"/>
              <w:rPr>
                <w:sz w:val="21"/>
                <w:szCs w:val="21"/>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(26)</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(1,255)</w:t>
            </w:r>
          </w:p>
        </w:tc>
        <w:tc>
          <w:tcPr>
            <w:tcW w:w="0" w:type="dxa"/>
            <w:vAlign w:val="bottom"/>
          </w:tcPr>
          <w:p>
            <w:pPr>
              <w:spacing w:after="0"/>
              <w:rPr>
                <w:sz w:val="1"/>
                <w:szCs w:val="1"/>
                <w:color w:val="auto"/>
              </w:rPr>
            </w:pPr>
          </w:p>
        </w:tc>
      </w:tr>
      <w:tr>
        <w:trPr>
          <w:trHeight w:val="229"/>
        </w:trPr>
        <w:tc>
          <w:tcPr>
            <w:tcW w:w="3120" w:type="dxa"/>
            <w:vAlign w:val="bottom"/>
            <w:gridSpan w:val="2"/>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 . . . . . . . . . . . . . . . . . . .Total</w:t>
            </w:r>
          </w:p>
        </w:tc>
        <w:tc>
          <w:tcPr>
            <w:tcW w:w="1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4,063</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488</w:t>
            </w:r>
          </w:p>
        </w:tc>
        <w:tc>
          <w:tcPr>
            <w:tcW w:w="400" w:type="dxa"/>
            <w:vAlign w:val="bottom"/>
          </w:tcPr>
          <w:p>
            <w:pPr>
              <w:spacing w:after="0"/>
              <w:rPr>
                <w:sz w:val="19"/>
                <w:szCs w:val="19"/>
                <w:color w:val="auto"/>
              </w:rPr>
            </w:pPr>
          </w:p>
        </w:tc>
        <w:tc>
          <w:tcPr>
            <w:tcW w:w="680" w:type="dxa"/>
            <w:vAlign w:val="bottom"/>
            <w:gridSpan w:val="2"/>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13.7 %</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3,575</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210</w:t>
            </w:r>
          </w:p>
        </w:tc>
        <w:tc>
          <w:tcPr>
            <w:tcW w:w="340" w:type="dxa"/>
            <w:vAlign w:val="bottom"/>
          </w:tcPr>
          <w:p>
            <w:pPr>
              <w:spacing w:after="0"/>
              <w:rPr>
                <w:sz w:val="19"/>
                <w:szCs w:val="19"/>
                <w:color w:val="auto"/>
              </w:rPr>
            </w:pPr>
          </w:p>
        </w:tc>
        <w:tc>
          <w:tcPr>
            <w:tcW w:w="760" w:type="dxa"/>
            <w:vAlign w:val="bottom"/>
            <w:gridSpan w:val="2"/>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6.2 %</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3,365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1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Percentage of revenues . . . . . . . . . .</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106680</wp:posOffset>
                </wp:positionV>
                <wp:extent cx="1541145"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8.4pt" to="139.65pt,8.4pt" o:allowincell="f" strokecolor="#000000" strokeweight="1.02pt"/>
            </w:pict>
          </mc:Fallback>
        </mc:AlternateConten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 Percentage change does not provide a meaningful comparison.</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 xml:space="preserve">Collection and Disposal — </w:t>
      </w:r>
      <w:r>
        <w:rPr>
          <w:rFonts w:ascii="Times New Roman" w:cs="Times New Roman" w:eastAsia="Times New Roman" w:hAnsi="Times New Roman"/>
          <w:sz w:val="20"/>
          <w:szCs w:val="20"/>
          <w:color w:val="auto"/>
        </w:rPr>
        <w:t>The most significant items affecting the results of operations of our Collection and</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Disposal businesses during the three years ended December 31, 2024 are summarized below:</w:t>
      </w:r>
    </w:p>
    <w:p>
      <w:pPr>
        <w:spacing w:after="0" w:line="107" w:lineRule="exact"/>
        <w:rPr>
          <w:sz w:val="20"/>
          <w:szCs w:val="20"/>
          <w:color w:val="auto"/>
        </w:rPr>
      </w:pPr>
    </w:p>
    <w:p>
      <w:pPr>
        <w:jc w:val="both"/>
        <w:ind w:left="1080" w:right="360" w:hanging="353"/>
        <w:spacing w:after="0" w:line="246" w:lineRule="auto"/>
        <w:tabs>
          <w:tab w:leader="none" w:pos="1080" w:val="left"/>
        </w:tabs>
        <w:numPr>
          <w:ilvl w:val="0"/>
          <w:numId w:val="83"/>
        </w:numPr>
        <w:rPr>
          <w:rFonts w:ascii="Arial" w:cs="Arial" w:eastAsia="Arial" w:hAnsi="Arial"/>
          <w:sz w:val="20"/>
          <w:szCs w:val="20"/>
          <w:color w:val="auto"/>
        </w:rPr>
      </w:pPr>
      <w:r>
        <w:rPr>
          <w:rFonts w:ascii="Times New Roman" w:cs="Times New Roman" w:eastAsia="Times New Roman" w:hAnsi="Times New Roman"/>
          <w:sz w:val="20"/>
          <w:szCs w:val="20"/>
          <w:color w:val="auto"/>
        </w:rPr>
        <w:t>Income from operations in our Collection and Disposal businesses increased in 2024, as compared with 2023, primarily due to (i) our focus on pricing our services to keep pace with inflationary cost pressures, alongside intentional efforts to improve efficiency and operating costs incurred to serve our customers; (ii) contributions from higher landfill volumes generated from special waste and municipal solid waste and (iii) gains on the sales of non-strategic assets. These increases were partially offset by (i) a decline in contributions from lower industrial volumes; (ii) an increase in landfill operating costs and (iii) increased depreciation expenses with relation to our fleet, machinery and equipment as well as higher depletion costs at our landfills.</w:t>
      </w:r>
    </w:p>
    <w:p>
      <w:pPr>
        <w:spacing w:after="0" w:line="92" w:lineRule="exact"/>
        <w:rPr>
          <w:rFonts w:ascii="Arial" w:cs="Arial" w:eastAsia="Arial" w:hAnsi="Arial"/>
          <w:sz w:val="20"/>
          <w:szCs w:val="20"/>
          <w:color w:val="auto"/>
        </w:rPr>
      </w:pPr>
    </w:p>
    <w:p>
      <w:pPr>
        <w:jc w:val="both"/>
        <w:ind w:left="1080" w:right="360" w:hanging="353"/>
        <w:spacing w:after="0" w:line="252" w:lineRule="auto"/>
        <w:tabs>
          <w:tab w:leader="none" w:pos="1080" w:val="left"/>
        </w:tabs>
        <w:numPr>
          <w:ilvl w:val="0"/>
          <w:numId w:val="83"/>
        </w:numPr>
        <w:rPr>
          <w:rFonts w:ascii="Arial" w:cs="Arial" w:eastAsia="Arial" w:hAnsi="Arial"/>
          <w:sz w:val="20"/>
          <w:szCs w:val="20"/>
          <w:color w:val="auto"/>
        </w:rPr>
      </w:pPr>
      <w:r>
        <w:rPr>
          <w:rFonts w:ascii="Times New Roman" w:cs="Times New Roman" w:eastAsia="Times New Roman" w:hAnsi="Times New Roman"/>
          <w:sz w:val="20"/>
          <w:szCs w:val="20"/>
          <w:color w:val="auto"/>
        </w:rPr>
        <w:t>Income from operations in our Collection and Disposal businesses increased in 2023, as compared with 2022, primarily due to revenue growth in our collection and disposal operations driven by both yield and volume. This increase was partially offset by (i) inflationary cost pressures, particularly for maintenance and repairs and subcontractor costs and (ii) labor cost pressure from frontline employee market wage adjustments.</w:t>
      </w:r>
    </w:p>
    <w:p>
      <w:pPr>
        <w:spacing w:after="0" w:line="74"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Recycling Processing and Sales </w:t>
      </w:r>
      <w:r>
        <w:rPr>
          <w:rFonts w:ascii="Times New Roman" w:cs="Times New Roman" w:eastAsia="Times New Roman" w:hAnsi="Times New Roman"/>
          <w:sz w:val="20"/>
          <w:szCs w:val="20"/>
          <w:color w:val="auto"/>
        </w:rPr>
        <w:t>— Income from operations in our Recycling Processing and Sales segment increased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2024, as compared with 2023, primarily due to (i) net charges of $122 million recognized in 2023 related to a goodwill impairment and reversal of contingent consideration, as discussed below and (ii) benefits from the automation of our recycling facilities as well as investments in new facilities and cost management. These improvements were partially offset by the impact of higher costs incurred from the temporary shutdown of facilities for technology upgrades.</w:t>
      </w:r>
    </w:p>
    <w:p>
      <w:pPr>
        <w:spacing w:after="0" w:line="187"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 xml:space="preserve">Income from operations in our Recycling Processing and Sales segment decreased in 2023, as compared with 2022, primarily due to (i) a $168 million goodwill impairment charge, with $22 million attributable to noncontrolling interests, which was partially offset by the recognition of $46 million of income related to the reversal of contingent consideration as discussed above in </w:t>
      </w:r>
      <w:r>
        <w:rPr>
          <w:rFonts w:ascii="Times New Roman" w:cs="Times New Roman" w:eastAsia="Times New Roman" w:hAnsi="Times New Roman"/>
          <w:sz w:val="20"/>
          <w:szCs w:val="20"/>
          <w:i w:val="1"/>
          <w:iCs w:val="1"/>
          <w:color w:val="auto"/>
        </w:rPr>
        <w:t>(Gain) Loss from Divestitures, Asset Impairments and Unusual Items, Net</w:t>
      </w:r>
      <w:r>
        <w:rPr>
          <w:rFonts w:ascii="Times New Roman" w:cs="Times New Roman" w:eastAsia="Times New Roman" w:hAnsi="Times New Roman"/>
          <w:sz w:val="20"/>
          <w:szCs w:val="20"/>
          <w:color w:val="auto"/>
        </w:rPr>
        <w:t xml:space="preserve"> ; (ii) a decline in recycling commodity prices; (iii) lower revenue resulting from the temporary shutdown of facilities for technology upgrades combined with increased costs associated with the transportation and third - party tip fees for processing recyclables and (iv) startup costs linked to the establishment of a new processing facility.</w:t>
      </w:r>
    </w:p>
    <w:p>
      <w:pPr>
        <w:spacing w:after="0" w:line="189" w:lineRule="exact"/>
        <w:rPr>
          <w:sz w:val="20"/>
          <w:szCs w:val="20"/>
          <w:color w:val="auto"/>
        </w:rPr>
      </w:pPr>
    </w:p>
    <w:p>
      <w:pPr>
        <w:jc w:val="both"/>
        <w:ind w:left="360" w:right="360" w:firstLine="360"/>
        <w:spacing w:after="0" w:line="265" w:lineRule="auto"/>
        <w:rPr>
          <w:sz w:val="20"/>
          <w:szCs w:val="20"/>
          <w:color w:val="auto"/>
        </w:rPr>
      </w:pPr>
      <w:r>
        <w:rPr>
          <w:rFonts w:ascii="Times New Roman" w:cs="Times New Roman" w:eastAsia="Times New Roman" w:hAnsi="Times New Roman"/>
          <w:sz w:val="19"/>
          <w:szCs w:val="19"/>
          <w:i w:val="1"/>
          <w:iCs w:val="1"/>
          <w:color w:val="auto"/>
        </w:rPr>
        <w:t xml:space="preserve">WM Renewable Energy </w:t>
      </w:r>
      <w:r>
        <w:rPr>
          <w:rFonts w:ascii="Times New Roman" w:cs="Times New Roman" w:eastAsia="Times New Roman" w:hAnsi="Times New Roman"/>
          <w:sz w:val="19"/>
          <w:szCs w:val="19"/>
          <w:color w:val="auto"/>
        </w:rPr>
        <w:t>— Income from operations in our WM Renewable Energy segment increased in 2024,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compared with 2023, primarily due to (i) higher RIN quantities generated and sold at higher market values in the current year and (ii) increased beneficial use of landfill gas sold to third parties due to the completion of additional projects. Income from operations in our WM Renewable Energy segment decreased in 2023, as compared with 2022, primarily due to (i) lower energy prices and the value of RINs and (ii) increased operating and selling, general and administrative costs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3320" w:h="16920" w:orient="portrait"/>
          <w:cols w:equalWidth="0" w:num="1">
            <w:col w:w="10440"/>
          </w:cols>
          <w:pgMar w:left="1440" w:top="1440" w:right="1440" w:bottom="1440" w:gutter="0" w:footer="0" w:header="0"/>
          <w:type w:val="continuous"/>
        </w:sectPr>
      </w:pPr>
    </w:p>
    <w:bookmarkStart w:id="134" w:name="page135"/>
    <w:bookmarkEnd w:id="134"/>
    <w:p>
      <w:pPr>
        <w:spacing w:after="0" w:line="347" w:lineRule="exact"/>
        <w:rPr>
          <w:sz w:val="20"/>
          <w:szCs w:val="20"/>
          <w:color w:val="auto"/>
        </w:rPr>
      </w:pPr>
    </w:p>
    <w:p>
      <w:pPr>
        <w:jc w:val="both"/>
        <w:ind w:left="360" w:right="360"/>
        <w:spacing w:after="0" w:line="278" w:lineRule="auto"/>
        <w:rPr>
          <w:sz w:val="20"/>
          <w:szCs w:val="20"/>
          <w:color w:val="auto"/>
        </w:rPr>
      </w:pPr>
      <w:r>
        <w:rPr>
          <w:rFonts w:ascii="Times New Roman" w:cs="Times New Roman" w:eastAsia="Times New Roman" w:hAnsi="Times New Roman"/>
          <w:sz w:val="20"/>
          <w:szCs w:val="20"/>
          <w:color w:val="auto"/>
        </w:rPr>
        <w:t>associated with the construction of new projects to increase the beneficial use of landfill gas. These decreases were partially offset by an increase in volume of RFS credits, electricity and natural gas.</w:t>
      </w:r>
    </w:p>
    <w:p>
      <w:pPr>
        <w:spacing w:after="0" w:line="157"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WM Healthcare Solutions </w:t>
      </w:r>
      <w:r>
        <w:rPr>
          <w:rFonts w:ascii="Times New Roman" w:cs="Times New Roman" w:eastAsia="Times New Roman" w:hAnsi="Times New Roman"/>
          <w:sz w:val="20"/>
          <w:szCs w:val="20"/>
          <w:color w:val="auto"/>
        </w:rPr>
        <w:t>— Our WM Healthcare Solutions segment generated a loss of $69 million in 2024, which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was largely attributable to acquisition and integration related expenses. There is no 2023 or 2022 activity as Stericycle was acquired on November 4, 2024.</w:t>
      </w:r>
    </w:p>
    <w:p>
      <w:pPr>
        <w:spacing w:after="0" w:line="186"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Corporate and Other </w:t>
      </w:r>
      <w:r>
        <w:rPr>
          <w:rFonts w:ascii="Times New Roman" w:cs="Times New Roman" w:eastAsia="Times New Roman" w:hAnsi="Times New Roman"/>
          <w:sz w:val="20"/>
          <w:szCs w:val="20"/>
          <w:color w:val="auto"/>
        </w:rPr>
        <w:t>— The costs incurred by our Corporate and Other segment increased in 2024, as compared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2023, primarily due to (i) increased professional and transaction fees to support strategic initiatives, including our acquisition of Stericycle; (ii) higher annual and long-term incentive compensation costs and (iii) an increase in risk management costs due to an increase in our large loss reserves as well as higher auto and workers compensation claims. This increase was partially offset by the impact of non-cash impairment charges for certain investments incurred in 2023, as discussed below.</w:t>
      </w:r>
    </w:p>
    <w:p>
      <w:pPr>
        <w:spacing w:after="0" w:line="200" w:lineRule="exact"/>
        <w:rPr>
          <w:sz w:val="20"/>
          <w:szCs w:val="20"/>
          <w:color w:val="auto"/>
        </w:rPr>
      </w:pPr>
    </w:p>
    <w:p>
      <w:pPr>
        <w:jc w:val="both"/>
        <w:ind w:left="360" w:right="360" w:firstLine="360"/>
        <w:spacing w:after="0" w:line="255" w:lineRule="auto"/>
        <w:rPr>
          <w:sz w:val="20"/>
          <w:szCs w:val="20"/>
          <w:color w:val="auto"/>
        </w:rPr>
      </w:pPr>
      <w:r>
        <w:rPr>
          <w:rFonts w:ascii="Times New Roman" w:cs="Times New Roman" w:eastAsia="Times New Roman" w:hAnsi="Times New Roman"/>
          <w:sz w:val="20"/>
          <w:szCs w:val="20"/>
          <w:color w:val="auto"/>
        </w:rPr>
        <w:t>Income from operations in Corporate and Other decreased in 2023, as compared with 2022, primarily due to impairment charges of (i) $107 million for certain investments in waste diversion technology businesses and</w:t>
      </w:r>
    </w:p>
    <w:p>
      <w:pPr>
        <w:ind w:left="360" w:right="360" w:firstLine="7"/>
        <w:spacing w:after="0" w:line="249" w:lineRule="auto"/>
        <w:tabs>
          <w:tab w:leader="none" w:pos="65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$17 million to adjust an indirect wholly-owned subsidiary’s estimated potential share of the liability for a proposed environmental remediation plan at a closed site.</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 Net</w:t>
      </w:r>
    </w:p>
    <w:p>
      <w:pPr>
        <w:spacing w:after="0" w:line="240"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Our interest expense, net was $598 million, $500 million and $378 million in 2024, 2023 and 2022, respectively. The increase in interest expense, net for 2024 is primarily related to an increase in our average debt balances to fund our acquisition of Stericycle. The increase in interest expense, net for 2023 is primarily related to an increase in our weighted average borrowing rate of approximately 80 basis points due to increased rates on floating-rate debt and higher fixed rates on refinancing as well as an increase in average debt balances to fund growth. Partially offsetting these increases were benefits from higher capitalized interest and increases in interest income as a result of higher cash and cash equivalent balances as well as higher investment rates. See Note 6 to the Consolidated Financial Statements for more information related to our debt balances.</w:t>
      </w:r>
    </w:p>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Loss on Early Extinguishment of Debt, Net</w:t>
      </w:r>
    </w:p>
    <w:p>
      <w:pPr>
        <w:spacing w:after="0" w:line="238"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20"/>
          <w:szCs w:val="20"/>
          <w:color w:val="auto"/>
        </w:rPr>
        <w:t>In October 2024, we drew $5.2 billion of borrowings under the Term Credit Agreement that were applied to funding our acquisition of Stericycle. In November 2024, we repaid all outstanding borrowings with net proceeds from our November 2024 issuance of $5.2 billion of senior notes and contemporaneously terminated the Term Credit Agreement, resulting in a $7 million loss on early extinguishment of debt.</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Equity in Net Income (Losses) of Unconsolidated Entities</w:t>
      </w:r>
    </w:p>
    <w:p>
      <w:pPr>
        <w:spacing w:after="0" w:line="240"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We recognized equity method investment income of $4 million in 2024 and losses of $60 million and $67 million in 2023 and 2022, respectively. These financial statement impacts are largely related to our noncontrolling interests in entities established to invest in and manage low-income housing properties. In 2024, we adopted Accounting Standards Update (“ASU”) 2023-02, and, as a result, beginning in 2024, the amortization of these investments is recognized as a component of income tax expense. Refer to Notes 2 and 8 to the Consolidated Financial Statements for further discussion. We generate tax benefits, including tax credits, from the losses incurred from these investments. The losses are more than offset by the tax benefits generated by these investments as further discussed in Notes 8 and 18 to the Consolidated Financial Statements.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w:t>
      </w:r>
    </w:p>
    <w:p>
      <w:pPr>
        <w:spacing w:after="0" w:line="240"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We recorded income tax expense of $713 million, $745 million and $678 million in 2024, 2023 and 2022, respectively, resulting in effective income tax rates of 20.6%, 24.7% and 23.2% for the years ended December 31, 2024, 2023 and 2022, respectively. The comparability of our income tax expense for the reported periods has been primarily affected by the following:</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3320" w:h="16920" w:orient="portrait"/>
          <w:cols w:equalWidth="0" w:num="1">
            <w:col w:w="10440"/>
          </w:cols>
          <w:pgMar w:left="1440" w:top="1440" w:right="1440" w:bottom="1440" w:gutter="0" w:footer="0" w:header="0"/>
          <w:type w:val="continuous"/>
        </w:sectPr>
      </w:pPr>
    </w:p>
    <w:bookmarkStart w:id="135" w:name="page136"/>
    <w:bookmarkEnd w:id="135"/>
    <w:p>
      <w:pPr>
        <w:spacing w:after="0" w:line="361" w:lineRule="exact"/>
        <w:rPr>
          <w:sz w:val="20"/>
          <w:szCs w:val="20"/>
          <w:color w:val="auto"/>
        </w:rPr>
      </w:pPr>
    </w:p>
    <w:p>
      <w:pPr>
        <w:jc w:val="both"/>
        <w:ind w:left="1080" w:right="360" w:hanging="353"/>
        <w:spacing w:after="0" w:line="246" w:lineRule="auto"/>
        <w:tabs>
          <w:tab w:leader="none" w:pos="1080" w:val="left"/>
        </w:tabs>
        <w:numPr>
          <w:ilvl w:val="0"/>
          <w:numId w:val="8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Renewable Natural Gas — </w:t>
      </w:r>
      <w:r>
        <w:rPr>
          <w:rFonts w:ascii="Times New Roman" w:cs="Times New Roman" w:eastAsia="Times New Roman" w:hAnsi="Times New Roman"/>
          <w:sz w:val="20"/>
          <w:szCs w:val="20"/>
          <w:color w:val="auto"/>
        </w:rPr>
        <w:t>Through our subsidiaries, including our WM Renewable Energy segment, we have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invested in building landfill gas-to-energy facilities in the U.S. and Canada that produce renewable electricity and RNG. We expect our new RNG facilities to qualify for federal tax credits and to realize those credits through 2027 under Sections 48 and 45Z of the Internal Revenue Code. We completed construction of five RNG facilities in 2024 and one RNG facility in 2023, resulting in a reduction to our income tax expense of $137 million and $8 million, respectively, for investment tax credits under Section 48 (additional information related to these tax credits is included below under the Tax Legislation section);</w:t>
      </w:r>
    </w:p>
    <w:p>
      <w:pPr>
        <w:spacing w:after="0" w:line="94" w:lineRule="exact"/>
        <w:rPr>
          <w:rFonts w:ascii="Arial" w:cs="Arial" w:eastAsia="Arial" w:hAnsi="Arial"/>
          <w:sz w:val="20"/>
          <w:szCs w:val="20"/>
          <w:color w:val="auto"/>
        </w:rPr>
      </w:pPr>
    </w:p>
    <w:p>
      <w:pPr>
        <w:jc w:val="both"/>
        <w:ind w:left="1080" w:right="360" w:hanging="353"/>
        <w:spacing w:after="0" w:line="256" w:lineRule="auto"/>
        <w:tabs>
          <w:tab w:leader="none" w:pos="1080" w:val="left"/>
        </w:tabs>
        <w:numPr>
          <w:ilvl w:val="0"/>
          <w:numId w:val="85"/>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Low-Income Housing </w:t>
      </w:r>
      <w:r>
        <w:rPr>
          <w:rFonts w:ascii="Times New Roman" w:cs="Times New Roman" w:eastAsia="Times New Roman" w:hAnsi="Times New Roman"/>
          <w:sz w:val="19"/>
          <w:szCs w:val="19"/>
          <w:color w:val="auto"/>
        </w:rPr>
        <w:t>— As a result of adopting ASU 2023-02, we amortize our investments in these entities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using the proportional amortization method. Under the proportional amortization method, the equity investment is amortized in proportion to the income tax credits and other income tax benefits received. The amortization expense and the income tax credits are required to be presented on a net basis in income tax expense on the Consolidated Statements of Operations. Prior to fiscal year 2024, we accounted for our investments in these entities using the equity method of accounting, recognizing our share of each entity’s results of operations and other reductions in the value of our investments in equity in net income (losses) of unconsolidated entities, within our Consolidated Statements of Operations. We recognized additional income tax expense of $78 million in 2024, related to amortization under ASU 2023-02. We recognized net losses of $66 million and $65 million in 2023 and 2022, respectively, and a reduction in our income tax expense of $104 million, $108 million and $99 million in 2024, 2023, and 2022, respectively, primarily due to federal tax credits realized from these investments as well as the tax benefits from the pre - tax losses realized. See Notes 2, 8, and 18 to the Consolidated Financial Statements for additional information related to these unconsolidated variable interest entities;</w:t>
      </w:r>
    </w:p>
    <w:p>
      <w:pPr>
        <w:spacing w:after="0" w:line="92" w:lineRule="exact"/>
        <w:rPr>
          <w:rFonts w:ascii="Arial" w:cs="Arial" w:eastAsia="Arial" w:hAnsi="Arial"/>
          <w:sz w:val="19"/>
          <w:szCs w:val="19"/>
          <w:color w:val="auto"/>
        </w:rPr>
      </w:pPr>
    </w:p>
    <w:p>
      <w:pPr>
        <w:jc w:val="both"/>
        <w:ind w:left="1080" w:right="360" w:hanging="353"/>
        <w:spacing w:after="0" w:line="249" w:lineRule="auto"/>
        <w:tabs>
          <w:tab w:leader="none" w:pos="1080" w:val="left"/>
        </w:tabs>
        <w:numPr>
          <w:ilvl w:val="0"/>
          <w:numId w:val="8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Tax Implications of Impairments </w:t>
      </w:r>
      <w:r>
        <w:rPr>
          <w:rFonts w:ascii="Times New Roman" w:cs="Times New Roman" w:eastAsia="Times New Roman" w:hAnsi="Times New Roman"/>
          <w:sz w:val="20"/>
          <w:szCs w:val="20"/>
          <w:color w:val="auto"/>
        </w:rPr>
        <w:t>— During the years ended December 31, 2024 and 2023, we recognized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additional income tax expense of $14 million and $50 million, respectively, due to non-cash impairment charges that were not deductible for tax purposes in the year of impairment. The non-cash impairment charge recognized during 2022 was deductible for tax purposes. See Note 11 to the Consolidated Financial Statements for more information related to our impairment charges; and</w:t>
      </w:r>
    </w:p>
    <w:p>
      <w:pPr>
        <w:spacing w:after="0" w:line="91" w:lineRule="exact"/>
        <w:rPr>
          <w:rFonts w:ascii="Arial" w:cs="Arial" w:eastAsia="Arial" w:hAnsi="Arial"/>
          <w:sz w:val="20"/>
          <w:szCs w:val="20"/>
          <w:color w:val="auto"/>
        </w:rPr>
      </w:pPr>
    </w:p>
    <w:p>
      <w:pPr>
        <w:jc w:val="both"/>
        <w:ind w:left="1080" w:right="360" w:hanging="353"/>
        <w:spacing w:after="0" w:line="256" w:lineRule="auto"/>
        <w:tabs>
          <w:tab w:leader="none" w:pos="1080" w:val="left"/>
        </w:tabs>
        <w:numPr>
          <w:ilvl w:val="0"/>
          <w:numId w:val="85"/>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Tax Legislation </w:t>
      </w:r>
      <w:r>
        <w:rPr>
          <w:rFonts w:ascii="Times New Roman" w:cs="Times New Roman" w:eastAsia="Times New Roman" w:hAnsi="Times New Roman"/>
          <w:sz w:val="19"/>
          <w:szCs w:val="19"/>
          <w:color w:val="auto"/>
        </w:rPr>
        <w:t>— The Inflation Reduction Act of 2022 (“IRA”) contains several tax-related provisions, including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 respect to (i) alternative fuel tax credits; (ii) tax incentives for investments in renewable energy production, carbon capture, and other climate actions and (iii)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The provisions of the IRA related to alternative fuel tax credits secure approximately $60 million of annual pre-tax benefit (recorded as a reduction in our operating expense) from tax credits in 2023 and 2024. The alternative fuel credit expired at the end of 2024 and will not provide any future benefit to the Company absent further legislative action. With respect to the investment tax credit, we expect the cumulative benefit to be between $300 million and $400 million, a large portion of which is anticipated to be realized in 2024 through 2026. The expected benefit from the investment tax credit for 2025 and 2026 is dependent on a number of estimates and assumptions, including the timing of project completion. Finally, we expect that the production tax credit incentives for investments in renewable energy and carbon capture, as expanded by the IRA, will likely result in an incremental benefit to the Company, although at this time, the anticipated amount of such benefit has not been quantified due, in part, to the lack of regulatory guidance.</w:t>
      </w:r>
    </w:p>
    <w:p>
      <w:pPr>
        <w:spacing w:after="0" w:line="74" w:lineRule="exact"/>
        <w:rPr>
          <w:rFonts w:ascii="Arial" w:cs="Arial" w:eastAsia="Arial" w:hAnsi="Arial"/>
          <w:sz w:val="19"/>
          <w:szCs w:val="19"/>
          <w:color w:val="auto"/>
        </w:rPr>
      </w:pPr>
    </w:p>
    <w:p>
      <w:pPr>
        <w:ind w:left="1080"/>
        <w:spacing w:after="0"/>
        <w:rPr>
          <w:rFonts w:ascii="Arial" w:cs="Arial" w:eastAsia="Arial" w:hAnsi="Arial"/>
          <w:sz w:val="19"/>
          <w:szCs w:val="19"/>
          <w:color w:val="auto"/>
        </w:rPr>
      </w:pPr>
      <w:r>
        <w:rPr>
          <w:rFonts w:ascii="Times New Roman" w:cs="Times New Roman" w:eastAsia="Times New Roman" w:hAnsi="Times New Roman"/>
          <w:sz w:val="20"/>
          <w:szCs w:val="20"/>
          <w:color w:val="auto"/>
        </w:rPr>
        <w:t>See Note 8 to the Consolidated Financial Statements for more information related to income taxes.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3320" w:h="16920" w:orient="portrait"/>
          <w:cols w:equalWidth="0" w:num="1">
            <w:col w:w="10440"/>
          </w:cols>
          <w:pgMar w:left="1440" w:top="1440" w:right="1440" w:bottom="1440" w:gutter="0" w:footer="0" w:header="0"/>
          <w:type w:val="continuous"/>
        </w:sectPr>
      </w:pPr>
    </w:p>
    <w:bookmarkStart w:id="136" w:name="page137"/>
    <w:bookmarkEnd w:id="136"/>
    <w:p>
      <w:pPr>
        <w:spacing w:after="0" w:line="3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Landfill and Environmental Remediation Discussion and Analysis</w:t>
      </w:r>
    </w:p>
    <w:p>
      <w:pPr>
        <w:spacing w:after="0" w:line="239"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We owned or operated 257 solid waste landfills and five secure hazardous waste landfills as of December 31, 2024 and 258 solid waste landfills and five secure hazardous waste landfills as of December 31, 2023. For these landfills, the following table reflects changes in capacity, as measured in tons of waste, for the year ended December 31 and remaining airspace, measured in cubic yards of waste, as of December 31 (in millions):</w:t>
      </w:r>
    </w:p>
    <w:p>
      <w:pPr>
        <w:spacing w:after="0" w:line="217"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5"/>
                <w:szCs w:val="15"/>
                <w:b w:val="1"/>
                <w:bCs w:val="1"/>
                <w:color w:val="auto"/>
              </w:rPr>
              <w:t>2024</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Times New Roman" w:cs="Times New Roman" w:eastAsia="Times New Roman" w:hAnsi="Times New Roman"/>
                <w:sz w:val="15"/>
                <w:szCs w:val="15"/>
                <w:b w:val="1"/>
                <w:bCs w:val="1"/>
                <w:color w:val="auto"/>
                <w:w w:val="99"/>
              </w:rPr>
              <w:t>Remaining</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jc w:val="center"/>
              <w:ind w:right="60"/>
              <w:spacing w:after="0" w:line="157" w:lineRule="exact"/>
              <w:rPr>
                <w:sz w:val="20"/>
                <w:szCs w:val="20"/>
                <w:color w:val="auto"/>
              </w:rPr>
            </w:pPr>
            <w:r>
              <w:rPr>
                <w:rFonts w:ascii="Times New Roman" w:cs="Times New Roman" w:eastAsia="Times New Roman" w:hAnsi="Times New Roman"/>
                <w:sz w:val="15"/>
                <w:szCs w:val="15"/>
                <w:b w:val="1"/>
                <w:bCs w:val="1"/>
                <w:color w:val="auto"/>
                <w:w w:val="99"/>
              </w:rPr>
              <w:t>Remaining</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Permitted</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Expansion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5"/>
                <w:szCs w:val="15"/>
                <w:b w:val="1"/>
                <w:bCs w:val="1"/>
                <w:color w:val="auto"/>
              </w:rPr>
              <w:t>Total</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9"/>
              </w:rPr>
              <w:t>Permitted</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7"/>
              </w:rPr>
              <w:t>Expansion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jc w:val="right"/>
              <w:ind w:right="91"/>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0"/>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Balance as of beginning of year (in tons)</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Capacity</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Capacity</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Capacity</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Capacity</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Capacity</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Capacity</w:t>
            </w:r>
          </w:p>
        </w:tc>
        <w:tc>
          <w:tcPr>
            <w:tcW w:w="0" w:type="dxa"/>
            <w:vAlign w:val="bottom"/>
          </w:tcPr>
          <w:p>
            <w:pPr>
              <w:spacing w:after="0"/>
              <w:rPr>
                <w:sz w:val="1"/>
                <w:szCs w:val="1"/>
                <w:color w:val="auto"/>
              </w:rPr>
            </w:pPr>
          </w:p>
        </w:tc>
      </w:tr>
      <w:tr>
        <w:trPr>
          <w:trHeight w:val="190"/>
        </w:trPr>
        <w:tc>
          <w:tcPr>
            <w:tcW w:w="5240" w:type="dxa"/>
            <w:vAlign w:val="bottom"/>
            <w:gridSpan w:val="2"/>
            <w:vMerge w:val="continue"/>
          </w:tcPr>
          <w:p>
            <w:pPr>
              <w:jc w:val="right"/>
              <w:ind w:right="180"/>
              <w:spacing w:after="0" w:line="168" w:lineRule="exact"/>
              <w:rPr>
                <w:sz w:val="20"/>
                <w:szCs w:val="20"/>
                <w:color w:val="auto"/>
              </w:rPr>
            </w:pPr>
            <w:r>
              <w:rPr>
                <w:rFonts w:ascii="Times New Roman" w:cs="Times New Roman" w:eastAsia="Times New Roman" w:hAnsi="Times New Roman"/>
                <w:sz w:val="19"/>
                <w:szCs w:val="19"/>
                <w:color w:val="auto"/>
              </w:rPr>
              <w:t>. . . . . . . . . . . . . . . . . . . . .</w:t>
            </w:r>
          </w:p>
        </w:tc>
        <w:tc>
          <w:tcPr>
            <w:tcW w:w="70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9"/>
                <w:szCs w:val="19"/>
                <w:color w:val="auto"/>
              </w:rPr>
              <w:t>5,211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9"/>
                <w:szCs w:val="19"/>
                <w:color w:val="auto"/>
              </w:rPr>
              <w:t>161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9"/>
                <w:szCs w:val="19"/>
                <w:color w:val="auto"/>
              </w:rPr>
              <w:t>5,372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9"/>
                <w:szCs w:val="19"/>
                <w:color w:val="auto"/>
              </w:rPr>
              <w:t>5,165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9"/>
                <w:szCs w:val="19"/>
                <w:color w:val="auto"/>
              </w:rPr>
              <w:t>190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9"/>
                <w:szCs w:val="19"/>
                <w:color w:val="auto"/>
              </w:rPr>
              <w:t>5,355</w:t>
            </w:r>
          </w:p>
        </w:tc>
        <w:tc>
          <w:tcPr>
            <w:tcW w:w="0" w:type="dxa"/>
            <w:vAlign w:val="bottom"/>
          </w:tcPr>
          <w:p>
            <w:pPr>
              <w:spacing w:after="0"/>
              <w:rPr>
                <w:sz w:val="1"/>
                <w:szCs w:val="1"/>
                <w:color w:val="auto"/>
              </w:rPr>
            </w:pPr>
          </w:p>
        </w:tc>
      </w:tr>
      <w:tr>
        <w:trPr>
          <w:trHeight w:val="220"/>
        </w:trPr>
        <w:tc>
          <w:tcPr>
            <w:tcW w:w="524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Acquisitions, divestitures, newly permitted landfills and closures .</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0"/>
        </w:trPr>
        <w:tc>
          <w:tcPr>
            <w:tcW w:w="524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w w:val="98"/>
              </w:rPr>
              <w:t>Changes in expansions pursued (a) . . . . . . . . . . . . . . . . . . . . . . . . . .</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58</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58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138</w:t>
            </w:r>
          </w:p>
        </w:tc>
        <w:tc>
          <w:tcPr>
            <w:tcW w:w="0" w:type="dxa"/>
            <w:vAlign w:val="bottom"/>
          </w:tcPr>
          <w:p>
            <w:pPr>
              <w:spacing w:after="0"/>
              <w:rPr>
                <w:sz w:val="1"/>
                <w:szCs w:val="1"/>
                <w:color w:val="auto"/>
              </w:rPr>
            </w:pPr>
          </w:p>
        </w:tc>
      </w:tr>
      <w:tr>
        <w:trPr>
          <w:trHeight w:val="220"/>
        </w:trPr>
        <w:tc>
          <w:tcPr>
            <w:tcW w:w="524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w w:val="99"/>
              </w:rPr>
              <w:t>Expansion permits granted (b) . . . . . . . . . . . . . . . . . . . . . . . . . . . . .</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(64)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168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0"/>
        </w:trPr>
        <w:tc>
          <w:tcPr>
            <w:tcW w:w="524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w w:val="98"/>
              </w:rPr>
              <w:t>Depletable tons received . . . . . . . . . . . . . . . . . . . . . . . . . . . . . . . . . .</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(125)</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9"/>
                <w:szCs w:val="19"/>
                <w:color w:val="auto"/>
              </w:rPr>
              <w:t>(123)</w:t>
            </w: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(123)</w:t>
            </w:r>
          </w:p>
        </w:tc>
        <w:tc>
          <w:tcPr>
            <w:tcW w:w="0" w:type="dxa"/>
            <w:vAlign w:val="bottom"/>
          </w:tcPr>
          <w:p>
            <w:pPr>
              <w:spacing w:after="0"/>
              <w:rPr>
                <w:sz w:val="1"/>
                <w:szCs w:val="1"/>
                <w:color w:val="auto"/>
              </w:rPr>
            </w:pPr>
          </w:p>
        </w:tc>
      </w:tr>
      <w:tr>
        <w:trPr>
          <w:trHeight w:val="239"/>
        </w:trPr>
        <w:tc>
          <w:tcPr>
            <w:tcW w:w="524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w w:val="99"/>
              </w:rPr>
              <w:t>Changes in engineering estimates and other (c)  . . . . . . . . . . . . . . .</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26</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0" w:type="dxa"/>
            <w:vAlign w:val="bottom"/>
          </w:tcPr>
          <w:p>
            <w:pPr>
              <w:spacing w:after="0"/>
              <w:rPr>
                <w:sz w:val="1"/>
                <w:szCs w:val="1"/>
                <w:color w:val="auto"/>
              </w:rPr>
            </w:pPr>
          </w:p>
        </w:tc>
      </w:tr>
      <w:tr>
        <w:trPr>
          <w:trHeight w:val="218"/>
        </w:trPr>
        <w:tc>
          <w:tcPr>
            <w:tcW w:w="5240" w:type="dxa"/>
            <w:vAlign w:val="bottom"/>
            <w:gridSpan w:val="2"/>
          </w:tcPr>
          <w:p>
            <w:pPr>
              <w:jc w:val="right"/>
              <w:ind w:right="180"/>
              <w:spacing w:after="0" w:line="209" w:lineRule="exact"/>
              <w:rPr>
                <w:sz w:val="20"/>
                <w:szCs w:val="20"/>
                <w:color w:val="auto"/>
              </w:rPr>
            </w:pPr>
            <w:r>
              <w:rPr>
                <w:rFonts w:ascii="Times New Roman" w:cs="Times New Roman" w:eastAsia="Times New Roman" w:hAnsi="Times New Roman"/>
                <w:sz w:val="19"/>
                <w:szCs w:val="19"/>
                <w:color w:val="auto"/>
              </w:rPr>
              <w:t>. . . . . . . . . . . . . . . . . . . . . . .Balanceasofendofyear(intons)(d)</w:t>
            </w:r>
          </w:p>
        </w:tc>
        <w:tc>
          <w:tcPr>
            <w:tcW w:w="70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19"/>
                <w:szCs w:val="19"/>
                <w:color w:val="auto"/>
              </w:rPr>
              <w:t>5,174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19"/>
                <w:szCs w:val="19"/>
                <w:color w:val="auto"/>
              </w:rPr>
              <w:t>165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19"/>
                <w:szCs w:val="19"/>
                <w:color w:val="auto"/>
              </w:rPr>
              <w:t>5,339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19"/>
                <w:szCs w:val="19"/>
                <w:color w:val="auto"/>
              </w:rPr>
              <w:t>5,211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19"/>
                <w:szCs w:val="19"/>
                <w:color w:val="auto"/>
              </w:rPr>
              <w:t>161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19"/>
                <w:szCs w:val="19"/>
                <w:color w:val="auto"/>
              </w:rPr>
              <w:t>5,372</w:t>
            </w:r>
          </w:p>
        </w:tc>
        <w:tc>
          <w:tcPr>
            <w:tcW w:w="0" w:type="dxa"/>
            <w:vAlign w:val="bottom"/>
          </w:tcPr>
          <w:p>
            <w:pPr>
              <w:spacing w:after="0"/>
              <w:rPr>
                <w:sz w:val="1"/>
                <w:szCs w:val="1"/>
                <w:color w:val="auto"/>
              </w:rPr>
            </w:pPr>
          </w:p>
        </w:tc>
      </w:tr>
      <w:tr>
        <w:trPr>
          <w:trHeight w:val="231"/>
        </w:trPr>
        <w:tc>
          <w:tcPr>
            <w:tcW w:w="522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w w:val="99"/>
              </w:rPr>
              <w:t>Balance as of end of year (in cubic yards) (d) . . . . . . . . . . . . . . . . .</w:t>
            </w: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5,049</w:t>
            </w: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165</w:t>
            </w: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5,214</w:t>
            </w: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5,079</w:t>
            </w: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180</w:t>
            </w: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5,259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106680</wp:posOffset>
                </wp:positionV>
                <wp:extent cx="1541145" cy="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8.4pt" to="139.65pt,8.4pt" o:allowincell="f" strokecolor="#000000" strokeweight="1.0199pt"/>
            </w:pict>
          </mc:Fallback>
        </mc:AlternateContent>
      </w:r>
    </w:p>
    <w:p>
      <w:pPr>
        <w:spacing w:after="0" w:line="190" w:lineRule="exact"/>
        <w:rPr>
          <w:sz w:val="20"/>
          <w:szCs w:val="20"/>
          <w:color w:val="auto"/>
        </w:rPr>
      </w:pPr>
    </w:p>
    <w:p>
      <w:pPr>
        <w:jc w:val="both"/>
        <w:ind w:left="720" w:right="360" w:hanging="353"/>
        <w:spacing w:after="0" w:line="279" w:lineRule="auto"/>
        <w:tabs>
          <w:tab w:leader="none" w:pos="72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Amounts reflected here relate to the combined impacts of (i) new expansions pursued; (ii) increases or decreases in the airspace being pursued for ongoing expansion efforts; (iii) adjustments for differences between the airspace being pursued and airspace granted and (iv) decreases due to decisions to no longer pursue expansion permits, if any.</w:t>
      </w:r>
    </w:p>
    <w:p>
      <w:pPr>
        <w:spacing w:after="0" w:line="48" w:lineRule="exact"/>
        <w:rPr>
          <w:rFonts w:ascii="Times New Roman" w:cs="Times New Roman" w:eastAsia="Times New Roman" w:hAnsi="Times New Roman"/>
          <w:sz w:val="19"/>
          <w:szCs w:val="19"/>
          <w:color w:val="auto"/>
        </w:rPr>
      </w:pPr>
    </w:p>
    <w:p>
      <w:pPr>
        <w:jc w:val="both"/>
        <w:ind w:left="720" w:right="360" w:hanging="353"/>
        <w:spacing w:after="0" w:line="259" w:lineRule="auto"/>
        <w:tabs>
          <w:tab w:leader="none" w:pos="7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received expansion permits at 11 of our landfills during 2024 and 13 of our landfills during 2023, demonstrating our continued success in working with municipalities and regulatory agencies to expand the disposal airspace of our existing landfills.</w:t>
      </w:r>
    </w:p>
    <w:p>
      <w:pPr>
        <w:spacing w:after="0" w:line="65" w:lineRule="exact"/>
        <w:rPr>
          <w:rFonts w:ascii="Times New Roman" w:cs="Times New Roman" w:eastAsia="Times New Roman" w:hAnsi="Times New Roman"/>
          <w:sz w:val="20"/>
          <w:szCs w:val="20"/>
          <w:color w:val="auto"/>
        </w:rPr>
      </w:pPr>
    </w:p>
    <w:p>
      <w:pPr>
        <w:jc w:val="both"/>
        <w:ind w:left="720" w:right="360" w:hanging="353"/>
        <w:spacing w:after="0" w:line="244" w:lineRule="auto"/>
        <w:tabs>
          <w:tab w:leader="none" w:pos="7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engineering estimates can result in changes to the estimated available remaining airspace of a landfill or changes in the utilization of such landfill airspace,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 projected mix of waste type; initial and projected waste density; estimated number of years of life remaining; depth of underlying waste; anticipated access to moisture through precipitation or recirculation of landfill leachate and operating practices. We continually focus on improving the utilization of airspace through efforts that may include recirculating landfill leachate where allowed by permit; optimizing the placement of daily cover materials and increasing initial compaction through improved landfill equipment, operations and training.</w:t>
      </w:r>
    </w:p>
    <w:p>
      <w:pPr>
        <w:spacing w:after="0" w:line="86" w:lineRule="exact"/>
        <w:rPr>
          <w:rFonts w:ascii="Times New Roman" w:cs="Times New Roman" w:eastAsia="Times New Roman" w:hAnsi="Times New Roman"/>
          <w:sz w:val="20"/>
          <w:szCs w:val="20"/>
          <w:color w:val="auto"/>
        </w:rPr>
      </w:pPr>
    </w:p>
    <w:p>
      <w:pPr>
        <w:ind w:left="720" w:right="360" w:hanging="353"/>
        <w:spacing w:after="0" w:line="278" w:lineRule="auto"/>
        <w:tabs>
          <w:tab w:leader="none" w:pos="7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Note 2 to the Consolidated Financial Statements for discussion of converting remaining cubic yards of airspace to tons of capacity.</w:t>
      </w:r>
    </w:p>
    <w:p>
      <w:pPr>
        <w:spacing w:after="0" w:line="168"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depletable tons received at our landfills for the year ended December 31 are shown below (tons in thousands):</w:t>
      </w:r>
    </w:p>
    <w:p>
      <w:pPr>
        <w:spacing w:after="0" w:line="263" w:lineRule="exact"/>
        <w:rPr>
          <w:sz w:val="20"/>
          <w:szCs w:val="20"/>
          <w:color w:val="auto"/>
        </w:rPr>
      </w:pPr>
    </w:p>
    <w:tbl>
      <w:tblPr>
        <w:tblLayout w:type="fixed"/>
        <w:tblInd w:w="360" w:type="dxa"/>
        <w:tblCellMar>
          <w:top w:w="0" w:type="dxa"/>
          <w:left w:w="0" w:type="dxa"/>
          <w:bottom w:w="0" w:type="dxa"/>
          <w:right w:w="0" w:type="dxa"/>
        </w:tblCellMar>
      </w:tblPr>
      <w:tr>
        <w:trPr>
          <w:trHeight w:val="205"/>
        </w:trPr>
        <w:tc>
          <w:tcPr>
            <w:tcW w:w="50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center"/>
              <w:ind w:left="14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52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6"/>
                <w:szCs w:val="16"/>
                <w:b w:val="1"/>
                <w:bCs w:val="1"/>
                <w:color w:val="auto"/>
              </w:rPr>
              <w:t># of</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Depletable</w:t>
            </w:r>
          </w:p>
        </w:tc>
        <w:tc>
          <w:tcPr>
            <w:tcW w:w="7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Tons per</w:t>
            </w:r>
          </w:p>
        </w:tc>
        <w:tc>
          <w:tcPr>
            <w:tcW w:w="160" w:type="dxa"/>
            <w:vAlign w:val="bottom"/>
          </w:tcPr>
          <w:p>
            <w:pPr>
              <w:spacing w:after="0"/>
              <w:rPr>
                <w:sz w:val="13"/>
                <w:szCs w:val="13"/>
                <w:color w:val="auto"/>
              </w:rPr>
            </w:pPr>
          </w:p>
        </w:tc>
        <w:tc>
          <w:tcPr>
            <w:tcW w:w="460" w:type="dxa"/>
            <w:vAlign w:val="bottom"/>
          </w:tcPr>
          <w:p>
            <w:pPr>
              <w:jc w:val="right"/>
              <w:ind w:right="10"/>
              <w:spacing w:after="0" w:line="155" w:lineRule="exact"/>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Depletable</w:t>
            </w:r>
          </w:p>
        </w:tc>
        <w:tc>
          <w:tcPr>
            <w:tcW w:w="8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Tons per</w:t>
            </w:r>
          </w:p>
        </w:tc>
        <w:tc>
          <w:tcPr>
            <w:tcW w:w="0" w:type="dxa"/>
            <w:vAlign w:val="bottom"/>
          </w:tcPr>
          <w:p>
            <w:pPr>
              <w:spacing w:after="0"/>
              <w:rPr>
                <w:sz w:val="1"/>
                <w:szCs w:val="1"/>
                <w:color w:val="auto"/>
              </w:rPr>
            </w:pPr>
          </w:p>
        </w:tc>
      </w:tr>
      <w:tr>
        <w:trPr>
          <w:trHeight w:val="204"/>
        </w:trPr>
        <w:tc>
          <w:tcPr>
            <w:tcW w:w="5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Solid waste landfills (a)</w:t>
            </w:r>
          </w:p>
        </w:tc>
        <w:tc>
          <w:tcPr>
            <w:tcW w:w="5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Sites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Tons</w:t>
            </w:r>
          </w:p>
        </w:tc>
        <w:tc>
          <w:tcPr>
            <w:tcW w:w="160" w:type="dxa"/>
            <w:vAlign w:val="bottom"/>
          </w:tcPr>
          <w:p>
            <w:pPr>
              <w:spacing w:after="0"/>
              <w:rPr>
                <w:sz w:val="17"/>
                <w:szCs w:val="17"/>
                <w:color w:val="auto"/>
              </w:rPr>
            </w:pPr>
          </w:p>
        </w:tc>
        <w:tc>
          <w:tcPr>
            <w:tcW w:w="60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6"/>
                <w:szCs w:val="16"/>
                <w:b w:val="1"/>
                <w:bCs w:val="1"/>
                <w:color w:val="auto"/>
              </w:rPr>
              <w:t>Day</w:t>
            </w:r>
          </w:p>
        </w:tc>
        <w:tc>
          <w:tcPr>
            <w:tcW w:w="160" w:type="dxa"/>
            <w:vAlign w:val="bottom"/>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Sites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Tons</w:t>
            </w:r>
          </w:p>
        </w:tc>
        <w:tc>
          <w:tcPr>
            <w:tcW w:w="220" w:type="dxa"/>
            <w:vAlign w:val="bottom"/>
          </w:tcPr>
          <w:p>
            <w:pPr>
              <w:spacing w:after="0"/>
              <w:rPr>
                <w:sz w:val="17"/>
                <w:szCs w:val="17"/>
                <w:color w:val="auto"/>
              </w:rPr>
            </w:pPr>
          </w:p>
        </w:tc>
        <w:tc>
          <w:tcPr>
            <w:tcW w:w="62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Day</w:t>
            </w:r>
          </w:p>
        </w:tc>
        <w:tc>
          <w:tcPr>
            <w:tcW w:w="0" w:type="dxa"/>
            <w:vAlign w:val="bottom"/>
          </w:tcPr>
          <w:p>
            <w:pPr>
              <w:spacing w:after="0"/>
              <w:rPr>
                <w:sz w:val="1"/>
                <w:szCs w:val="1"/>
                <w:color w:val="auto"/>
              </w:rPr>
            </w:pPr>
          </w:p>
        </w:tc>
      </w:tr>
      <w:tr>
        <w:trPr>
          <w:trHeight w:val="202"/>
        </w:trPr>
        <w:tc>
          <w:tcPr>
            <w:tcW w:w="5060" w:type="dxa"/>
            <w:vAlign w:val="bottom"/>
            <w:vMerge w:val="continue"/>
          </w:tcPr>
          <w:p>
            <w:pPr>
              <w:jc w:val="right"/>
              <w:ind w:right="120"/>
              <w:spacing w:after="0" w:line="178" w:lineRule="exact"/>
              <w:rPr>
                <w:sz w:val="20"/>
                <w:szCs w:val="20"/>
                <w:color w:val="auto"/>
              </w:rPr>
            </w:pPr>
            <w:r>
              <w:rPr>
                <w:rFonts w:ascii="Times New Roman" w:cs="Times New Roman" w:eastAsia="Times New Roman" w:hAnsi="Times New Roman"/>
                <w:sz w:val="20"/>
                <w:szCs w:val="20"/>
                <w:color w:val="auto"/>
              </w:rPr>
              <w:t>. . . . . . . . . . . . . . . . . . . . . . . . . . . . . .</w:t>
            </w: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257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124,271</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456</w:t>
            </w:r>
          </w:p>
        </w:tc>
        <w:tc>
          <w:tcPr>
            <w:tcW w:w="1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258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122,141</w:t>
            </w:r>
          </w:p>
        </w:tc>
        <w:tc>
          <w:tcPr>
            <w:tcW w:w="2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450</w:t>
            </w:r>
          </w:p>
        </w:tc>
        <w:tc>
          <w:tcPr>
            <w:tcW w:w="0" w:type="dxa"/>
            <w:vAlign w:val="bottom"/>
          </w:tcPr>
          <w:p>
            <w:pPr>
              <w:spacing w:after="0"/>
              <w:rPr>
                <w:sz w:val="1"/>
                <w:szCs w:val="1"/>
                <w:color w:val="auto"/>
              </w:rPr>
            </w:pPr>
          </w:p>
        </w:tc>
      </w:tr>
      <w:tr>
        <w:trPr>
          <w:trHeight w:val="251"/>
        </w:trPr>
        <w:tc>
          <w:tcPr>
            <w:tcW w:w="50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7"/>
              </w:rPr>
              <w:t>Hazardous waste landfills . . . . . . . . . . . . . . . . . . . . . . . . . . . . .</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626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658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29"/>
        </w:trPr>
        <w:tc>
          <w:tcPr>
            <w:tcW w:w="5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Solid waste landfills closed, divested or lease or other</w:t>
            </w:r>
          </w:p>
        </w:tc>
        <w:tc>
          <w:tcPr>
            <w:tcW w:w="52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262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124,897</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458</w:t>
            </w:r>
          </w:p>
        </w:tc>
        <w:tc>
          <w:tcPr>
            <w:tcW w:w="160" w:type="dxa"/>
            <w:vAlign w:val="bottom"/>
          </w:tcPr>
          <w:p>
            <w:pPr>
              <w:spacing w:after="0"/>
              <w:rPr>
                <w:sz w:val="19"/>
                <w:szCs w:val="19"/>
                <w:color w:val="auto"/>
              </w:rPr>
            </w:pPr>
          </w:p>
        </w:tc>
        <w:tc>
          <w:tcPr>
            <w:tcW w:w="4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263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122,799</w:t>
            </w: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452</w:t>
            </w:r>
          </w:p>
        </w:tc>
        <w:tc>
          <w:tcPr>
            <w:tcW w:w="0" w:type="dxa"/>
            <w:vAlign w:val="bottom"/>
          </w:tcPr>
          <w:p>
            <w:pPr>
              <w:spacing w:after="0"/>
              <w:rPr>
                <w:sz w:val="1"/>
                <w:szCs w:val="1"/>
                <w:color w:val="auto"/>
              </w:rPr>
            </w:pPr>
          </w:p>
        </w:tc>
      </w:tr>
      <w:tr>
        <w:trPr>
          <w:trHeight w:val="212"/>
        </w:trPr>
        <w:tc>
          <w:tcPr>
            <w:tcW w:w="50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0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contractual agreement expired during related year . . . . . . .</w:t>
            </w:r>
          </w:p>
        </w:tc>
        <w:tc>
          <w:tcPr>
            <w:tcW w:w="52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125,010</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122,799</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106680</wp:posOffset>
                </wp:positionV>
                <wp:extent cx="1541145" cy="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8.4pt" to="139.65pt,8.4pt" o:allowincell="f" strokecolor="#000000" strokeweight="1.02pt"/>
            </w:pict>
          </mc:Fallback>
        </mc:AlternateConten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As of December 31, 2024 and 2023, we had 15 and 17 landfills, respectively, which were not accepting waste.</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3320" w:h="16920" w:orient="portrait"/>
          <w:cols w:equalWidth="0" w:num="1">
            <w:col w:w="10440"/>
          </w:cols>
          <w:pgMar w:left="1440" w:top="1440" w:right="1440" w:bottom="1440" w:gutter="0" w:footer="0" w:header="0"/>
          <w:type w:val="continuous"/>
        </w:sectPr>
      </w:pPr>
    </w:p>
    <w:bookmarkStart w:id="137" w:name="page138"/>
    <w:bookmarkEnd w:id="137"/>
    <w:p>
      <w:pPr>
        <w:spacing w:after="0" w:line="347"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As of December 31, 2024, we owned or managed 239 sites that are either in closure or post-closure, have received a certification post-closure, or are regulated under a remedial action plan.</w:t>
      </w:r>
    </w:p>
    <w:p>
      <w:pPr>
        <w:spacing w:after="0" w:line="168"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 xml:space="preserve">Based on remaining permitted airspace as of December 31, 2024 and projected annual disposal volume, the weighted average remaining landfill life for all of our owned or operated landfills is approximately 38 years. Many of our landfills have the potential for expanded airspace beyond what is currently permitted. We monitor the availability of permitted airspace at each of our landfills and evaluate whether to pursue an expansion at a given landfill based on estimated future disposal volume, disposal prices, construction and operating costs, remaining airspace and likelihood of obtaining an expansion permit. We are seeking expansion permits at 18 of our landfills that meet the expansion criteria outlined in the </w:t>
      </w:r>
      <w:r>
        <w:rPr>
          <w:rFonts w:ascii="Times New Roman" w:cs="Times New Roman" w:eastAsia="Times New Roman" w:hAnsi="Times New Roman"/>
          <w:sz w:val="20"/>
          <w:szCs w:val="20"/>
          <w:i w:val="1"/>
          <w:iCs w:val="1"/>
          <w:color w:val="auto"/>
        </w:rPr>
        <w:t xml:space="preserve">Critical Accounting Estimates and Assumptions — Landfills </w:t>
      </w:r>
      <w:r>
        <w:rPr>
          <w:rFonts w:ascii="Times New Roman" w:cs="Times New Roman" w:eastAsia="Times New Roman" w:hAnsi="Times New Roman"/>
          <w:sz w:val="20"/>
          <w:szCs w:val="20"/>
          <w:color w:val="auto"/>
        </w:rPr>
        <w:t>section below. Although no assurances can be made that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future expansions will be permitted or permitted as designed, the weighted average remaining landfill life for all owned or operated landfills is approximately 39 years when considering remaining permitted airspace, expansion airspace and projected annual disposal volume.</w:t>
      </w:r>
    </w:p>
    <w:p>
      <w:pPr>
        <w:spacing w:after="0" w:line="202"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The number of landfills owned or operated as of December 31, 2024, segregated by their estimated operating lives based on remaining permitted and expansion airspace and projected annual disposal volume, was as follows:</w:t>
      </w:r>
    </w:p>
    <w:p>
      <w:pPr>
        <w:spacing w:after="0" w:line="188"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84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0 to 5 years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of Landfills</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80" w:type="dxa"/>
            <w:vAlign w:val="bottom"/>
            <w:gridSpan w:val="2"/>
            <w:vMerge w:val="continue"/>
          </w:tcPr>
          <w:p>
            <w:pPr>
              <w:jc w:val="right"/>
              <w:ind w:right="38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 . . . . . . . . . . .</w:t>
            </w: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5"/>
              </w:rPr>
              <w:t>6 to 10 years . . . . . . . . . . . . . . . . . . . . . . . . . . . . . . . . . . . . . . . . . . . . . . . . . . . . . . . . . . . . . . . . . . . . . . . . . .</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48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5"/>
              </w:rPr>
              <w:t>11 to 20 years . . . . . . . . . . . . . . . . . . . . . . . . . . . . . . . . . . . . . . . . . . . . . . . . . . . . . . . . . . . . . . . . . . . . . . . . .</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5"/>
              </w:rPr>
              <w:t>21 to 40 years . . . . . . . . . . . . . . . . . . . . . . . . . . . . . . . . . . . . . . . . . . . . . . . . . . . . . . . . . . . . . . . . . . . . . . . . .</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48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6"/>
              </w:rPr>
              <w:t>41+ years . . . . . . . . . . . . . . . . . . . . . . . . . . . . . . . . . . . . . . . . . . . . . . . . . . . . . . . . . . . . . . . . . . . . . . . . . . .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60" w:type="dxa"/>
            <w:vAlign w:val="bottom"/>
          </w:tcPr>
          <w:p>
            <w:pPr>
              <w:jc w:val="right"/>
              <w:ind w:right="260"/>
              <w:spacing w:after="0" w:line="221" w:lineRule="exact"/>
              <w:rPr>
                <w:sz w:val="20"/>
                <w:szCs w:val="20"/>
                <w:color w:val="auto"/>
              </w:rPr>
            </w:pPr>
            <w:r>
              <w:rPr>
                <w:rFonts w:ascii="Times New Roman" w:cs="Times New Roman" w:eastAsia="Times New Roman" w:hAnsi="Times New Roman"/>
                <w:sz w:val="20"/>
                <w:szCs w:val="20"/>
                <w:color w:val="auto"/>
                <w:w w:val="99"/>
              </w:rPr>
              <w:t>Total . . . . . . . . . . . . . . . . . . .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262</w:t>
            </w:r>
          </w:p>
        </w:tc>
        <w:tc>
          <w:tcPr>
            <w:tcW w:w="22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w w:val="89"/>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106680</wp:posOffset>
                </wp:positionV>
                <wp:extent cx="1541145" cy="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8.4pt" to="139.65pt,8.4pt" o:allowincell="f" strokecolor="#000000" strokeweight="1.0199pt"/>
            </w:pict>
          </mc:Fallback>
        </mc:AlternateContent>
      </w:r>
    </w:p>
    <w:p>
      <w:pPr>
        <w:spacing w:after="0" w:line="191" w:lineRule="exact"/>
        <w:rPr>
          <w:sz w:val="20"/>
          <w:szCs w:val="20"/>
          <w:color w:val="auto"/>
        </w:rPr>
      </w:pPr>
    </w:p>
    <w:p>
      <w:pPr>
        <w:jc w:val="both"/>
        <w:ind w:left="720" w:right="360" w:hanging="353"/>
        <w:spacing w:after="0" w:line="258" w:lineRule="auto"/>
        <w:tabs>
          <w:tab w:leader="none" w:pos="72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262 landfills, 221 are owned, 29 are operated under lease agreements and 12 are operated under other contractual agreements. For the landfills not owned, we are usually responsible for final capping, closure and post - closure obligations.</w:t>
      </w:r>
    </w:p>
    <w:p>
      <w:pPr>
        <w:spacing w:after="0" w:line="188" w:lineRule="exact"/>
        <w:rPr>
          <w:sz w:val="20"/>
          <w:szCs w:val="20"/>
          <w:color w:val="auto"/>
        </w:rPr>
      </w:pPr>
    </w:p>
    <w:p>
      <w:pPr>
        <w:jc w:val="both"/>
        <w:ind w:left="360" w:right="360" w:firstLine="360"/>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Landfill Assets — </w:t>
      </w:r>
      <w:r>
        <w:rPr>
          <w:rFonts w:ascii="Times New Roman" w:cs="Times New Roman" w:eastAsia="Times New Roman" w:hAnsi="Times New Roman"/>
          <w:sz w:val="19"/>
          <w:szCs w:val="19"/>
          <w:color w:val="auto"/>
        </w:rPr>
        <w:t>We capitalize various costs that we incur to prepare a landfill to accept waste. These costs generally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 -site road construction and other capital infrastructure costs. The cost basis of our landfill assets also includes estimates of future costs associated with landfill final capping, closure and post-closure activities, which are discussed further below.</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changes to the cost basis of our landfill assets and accumulated landfill airspace depletion for the year ended</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December 31, 2024 are reflected in the table below (in millions):</w:t>
      </w:r>
    </w:p>
    <w:p>
      <w:pPr>
        <w:spacing w:after="0" w:line="243"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0" w:type="dxa"/>
            <w:vAlign w:val="bottom"/>
          </w:tcPr>
          <w:p>
            <w:pPr>
              <w:spacing w:after="0"/>
              <w:rPr>
                <w:sz w:val="1"/>
                <w:szCs w:val="1"/>
                <w:color w:val="auto"/>
              </w:rPr>
            </w:pPr>
          </w:p>
        </w:tc>
      </w:tr>
      <w:tr>
        <w:trPr>
          <w:trHeight w:val="194"/>
        </w:trPr>
        <w:tc>
          <w:tcPr>
            <w:tcW w:w="4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Cost Basis of</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Landfill Airspace</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Value of</w:t>
            </w:r>
          </w:p>
        </w:tc>
        <w:tc>
          <w:tcPr>
            <w:tcW w:w="0" w:type="dxa"/>
            <w:vAlign w:val="bottom"/>
          </w:tcPr>
          <w:p>
            <w:pPr>
              <w:spacing w:after="0"/>
              <w:rPr>
                <w:sz w:val="1"/>
                <w:szCs w:val="1"/>
                <w:color w:val="auto"/>
              </w:rPr>
            </w:pPr>
          </w:p>
        </w:tc>
      </w:tr>
      <w:tr>
        <w:trPr>
          <w:trHeight w:val="204"/>
        </w:trPr>
        <w:tc>
          <w:tcPr>
            <w:tcW w:w="4300" w:type="dxa"/>
            <w:vAlign w:val="bottom"/>
            <w:vMerge w:val="restart"/>
          </w:tcPr>
          <w:p>
            <w:pPr>
              <w:jc w:val="right"/>
              <w:ind w:right="2620"/>
              <w:spacing w:after="0"/>
              <w:rPr>
                <w:sz w:val="20"/>
                <w:szCs w:val="20"/>
                <w:color w:val="auto"/>
              </w:rPr>
            </w:pPr>
            <w:r>
              <w:rPr>
                <w:rFonts w:ascii="Times New Roman" w:cs="Times New Roman" w:eastAsia="Times New Roman" w:hAnsi="Times New Roman"/>
                <w:sz w:val="20"/>
                <w:szCs w:val="20"/>
                <w:color w:val="auto"/>
                <w:w w:val="99"/>
              </w:rPr>
              <w:t>December 31, 2023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Landfill Assets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Depletion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Landfill Assets</w:t>
            </w:r>
          </w:p>
        </w:tc>
        <w:tc>
          <w:tcPr>
            <w:tcW w:w="0" w:type="dxa"/>
            <w:vAlign w:val="bottom"/>
          </w:tcPr>
          <w:p>
            <w:pPr>
              <w:spacing w:after="0"/>
              <w:rPr>
                <w:sz w:val="1"/>
                <w:szCs w:val="1"/>
                <w:color w:val="auto"/>
              </w:rPr>
            </w:pPr>
          </w:p>
        </w:tc>
      </w:tr>
      <w:tr>
        <w:trPr>
          <w:trHeight w:val="199"/>
        </w:trPr>
        <w:tc>
          <w:tcPr>
            <w:tcW w:w="4300" w:type="dxa"/>
            <w:vAlign w:val="bottom"/>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 . . . . . . . . . . . . . .</w:t>
            </w: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19,473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(11,643)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7,830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Capital additions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0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rPr>
              <w:t>Asset retirement obligations incurred and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capitalized . . . . . . . . . . . . . . . . . . . . . . . . . . . . .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Depletion of landfill airspace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(795)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(795)</w:t>
            </w:r>
          </w:p>
        </w:tc>
        <w:tc>
          <w:tcPr>
            <w:tcW w:w="0" w:type="dxa"/>
            <w:vAlign w:val="bottom"/>
          </w:tcPr>
          <w:p>
            <w:pPr>
              <w:spacing w:after="0"/>
              <w:rPr>
                <w:sz w:val="1"/>
                <w:szCs w:val="1"/>
                <w:color w:val="auto"/>
              </w:rPr>
            </w:pPr>
          </w:p>
        </w:tc>
      </w:tr>
      <w:tr>
        <w:trPr>
          <w:trHeight w:val="230"/>
        </w:trPr>
        <w:tc>
          <w:tcPr>
            <w:tcW w:w="43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Foreign currency translation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50"/>
        </w:trPr>
        <w:tc>
          <w:tcPr>
            <w:tcW w:w="43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Asset retirements and other adjustments . . . .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0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 . . . . . . . . . . . . . . . . . . . . . . . .December31,2024</w:t>
            </w: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20,273</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(12,259)</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right="360" w:firstLine="360"/>
        <w:spacing w:after="0" w:line="277" w:lineRule="auto"/>
        <w:rPr>
          <w:sz w:val="20"/>
          <w:szCs w:val="20"/>
          <w:color w:val="auto"/>
        </w:rPr>
      </w:pPr>
      <w:r>
        <w:rPr>
          <w:rFonts w:ascii="Times New Roman" w:cs="Times New Roman" w:eastAsia="Times New Roman" w:hAnsi="Times New Roman"/>
          <w:sz w:val="20"/>
          <w:szCs w:val="20"/>
          <w:color w:val="auto"/>
        </w:rPr>
        <w:t>As of December 31, 2024, we estimate that we will spend approximately $845 million in 2025, and approximately $1.8 billion in 2026 and 2027 combined, for the construction and development of our landfill assets. The specific timing</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3320" w:h="16920" w:orient="portrait"/>
          <w:cols w:equalWidth="0" w:num="1">
            <w:col w:w="10440"/>
          </w:cols>
          <w:pgMar w:left="1440" w:top="1440" w:right="1440" w:bottom="1440" w:gutter="0" w:footer="0" w:header="0"/>
          <w:type w:val="continuous"/>
        </w:sectPr>
      </w:pPr>
    </w:p>
    <w:bookmarkStart w:id="138" w:name="page139"/>
    <w:bookmarkEnd w:id="138"/>
    <w:p>
      <w:pPr>
        <w:spacing w:after="0" w:line="347" w:lineRule="exact"/>
        <w:rPr>
          <w:sz w:val="20"/>
          <w:szCs w:val="20"/>
          <w:color w:val="auto"/>
        </w:rPr>
      </w:pPr>
    </w:p>
    <w:p>
      <w:pPr>
        <w:jc w:val="both"/>
        <w:ind w:left="360" w:right="360"/>
        <w:spacing w:after="0" w:line="305" w:lineRule="auto"/>
        <w:rPr>
          <w:sz w:val="20"/>
          <w:szCs w:val="20"/>
          <w:color w:val="auto"/>
        </w:rPr>
      </w:pPr>
      <w:r>
        <w:rPr>
          <w:rFonts w:ascii="Times New Roman" w:cs="Times New Roman" w:eastAsia="Times New Roman" w:hAnsi="Times New Roman"/>
          <w:sz w:val="19"/>
          <w:szCs w:val="19"/>
          <w:color w:val="auto"/>
        </w:rPr>
        <w:t>of landfill capital spending is dependent on future events and spending estimates are subject to change due to fluctuations in landfill waste volumes, changes in environmental requirements and other factors impacting landfill operations.</w:t>
      </w:r>
    </w:p>
    <w:p>
      <w:pPr>
        <w:spacing w:after="0" w:line="146" w:lineRule="exact"/>
        <w:rPr>
          <w:sz w:val="20"/>
          <w:szCs w:val="20"/>
          <w:color w:val="auto"/>
        </w:rPr>
      </w:pPr>
    </w:p>
    <w:p>
      <w:pPr>
        <w:jc w:val="both"/>
        <w:ind w:left="360" w:right="360" w:firstLine="360"/>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Landfill and Environmental Remediation Liabilities — </w:t>
      </w:r>
      <w:r>
        <w:rPr>
          <w:rFonts w:ascii="Times New Roman" w:cs="Times New Roman" w:eastAsia="Times New Roman" w:hAnsi="Times New Roman"/>
          <w:sz w:val="19"/>
          <w:szCs w:val="19"/>
          <w:color w:val="auto"/>
        </w:rPr>
        <w:t>As we accept waste at our landfills, we incur significant asset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retirement obligations, which include liabilities associated with landfill final capping, closure and post-closure activities. These liabilities are accounted for in accordance with authoritative guidance on accounting for asset retirement obligations and are discussed in Note 2 to the Consolidated Financial Statements. We also have liabilities for the remediation of properties that have incurred environmental damage, which generally was caused by operations or for damage caused by conditions that existed before we acquired operations or a site. We recognize environmental remediation liabilities when we determine that the liability is probable and the cost for the likely remedy can be reasonably estimated.</w:t>
      </w:r>
    </w:p>
    <w:p>
      <w:pPr>
        <w:spacing w:after="0" w:line="186"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The changes to landfill and environmental remediation liabilities for the year ended December 31, 2024 are reflected in the table below (in millions):</w:t>
      </w:r>
    </w:p>
    <w:p>
      <w:pPr>
        <w:spacing w:after="0" w:line="188"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7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Environmental</w:t>
            </w:r>
          </w:p>
        </w:tc>
        <w:tc>
          <w:tcPr>
            <w:tcW w:w="0" w:type="dxa"/>
            <w:vAlign w:val="bottom"/>
          </w:tcPr>
          <w:p>
            <w:pPr>
              <w:spacing w:after="0"/>
              <w:rPr>
                <w:sz w:val="1"/>
                <w:szCs w:val="1"/>
                <w:color w:val="auto"/>
              </w:rPr>
            </w:pPr>
          </w:p>
        </w:tc>
      </w:tr>
      <w:tr>
        <w:trPr>
          <w:trHeight w:val="204"/>
        </w:trPr>
        <w:tc>
          <w:tcPr>
            <w:tcW w:w="7500" w:type="dxa"/>
            <w:vAlign w:val="bottom"/>
            <w:vMerge w:val="restart"/>
          </w:tcPr>
          <w:p>
            <w:pPr>
              <w:jc w:val="right"/>
              <w:ind w:right="5820"/>
              <w:spacing w:after="0"/>
              <w:rPr>
                <w:sz w:val="20"/>
                <w:szCs w:val="20"/>
                <w:color w:val="auto"/>
              </w:rPr>
            </w:pPr>
            <w:r>
              <w:rPr>
                <w:rFonts w:ascii="Times New Roman" w:cs="Times New Roman" w:eastAsia="Times New Roman" w:hAnsi="Times New Roman"/>
                <w:sz w:val="20"/>
                <w:szCs w:val="20"/>
                <w:color w:val="auto"/>
                <w:w w:val="99"/>
              </w:rPr>
              <w:t>December 31, 2023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Landfill</w:t>
            </w:r>
          </w:p>
        </w:tc>
        <w:tc>
          <w:tcPr>
            <w:tcW w:w="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Remediation</w:t>
            </w:r>
          </w:p>
        </w:tc>
        <w:tc>
          <w:tcPr>
            <w:tcW w:w="0" w:type="dxa"/>
            <w:vAlign w:val="bottom"/>
          </w:tcPr>
          <w:p>
            <w:pPr>
              <w:spacing w:after="0"/>
              <w:rPr>
                <w:sz w:val="1"/>
                <w:szCs w:val="1"/>
                <w:color w:val="auto"/>
              </w:rPr>
            </w:pPr>
          </w:p>
        </w:tc>
      </w:tr>
      <w:tr>
        <w:trPr>
          <w:trHeight w:val="202"/>
        </w:trPr>
        <w:tc>
          <w:tcPr>
            <w:tcW w:w="7500" w:type="dxa"/>
            <w:vAlign w:val="bottom"/>
            <w:vMerge w:val="continue"/>
          </w:tcPr>
          <w:p>
            <w:pPr>
              <w:jc w:val="right"/>
              <w:ind w:right="1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w:t>
            </w: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2,853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209</w:t>
            </w:r>
          </w:p>
        </w:tc>
        <w:tc>
          <w:tcPr>
            <w:tcW w:w="0" w:type="dxa"/>
            <w:vAlign w:val="bottom"/>
          </w:tcPr>
          <w:p>
            <w:pPr>
              <w:spacing w:after="0"/>
              <w:rPr>
                <w:sz w:val="1"/>
                <w:szCs w:val="1"/>
                <w:color w:val="auto"/>
              </w:rPr>
            </w:pPr>
          </w:p>
        </w:tc>
      </w:tr>
      <w:tr>
        <w:trPr>
          <w:trHeight w:val="230"/>
        </w:trPr>
        <w:tc>
          <w:tcPr>
            <w:tcW w:w="75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Obligations incurred and capitalized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75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Obligations settled . . . .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30"/>
        </w:trPr>
        <w:tc>
          <w:tcPr>
            <w:tcW w:w="75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Interest accretion . . . . .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75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Revisions in estimates and interest rate assumptions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50"/>
        </w:trPr>
        <w:tc>
          <w:tcPr>
            <w:tcW w:w="75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Acquisitions, divestitures and other adjustments . . . . . . . . . . . . . . . .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1"/>
        </w:trPr>
        <w:tc>
          <w:tcPr>
            <w:tcW w:w="7500" w:type="dxa"/>
            <w:vAlign w:val="bottom"/>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 . . .December31,2024</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3,057</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222</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 xml:space="preserve">Landfill Operating Costs — </w:t>
      </w:r>
      <w:r>
        <w:rPr>
          <w:rFonts w:ascii="Times New Roman" w:cs="Times New Roman" w:eastAsia="Times New Roman" w:hAnsi="Times New Roman"/>
          <w:sz w:val="20"/>
          <w:szCs w:val="20"/>
          <w:color w:val="auto"/>
        </w:rPr>
        <w:t>The following table summarizes our landfill operating costs for the year ended</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December 31 (in millions):</w:t>
      </w:r>
    </w:p>
    <w:p>
      <w:pPr>
        <w:spacing w:after="0" w:line="233"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6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Interest accretion on landfill and environmental remediation liabilities</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20" w:type="dxa"/>
            <w:vAlign w:val="bottom"/>
            <w:vMerge w:val="continue"/>
          </w:tcPr>
          <w:p>
            <w:pPr>
              <w:jc w:val="right"/>
              <w:ind w:right="160"/>
              <w:spacing w:after="0" w:line="177" w:lineRule="exact"/>
              <w:rPr>
                <w:sz w:val="20"/>
                <w:szCs w:val="20"/>
                <w:color w:val="auto"/>
              </w:rPr>
            </w:pPr>
            <w:r>
              <w:rPr>
                <w:rFonts w:ascii="Times New Roman" w:cs="Times New Roman" w:eastAsia="Times New Roman" w:hAnsi="Times New Roman"/>
                <w:sz w:val="20"/>
                <w:szCs w:val="20"/>
                <w:color w:val="auto"/>
              </w:rPr>
              <w:t>. . . . . . . . . .</w:t>
            </w:r>
          </w:p>
        </w:tc>
        <w:tc>
          <w:tcPr>
            <w:tcW w:w="2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133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130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8"/>
              </w:rPr>
              <w:t>Leachate and methane collection and treatment . . . . . . . . . . . . . . . . . . . . . . . . . . . .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Landfill remediation costs and discount rate adjustments to environmental</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9"/>
              </w:rPr>
              <w:t>remediation liabilities and recovery assets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50"/>
        </w:trPr>
        <w:tc>
          <w:tcPr>
            <w:tcW w:w="68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Other landfill site costs . . . . . . . . . . . . . . . . .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820" w:type="dxa"/>
            <w:vAlign w:val="bottom"/>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.Totallandfilloperatingcosts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524</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453</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Depletion of Landfill Airspace </w:t>
      </w:r>
      <w:r>
        <w:rPr>
          <w:rFonts w:ascii="Times New Roman" w:cs="Times New Roman" w:eastAsia="Times New Roman" w:hAnsi="Times New Roman"/>
          <w:sz w:val="20"/>
          <w:szCs w:val="20"/>
          <w:color w:val="auto"/>
        </w:rPr>
        <w:t>— Depletion of landfill airspace, which is included as a component of depreciation,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depletion and amortization expenses, includes the following:</w:t>
      </w:r>
    </w:p>
    <w:p>
      <w:pPr>
        <w:spacing w:after="0" w:line="61" w:lineRule="exact"/>
        <w:rPr>
          <w:sz w:val="20"/>
          <w:szCs w:val="20"/>
          <w:color w:val="auto"/>
        </w:rPr>
      </w:pPr>
    </w:p>
    <w:p>
      <w:pPr>
        <w:jc w:val="both"/>
        <w:ind w:left="1080" w:right="360" w:hanging="353"/>
        <w:spacing w:after="0" w:line="259" w:lineRule="auto"/>
        <w:tabs>
          <w:tab w:leader="none" w:pos="1080" w:val="left"/>
        </w:tabs>
        <w:numPr>
          <w:ilvl w:val="0"/>
          <w:numId w:val="88"/>
        </w:numPr>
        <w:rPr>
          <w:rFonts w:ascii="Arial" w:cs="Arial" w:eastAsia="Arial" w:hAnsi="Arial"/>
          <w:sz w:val="20"/>
          <w:szCs w:val="20"/>
          <w:color w:val="auto"/>
        </w:rPr>
      </w:pPr>
      <w:r>
        <w:rPr>
          <w:rFonts w:ascii="Times New Roman" w:cs="Times New Roman" w:eastAsia="Times New Roman" w:hAnsi="Times New Roman"/>
          <w:sz w:val="20"/>
          <w:szCs w:val="20"/>
          <w:color w:val="auto"/>
        </w:rPr>
        <w:t>the depletion of landfill capital costs, including (i) costs that have been incurred and capitalized and (ii) estimated future costs for landfill development and construction required to develop our landfills to their remaining permitted and expansion airspace; and</w:t>
      </w:r>
    </w:p>
    <w:p>
      <w:pPr>
        <w:spacing w:after="0" w:line="78" w:lineRule="exact"/>
        <w:rPr>
          <w:rFonts w:ascii="Arial" w:cs="Arial" w:eastAsia="Arial" w:hAnsi="Arial"/>
          <w:sz w:val="20"/>
          <w:szCs w:val="20"/>
          <w:color w:val="auto"/>
        </w:rPr>
      </w:pPr>
    </w:p>
    <w:p>
      <w:pPr>
        <w:ind w:left="1080" w:right="360" w:hanging="353"/>
        <w:spacing w:after="0" w:line="277" w:lineRule="auto"/>
        <w:tabs>
          <w:tab w:leader="none" w:pos="1080" w:val="left"/>
        </w:tabs>
        <w:numPr>
          <w:ilvl w:val="0"/>
          <w:numId w:val="88"/>
        </w:numPr>
        <w:rPr>
          <w:rFonts w:ascii="Arial" w:cs="Arial" w:eastAsia="Arial" w:hAnsi="Arial"/>
          <w:sz w:val="20"/>
          <w:szCs w:val="20"/>
          <w:color w:val="auto"/>
        </w:rPr>
      </w:pPr>
      <w:r>
        <w:rPr>
          <w:rFonts w:ascii="Times New Roman" w:cs="Times New Roman" w:eastAsia="Times New Roman" w:hAnsi="Times New Roman"/>
          <w:sz w:val="20"/>
          <w:szCs w:val="20"/>
          <w:color w:val="auto"/>
        </w:rPr>
        <w:t>the depletion of asset retirement costs arising from landfill final capping, closure and post-closure obligations, including (i) costs that have been incurred and capitalized and (ii) projected asset retirement costs.</w:t>
      </w:r>
    </w:p>
    <w:p>
      <w:pPr>
        <w:spacing w:after="0" w:line="168"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Depletion expense is recorded on a units -of-consumption basis, applying cost as a rate per ton. The rate per ton is calculated by dividing each component of the depletable basis of a landfill (net of accumulated depletion) by the number of tons needed to fill the corresponding asset’s remaining permitted and expansion airspace. Landfill capital costs and closure and post-closure asset retirement costs are generally incurred to support the operation of the landfill over its entire operating life and are, therefore, depleted on a per-ton basis using a landfill’s total permitted and expansion airspace. Final capping asset retirement costs are related to a specific final capping event and are, therefore, depleted on a per-ton basis using each discrete final capping event’s estimated permitted and expansion airspace. Accordingly, each landfill has multiple per-ton depletion rates.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3320" w:h="16920" w:orient="portrait"/>
          <w:cols w:equalWidth="0" w:num="1">
            <w:col w:w="10440"/>
          </w:cols>
          <w:pgMar w:left="1440" w:top="1440" w:right="1440" w:bottom="1440" w:gutter="0" w:footer="0" w:header="0"/>
          <w:type w:val="continuous"/>
        </w:sectPr>
      </w:pPr>
    </w:p>
    <w:bookmarkStart w:id="139" w:name="page140"/>
    <w:bookmarkEnd w:id="139"/>
    <w:p>
      <w:pPr>
        <w:spacing w:after="0" w:line="3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presents our landfill airspace depletion expense on a per-ton basis for the year ended</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December 31:</w:t>
      </w:r>
    </w:p>
    <w:p>
      <w:pPr>
        <w:spacing w:after="0" w:line="233"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6720" w:type="dxa"/>
            <w:vAlign w:val="bottom"/>
            <w:vMerge w:val="restart"/>
          </w:tcPr>
          <w:p>
            <w:pPr>
              <w:jc w:val="right"/>
              <w:ind w:right="3220"/>
              <w:spacing w:after="0"/>
              <w:rPr>
                <w:sz w:val="20"/>
                <w:szCs w:val="20"/>
                <w:color w:val="auto"/>
              </w:rPr>
            </w:pPr>
            <w:r>
              <w:rPr>
                <w:rFonts w:ascii="Times New Roman" w:cs="Times New Roman" w:eastAsia="Times New Roman" w:hAnsi="Times New Roman"/>
                <w:sz w:val="20"/>
                <w:szCs w:val="20"/>
                <w:color w:val="auto"/>
                <w:w w:val="99"/>
              </w:rPr>
              <w:t>Depletion of landfill airspace (in millions)</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1"/>
        </w:trPr>
        <w:tc>
          <w:tcPr>
            <w:tcW w:w="6720" w:type="dxa"/>
            <w:vAlign w:val="bottom"/>
            <w:vMerge w:val="continue"/>
          </w:tcPr>
          <w:p>
            <w:pPr>
              <w:jc w:val="right"/>
              <w:ind w:right="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w:t>
            </w:r>
          </w:p>
        </w:tc>
        <w:tc>
          <w:tcPr>
            <w:tcW w:w="14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795</w:t>
            </w:r>
          </w:p>
        </w:tc>
        <w:tc>
          <w:tcPr>
            <w:tcW w:w="22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745</w:t>
            </w:r>
          </w:p>
        </w:tc>
        <w:tc>
          <w:tcPr>
            <w:tcW w:w="20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754</w:t>
            </w:r>
          </w:p>
        </w:tc>
        <w:tc>
          <w:tcPr>
            <w:tcW w:w="0" w:type="dxa"/>
            <w:vAlign w:val="bottom"/>
          </w:tcPr>
          <w:p>
            <w:pPr>
              <w:spacing w:after="0"/>
              <w:rPr>
                <w:sz w:val="1"/>
                <w:szCs w:val="1"/>
                <w:color w:val="auto"/>
              </w:rPr>
            </w:pPr>
          </w:p>
        </w:tc>
      </w:tr>
      <w:tr>
        <w:trPr>
          <w:trHeight w:val="229"/>
        </w:trPr>
        <w:tc>
          <w:tcPr>
            <w:tcW w:w="67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7"/>
              </w:rPr>
              <w:t>Tons received, net of redirected waste (in millions) . . . . . . . . . . . . . . . . . . . . . . . . .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0" w:type="dxa"/>
            <w:vAlign w:val="bottom"/>
          </w:tcPr>
          <w:p>
            <w:pPr>
              <w:spacing w:after="0"/>
              <w:rPr>
                <w:sz w:val="1"/>
                <w:szCs w:val="1"/>
                <w:color w:val="auto"/>
              </w:rPr>
            </w:pPr>
          </w:p>
        </w:tc>
      </w:tr>
      <w:tr>
        <w:trPr>
          <w:trHeight w:val="267"/>
        </w:trPr>
        <w:tc>
          <w:tcPr>
            <w:tcW w:w="67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8"/>
              </w:rPr>
              <w:t>Average landfill airspace depletion expense per ton. . . . . . . . . . . . . . . . . . . . . . . .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360" w:right="360" w:firstLine="360"/>
        <w:spacing w:after="0" w:line="262" w:lineRule="auto"/>
        <w:rPr>
          <w:sz w:val="20"/>
          <w:szCs w:val="20"/>
          <w:color w:val="auto"/>
        </w:rPr>
      </w:pPr>
      <w:r>
        <w:rPr>
          <w:rFonts w:ascii="Times New Roman" w:cs="Times New Roman" w:eastAsia="Times New Roman" w:hAnsi="Times New Roman"/>
          <w:sz w:val="19"/>
          <w:szCs w:val="19"/>
          <w:color w:val="auto"/>
        </w:rPr>
        <w:t>Different per-ton depletion rates are applied at each of our 262 landfills, and per-ton depletion rates vary significantly from one landfill to another due to (i) inconsistencies that often exist in construction costs and provincial, state and local regulatory requirements for landfill development and landfill final capping, closure and post-closure activities and</w:t>
      </w:r>
    </w:p>
    <w:p>
      <w:pPr>
        <w:spacing w:after="0" w:line="3" w:lineRule="exact"/>
        <w:rPr>
          <w:sz w:val="20"/>
          <w:szCs w:val="20"/>
          <w:color w:val="auto"/>
        </w:rPr>
      </w:pPr>
    </w:p>
    <w:p>
      <w:pPr>
        <w:jc w:val="both"/>
        <w:ind w:left="360" w:right="360" w:firstLine="8"/>
        <w:spacing w:after="0" w:line="244" w:lineRule="auto"/>
        <w:tabs>
          <w:tab w:leader="none" w:pos="65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differences in the cost basis of landfills that we develop versus those that we acquire. Accordingly, our landfill airspace depletion expense measured on a per-ton basis can fluctuate due to changes in the mix of volumes we receive across the Company each year.</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3"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The Company consistently generates annual cash flow from operations that meets and exceeds our working capital needs, allows for payment of our dividends, investment in the business through capital expenditures and tuck-in acquisitions, and funding of strategic sustainability growth investments. We continually monitor our actual and forecasted cash flows, our liquidity and our capital resources, enabling us to plan for our present needs and fund unbudgeted business requirements that may arise during the year. The Company believes that its investment grade credit ratings, diverse investor base, large value of unencumbered assets and modest leverage enable it to obtain adequate financing, and refinance upcoming maturities, as necessary to meet its ongoing capital, operating, strategic and other liquidity requirements. We also have the ability to manage liquidity during periods of significant financial market disruption through temporary modification of our capital expenditure and share repurchase plans.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Summary of Contractual Obligations</w:t>
      </w:r>
    </w:p>
    <w:p>
      <w:pPr>
        <w:spacing w:after="0" w:line="240"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The following table summarizes our significant contractual obligations as of December 31, 2024 (other than recorded obligations related to liabilities associated with environmental remediation costs and non-cancelable operating lease obligations, which are discussed further in Notes 3 and 7 to the Consolidated Financial Statements, respectively) and the anticipated effect of these obligations on our liquidity in future years (in millions):</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05"/>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Recorded Obligations:</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2027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2028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2029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Thereafter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380" w:type="dxa"/>
            <w:vAlign w:val="bottom"/>
            <w:gridSpan w:val="2"/>
            <w:vMerge w:val="continue"/>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223</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22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3,762</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4,790</w:t>
            </w:r>
          </w:p>
        </w:tc>
        <w:tc>
          <w:tcPr>
            <w:tcW w:w="0" w:type="dxa"/>
            <w:vAlign w:val="bottom"/>
          </w:tcPr>
          <w:p>
            <w:pPr>
              <w:spacing w:after="0"/>
              <w:rPr>
                <w:sz w:val="1"/>
                <w:szCs w:val="1"/>
                <w:color w:val="auto"/>
              </w:rPr>
            </w:pPr>
          </w:p>
        </w:tc>
      </w:tr>
      <w:tr>
        <w:trPr>
          <w:trHeight w:val="220"/>
        </w:trPr>
        <w:tc>
          <w:tcPr>
            <w:tcW w:w="43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Final capping, closure and post-closure liabilities (a) . .</w:t>
            </w:r>
          </w:p>
        </w:tc>
        <w:tc>
          <w:tcPr>
            <w:tcW w:w="12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200" w:type="dxa"/>
            <w:vAlign w:val="bottom"/>
            <w:gridSpan w:val="3"/>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220" w:type="dxa"/>
            <w:vAlign w:val="bottom"/>
            <w:gridSpan w:val="3"/>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200" w:type="dxa"/>
            <w:vAlign w:val="bottom"/>
            <w:gridSpan w:val="3"/>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200" w:type="dxa"/>
            <w:vAlign w:val="bottom"/>
            <w:gridSpan w:val="3"/>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220" w:type="dxa"/>
            <w:vAlign w:val="bottom"/>
            <w:gridSpan w:val="3"/>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gridSpan w:val="3"/>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3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Debt payments (b) . . . . . . . . . . . . . . . . . . . . . . . . . . . . . .</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14,680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24,079</w:t>
            </w:r>
          </w:p>
        </w:tc>
        <w:tc>
          <w:tcPr>
            <w:tcW w:w="0" w:type="dxa"/>
            <w:vAlign w:val="bottom"/>
          </w:tcPr>
          <w:p>
            <w:pPr>
              <w:spacing w:after="0"/>
              <w:rPr>
                <w:sz w:val="1"/>
                <w:szCs w:val="1"/>
                <w:color w:val="auto"/>
              </w:rPr>
            </w:pPr>
          </w:p>
        </w:tc>
      </w:tr>
      <w:tr>
        <w:trPr>
          <w:trHeight w:val="232"/>
        </w:trPr>
        <w:tc>
          <w:tcPr>
            <w:tcW w:w="43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Unrecorded Obligations:</w:t>
            </w:r>
          </w:p>
        </w:tc>
        <w:tc>
          <w:tcPr>
            <w:tcW w:w="120" w:type="dxa"/>
            <w:vAlign w:val="bottom"/>
          </w:tcPr>
          <w:p>
            <w:pPr>
              <w:spacing w:after="0"/>
              <w:rPr>
                <w:sz w:val="20"/>
                <w:szCs w:val="2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928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888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736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647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5,168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9,205</w:t>
            </w:r>
          </w:p>
        </w:tc>
        <w:tc>
          <w:tcPr>
            <w:tcW w:w="0" w:type="dxa"/>
            <w:vAlign w:val="bottom"/>
          </w:tcPr>
          <w:p>
            <w:pPr>
              <w:spacing w:after="0"/>
              <w:rPr>
                <w:sz w:val="1"/>
                <w:szCs w:val="1"/>
                <w:color w:val="auto"/>
              </w:rPr>
            </w:pPr>
          </w:p>
        </w:tc>
      </w:tr>
      <w:tr>
        <w:trPr>
          <w:trHeight w:val="220"/>
        </w:trPr>
        <w:tc>
          <w:tcPr>
            <w:tcW w:w="43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Interest on debt (c) . . . . . . . . . . . . . . . . . . . . . . . . . . . . . .</w:t>
            </w:r>
          </w:p>
        </w:tc>
        <w:tc>
          <w:tcPr>
            <w:tcW w:w="1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3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Estimated unconditional purchase obligations (d) . . . . .</w:t>
            </w: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1,406</w:t>
            </w:r>
          </w:p>
        </w:tc>
        <w:tc>
          <w:tcPr>
            <w:tcW w:w="0" w:type="dxa"/>
            <w:vAlign w:val="bottom"/>
          </w:tcPr>
          <w:p>
            <w:pPr>
              <w:spacing w:after="0"/>
              <w:rPr>
                <w:sz w:val="1"/>
                <w:szCs w:val="1"/>
                <w:color w:val="auto"/>
              </w:rPr>
            </w:pPr>
          </w:p>
        </w:tc>
      </w:tr>
      <w:tr>
        <w:trPr>
          <w:trHeight w:val="231"/>
        </w:trPr>
        <w:tc>
          <w:tcPr>
            <w:tcW w:w="43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Anticipated liquidity impact as of December 31, 2024</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3,992</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2,128</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3,267</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2,998</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2,929</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6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24,166</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39,480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106045</wp:posOffset>
                </wp:positionV>
                <wp:extent cx="1541145" cy="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8.35pt" to="139.65pt,8.35pt" o:allowincell="f" strokecolor="#000000" strokeweight="1.0199pt"/>
            </w:pict>
          </mc:Fallback>
        </mc:AlternateContent>
      </w:r>
    </w:p>
    <w:p>
      <w:pPr>
        <w:spacing w:after="0" w:line="190" w:lineRule="exact"/>
        <w:rPr>
          <w:sz w:val="20"/>
          <w:szCs w:val="20"/>
          <w:color w:val="auto"/>
        </w:rPr>
      </w:pPr>
    </w:p>
    <w:p>
      <w:pPr>
        <w:jc w:val="both"/>
        <w:ind w:left="720" w:right="360" w:hanging="353"/>
        <w:spacing w:after="0" w:line="252" w:lineRule="auto"/>
        <w:tabs>
          <w:tab w:leader="none" w:pos="7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liabilities for final capping, closure and post-closure costs recorded in our Consolidated Balance Sheet as of December 31, 2024, without the impact of discounting and inflation. Our recorded liabilities for final capping, closure and post-closure costs will increase as we continue to place additional tons within the permitted airspace at our landfills.</w:t>
      </w:r>
    </w:p>
    <w:p>
      <w:pPr>
        <w:spacing w:after="0" w:line="73" w:lineRule="exact"/>
        <w:rPr>
          <w:rFonts w:ascii="Times New Roman" w:cs="Times New Roman" w:eastAsia="Times New Roman" w:hAnsi="Times New Roman"/>
          <w:sz w:val="20"/>
          <w:szCs w:val="20"/>
          <w:color w:val="auto"/>
        </w:rPr>
      </w:pPr>
    </w:p>
    <w:p>
      <w:pPr>
        <w:jc w:val="both"/>
        <w:ind w:left="720" w:right="360" w:hanging="353"/>
        <w:spacing w:after="0" w:line="259" w:lineRule="auto"/>
        <w:tabs>
          <w:tab w:leader="none" w:pos="7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amounts represent the scheduled principal payments based on their contractual maturities related to our long - term debt and financing leases, excluding interest. Refer to Note 6 to the Consolidated Financial Statements for additional information regarding our debt obligations.</w:t>
      </w:r>
    </w:p>
    <w:p>
      <w:pPr>
        <w:spacing w:after="0" w:line="65" w:lineRule="exact"/>
        <w:rPr>
          <w:rFonts w:ascii="Times New Roman" w:cs="Times New Roman" w:eastAsia="Times New Roman" w:hAnsi="Times New Roman"/>
          <w:sz w:val="20"/>
          <w:szCs w:val="20"/>
          <w:color w:val="auto"/>
        </w:rPr>
      </w:pPr>
    </w:p>
    <w:p>
      <w:pPr>
        <w:jc w:val="both"/>
        <w:ind w:left="720" w:right="360" w:hanging="353"/>
        <w:spacing w:after="0" w:line="259" w:lineRule="auto"/>
        <w:tabs>
          <w:tab w:leader="none" w:pos="7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on our fixed-rate debt was calculated based on contractual rates and interest on our variable-rate debt was calculated based on interest rates as of December 31, 2024. As of December 31, 2024, we had $251 million of accrued interest related to our debt obligations.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3320" w:h="16920" w:orient="portrait"/>
          <w:cols w:equalWidth="0" w:num="1">
            <w:col w:w="10440"/>
          </w:cols>
          <w:pgMar w:left="1440" w:top="1440" w:right="1440" w:bottom="1440" w:gutter="0" w:footer="0" w:header="0"/>
          <w:type w:val="continuous"/>
        </w:sectPr>
      </w:pPr>
    </w:p>
    <w:bookmarkStart w:id="140" w:name="page141"/>
    <w:bookmarkEnd w:id="140"/>
    <w:p>
      <w:pPr>
        <w:spacing w:after="0" w:line="338" w:lineRule="exact"/>
        <w:rPr>
          <w:sz w:val="20"/>
          <w:szCs w:val="20"/>
          <w:color w:val="auto"/>
        </w:rPr>
      </w:pPr>
    </w:p>
    <w:p>
      <w:pPr>
        <w:jc w:val="both"/>
        <w:ind w:left="720" w:right="360" w:hanging="353"/>
        <w:spacing w:after="0"/>
        <w:tabs>
          <w:tab w:leader="none" w:pos="72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obligations represent purchase commitments from which we expect to realize an economic benefit in future periods. We have also made certain guarantees that we do not expect to materially affect our current or future financial position, results of operations or liquidity. See Note 10 to the Consolidated Financial Statements for discussion of the nature and terms of our unconditional purchase obligations and guarantees.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Summary of Cash and Cash Equivalents, Restricted Funds and Debt Obligations</w:t>
      </w:r>
    </w:p>
    <w:p>
      <w:pPr>
        <w:spacing w:after="0" w:line="239" w:lineRule="exact"/>
        <w:rPr>
          <w:sz w:val="20"/>
          <w:szCs w:val="20"/>
          <w:color w:val="auto"/>
        </w:rPr>
      </w:pPr>
    </w:p>
    <w:p>
      <w:pPr>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The following is a summary of our cash and cash equivalents, restricted funds and debt balances as of December 31 (in millions):</w:t>
      </w:r>
    </w:p>
    <w:p>
      <w:pPr>
        <w:spacing w:after="0" w:line="192"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7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0"/>
        </w:trPr>
        <w:tc>
          <w:tcPr>
            <w:tcW w:w="7520" w:type="dxa"/>
            <w:vAlign w:val="bottom"/>
            <w:vMerge w:val="continue"/>
          </w:tcPr>
          <w:p>
            <w:pPr>
              <w:jc w:val="right"/>
              <w:ind w:right="18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 . . . . . . . . . . . . . . . .</w:t>
            </w:r>
          </w:p>
        </w:tc>
        <w:tc>
          <w:tcPr>
            <w:tcW w:w="20" w:type="dxa"/>
            <w:vAlign w:val="bottom"/>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414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458</w:t>
            </w:r>
          </w:p>
        </w:tc>
        <w:tc>
          <w:tcPr>
            <w:tcW w:w="0" w:type="dxa"/>
            <w:vAlign w:val="bottom"/>
          </w:tcPr>
          <w:p>
            <w:pPr>
              <w:spacing w:after="0"/>
              <w:rPr>
                <w:sz w:val="1"/>
                <w:szCs w:val="1"/>
                <w:color w:val="auto"/>
              </w:rPr>
            </w:pPr>
          </w:p>
        </w:tc>
      </w:tr>
      <w:tr>
        <w:trPr>
          <w:trHeight w:val="213"/>
        </w:trPr>
        <w:tc>
          <w:tcPr>
            <w:tcW w:w="7520" w:type="dxa"/>
            <w:vAlign w:val="bottom"/>
          </w:tcPr>
          <w:p>
            <w:pPr>
              <w:spacing w:after="0" w:line="213" w:lineRule="exact"/>
              <w:rPr>
                <w:sz w:val="20"/>
                <w:szCs w:val="20"/>
                <w:color w:val="auto"/>
              </w:rPr>
            </w:pPr>
            <w:r>
              <w:rPr>
                <w:rFonts w:ascii="Times New Roman" w:cs="Times New Roman" w:eastAsia="Times New Roman" w:hAnsi="Times New Roman"/>
                <w:sz w:val="20"/>
                <w:szCs w:val="20"/>
                <w:color w:val="auto"/>
              </w:rPr>
              <w:t>Restricted funds: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9"/>
              </w:rPr>
              <w:t>Insurance reserves . . . . . . . . . . . . . . . . . . . . . .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w:t>
            </w: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w:t>
            </w:r>
          </w:p>
        </w:tc>
        <w:tc>
          <w:tcPr>
            <w:tcW w:w="0" w:type="dxa"/>
            <w:vAlign w:val="bottom"/>
          </w:tcPr>
          <w:p>
            <w:pPr>
              <w:spacing w:after="0"/>
              <w:rPr>
                <w:sz w:val="1"/>
                <w:szCs w:val="1"/>
                <w:color w:val="auto"/>
              </w:rPr>
            </w:pPr>
          </w:p>
        </w:tc>
      </w:tr>
      <w:tr>
        <w:trPr>
          <w:trHeight w:val="230"/>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Final capping, closure, post-closure and environmental remediation funds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0" w:type="dxa"/>
            <w:vAlign w:val="bottom"/>
          </w:tcPr>
          <w:p>
            <w:pPr>
              <w:spacing w:after="0"/>
              <w:rPr>
                <w:sz w:val="1"/>
                <w:szCs w:val="1"/>
                <w:color w:val="auto"/>
              </w:rPr>
            </w:pPr>
          </w:p>
        </w:tc>
      </w:tr>
      <w:tr>
        <w:trPr>
          <w:trHeight w:val="251"/>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8"/>
              </w:rPr>
              <w:t>Other . . . . . . . . . . . . . . . . . . . . . . . . . . . . . . . . . . . . . .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30"/>
        </w:trPr>
        <w:tc>
          <w:tcPr>
            <w:tcW w:w="7520" w:type="dxa"/>
            <w:vAlign w:val="bottom"/>
          </w:tcPr>
          <w:p>
            <w:pPr>
              <w:jc w:val="right"/>
              <w:ind w:right="18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 . . . . . . .Totalrestrictedfunds(a)</w:t>
            </w:r>
          </w:p>
        </w:tc>
        <w:tc>
          <w:tcPr>
            <w:tcW w:w="20" w:type="dxa"/>
            <w:vAlign w:val="bottom"/>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513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512</w:t>
            </w:r>
          </w:p>
        </w:tc>
        <w:tc>
          <w:tcPr>
            <w:tcW w:w="0" w:type="dxa"/>
            <w:vAlign w:val="bottom"/>
          </w:tcPr>
          <w:p>
            <w:pPr>
              <w:spacing w:after="0"/>
              <w:rPr>
                <w:sz w:val="1"/>
                <w:szCs w:val="1"/>
                <w:color w:val="auto"/>
              </w:rPr>
            </w:pPr>
          </w:p>
        </w:tc>
      </w:tr>
      <w:tr>
        <w:trPr>
          <w:trHeight w:val="212"/>
        </w:trPr>
        <w:tc>
          <w:tcPr>
            <w:tcW w:w="752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Debt: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8"/>
              </w:rPr>
              <w:t>Current portion . . . . . . . . . . . . . . . . . . . . . . . . .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1,359</w:t>
            </w: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w:t>
            </w:r>
          </w:p>
        </w:tc>
        <w:tc>
          <w:tcPr>
            <w:tcW w:w="0" w:type="dxa"/>
            <w:vAlign w:val="bottom"/>
          </w:tcPr>
          <w:p>
            <w:pPr>
              <w:spacing w:after="0"/>
              <w:rPr>
                <w:sz w:val="1"/>
                <w:szCs w:val="1"/>
                <w:color w:val="auto"/>
              </w:rPr>
            </w:pPr>
          </w:p>
        </w:tc>
      </w:tr>
      <w:tr>
        <w:trPr>
          <w:trHeight w:val="250"/>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9"/>
              </w:rPr>
              <w:t>Long-term portion . . . . . . . . . . . . . . . . . . . . . . . . . . .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22,541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15,895</w:t>
            </w:r>
          </w:p>
        </w:tc>
        <w:tc>
          <w:tcPr>
            <w:tcW w:w="0" w:type="dxa"/>
            <w:vAlign w:val="bottom"/>
          </w:tcPr>
          <w:p>
            <w:pPr>
              <w:spacing w:after="0"/>
              <w:rPr>
                <w:sz w:val="1"/>
                <w:szCs w:val="1"/>
                <w:color w:val="auto"/>
              </w:rPr>
            </w:pPr>
          </w:p>
        </w:tc>
      </w:tr>
      <w:tr>
        <w:trPr>
          <w:trHeight w:val="231"/>
        </w:trPr>
        <w:tc>
          <w:tcPr>
            <w:tcW w:w="7520" w:type="dxa"/>
            <w:vAlign w:val="bottom"/>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.Totaldebt</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23,900</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16,229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106680</wp:posOffset>
                </wp:positionV>
                <wp:extent cx="1541145" cy="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8.4pt" to="139.65pt,8.4pt" o:allowincell="f" strokecolor="#000000" strokeweight="1.02pt"/>
            </w:pict>
          </mc:Fallback>
        </mc:AlternateContent>
      </w:r>
    </w:p>
    <w:p>
      <w:pPr>
        <w:spacing w:after="0" w:line="190" w:lineRule="exact"/>
        <w:rPr>
          <w:sz w:val="20"/>
          <w:szCs w:val="20"/>
          <w:color w:val="auto"/>
        </w:rPr>
      </w:pPr>
    </w:p>
    <w:p>
      <w:pPr>
        <w:ind w:left="720" w:right="360" w:hanging="353"/>
        <w:spacing w:after="0" w:line="278" w:lineRule="auto"/>
        <w:tabs>
          <w:tab w:leader="none" w:pos="72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December 31, 2024 and 2023, $100 million and $90 million, respectively, of these account balances was included in other current assets in our Consolidated Balance Sheets.</w:t>
      </w:r>
    </w:p>
    <w:p>
      <w:pPr>
        <w:spacing w:after="0" w:line="168"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Debt </w:t>
      </w:r>
      <w:r>
        <w:rPr>
          <w:rFonts w:ascii="Times New Roman" w:cs="Times New Roman" w:eastAsia="Times New Roman" w:hAnsi="Times New Roman"/>
          <w:sz w:val="20"/>
          <w:szCs w:val="20"/>
          <w:color w:val="auto"/>
        </w:rPr>
        <w:t>— We use long-term borrowings in addition to the cash we generate from operations as part of our overall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financial strategy to support and grow our business. We primarily use senior notes and tax-exempt bonds to borrow on a long-term basis, but we also use other instruments and facilities, when appropriate. The components of our borrowings as of December 31, 2024 are described in Note 6 to the Consolidated Financial Statements.</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December 31, 2024, we had approximately $4.0 billion of debt maturing within the next 12 months, including</w:t>
      </w:r>
    </w:p>
    <w:p>
      <w:pPr>
        <w:spacing w:after="0" w:line="28" w:lineRule="exact"/>
        <w:rPr>
          <w:sz w:val="20"/>
          <w:szCs w:val="20"/>
          <w:color w:val="auto"/>
        </w:rPr>
      </w:pPr>
    </w:p>
    <w:p>
      <w:pPr>
        <w:jc w:val="both"/>
        <w:ind w:left="360" w:right="360" w:firstLine="7"/>
        <w:spacing w:after="0" w:line="241" w:lineRule="auto"/>
        <w:tabs>
          <w:tab w:leader="none" w:pos="595"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 billion of tax-exempt bonds with term interest rate periods that expire within the next 12 months, which is prior to their scheduled maturities; (ii) $1.2 billion of short-term borrowings under our commercial paper program (net of related discount on issuance); (iii) $422 million of 3.125% senior notes that mature in March 2025; (iv) $500 million of 0.750% senior notes that mature in November 2025 and (v) $438 million of other debt with scheduled maturities within the next 12 months, including $298 million of tax-exempt bonds. As of December 31, 2024, we have classified $2.6 billion of debt maturing in the next 12 months as long term because we have the intent and ability to refinance these borrowings on a long-term basis as supported by the forecasted available capacity under our $3.5 billion long-term U.S. and Canadian revolving credit facility (“$3.5 billion revolving credit facility”). The remaining $1.4 billion of debt maturing in the next 12 months is classified as current obligations.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3320" w:h="16920" w:orient="portrait"/>
          <w:cols w:equalWidth="0" w:num="1">
            <w:col w:w="10440"/>
          </w:cols>
          <w:pgMar w:left="1440" w:top="1440" w:right="1440" w:bottom="1440" w:gutter="0" w:footer="0" w:header="0"/>
          <w:type w:val="continuous"/>
        </w:sectPr>
      </w:pPr>
    </w:p>
    <w:bookmarkStart w:id="141" w:name="page142"/>
    <w:bookmarkEnd w:id="141"/>
    <w:p>
      <w:pPr>
        <w:spacing w:after="0" w:line="338" w:lineRule="exact"/>
        <w:rPr>
          <w:sz w:val="20"/>
          <w:szCs w:val="20"/>
          <w:color w:val="auto"/>
        </w:rPr>
      </w:pPr>
    </w:p>
    <w:p>
      <w:pPr>
        <w:jc w:val="both"/>
        <w:ind w:left="360" w:right="360" w:firstLine="288"/>
        <w:spacing w:after="0"/>
        <w:rPr>
          <w:sz w:val="20"/>
          <w:szCs w:val="20"/>
          <w:color w:val="auto"/>
        </w:rPr>
      </w:pPr>
      <w:r>
        <w:rPr>
          <w:rFonts w:ascii="Times New Roman" w:cs="Times New Roman" w:eastAsia="Times New Roman" w:hAnsi="Times New Roman"/>
          <w:sz w:val="20"/>
          <w:szCs w:val="20"/>
          <w:i w:val="1"/>
          <w:iCs w:val="1"/>
          <w:color w:val="auto"/>
        </w:rPr>
        <w:t xml:space="preserve">Senior Notes </w:t>
      </w:r>
      <w:r>
        <w:rPr>
          <w:rFonts w:ascii="Times New Roman" w:cs="Times New Roman" w:eastAsia="Times New Roman" w:hAnsi="Times New Roman"/>
          <w:sz w:val="20"/>
          <w:szCs w:val="20"/>
          <w:color w:val="auto"/>
        </w:rPr>
        <w:t>— In July 2024, WMI issued $750 million of 4.950% senior notes due July 2027 and $750 million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4.950% notes due July 2031, the net proceeds of which were $1.49 billion. The net proceeds were used primarily to reduce outstanding borrowings under our commercial paper program. We also repaid $156 million of WMI’s 3.500% senior notes upon maturity in May 2024.</w:t>
      </w:r>
    </w:p>
    <w:p>
      <w:pPr>
        <w:spacing w:after="0" w:line="172" w:lineRule="exact"/>
        <w:rPr>
          <w:sz w:val="20"/>
          <w:szCs w:val="20"/>
          <w:color w:val="auto"/>
        </w:rPr>
      </w:pPr>
    </w:p>
    <w:p>
      <w:pPr>
        <w:jc w:val="both"/>
        <w:ind w:left="360" w:right="360" w:firstLine="288"/>
        <w:spacing w:after="0" w:line="237" w:lineRule="auto"/>
        <w:rPr>
          <w:sz w:val="20"/>
          <w:szCs w:val="20"/>
          <w:color w:val="auto"/>
        </w:rPr>
      </w:pPr>
      <w:r>
        <w:rPr>
          <w:rFonts w:ascii="Times New Roman" w:cs="Times New Roman" w:eastAsia="Times New Roman" w:hAnsi="Times New Roman"/>
          <w:sz w:val="20"/>
          <w:szCs w:val="20"/>
          <w:color w:val="auto"/>
        </w:rPr>
        <w:t>In August 2024, WMI entered into a delayed draw Term Credit Agreement in a principal amount of up to $7.2 billion (the “Term Credit Agreement”). In October 2024, we drew $5.2 billion of borrowings under the Term Credit Agreement that were applied to funding our acquisition of Stericycle. In November 2024, we repaid all outstanding borrowings and contemporaneously terminated the Term Credit Agreement, resulting in a $7 million loss on early extinguishment of debt. See Note 6 to the Consolidated Financial Statements for further discussion.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November 2024, we issued senior notes, the net proceeds of which were approximately $5.2 billion, consisting of</w:t>
      </w:r>
    </w:p>
    <w:p>
      <w:pPr>
        <w:spacing w:after="0" w:line="5" w:lineRule="exact"/>
        <w:rPr>
          <w:sz w:val="20"/>
          <w:szCs w:val="20"/>
          <w:color w:val="auto"/>
        </w:rPr>
      </w:pPr>
    </w:p>
    <w:p>
      <w:pPr>
        <w:ind w:left="640" w:hanging="273"/>
        <w:spacing w:after="0"/>
        <w:tabs>
          <w:tab w:leader="none" w:pos="64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billion of 4.500% senior notes due March 2028; (ii) $700 million of 4.650% senior notes due March 2030;</w:t>
      </w:r>
    </w:p>
    <w:p>
      <w:pPr>
        <w:ind w:left="720" w:hanging="353"/>
        <w:spacing w:after="0" w:line="227" w:lineRule="auto"/>
        <w:tabs>
          <w:tab w:leader="none" w:pos="72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$750 million of 4.800% senior notes due March 2032; (iv) $1.5 billion of 4.950% senior notes due March 2035; and</w:t>
      </w:r>
    </w:p>
    <w:p>
      <w:pPr>
        <w:ind w:left="360" w:right="360" w:firstLine="7"/>
        <w:spacing w:after="0" w:line="238" w:lineRule="auto"/>
        <w:tabs>
          <w:tab w:leader="none" w:pos="645"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$1.25 billion of 5.350% senior notes due October 2054. We used the net proceeds to repay all outstanding borrowing under the Term Credit Agreement.</w:t>
      </w:r>
    </w:p>
    <w:p>
      <w:pPr>
        <w:spacing w:after="0" w:line="171" w:lineRule="exact"/>
        <w:rPr>
          <w:sz w:val="20"/>
          <w:szCs w:val="20"/>
          <w:color w:val="auto"/>
        </w:rPr>
      </w:pPr>
    </w:p>
    <w:p>
      <w:pPr>
        <w:jc w:val="both"/>
        <w:ind w:left="360" w:right="360" w:firstLine="288"/>
        <w:spacing w:after="0" w:line="231" w:lineRule="auto"/>
        <w:rPr>
          <w:sz w:val="20"/>
          <w:szCs w:val="20"/>
          <w:color w:val="auto"/>
        </w:rPr>
      </w:pPr>
      <w:r>
        <w:rPr>
          <w:rFonts w:ascii="Times New Roman" w:cs="Times New Roman" w:eastAsia="Times New Roman" w:hAnsi="Times New Roman"/>
          <w:sz w:val="20"/>
          <w:szCs w:val="20"/>
          <w:i w:val="1"/>
          <w:iCs w:val="1"/>
          <w:color w:val="auto"/>
        </w:rPr>
        <w:t xml:space="preserve">Stericycle Exchange Offer and Consent Solicitation — </w:t>
      </w:r>
      <w:r>
        <w:rPr>
          <w:rFonts w:ascii="Times New Roman" w:cs="Times New Roman" w:eastAsia="Times New Roman" w:hAnsi="Times New Roman"/>
          <w:sz w:val="20"/>
          <w:szCs w:val="20"/>
          <w:color w:val="auto"/>
        </w:rPr>
        <w:t>On November 8, 2024, we completed our private offer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eligible holders to exchange $500 million of outstanding 3.875% senior notes issued by Stericycle (the “Stericycle Notes”) for new notes issued by us (the “WM Notes”) and cash. The WM Notes have the same interest rate, interest payment dates, and maturity date as the exchanged Stericycle Notes but differ in certain respects from the Stericycle Notes, including with respect to the redemption provisions. Approximately $485 million in aggregate principal amount of the Stericycle Notes, or 97%, were tendered and accepted, and new WM Notes were issued. The portion of Stericycle Notes not exchanged, approximately $15 million, remains an outstanding obligation of Stericycle, our wholly-owned subsidiary. The debt exchange is accounted for as a modification of debt, as the financial terms of the WM Notes do not differ from the Stericycle Notes, and there is no substantial difference between the present value of cash flows under each respective set of notes. In connection with the exchange offer, we solicited and obtained sufficient consents to amend the Stericycle Notes and related indenture to eliminate substantially all the restrictive covenants, restrictive provisions and events of default, other than payment-related, guarantee-related and bankruptcy- related events of default, and such amendments took effect with respect to the remaining Stericycle Notes on November 8, 2024.</w:t>
      </w:r>
    </w:p>
    <w:p>
      <w:pPr>
        <w:spacing w:after="0" w:line="202" w:lineRule="exact"/>
        <w:rPr>
          <w:sz w:val="20"/>
          <w:szCs w:val="20"/>
          <w:color w:val="auto"/>
        </w:rPr>
      </w:pPr>
    </w:p>
    <w:p>
      <w:pPr>
        <w:jc w:val="both"/>
        <w:ind w:left="360" w:right="360" w:firstLine="288"/>
        <w:spacing w:after="0" w:line="278" w:lineRule="auto"/>
        <w:rPr>
          <w:sz w:val="20"/>
          <w:szCs w:val="20"/>
          <w:color w:val="auto"/>
        </w:rPr>
      </w:pPr>
      <w:r>
        <w:rPr>
          <w:rFonts w:ascii="Times New Roman" w:cs="Times New Roman" w:eastAsia="Times New Roman" w:hAnsi="Times New Roman"/>
          <w:sz w:val="20"/>
          <w:szCs w:val="20"/>
          <w:color w:val="auto"/>
        </w:rPr>
        <w:t>We have credit lines in place to support our liquidity and financial assurance needs. The following table summarizes our outstanding letters of credit, categorized by type of facility as of December 31 (in millions):</w:t>
      </w:r>
    </w:p>
    <w:p>
      <w:pPr>
        <w:spacing w:after="0" w:line="186" w:lineRule="exact"/>
        <w:rPr>
          <w:sz w:val="20"/>
          <w:szCs w:val="20"/>
          <w:color w:val="auto"/>
        </w:rPr>
      </w:pPr>
    </w:p>
    <w:tbl>
      <w:tblPr>
        <w:tblLayout w:type="fixed"/>
        <w:tblInd w:w="360" w:type="dxa"/>
        <w:tblCellMar>
          <w:top w:w="0" w:type="dxa"/>
          <w:left w:w="0" w:type="dxa"/>
          <w:bottom w:w="0" w:type="dxa"/>
          <w:right w:w="0" w:type="dxa"/>
        </w:tblCellMar>
      </w:tblPr>
      <w:tr>
        <w:trPr>
          <w:trHeight w:val="205"/>
        </w:trPr>
        <w:tc>
          <w:tcPr>
            <w:tcW w:w="7660" w:type="dxa"/>
            <w:vAlign w:val="bottom"/>
            <w:vMerge w:val="restart"/>
          </w:tcPr>
          <w:p>
            <w:pPr>
              <w:jc w:val="right"/>
              <w:ind w:right="5320"/>
              <w:spacing w:after="0"/>
              <w:rPr>
                <w:sz w:val="20"/>
                <w:szCs w:val="20"/>
                <w:color w:val="auto"/>
              </w:rPr>
            </w:pPr>
            <w:r>
              <w:rPr>
                <w:rFonts w:ascii="Times New Roman" w:cs="Times New Roman" w:eastAsia="Times New Roman" w:hAnsi="Times New Roman"/>
                <w:sz w:val="20"/>
                <w:szCs w:val="20"/>
                <w:color w:val="auto"/>
                <w:w w:val="99"/>
              </w:rPr>
              <w:t>Revolving credit facility (a)</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1"/>
        </w:trPr>
        <w:tc>
          <w:tcPr>
            <w:tcW w:w="7660" w:type="dxa"/>
            <w:vAlign w:val="bottom"/>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w:t>
            </w:r>
          </w:p>
        </w:tc>
        <w:tc>
          <w:tcPr>
            <w:tcW w:w="2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224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180</w:t>
            </w:r>
          </w:p>
        </w:tc>
        <w:tc>
          <w:tcPr>
            <w:tcW w:w="0" w:type="dxa"/>
            <w:vAlign w:val="bottom"/>
          </w:tcPr>
          <w:p>
            <w:pPr>
              <w:spacing w:after="0"/>
              <w:rPr>
                <w:sz w:val="1"/>
                <w:szCs w:val="1"/>
                <w:color w:val="auto"/>
              </w:rPr>
            </w:pPr>
          </w:p>
        </w:tc>
      </w:tr>
      <w:tr>
        <w:trPr>
          <w:trHeight w:val="251"/>
        </w:trPr>
        <w:tc>
          <w:tcPr>
            <w:tcW w:w="76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Other letter of credit lines (b) . . . . . . . . . . . . . . . . . . . .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834</w:t>
            </w:r>
          </w:p>
        </w:tc>
        <w:tc>
          <w:tcPr>
            <w:tcW w:w="0" w:type="dxa"/>
            <w:vAlign w:val="bottom"/>
          </w:tcPr>
          <w:p>
            <w:pPr>
              <w:spacing w:after="0"/>
              <w:rPr>
                <w:sz w:val="1"/>
                <w:szCs w:val="1"/>
                <w:color w:val="auto"/>
              </w:rPr>
            </w:pPr>
          </w:p>
        </w:tc>
      </w:tr>
      <w:tr>
        <w:trPr>
          <w:trHeight w:val="231"/>
        </w:trPr>
        <w:tc>
          <w:tcPr>
            <w:tcW w:w="76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1,086</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106045</wp:posOffset>
                </wp:positionV>
                <wp:extent cx="1541145" cy="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8.35pt" to="139.65pt,8.35pt" o:allowincell="f" strokecolor="#000000" strokeweight="1.0199pt"/>
            </w:pict>
          </mc:Fallback>
        </mc:AlternateContent>
      </w:r>
    </w:p>
    <w:p>
      <w:pPr>
        <w:spacing w:after="0" w:line="190" w:lineRule="exact"/>
        <w:rPr>
          <w:sz w:val="20"/>
          <w:szCs w:val="20"/>
          <w:color w:val="auto"/>
        </w:rPr>
      </w:pPr>
    </w:p>
    <w:p>
      <w:pPr>
        <w:ind w:left="720" w:right="360" w:hanging="353"/>
        <w:spacing w:after="0" w:line="278" w:lineRule="auto"/>
        <w:tabs>
          <w:tab w:leader="none" w:pos="72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December 31, 2024 and 2023, we had an unused and available credit capacity of $2.1 billion and $2.5 billion, respectively.</w:t>
      </w:r>
    </w:p>
    <w:p>
      <w:pPr>
        <w:spacing w:after="0" w:line="46" w:lineRule="exact"/>
        <w:rPr>
          <w:rFonts w:ascii="Times New Roman" w:cs="Times New Roman" w:eastAsia="Times New Roman" w:hAnsi="Times New Roman"/>
          <w:sz w:val="20"/>
          <w:szCs w:val="20"/>
          <w:color w:val="auto"/>
        </w:rPr>
      </w:pPr>
    </w:p>
    <w:p>
      <w:pPr>
        <w:ind w:left="720" w:right="360" w:hanging="353"/>
        <w:spacing w:after="0" w:line="278" w:lineRule="auto"/>
        <w:tabs>
          <w:tab w:leader="none" w:pos="72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December 31, 2024, these other letter of credit lines are uncommitted with terms extending through December 2028.</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Guarantor Financial Information</w:t>
      </w:r>
    </w:p>
    <w:p>
      <w:pPr>
        <w:spacing w:after="0" w:line="239" w:lineRule="exact"/>
        <w:rPr>
          <w:sz w:val="20"/>
          <w:szCs w:val="20"/>
          <w:color w:val="auto"/>
        </w:rPr>
      </w:pPr>
    </w:p>
    <w:p>
      <w:pPr>
        <w:jc w:val="both"/>
        <w:ind w:left="360" w:right="360" w:firstLine="270"/>
        <w:spacing w:after="0" w:line="246" w:lineRule="auto"/>
        <w:rPr>
          <w:sz w:val="20"/>
          <w:szCs w:val="20"/>
          <w:color w:val="auto"/>
        </w:rPr>
      </w:pPr>
      <w:r>
        <w:rPr>
          <w:rFonts w:ascii="Times New Roman" w:cs="Times New Roman" w:eastAsia="Times New Roman" w:hAnsi="Times New Roman"/>
          <w:sz w:val="20"/>
          <w:szCs w:val="20"/>
          <w:color w:val="auto"/>
        </w:rPr>
        <w:t>WM Holdings has fully and unconditionally guaranteed all of WMI’s senior indebtedness. WMI has fully and unconditionally guaranteed all of WM Holdings’ senior indebtedness. None of WMI’s other subsidiaries have guaranteed any of WMI’s or WM Holdings’ debt. In lieu of providing separate financial statements for the subsidiary issuer and guarantor (WMI and WM Holdings), we have presented the accompanying supplemental summarized combined balance sheet and income statement information for WMI and WM Holdings on a combined basis after elimination of intercompany transactions between WMI and WM Holdings and amounts related to investments in any subsidiary that is a non-guarantor (in millions):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3320" w:h="16920" w:orient="portrait"/>
          <w:cols w:equalWidth="0" w:num="1">
            <w:col w:w="10440"/>
          </w:cols>
          <w:pgMar w:left="1440" w:top="1440" w:right="1440" w:bottom="1440" w:gutter="0" w:footer="0" w:header="0"/>
          <w:type w:val="continuous"/>
        </w:sectPr>
      </w:pPr>
    </w:p>
    <w:bookmarkStart w:id="142" w:name="page143"/>
    <w:bookmarkEnd w:id="142"/>
    <w:p>
      <w:pPr>
        <w:spacing w:after="0" w:line="368"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82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Balance Sheet Information:</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1"/>
        </w:trPr>
        <w:tc>
          <w:tcPr>
            <w:tcW w:w="82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w w:val="96"/>
              </w:rPr>
              <w:t>Current assets . . . . . . . . . . . . . . . . . . . . . . . . . . . . . . . . . . . . . . . . . . . . . . . . . . . . . . . . . . . . . . . . . . . . . . . . . .</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w w:val="97"/>
              </w:rPr>
              <w:t>Noncurrent assets . . . . . . . . . . . . . . . . . . . . . . . . . . . . . . . . . . . . . . . . . . . . . . . . . . . . . . . . . . . . . . . . . . . . . .</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w w:val="96"/>
              </w:rPr>
              <w:t>Current liabilities . . . . . . . . . . . . . . . . . . . . . . . . . . . . . . . . . . . . . . . . . . . . . . . . . . . . . . . . . . . . . . . . . . . . . . .</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1,367</w:t>
            </w:r>
          </w:p>
        </w:tc>
        <w:tc>
          <w:tcPr>
            <w:tcW w:w="0" w:type="dxa"/>
            <w:vAlign w:val="bottom"/>
          </w:tcPr>
          <w:p>
            <w:pPr>
              <w:spacing w:after="0"/>
              <w:rPr>
                <w:sz w:val="1"/>
                <w:szCs w:val="1"/>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Noncurrent liabilities:</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Advances due to affiliates . . . . . . . . . . . . . . . . . . . . . . . . . . . . . . . . . . . . . . . . . . . . . . . . . . . . . . . . . . . . . .</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15,328</w:t>
            </w:r>
          </w:p>
        </w:tc>
        <w:tc>
          <w:tcPr>
            <w:tcW w:w="0" w:type="dxa"/>
            <w:vAlign w:val="bottom"/>
          </w:tcPr>
          <w:p>
            <w:pPr>
              <w:spacing w:after="0"/>
              <w:rPr>
                <w:sz w:val="1"/>
                <w:szCs w:val="1"/>
                <w:color w:val="auto"/>
              </w:rPr>
            </w:pPr>
          </w:p>
        </w:tc>
      </w:tr>
      <w:tr>
        <w:trPr>
          <w:trHeight w:val="267"/>
        </w:trPr>
        <w:tc>
          <w:tcPr>
            <w:tcW w:w="822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Other noncurrent liabilities . . . . . . . . . . . . . . . . . . . . . . . . . . . . . . . . . . . . . . . . . . . . . . . . . . . . . . . . . . . . .</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20,140</w:t>
            </w:r>
          </w:p>
        </w:tc>
        <w:tc>
          <w:tcPr>
            <w:tcW w:w="0" w:type="dxa"/>
            <w:vAlign w:val="bottom"/>
          </w:tcPr>
          <w:p>
            <w:pPr>
              <w:spacing w:after="0"/>
              <w:rPr>
                <w:sz w:val="1"/>
                <w:szCs w:val="1"/>
                <w:color w:val="auto"/>
              </w:rPr>
            </w:pPr>
          </w:p>
        </w:tc>
      </w:tr>
      <w:tr>
        <w:trPr>
          <w:trHeight w:val="398"/>
        </w:trPr>
        <w:tc>
          <w:tcPr>
            <w:tcW w:w="8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gridSpan w:val="3"/>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82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Income Statement Information:</w:t>
            </w:r>
          </w:p>
        </w:tc>
        <w:tc>
          <w:tcPr>
            <w:tcW w:w="40" w:type="dxa"/>
            <w:vAlign w:val="bottom"/>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1"/>
        </w:trPr>
        <w:tc>
          <w:tcPr>
            <w:tcW w:w="82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w w:val="99"/>
              </w:rPr>
              <w:t>Revenue . . . . . . . . . . . . . . . . . . . . . . . . . . . . . . . . . . . . . . . . . . . . . . . . . . . . . . . . . . . . . . . . . . . . . . . . . . .</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 . . . . . . . . . . . . . . . . . . . . . . . . . . . . . . . . . . . . . . . . . . . . . . . . . . . . . . . . . . . . . . . . . . .</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w:t>
            </w:r>
          </w:p>
        </w:tc>
        <w:tc>
          <w:tcPr>
            <w:tcW w:w="0" w:type="dxa"/>
            <w:vAlign w:val="bottom"/>
          </w:tcPr>
          <w:p>
            <w:pPr>
              <w:spacing w:after="0"/>
              <w:rPr>
                <w:sz w:val="1"/>
                <w:szCs w:val="1"/>
                <w:color w:val="auto"/>
              </w:rPr>
            </w:pPr>
          </w:p>
        </w:tc>
      </w:tr>
      <w:tr>
        <w:trPr>
          <w:trHeight w:val="267"/>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w w:val="99"/>
              </w:rPr>
              <w:t>Net loss . . . . . . . . . . . . . . . . . . . . . . . . . . . . . . . . . . . . . . . . . . . . . . . . . . . . . . . . . . . . . . . . . . . . . . . . . . . .</w:t>
            </w: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Summary of Cash Flow Activity</w:t>
      </w:r>
    </w:p>
    <w:p>
      <w:pPr>
        <w:spacing w:after="0" w:line="2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is a summary of our cash flows for the year ended December 31 (in millions):</w:t>
      </w:r>
    </w:p>
    <w:p>
      <w:pPr>
        <w:spacing w:after="0" w:line="261"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700" w:type="dxa"/>
            <w:vAlign w:val="bottom"/>
            <w:gridSpan w:val="2"/>
            <w:vMerge w:val="continue"/>
          </w:tcPr>
          <w:p>
            <w:pPr>
              <w:jc w:val="right"/>
              <w:ind w:right="3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5,390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4,719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4,536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700" w:type="dxa"/>
            <w:vAlign w:val="bottom"/>
            <w:gridSpan w:val="2"/>
          </w:tcPr>
          <w:p>
            <w:pPr>
              <w:jc w:val="right"/>
              <w:ind w:right="32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.Netcashusedininvestingactivities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(10,601)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ind w:left="100"/>
              <w:spacing w:after="0" w:line="221" w:lineRule="exact"/>
              <w:rPr>
                <w:sz w:val="20"/>
                <w:szCs w:val="20"/>
                <w:color w:val="auto"/>
              </w:rPr>
            </w:pPr>
            <w:r>
              <w:rPr>
                <w:rFonts w:ascii="Times New Roman" w:cs="Times New Roman" w:eastAsia="Times New Roman" w:hAnsi="Times New Roman"/>
                <w:sz w:val="20"/>
                <w:szCs w:val="20"/>
                <w:color w:val="auto"/>
                <w:w w:val="95"/>
              </w:rPr>
              <w:t>(3,091)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ind w:left="80"/>
              <w:spacing w:after="0" w:line="221" w:lineRule="exact"/>
              <w:rPr>
                <w:sz w:val="20"/>
                <w:szCs w:val="20"/>
                <w:color w:val="auto"/>
              </w:rPr>
            </w:pPr>
            <w:r>
              <w:rPr>
                <w:rFonts w:ascii="Times New Roman" w:cs="Times New Roman" w:eastAsia="Times New Roman" w:hAnsi="Times New Roman"/>
                <w:sz w:val="20"/>
                <w:szCs w:val="20"/>
                <w:color w:val="auto"/>
                <w:w w:val="99"/>
              </w:rPr>
              <w:t>(3,063)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80" w:type="dxa"/>
            <w:vAlign w:val="bottom"/>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w w:val="98"/>
              </w:rPr>
              <w:t>Net cash provided by (used in) financing activities . . . . . . . . . . . . . . . . . . . . . . . .</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5,155</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w w:val="95"/>
              </w:rPr>
              <w:t>(1,524)</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w w:val="99"/>
              </w:rPr>
              <w:t>(1,216)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Net Cash Provided by Operating Activities — </w:t>
      </w:r>
      <w:r>
        <w:rPr>
          <w:rFonts w:ascii="Times New Roman" w:cs="Times New Roman" w:eastAsia="Times New Roman" w:hAnsi="Times New Roman"/>
          <w:sz w:val="20"/>
          <w:szCs w:val="20"/>
          <w:color w:val="auto"/>
        </w:rPr>
        <w:t>Our operating cash flows increased in 2024, as compared with 2023,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by $671 million primarily driven by (i) higher earnings in our Collection and Disposal businesses; (ii) favorable changes in working capital, net of effects of acquisitions and divestitures and (iii) lower annual incentive compensation payments. This increase was partially offset by higher cash interest and income tax payments.</w:t>
      </w:r>
    </w:p>
    <w:p>
      <w:pPr>
        <w:spacing w:after="0" w:line="75"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Our operating cash flows increased in 2023, as compared with 2022, by $183 million primarily driven by higher earnings attributable to our Collection and Disposal businesses and lower income tax payments as a result of a deposit of approximately $103 million that was made to the IRS in 2022 related to a disputed tax matter discussed within Note 8 to the Consolidated Financial Statements. These increases were partially offset by (i) unfavorable changes in working capital, net of effects of acquisitions and divestitures; (ii) higher interest payments and (iii) higher incentive compensation payments.</w:t>
      </w:r>
    </w:p>
    <w:p>
      <w:pPr>
        <w:spacing w:after="0" w:line="79"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Net Cash Used in Investing Activities — </w:t>
      </w:r>
      <w:r>
        <w:rPr>
          <w:rFonts w:ascii="Times New Roman" w:cs="Times New Roman" w:eastAsia="Times New Roman" w:hAnsi="Times New Roman"/>
          <w:sz w:val="20"/>
          <w:szCs w:val="20"/>
          <w:color w:val="auto"/>
        </w:rPr>
        <w:t>The most significant items affecting the comparison of our investing cash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flows for the periods presented are summarized below:</w:t>
      </w:r>
    </w:p>
    <w:p>
      <w:pPr>
        <w:spacing w:after="0" w:line="62" w:lineRule="exact"/>
        <w:rPr>
          <w:sz w:val="20"/>
          <w:szCs w:val="20"/>
          <w:color w:val="auto"/>
        </w:rPr>
      </w:pPr>
    </w:p>
    <w:p>
      <w:pPr>
        <w:jc w:val="both"/>
        <w:ind w:left="1080" w:right="360" w:hanging="353"/>
        <w:spacing w:after="0" w:line="249" w:lineRule="auto"/>
        <w:tabs>
          <w:tab w:leader="none" w:pos="1080" w:val="left"/>
        </w:tabs>
        <w:numPr>
          <w:ilvl w:val="0"/>
          <w:numId w:val="98"/>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Acquisitions — </w:t>
      </w:r>
      <w:r>
        <w:rPr>
          <w:rFonts w:ascii="Times New Roman" w:cs="Times New Roman" w:eastAsia="Times New Roman" w:hAnsi="Times New Roman"/>
          <w:sz w:val="20"/>
          <w:szCs w:val="20"/>
          <w:color w:val="auto"/>
        </w:rPr>
        <w:t>Our spending on acquisitions was $7,503 million, $173 million and $377 million in 2024, 2023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2022, respectively, of which $7,488 million, $170 million and $377 million, respectively, are considered cash used in investing activities. The remaining spend is cash used in financing activity related to the timing of contingent consideration paid. Excluding our acquisition of Stericycle in 2024, substantially all of the remaining acquisitions are related to our solid waste and recycling businesses.</w:t>
      </w:r>
    </w:p>
    <w:p>
      <w:pPr>
        <w:spacing w:after="0" w:line="90" w:lineRule="exact"/>
        <w:rPr>
          <w:rFonts w:ascii="Arial" w:cs="Arial" w:eastAsia="Arial" w:hAnsi="Arial"/>
          <w:sz w:val="20"/>
          <w:szCs w:val="20"/>
          <w:color w:val="auto"/>
        </w:rPr>
      </w:pPr>
    </w:p>
    <w:p>
      <w:pPr>
        <w:jc w:val="both"/>
        <w:ind w:left="1080" w:right="360" w:hanging="353"/>
        <w:spacing w:after="0" w:line="260" w:lineRule="auto"/>
        <w:tabs>
          <w:tab w:leader="none" w:pos="1080" w:val="left"/>
        </w:tabs>
        <w:numPr>
          <w:ilvl w:val="0"/>
          <w:numId w:val="98"/>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Capital Expenditures — </w:t>
      </w:r>
      <w:r>
        <w:rPr>
          <w:rFonts w:ascii="Times New Roman" w:cs="Times New Roman" w:eastAsia="Times New Roman" w:hAnsi="Times New Roman"/>
          <w:sz w:val="19"/>
          <w:szCs w:val="19"/>
          <w:color w:val="auto"/>
        </w:rPr>
        <w:t>We used $3,231 million, $2,895 million and $2,587 million for capital expenditures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2024, 2023 and 2022, respectively. The increase in capital spending in 2024 is primarily driven by (i) our planned and ongoing investments in our Recycling Processing and Sales and WM Renewable Energy segments; (ii) an increase in truck spending in the current year due to supply chain constraints on truck deliveries in the prior year and (iii) capital expenditures within our WM Healthcare Solutions segment to support the business. The increase in 2023 is primarily driven by our planned and ongoing investments in our Recycling Processing and Sales and WM Renewable Energy segments, as well as inflationary increases in many fixed asset categories required to support ongoing operations and investments in the Company’s landfills to reduce greenhouse gas emissions.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3320" w:h="16920" w:orient="portrait"/>
          <w:cols w:equalWidth="0" w:num="1">
            <w:col w:w="10440"/>
          </w:cols>
          <w:pgMar w:left="1440" w:top="1440" w:right="1440" w:bottom="1440" w:gutter="0" w:footer="0" w:header="0"/>
        </w:sectPr>
      </w:pPr>
    </w:p>
    <w:bookmarkStart w:id="143" w:name="page144"/>
    <w:bookmarkEnd w:id="143"/>
    <w:p>
      <w:pPr>
        <w:spacing w:after="0" w:line="347" w:lineRule="exact"/>
        <w:rPr>
          <w:sz w:val="20"/>
          <w:szCs w:val="20"/>
          <w:color w:val="auto"/>
        </w:rPr>
      </w:pPr>
    </w:p>
    <w:p>
      <w:pPr>
        <w:jc w:val="both"/>
        <w:ind w:left="1080" w:right="360"/>
        <w:spacing w:after="0" w:line="249" w:lineRule="auto"/>
        <w:rPr>
          <w:sz w:val="20"/>
          <w:szCs w:val="20"/>
          <w:color w:val="auto"/>
        </w:rPr>
      </w:pPr>
      <w:r>
        <w:rPr>
          <w:rFonts w:ascii="Times New Roman" w:cs="Times New Roman" w:eastAsia="Times New Roman" w:hAnsi="Times New Roman"/>
          <w:sz w:val="20"/>
          <w:szCs w:val="20"/>
          <w:color w:val="auto"/>
        </w:rPr>
        <w:t>The Company continues to maintain a disciplined focus on capital management to prioritize investments for expansion, the replacement of aging assets and assets that support our strategy of differentiation and continuous improvement through efficiency and innovation. The Company expects to invest $3.0 billion in growth investments across the recycling and renewable energy platforms from 2022 to 2026, which includes the $1.7 billion already invested in 2023 and 2024.</w:t>
      </w:r>
    </w:p>
    <w:p>
      <w:pPr>
        <w:spacing w:after="0" w:line="92" w:lineRule="exact"/>
        <w:rPr>
          <w:sz w:val="20"/>
          <w:szCs w:val="20"/>
          <w:color w:val="auto"/>
        </w:rPr>
      </w:pPr>
    </w:p>
    <w:p>
      <w:pPr>
        <w:jc w:val="both"/>
        <w:ind w:left="1080" w:right="360" w:hanging="353"/>
        <w:spacing w:after="0" w:line="258" w:lineRule="auto"/>
        <w:tabs>
          <w:tab w:leader="none" w:pos="1080" w:val="left"/>
        </w:tabs>
        <w:numPr>
          <w:ilvl w:val="0"/>
          <w:numId w:val="99"/>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Divestitures — </w:t>
      </w:r>
      <w:r>
        <w:rPr>
          <w:rFonts w:ascii="Times New Roman" w:cs="Times New Roman" w:eastAsia="Times New Roman" w:hAnsi="Times New Roman"/>
          <w:sz w:val="20"/>
          <w:szCs w:val="20"/>
          <w:color w:val="auto"/>
        </w:rPr>
        <w:t>Proceeds from divestitures of businesses and other assets, net of cash divested, were $158 million,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$78 million and $27 million in 2024, 2023 and 2022, primarily as the result of the sale of certain non-strategic assets.</w:t>
      </w:r>
    </w:p>
    <w:p>
      <w:pPr>
        <w:spacing w:after="0" w:line="81" w:lineRule="exact"/>
        <w:rPr>
          <w:rFonts w:ascii="Arial" w:cs="Arial" w:eastAsia="Arial" w:hAnsi="Arial"/>
          <w:sz w:val="20"/>
          <w:szCs w:val="20"/>
          <w:color w:val="auto"/>
        </w:rPr>
      </w:pPr>
    </w:p>
    <w:p>
      <w:pPr>
        <w:jc w:val="both"/>
        <w:ind w:left="1080" w:right="360" w:hanging="353"/>
        <w:spacing w:after="0" w:line="247" w:lineRule="auto"/>
        <w:tabs>
          <w:tab w:leader="none" w:pos="1080" w:val="left"/>
        </w:tabs>
        <w:numPr>
          <w:ilvl w:val="0"/>
          <w:numId w:val="99"/>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Other, Net — </w:t>
      </w:r>
      <w:r>
        <w:rPr>
          <w:rFonts w:ascii="Times New Roman" w:cs="Times New Roman" w:eastAsia="Times New Roman" w:hAnsi="Times New Roman"/>
          <w:sz w:val="20"/>
          <w:szCs w:val="20"/>
          <w:color w:val="auto"/>
        </w:rPr>
        <w:t>Our spending within other, net was $40 million, $104 million and $126 million in 2024, 2023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2022, respectively. During 2024, 2023 and 2022, we used $4 million, $61 million and $23 million, respectively, of cash from restricted cash and cash equivalents to invest in available-for-sale securities. During 2024, 2023 and 2022, we used $33 million, $20 million and $28 million, respectively, to make initial cash payments associated with low - income housing investments. In 2022, we also used $67 million to fund secured convertible promissory notes associated with an acquisition.</w:t>
      </w:r>
    </w:p>
    <w:p>
      <w:pPr>
        <w:spacing w:after="0" w:line="79" w:lineRule="exact"/>
        <w:rPr>
          <w:sz w:val="20"/>
          <w:szCs w:val="20"/>
          <w:color w:val="auto"/>
        </w:rPr>
      </w:pPr>
    </w:p>
    <w:p>
      <w:pPr>
        <w:ind w:left="720" w:right="50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Net Cash Provided by (Used in) Financing Activities — </w:t>
      </w:r>
      <w:r>
        <w:rPr>
          <w:rFonts w:ascii="Times New Roman" w:cs="Times New Roman" w:eastAsia="Times New Roman" w:hAnsi="Times New Roman"/>
          <w:sz w:val="20"/>
          <w:szCs w:val="20"/>
          <w:color w:val="auto"/>
        </w:rPr>
        <w:t>The most significant items affecting the comparison of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financing cash flows for the periods presented are summarized below:</w:t>
      </w:r>
    </w:p>
    <w:p>
      <w:pPr>
        <w:spacing w:after="0" w:line="61" w:lineRule="exact"/>
        <w:rPr>
          <w:sz w:val="20"/>
          <w:szCs w:val="20"/>
          <w:color w:val="auto"/>
        </w:rPr>
      </w:pPr>
    </w:p>
    <w:p>
      <w:pPr>
        <w:ind w:left="1020" w:right="360" w:hanging="365"/>
        <w:spacing w:after="0" w:line="277" w:lineRule="auto"/>
        <w:tabs>
          <w:tab w:leader="none" w:pos="1020" w:val="left"/>
        </w:tabs>
        <w:numPr>
          <w:ilvl w:val="0"/>
          <w:numId w:val="100"/>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Debt Borrowings (Repayments) — </w:t>
      </w:r>
      <w:r>
        <w:rPr>
          <w:rFonts w:ascii="Times New Roman" w:cs="Times New Roman" w:eastAsia="Times New Roman" w:hAnsi="Times New Roman"/>
          <w:sz w:val="20"/>
          <w:szCs w:val="20"/>
          <w:color w:val="auto"/>
        </w:rPr>
        <w:t>The following summarizes our cash borrowings and repayments of debt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year ended December 31 (in millions):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1080" w:type="dxa"/>
        <w:tblCellMar>
          <w:top w:w="0" w:type="dxa"/>
          <w:left w:w="0" w:type="dxa"/>
          <w:bottom w:w="0" w:type="dxa"/>
          <w:right w:w="0" w:type="dxa"/>
        </w:tblCellMar>
      </w:tblPr>
      <w:tr>
        <w:trPr>
          <w:trHeight w:val="204"/>
        </w:trPr>
        <w:tc>
          <w:tcPr>
            <w:tcW w:w="600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Borrowings</w:t>
            </w: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Commercial paper program . . . . .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12,678</w:t>
            </w:r>
          </w:p>
        </w:tc>
        <w:tc>
          <w:tcPr>
            <w:tcW w:w="1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17,799</w:t>
            </w:r>
          </w:p>
        </w:tc>
        <w:tc>
          <w:tcPr>
            <w:tcW w:w="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Term loan (a)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Senior notes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0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Tax-exempt bonds . . . . . . . . . . . . . . . . . . . . . . . . . . . . . . . . . . . . . . . . . .</w:t>
            </w: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600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Repayments</w:t>
            </w: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24,578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21,306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Commercial paper program . . . . .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(12,319)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(18,709)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(6,664)</w:t>
            </w:r>
          </w:p>
        </w:tc>
        <w:tc>
          <w:tcPr>
            <w:tcW w:w="0" w:type="dxa"/>
            <w:vAlign w:val="bottom"/>
          </w:tcPr>
          <w:p>
            <w:pPr>
              <w:spacing w:after="0"/>
              <w:rPr>
                <w:sz w:val="1"/>
                <w:szCs w:val="1"/>
                <w:color w:val="auto"/>
              </w:rPr>
            </w:pPr>
          </w:p>
        </w:tc>
      </w:tr>
      <w:tr>
        <w:trPr>
          <w:trHeight w:val="232"/>
        </w:trPr>
        <w:tc>
          <w:tcPr>
            <w:tcW w:w="60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Term loan (a)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(5,200)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0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Senior notes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(500)</w:t>
            </w:r>
          </w:p>
        </w:tc>
        <w:tc>
          <w:tcPr>
            <w:tcW w:w="0" w:type="dxa"/>
            <w:vAlign w:val="bottom"/>
          </w:tcPr>
          <w:p>
            <w:pPr>
              <w:spacing w:after="0"/>
              <w:rPr>
                <w:sz w:val="1"/>
                <w:szCs w:val="1"/>
                <w:color w:val="auto"/>
              </w:rPr>
            </w:pPr>
          </w:p>
        </w:tc>
      </w:tr>
      <w:tr>
        <w:trPr>
          <w:trHeight w:val="231"/>
        </w:trPr>
        <w:tc>
          <w:tcPr>
            <w:tcW w:w="60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Tax-exempt bonds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(60)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(71)</w:t>
            </w:r>
          </w:p>
        </w:tc>
        <w:tc>
          <w:tcPr>
            <w:tcW w:w="0" w:type="dxa"/>
            <w:vAlign w:val="bottom"/>
          </w:tcPr>
          <w:p>
            <w:pPr>
              <w:spacing w:after="0"/>
              <w:rPr>
                <w:sz w:val="1"/>
                <w:szCs w:val="1"/>
                <w:color w:val="auto"/>
              </w:rPr>
            </w:pPr>
          </w:p>
        </w:tc>
      </w:tr>
      <w:tr>
        <w:trPr>
          <w:trHeight w:val="250"/>
        </w:trPr>
        <w:tc>
          <w:tcPr>
            <w:tcW w:w="60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Other debt . . . . . . . . . . . . . . . . . . . . . . . . . . . . . . . . . . . . . . . . . . . . . . .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(120)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21"/>
        </w:trPr>
        <w:tc>
          <w:tcPr>
            <w:tcW w:w="600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Net cash borrowings (repayments)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(17,870)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(20,394)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(7,328)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000" w:type="dxa"/>
            <w:vAlign w:val="bottom"/>
            <w:vMerge w:val="continue"/>
          </w:tcPr>
          <w:p>
            <w:pPr>
              <w:jc w:val="right"/>
              <w:ind w:right="1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6,708</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912</w:t>
            </w: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1,360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1440" w:right="360" w:hanging="353"/>
        <w:spacing w:after="0" w:line="259" w:lineRule="auto"/>
        <w:tabs>
          <w:tab w:leader="none" w:pos="14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October 2024, we drew $5.2 billion of borrowings under the Term Credit Agreement that were applied to funding our acquisition of Stericycle. In November 2024, we repaid all outstanding borrowings and contemporaneously terminated the Term Credit Agreement.</w:t>
      </w:r>
    </w:p>
    <w:p>
      <w:pPr>
        <w:spacing w:after="0" w:line="65" w:lineRule="exact"/>
        <w:rPr>
          <w:sz w:val="20"/>
          <w:szCs w:val="20"/>
          <w:color w:val="auto"/>
        </w:rPr>
      </w:pPr>
    </w:p>
    <w:p>
      <w:pPr>
        <w:ind w:left="1080" w:right="360"/>
        <w:spacing w:after="0" w:line="278" w:lineRule="auto"/>
        <w:rPr>
          <w:sz w:val="20"/>
          <w:szCs w:val="20"/>
          <w:color w:val="auto"/>
        </w:rPr>
      </w:pPr>
      <w:r>
        <w:rPr>
          <w:rFonts w:ascii="Times New Roman" w:cs="Times New Roman" w:eastAsia="Times New Roman" w:hAnsi="Times New Roman"/>
          <w:sz w:val="20"/>
          <w:szCs w:val="20"/>
          <w:color w:val="auto"/>
        </w:rPr>
        <w:t>Refer to Note 6 to the Consolidated Financial Statements for additional information related to our debt borrowings and repayments.</w:t>
      </w:r>
    </w:p>
    <w:p>
      <w:pPr>
        <w:spacing w:after="0" w:line="61" w:lineRule="exact"/>
        <w:rPr>
          <w:sz w:val="20"/>
          <w:szCs w:val="20"/>
          <w:color w:val="auto"/>
        </w:rPr>
      </w:pPr>
    </w:p>
    <w:p>
      <w:pPr>
        <w:jc w:val="both"/>
        <w:ind w:left="1080" w:right="360" w:hanging="353"/>
        <w:spacing w:after="0" w:line="246" w:lineRule="auto"/>
        <w:tabs>
          <w:tab w:leader="none" w:pos="1080" w:val="left"/>
        </w:tabs>
        <w:numPr>
          <w:ilvl w:val="0"/>
          <w:numId w:val="102"/>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Common Stock Repurchase Program — </w:t>
      </w:r>
      <w:r>
        <w:rPr>
          <w:rFonts w:ascii="Times New Roman" w:cs="Times New Roman" w:eastAsia="Times New Roman" w:hAnsi="Times New Roman"/>
          <w:sz w:val="20"/>
          <w:szCs w:val="20"/>
          <w:color w:val="auto"/>
        </w:rPr>
        <w:t>For the periods presented, all share repurchases have been made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accordance with financial plans approved by our Board of Directors. We allocated $262 million, $1,302 million and $1,500 million of available cash to common stock repurchases during 2024, 2023, and 2022, respectively. In 2024, we announced our temporary suspension of share repurchase activity as a result of the acquisition of Stericycle. We expect to resume share repurchase once the Company’s leverage returns to targeted levels, which is currently projected to be about 18 months after the November 2024 acquisition of Stericycle. See Note 13 to the Consolidated Financial Statements for additional information about our share repurchase activity.</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3320" w:h="16920" w:orient="portrait"/>
          <w:cols w:equalWidth="0" w:num="1">
            <w:col w:w="10440"/>
          </w:cols>
          <w:pgMar w:left="1440" w:top="1440" w:right="1440" w:bottom="1440" w:gutter="0" w:footer="0" w:header="0"/>
          <w:type w:val="continuous"/>
        </w:sectPr>
      </w:pPr>
    </w:p>
    <w:bookmarkStart w:id="144" w:name="page145"/>
    <w:bookmarkEnd w:id="144"/>
    <w:p>
      <w:pPr>
        <w:spacing w:after="0" w:line="361" w:lineRule="exact"/>
        <w:rPr>
          <w:sz w:val="20"/>
          <w:szCs w:val="20"/>
          <w:color w:val="auto"/>
        </w:rPr>
      </w:pPr>
    </w:p>
    <w:p>
      <w:pPr>
        <w:jc w:val="both"/>
        <w:ind w:left="1080" w:right="360" w:hanging="353"/>
        <w:spacing w:after="0" w:line="259" w:lineRule="auto"/>
        <w:tabs>
          <w:tab w:leader="none" w:pos="1080" w:val="left"/>
        </w:tabs>
        <w:numPr>
          <w:ilvl w:val="0"/>
          <w:numId w:val="10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Cash Dividends — </w:t>
      </w:r>
      <w:r>
        <w:rPr>
          <w:rFonts w:ascii="Times New Roman" w:cs="Times New Roman" w:eastAsia="Times New Roman" w:hAnsi="Times New Roman"/>
          <w:sz w:val="20"/>
          <w:szCs w:val="20"/>
          <w:color w:val="auto"/>
        </w:rPr>
        <w:t>For the periods presented, all dividends have been declared by our Board of Directors. Cash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dividends declared and paid were $1,210 million in 2024, or $3.00 per common share, $1,136 million in 2023, or $2.80 per common share, and $1,077 million in 2022, or $2.60 per common share.</w:t>
      </w:r>
    </w:p>
    <w:p>
      <w:pPr>
        <w:spacing w:after="0" w:line="64" w:lineRule="exact"/>
        <w:rPr>
          <w:rFonts w:ascii="Arial" w:cs="Arial" w:eastAsia="Arial" w:hAnsi="Arial"/>
          <w:sz w:val="20"/>
          <w:szCs w:val="20"/>
          <w:color w:val="auto"/>
        </w:rPr>
      </w:pPr>
    </w:p>
    <w:p>
      <w:pPr>
        <w:jc w:val="both"/>
        <w:ind w:left="1080" w:right="360"/>
        <w:spacing w:after="0" w:line="249" w:lineRule="auto"/>
        <w:rPr>
          <w:rFonts w:ascii="Arial" w:cs="Arial" w:eastAsia="Arial" w:hAnsi="Arial"/>
          <w:sz w:val="20"/>
          <w:szCs w:val="20"/>
          <w:color w:val="auto"/>
        </w:rPr>
      </w:pPr>
      <w:r>
        <w:rPr>
          <w:rFonts w:ascii="Times New Roman" w:cs="Times New Roman" w:eastAsia="Times New Roman" w:hAnsi="Times New Roman"/>
          <w:sz w:val="20"/>
          <w:szCs w:val="20"/>
          <w:color w:val="auto"/>
        </w:rPr>
        <w:t>In December 2024, we announced that our Board of Directors expects to increase the quarterly dividend from $0.75 to $0.825 per share for dividends declared in 2025. However, all future dividend declarations are at the discretion of the Board of Directors and depend on various factors, including our net earnings, financial condition, cash required for future business plans, growth and acquisitions and other factors the Board of Directors may deem relevant.</w:t>
      </w:r>
    </w:p>
    <w:p>
      <w:pPr>
        <w:spacing w:after="0" w:line="92" w:lineRule="exact"/>
        <w:rPr>
          <w:rFonts w:ascii="Arial" w:cs="Arial" w:eastAsia="Arial" w:hAnsi="Arial"/>
          <w:sz w:val="20"/>
          <w:szCs w:val="20"/>
          <w:color w:val="auto"/>
        </w:rPr>
      </w:pPr>
    </w:p>
    <w:p>
      <w:pPr>
        <w:jc w:val="both"/>
        <w:ind w:left="1080" w:right="360" w:hanging="353"/>
        <w:spacing w:after="0" w:line="258" w:lineRule="auto"/>
        <w:tabs>
          <w:tab w:leader="none" w:pos="1080" w:val="left"/>
        </w:tabs>
        <w:numPr>
          <w:ilvl w:val="0"/>
          <w:numId w:val="10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Exercise of Common Stock Options — </w:t>
      </w:r>
      <w:r>
        <w:rPr>
          <w:rFonts w:ascii="Times New Roman" w:cs="Times New Roman" w:eastAsia="Times New Roman" w:hAnsi="Times New Roman"/>
          <w:sz w:val="20"/>
          <w:szCs w:val="20"/>
          <w:color w:val="auto"/>
        </w:rPr>
        <w:t>The exercise of common stock options generated financing cash inflows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$53 million, $44 million and $44 million from the exercise of 693,000, 597,000 and 675,000 of employee stock options during 2024, 2023 and 2022, respectively.</w:t>
      </w:r>
    </w:p>
    <w:p>
      <w:pPr>
        <w:spacing w:after="0" w:line="201" w:lineRule="exact"/>
        <w:rPr>
          <w:rFonts w:ascii="Arial" w:cs="Arial" w:eastAsia="Arial" w:hAnsi="Arial"/>
          <w:sz w:val="20"/>
          <w:szCs w:val="20"/>
          <w:color w:val="auto"/>
        </w:rPr>
      </w:pPr>
    </w:p>
    <w:p>
      <w:pPr>
        <w:jc w:val="both"/>
        <w:ind w:left="1080" w:right="360" w:hanging="353"/>
        <w:spacing w:after="0" w:line="258" w:lineRule="auto"/>
        <w:tabs>
          <w:tab w:leader="none" w:pos="1080" w:val="left"/>
        </w:tabs>
        <w:numPr>
          <w:ilvl w:val="0"/>
          <w:numId w:val="10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Other, Net — </w:t>
      </w:r>
      <w:r>
        <w:rPr>
          <w:rFonts w:ascii="Times New Roman" w:cs="Times New Roman" w:eastAsia="Times New Roman" w:hAnsi="Times New Roman"/>
          <w:sz w:val="20"/>
          <w:szCs w:val="20"/>
          <w:color w:val="auto"/>
        </w:rPr>
        <w:t>In 2022, we acquired a controlling interest in a business engaged in accelerating film and plastic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wrap recycling capabilities, and in the fourth quarter of 2024, we acquired the remaining minority interests in this business for $41 million.</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Free Cash Flow</w:t>
      </w:r>
    </w:p>
    <w:p>
      <w:pPr>
        <w:spacing w:after="0" w:line="239"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206"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Our calculation of free cash flow and reconciliation to net cash provided by operating activities is shown in the table below for the year ended December 31 (in millions), and may not be calculated the same as similarly-titled measures presented by other companies:</w:t>
      </w:r>
    </w:p>
    <w:p>
      <w:pPr>
        <w:spacing w:after="0" w:line="205"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6680" w:type="dxa"/>
            <w:vAlign w:val="bottom"/>
            <w:vMerge w:val="restart"/>
          </w:tcPr>
          <w:p>
            <w:pPr>
              <w:jc w:val="right"/>
              <w:ind w:right="3280"/>
              <w:spacing w:after="0"/>
              <w:rPr>
                <w:sz w:val="20"/>
                <w:szCs w:val="20"/>
                <w:color w:val="auto"/>
              </w:rPr>
            </w:pPr>
            <w:r>
              <w:rPr>
                <w:rFonts w:ascii="Times New Roman" w:cs="Times New Roman" w:eastAsia="Times New Roman" w:hAnsi="Times New Roman"/>
                <w:sz w:val="20"/>
                <w:szCs w:val="20"/>
                <w:color w:val="auto"/>
                <w:w w:val="99"/>
              </w:rPr>
              <w:t>Net cash provided by operating activities</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80" w:type="dxa"/>
            <w:vAlign w:val="bottom"/>
            <w:vMerge w:val="continue"/>
          </w:tcPr>
          <w:p>
            <w:pPr>
              <w:jc w:val="right"/>
              <w:ind w:right="2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w:t>
            </w:r>
          </w:p>
        </w:tc>
        <w:tc>
          <w:tcPr>
            <w:tcW w:w="2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5,390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4,719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4,536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Capital expenditures to support the business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(2,131)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(2,026)</w:t>
            </w:r>
          </w:p>
        </w:tc>
        <w:tc>
          <w:tcPr>
            <w:tcW w:w="0" w:type="dxa"/>
            <w:vAlign w:val="bottom"/>
          </w:tcPr>
          <w:p>
            <w:pPr>
              <w:spacing w:after="0"/>
              <w:rPr>
                <w:sz w:val="1"/>
                <w:szCs w:val="1"/>
                <w:color w:val="auto"/>
              </w:rPr>
            </w:pPr>
          </w:p>
        </w:tc>
      </w:tr>
      <w:tr>
        <w:trPr>
          <w:trHeight w:val="25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Capital expenditures - sustainability growth investments (a)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(764)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(561)</w:t>
            </w:r>
          </w:p>
        </w:tc>
        <w:tc>
          <w:tcPr>
            <w:tcW w:w="0" w:type="dxa"/>
            <w:vAlign w:val="bottom"/>
          </w:tcPr>
          <w:p>
            <w:pPr>
              <w:spacing w:after="0"/>
              <w:rPr>
                <w:sz w:val="1"/>
                <w:szCs w:val="1"/>
                <w:color w:val="auto"/>
              </w:rPr>
            </w:pPr>
          </w:p>
        </w:tc>
      </w:tr>
      <w:tr>
        <w:trPr>
          <w:trHeight w:val="199"/>
        </w:trPr>
        <w:tc>
          <w:tcPr>
            <w:tcW w:w="6680" w:type="dxa"/>
            <w:vAlign w:val="bottom"/>
          </w:tcPr>
          <w:p>
            <w:pPr>
              <w:jc w:val="right"/>
              <w:ind w:right="200"/>
              <w:spacing w:after="0" w:line="200" w:lineRule="exact"/>
              <w:rPr>
                <w:sz w:val="20"/>
                <w:szCs w:val="20"/>
                <w:color w:val="auto"/>
              </w:rPr>
            </w:pPr>
            <w:r>
              <w:rPr>
                <w:rFonts w:ascii="Times New Roman" w:cs="Times New Roman" w:eastAsia="Times New Roman" w:hAnsi="Times New Roman"/>
                <w:sz w:val="20"/>
                <w:szCs w:val="20"/>
                <w:color w:val="auto"/>
                <w:w w:val="98"/>
              </w:rPr>
              <w:t>. . . . . . . . . . . . . . . . . . . . . . . . . . . . . . . . . . . . . . . . . . . . .Totalcapitalexpenditures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(3,231)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(2,895)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(2,587)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Proceeds from divestitures of businesses and other assets, net of cash divested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80" w:type="dxa"/>
            <w:vAlign w:val="bottom"/>
          </w:tcPr>
          <w:p>
            <w:pPr>
              <w:jc w:val="right"/>
              <w:ind w:right="20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 . . . . . . . .Freecashflow</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2,317</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1,902</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1,976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106680</wp:posOffset>
                </wp:positionV>
                <wp:extent cx="1541145" cy="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8.4pt" to="139.65pt,8.4pt" o:allowincell="f" strokecolor="#000000" strokeweight="1.02pt"/>
            </w:pict>
          </mc:Fallback>
        </mc:AlternateContent>
      </w:r>
    </w:p>
    <w:p>
      <w:pPr>
        <w:spacing w:after="0" w:line="190" w:lineRule="exact"/>
        <w:rPr>
          <w:sz w:val="20"/>
          <w:szCs w:val="20"/>
          <w:color w:val="auto"/>
        </w:rPr>
      </w:pPr>
    </w:p>
    <w:p>
      <w:pPr>
        <w:jc w:val="both"/>
        <w:ind w:left="720" w:right="360" w:hanging="353"/>
        <w:spacing w:after="0" w:line="259" w:lineRule="auto"/>
        <w:tabs>
          <w:tab w:leader="none" w:pos="72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growth investments are intended to further our sustainability leadership position by increasing recycling volumes and growing renewable natural gas generation and we expect they will deliver circular solutions for our customers and drive environmental value to the communities we serve.</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Critical Accounting Estimates and Assumptions</w:t>
      </w:r>
    </w:p>
    <w:p>
      <w:pPr>
        <w:spacing w:after="0" w:line="243" w:lineRule="exact"/>
        <w:rPr>
          <w:sz w:val="20"/>
          <w:szCs w:val="20"/>
          <w:color w:val="auto"/>
        </w:rPr>
      </w:pPr>
    </w:p>
    <w:p>
      <w:pPr>
        <w:jc w:val="both"/>
        <w:ind w:left="360" w:right="360" w:firstLine="360"/>
        <w:spacing w:after="0" w:line="261" w:lineRule="auto"/>
        <w:rPr>
          <w:sz w:val="20"/>
          <w:szCs w:val="20"/>
          <w:color w:val="auto"/>
        </w:rPr>
      </w:pPr>
      <w:r>
        <w:rPr>
          <w:rFonts w:ascii="Times New Roman" w:cs="Times New Roman" w:eastAsia="Times New Roman" w:hAnsi="Times New Roman"/>
          <w:sz w:val="19"/>
          <w:szCs w:val="19"/>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3320" w:h="16920" w:orient="portrait"/>
          <w:cols w:equalWidth="0" w:num="1">
            <w:col w:w="10440"/>
          </w:cols>
          <w:pgMar w:left="1440" w:top="1440" w:right="1440" w:bottom="1440" w:gutter="0" w:footer="0" w:header="0"/>
          <w:type w:val="continuous"/>
        </w:sectPr>
      </w:pPr>
    </w:p>
    <w:bookmarkStart w:id="145" w:name="page146"/>
    <w:bookmarkEnd w:id="145"/>
    <w:p>
      <w:pPr>
        <w:spacing w:after="0" w:line="347" w:lineRule="exact"/>
        <w:rPr>
          <w:sz w:val="20"/>
          <w:szCs w:val="20"/>
          <w:color w:val="auto"/>
        </w:rPr>
      </w:pPr>
    </w:p>
    <w:p>
      <w:pPr>
        <w:jc w:val="both"/>
        <w:ind w:left="360" w:right="360"/>
        <w:spacing w:after="0" w:line="259" w:lineRule="auto"/>
        <w:rPr>
          <w:sz w:val="20"/>
          <w:szCs w:val="20"/>
          <w:color w:val="auto"/>
        </w:rPr>
      </w:pPr>
      <w:r>
        <w:rPr>
          <w:rFonts w:ascii="Times New Roman" w:cs="Times New Roman" w:eastAsia="Times New Roman" w:hAnsi="Times New Roman"/>
          <w:sz w:val="20"/>
          <w:szCs w:val="20"/>
          <w:color w:val="auto"/>
        </w:rPr>
        <w:t>acquired in business combinations. Each of these items is discussed in additional detail below and in Note 2 to the Consolidated Financial Statements. Actual results could differ materially from the estimates and assumptions that we use in the preparation of our financial statements.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Landfills</w:t>
      </w:r>
    </w:p>
    <w:p>
      <w:pPr>
        <w:spacing w:after="0" w:line="239"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Accounting for landfills requires that significant estimates and assumptions be made regarding (i) the cost to construct and develop each landfill asset; (ii) the estimated fair value of final capping, closure and post-closure asset retirement obligations, which must consider both the expected cost and timing of these activities and (iii) the determination of each landfill’s remaining permitted and expansion airspace.</w:t>
      </w:r>
    </w:p>
    <w:p>
      <w:pPr>
        <w:spacing w:after="0" w:line="195"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Landfill Costs — </w:t>
      </w:r>
      <w:r>
        <w:rPr>
          <w:rFonts w:ascii="Times New Roman" w:cs="Times New Roman" w:eastAsia="Times New Roman" w:hAnsi="Times New Roman"/>
          <w:sz w:val="20"/>
          <w:szCs w:val="20"/>
          <w:color w:val="auto"/>
        </w:rPr>
        <w:t>We estimate the total cost to develop each of our landfill sites to its remaining permitted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expansion airspace. This estimate includes such costs as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costs. Additionally, landfill development includes all land purchases for the landfill footprint and landfill buffer property. The projection of these landfill costs is dependent, in part, on future events. The remaining depletable basis of each landfill includes costs to develop a site to its remaining permitted and expansion airspace and includes amounts previously expended and capitalized, net of accumulated airspace depletion, and projections of future purchase and development costs.</w:t>
      </w:r>
    </w:p>
    <w:p>
      <w:pPr>
        <w:spacing w:after="0" w:line="206"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Final Capping Costs — </w:t>
      </w:r>
      <w:r>
        <w:rPr>
          <w:rFonts w:ascii="Times New Roman" w:cs="Times New Roman" w:eastAsia="Times New Roman" w:hAnsi="Times New Roman"/>
          <w:sz w:val="20"/>
          <w:szCs w:val="20"/>
          <w:color w:val="auto"/>
        </w:rPr>
        <w:t>We estimate the cost for each final capping event based on the area to be capped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capping materials and activities required. The estimates also consider when these costs are anticipated to be paid and factor in inflation and discount rates. Our engineering personnel allocate landfill final capping costs to specific final capping events and the capping costs are depleted as waste is disposed of at the landfill. We review these costs annually, or more often if significant facts change. Changes in estimates, such as timing or cost of construction, for final capping events immediately impact the required liability and the corresponding asset. When the change in estimate relates to a fully consumed landfill, the adjustment to the asset must be depleted immediately through expense. When the change in estimate relates to a final capping event at a landfill with remaining airspace, the adjustment to the asset is recognized in income prospectively as a component of landfill airspace depletion.</w:t>
      </w:r>
    </w:p>
    <w:p>
      <w:pPr>
        <w:spacing w:after="0" w:line="205"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Closure and Post-Closure Costs — </w:t>
      </w:r>
      <w:r>
        <w:rPr>
          <w:rFonts w:ascii="Times New Roman" w:cs="Times New Roman" w:eastAsia="Times New Roman" w:hAnsi="Times New Roman"/>
          <w:sz w:val="20"/>
          <w:szCs w:val="20"/>
          <w:color w:val="auto"/>
        </w:rPr>
        <w:t>We base our estimates for closure and post-closure costs on our interpretations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permit and regulatory requirements for closure and post-closure monitoring and maintenance. The estimates for landfill closure and post-closure costs also consider when the costs are anticipated to be paid and factor in inflation and discount rates. The possibility of changing legal and regulatory requirements and the forward-looking nature of these types of costs make any estimation or assumption less certain. Changes in estimates for closure and post-closure events immediately impact the required liability and the corresponding asset. When the change in estimate relates to a fully consumed landfill, the adjustment to the asset must be depleted immediately through expense. When the change in estimate relates to a landfill with remaining airspace, the adjustment to the asset is recognized in income prospectively as a component of landfill airspace depletion.</w:t>
      </w:r>
    </w:p>
    <w:p>
      <w:pPr>
        <w:spacing w:after="0" w:line="206"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Remaining Permitted Airspace — </w:t>
      </w:r>
      <w:r>
        <w:rPr>
          <w:rFonts w:ascii="Times New Roman" w:cs="Times New Roman" w:eastAsia="Times New Roman" w:hAnsi="Times New Roman"/>
          <w:sz w:val="20"/>
          <w:szCs w:val="20"/>
          <w:color w:val="auto"/>
        </w:rPr>
        <w:t>Our engineers, in consultation with third-party engineering consultants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surveyors, are responsible for determining remaining permitted airspace at our landfills. The remaining permitted airspace is determined by an annual survey, which is used to compare the existing landfill topography to the expected final landfill topography.</w:t>
      </w:r>
    </w:p>
    <w:p>
      <w:pPr>
        <w:spacing w:after="0" w:line="191"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Expansion Airspace — </w:t>
      </w:r>
      <w:r>
        <w:rPr>
          <w:rFonts w:ascii="Times New Roman" w:cs="Times New Roman" w:eastAsia="Times New Roman" w:hAnsi="Times New Roman"/>
          <w:sz w:val="20"/>
          <w:szCs w:val="20"/>
          <w:color w:val="auto"/>
        </w:rPr>
        <w:t>We also include currently unpermitted expansion airspace in our estimate of remaining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permitted and expansion airspace in certain circumstances. First, for unpermitted airspace to be initially included in our estimate of remaining permitted and expansion airspace, we must believe that obtaining the expansion permit is likely. Second, we must generally expect the initial expansion permit application to be submitted within one year and the final expansion permit to be received within five years, in addition to meeting the following criteria:</w:t>
      </w:r>
    </w:p>
    <w:p>
      <w:pPr>
        <w:spacing w:after="0" w:line="211" w:lineRule="exact"/>
        <w:rPr>
          <w:sz w:val="20"/>
          <w:szCs w:val="20"/>
          <w:color w:val="auto"/>
        </w:rPr>
      </w:pPr>
    </w:p>
    <w:p>
      <w:pPr>
        <w:ind w:left="1080" w:right="360" w:hanging="353"/>
        <w:spacing w:after="0" w:line="277" w:lineRule="auto"/>
        <w:tabs>
          <w:tab w:leader="none" w:pos="1080" w:val="left"/>
        </w:tabs>
        <w:numPr>
          <w:ilvl w:val="0"/>
          <w:numId w:val="105"/>
        </w:numPr>
        <w:rPr>
          <w:rFonts w:ascii="Arial" w:cs="Arial" w:eastAsia="Arial" w:hAnsi="Arial"/>
          <w:sz w:val="20"/>
          <w:szCs w:val="20"/>
          <w:color w:val="auto"/>
        </w:rPr>
      </w:pPr>
      <w:r>
        <w:rPr>
          <w:rFonts w:ascii="Times New Roman" w:cs="Times New Roman" w:eastAsia="Times New Roman" w:hAnsi="Times New Roman"/>
          <w:sz w:val="20"/>
          <w:szCs w:val="20"/>
          <w:color w:val="auto"/>
        </w:rPr>
        <w:t>Personnel are actively working on the expansion of an existing landfill, including efforts to obtain land use and local, state or provincial approvals;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3320" w:h="16920" w:orient="portrait"/>
          <w:cols w:equalWidth="0" w:num="1">
            <w:col w:w="10440"/>
          </w:cols>
          <w:pgMar w:left="1440" w:top="1440" w:right="1440" w:bottom="1440" w:gutter="0" w:footer="0" w:header="0"/>
          <w:type w:val="continuous"/>
        </w:sectPr>
      </w:pPr>
    </w:p>
    <w:bookmarkStart w:id="146" w:name="page147"/>
    <w:bookmarkEnd w:id="146"/>
    <w:p>
      <w:pPr>
        <w:spacing w:after="0" w:line="362" w:lineRule="exact"/>
        <w:rPr>
          <w:sz w:val="20"/>
          <w:szCs w:val="20"/>
          <w:color w:val="auto"/>
        </w:rPr>
      </w:pPr>
    </w:p>
    <w:p>
      <w:pPr>
        <w:ind w:left="1080" w:hanging="353"/>
        <w:spacing w:after="0"/>
        <w:tabs>
          <w:tab w:leader="none" w:pos="1080" w:val="left"/>
        </w:tabs>
        <w:numPr>
          <w:ilvl w:val="0"/>
          <w:numId w:val="106"/>
        </w:numPr>
        <w:rPr>
          <w:rFonts w:ascii="Arial" w:cs="Arial" w:eastAsia="Arial" w:hAnsi="Arial"/>
          <w:sz w:val="20"/>
          <w:szCs w:val="20"/>
          <w:color w:val="auto"/>
        </w:rPr>
      </w:pPr>
      <w:r>
        <w:rPr>
          <w:rFonts w:ascii="Times New Roman" w:cs="Times New Roman" w:eastAsia="Times New Roman" w:hAnsi="Times New Roman"/>
          <w:sz w:val="20"/>
          <w:szCs w:val="20"/>
          <w:color w:val="auto"/>
        </w:rPr>
        <w:t>We have a legal right to use or obtain land to be included in the expansion plan;</w:t>
      </w:r>
    </w:p>
    <w:p>
      <w:pPr>
        <w:spacing w:after="0" w:line="132" w:lineRule="exact"/>
        <w:rPr>
          <w:rFonts w:ascii="Arial" w:cs="Arial" w:eastAsia="Arial" w:hAnsi="Arial"/>
          <w:sz w:val="20"/>
          <w:szCs w:val="20"/>
          <w:color w:val="auto"/>
        </w:rPr>
      </w:pPr>
    </w:p>
    <w:p>
      <w:pPr>
        <w:ind w:left="1080" w:right="360" w:hanging="353"/>
        <w:spacing w:after="0" w:line="277" w:lineRule="auto"/>
        <w:tabs>
          <w:tab w:leader="none" w:pos="1080" w:val="left"/>
        </w:tabs>
        <w:numPr>
          <w:ilvl w:val="0"/>
          <w:numId w:val="106"/>
        </w:numPr>
        <w:rPr>
          <w:rFonts w:ascii="Arial" w:cs="Arial" w:eastAsia="Arial" w:hAnsi="Arial"/>
          <w:sz w:val="20"/>
          <w:szCs w:val="20"/>
          <w:color w:val="auto"/>
        </w:rPr>
      </w:pPr>
      <w:r>
        <w:rPr>
          <w:rFonts w:ascii="Times New Roman" w:cs="Times New Roman" w:eastAsia="Times New Roman" w:hAnsi="Times New Roman"/>
          <w:sz w:val="20"/>
          <w:szCs w:val="20"/>
          <w:color w:val="auto"/>
        </w:rPr>
        <w:t>There are no significant known technical, legal, community, business, or political restrictions or similar issues that could negatively affect the success of such expansion; and</w:t>
      </w:r>
    </w:p>
    <w:p>
      <w:pPr>
        <w:spacing w:after="0" w:line="62" w:lineRule="exact"/>
        <w:rPr>
          <w:rFonts w:ascii="Arial" w:cs="Arial" w:eastAsia="Arial" w:hAnsi="Arial"/>
          <w:sz w:val="20"/>
          <w:szCs w:val="20"/>
          <w:color w:val="auto"/>
        </w:rPr>
      </w:pPr>
    </w:p>
    <w:p>
      <w:pPr>
        <w:ind w:left="1080" w:right="360" w:hanging="353"/>
        <w:spacing w:after="0" w:line="277" w:lineRule="auto"/>
        <w:tabs>
          <w:tab w:leader="none" w:pos="1080" w:val="left"/>
        </w:tabs>
        <w:numPr>
          <w:ilvl w:val="0"/>
          <w:numId w:val="106"/>
        </w:numPr>
        <w:rPr>
          <w:rFonts w:ascii="Arial" w:cs="Arial" w:eastAsia="Arial" w:hAnsi="Arial"/>
          <w:sz w:val="20"/>
          <w:szCs w:val="20"/>
          <w:color w:val="auto"/>
        </w:rPr>
      </w:pPr>
      <w:r>
        <w:rPr>
          <w:rFonts w:ascii="Times New Roman" w:cs="Times New Roman" w:eastAsia="Times New Roman" w:hAnsi="Times New Roman"/>
          <w:sz w:val="20"/>
          <w:szCs w:val="20"/>
          <w:color w:val="auto"/>
        </w:rPr>
        <w:t>Financial analysis has been completed based on conceptual design, and the results demonstrate that the expansion meets Company criteria for investment.</w:t>
      </w:r>
    </w:p>
    <w:p>
      <w:pPr>
        <w:spacing w:after="0" w:line="169"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on a quarterly basis.</w:t>
      </w:r>
    </w:p>
    <w:p>
      <w:pPr>
        <w:spacing w:after="0" w:line="200"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20"/>
          <w:szCs w:val="20"/>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depletable basis of the landfill.</w:t>
      </w:r>
    </w:p>
    <w:p>
      <w:pPr>
        <w:spacing w:after="0" w:line="187"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consider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203"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depletion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97" w:lineRule="exact"/>
        <w:rPr>
          <w:sz w:val="20"/>
          <w:szCs w:val="20"/>
          <w:color w:val="auto"/>
        </w:rPr>
      </w:pPr>
    </w:p>
    <w:p>
      <w:pPr>
        <w:jc w:val="both"/>
        <w:ind w:left="360" w:right="360" w:firstLine="360"/>
        <w:spacing w:after="0" w:line="260" w:lineRule="auto"/>
        <w:rPr>
          <w:sz w:val="20"/>
          <w:szCs w:val="20"/>
          <w:color w:val="auto"/>
        </w:rPr>
      </w:pPr>
      <w:r>
        <w:rPr>
          <w:rFonts w:ascii="Times New Roman" w:cs="Times New Roman" w:eastAsia="Times New Roman" w:hAnsi="Times New Roman"/>
          <w:sz w:val="19"/>
          <w:szCs w:val="19"/>
          <w:color w:val="auto"/>
        </w:rPr>
        <w:t>It is possible that actual results, including the amount of costs incurred, the timing of final capping, closure and post - 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earnings may be experienced due to higher depletion rates or higher expenses; or higher earnings may result if the opposite occurs. Most significantly, if it is determined that expansion capacity should no longer be considered in calculating the recoverability of a landfill asset, we may be required to recognize an asset impairment or incur significantly higher depletion expense. If at any time management makes the decision to abandon the expansion effort, the capitalized costs related to the expansion effort are expensed immediately.</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Remediation Liabilities</w:t>
      </w:r>
    </w:p>
    <w:p>
      <w:pPr>
        <w:spacing w:after="0" w:line="239"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 up.</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3320" w:h="16920" w:orient="portrait"/>
          <w:cols w:equalWidth="0" w:num="1">
            <w:col w:w="10440"/>
          </w:cols>
          <w:pgMar w:left="1440" w:top="1440" w:right="1440" w:bottom="1440" w:gutter="0" w:footer="0" w:header="0"/>
          <w:type w:val="continuous"/>
        </w:sectPr>
      </w:pPr>
    </w:p>
    <w:bookmarkStart w:id="147" w:name="page148"/>
    <w:bookmarkEnd w:id="147"/>
    <w:p>
      <w:pPr>
        <w:spacing w:after="0" w:line="347"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Where it is probable that a liability has been incurred, we estimate costs required to remediate sites based on site - specific facts and circumstances. We routinely review and evaluate sites that require remediation and determine our estimated cost for the likely remedy based on a number of estimates and assumptions.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216" w:lineRule="exact"/>
        <w:rPr>
          <w:sz w:val="20"/>
          <w:szCs w:val="20"/>
          <w:color w:val="auto"/>
        </w:rPr>
      </w:pPr>
    </w:p>
    <w:p>
      <w:pPr>
        <w:ind w:left="1080" w:hanging="353"/>
        <w:spacing w:after="0"/>
        <w:tabs>
          <w:tab w:leader="none" w:pos="1080" w:val="left"/>
        </w:tabs>
        <w:numPr>
          <w:ilvl w:val="0"/>
          <w:numId w:val="107"/>
        </w:numPr>
        <w:rPr>
          <w:rFonts w:ascii="Arial" w:cs="Arial" w:eastAsia="Arial" w:hAnsi="Arial"/>
          <w:sz w:val="20"/>
          <w:szCs w:val="20"/>
          <w:color w:val="auto"/>
        </w:rPr>
      </w:pPr>
      <w:r>
        <w:rPr>
          <w:rFonts w:ascii="Times New Roman" w:cs="Times New Roman" w:eastAsia="Times New Roman" w:hAnsi="Times New Roman"/>
          <w:sz w:val="20"/>
          <w:szCs w:val="20"/>
          <w:color w:val="auto"/>
        </w:rPr>
        <w:t>Management’s judgment and experience in remediating our own and unrelated parties’ sites;</w:t>
      </w:r>
    </w:p>
    <w:p>
      <w:pPr>
        <w:spacing w:after="0" w:line="132" w:lineRule="exact"/>
        <w:rPr>
          <w:rFonts w:ascii="Arial" w:cs="Arial" w:eastAsia="Arial" w:hAnsi="Arial"/>
          <w:sz w:val="20"/>
          <w:szCs w:val="20"/>
          <w:color w:val="auto"/>
        </w:rPr>
      </w:pPr>
    </w:p>
    <w:p>
      <w:pPr>
        <w:ind w:left="1080" w:hanging="353"/>
        <w:spacing w:after="0"/>
        <w:tabs>
          <w:tab w:leader="none" w:pos="1080" w:val="left"/>
        </w:tabs>
        <w:numPr>
          <w:ilvl w:val="0"/>
          <w:numId w:val="107"/>
        </w:numPr>
        <w:rPr>
          <w:rFonts w:ascii="Arial" w:cs="Arial" w:eastAsia="Arial" w:hAnsi="Arial"/>
          <w:sz w:val="20"/>
          <w:szCs w:val="20"/>
          <w:color w:val="auto"/>
        </w:rPr>
      </w:pPr>
      <w:r>
        <w:rPr>
          <w:rFonts w:ascii="Times New Roman" w:cs="Times New Roman" w:eastAsia="Times New Roman" w:hAnsi="Times New Roman"/>
          <w:sz w:val="20"/>
          <w:szCs w:val="20"/>
          <w:color w:val="auto"/>
        </w:rPr>
        <w:t>Information available from regulatory agencies as to costs of remediation;</w:t>
      </w:r>
    </w:p>
    <w:p>
      <w:pPr>
        <w:spacing w:after="0" w:line="133" w:lineRule="exact"/>
        <w:rPr>
          <w:rFonts w:ascii="Arial" w:cs="Arial" w:eastAsia="Arial" w:hAnsi="Arial"/>
          <w:sz w:val="20"/>
          <w:szCs w:val="20"/>
          <w:color w:val="auto"/>
        </w:rPr>
      </w:pPr>
    </w:p>
    <w:p>
      <w:pPr>
        <w:ind w:left="1080" w:right="360" w:hanging="353"/>
        <w:spacing w:after="0" w:line="277" w:lineRule="auto"/>
        <w:tabs>
          <w:tab w:leader="none" w:pos="1080" w:val="left"/>
        </w:tabs>
        <w:numPr>
          <w:ilvl w:val="0"/>
          <w:numId w:val="107"/>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financial resources and relative degree of responsibility of other PRPs who may be liable for remediation of a specific site; and</w:t>
      </w:r>
    </w:p>
    <w:p>
      <w:pPr>
        <w:spacing w:after="0" w:line="62" w:lineRule="exact"/>
        <w:rPr>
          <w:rFonts w:ascii="Arial" w:cs="Arial" w:eastAsia="Arial" w:hAnsi="Arial"/>
          <w:sz w:val="20"/>
          <w:szCs w:val="20"/>
          <w:color w:val="auto"/>
        </w:rPr>
      </w:pPr>
    </w:p>
    <w:p>
      <w:pPr>
        <w:ind w:left="1080" w:hanging="353"/>
        <w:spacing w:after="0"/>
        <w:tabs>
          <w:tab w:leader="none" w:pos="1080" w:val="left"/>
        </w:tabs>
        <w:numPr>
          <w:ilvl w:val="0"/>
          <w:numId w:val="107"/>
        </w:numPr>
        <w:rPr>
          <w:rFonts w:ascii="Arial" w:cs="Arial" w:eastAsia="Arial" w:hAnsi="Arial"/>
          <w:sz w:val="20"/>
          <w:szCs w:val="20"/>
          <w:color w:val="auto"/>
        </w:rPr>
      </w:pPr>
      <w:r>
        <w:rPr>
          <w:rFonts w:ascii="Times New Roman" w:cs="Times New Roman" w:eastAsia="Times New Roman" w:hAnsi="Times New Roman"/>
          <w:sz w:val="20"/>
          <w:szCs w:val="20"/>
          <w:color w:val="auto"/>
        </w:rPr>
        <w:t>The typical allocation of costs among PRPs, unless the actual allocation has been determined.</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Refer to Note 10 to the Consolidated Financial Statements for additional information on our environmental liabilities.</w:t>
      </w:r>
    </w:p>
    <w:p>
      <w:pPr>
        <w:spacing w:after="0" w:line="2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Fair Value of Nonfinancial Assets and Liabilities</w:t>
      </w:r>
    </w:p>
    <w:p>
      <w:pPr>
        <w:spacing w:after="0" w:line="240"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Significant estimates are made in determining the fair value of long- lived tangible and intangible assets (i.e., property and equipment, intangible assets and goodwill) during the impairment evaluation process. In addition, the majority of assets acquired and liabilities assumed in a business combination are required to be recognized at fair value under the relevant accounting guidance.</w:t>
      </w:r>
    </w:p>
    <w:p>
      <w:pPr>
        <w:spacing w:after="0" w:line="193"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20"/>
          <w:szCs w:val="20"/>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91"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Property and Equipment, Including Landfills and Definite-Lived Intangible Assets — </w:t>
      </w:r>
      <w:r>
        <w:rPr>
          <w:rFonts w:ascii="Times New Roman" w:cs="Times New Roman" w:eastAsia="Times New Roman" w:hAnsi="Times New Roman"/>
          <w:sz w:val="20"/>
          <w:szCs w:val="20"/>
          <w:color w:val="auto"/>
        </w:rPr>
        <w:t>We monitor the carrying value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 generally determined by considering (i) internally developed discounted projected cash flow analysis of the asset or asset group; (ii) third-party valuations and/or (iii) information available regarding the current market for similar assets. Estimating future cash flows requires significant judgment and projections may vary from the cash flows eventually realized, which could impact our ability to accurately assess whether an asset has been impaired.</w:t>
      </w:r>
    </w:p>
    <w:p>
      <w:pPr>
        <w:spacing w:after="0" w:line="200"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3320" w:h="16920" w:orient="portrait"/>
          <w:cols w:equalWidth="0" w:num="1">
            <w:col w:w="10440"/>
          </w:cols>
          <w:pgMar w:left="1440" w:top="1440" w:right="1440" w:bottom="1440" w:gutter="0" w:footer="0" w:header="0"/>
          <w:type w:val="continuous"/>
        </w:sectPr>
      </w:pPr>
    </w:p>
    <w:bookmarkStart w:id="148" w:name="page149"/>
    <w:bookmarkEnd w:id="148"/>
    <w:p>
      <w:pPr>
        <w:spacing w:after="0" w:line="347"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Indefinite-Lived Intangible Assets, Including Goodwill — </w:t>
      </w:r>
      <w:r>
        <w:rPr>
          <w:rFonts w:ascii="Times New Roman" w:cs="Times New Roman" w:eastAsia="Times New Roman" w:hAnsi="Times New Roman"/>
          <w:sz w:val="20"/>
          <w:szCs w:val="20"/>
          <w:color w:val="auto"/>
        </w:rPr>
        <w:t>At least annually using a measurement date of October 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more frequently if warranted, we assess the indefinite-lived intangible assets including the goodwill of our reporting units for impairment using Level 3 inputs.</w:t>
      </w:r>
    </w:p>
    <w:p>
      <w:pPr>
        <w:spacing w:after="0" w:line="186" w:lineRule="exact"/>
        <w:rPr>
          <w:sz w:val="20"/>
          <w:szCs w:val="20"/>
          <w:color w:val="auto"/>
        </w:rPr>
      </w:pPr>
    </w:p>
    <w:p>
      <w:pPr>
        <w:jc w:val="both"/>
        <w:ind w:left="360" w:right="360" w:firstLine="360"/>
        <w:spacing w:after="0" w:line="256" w:lineRule="auto"/>
        <w:rPr>
          <w:sz w:val="20"/>
          <w:szCs w:val="20"/>
          <w:color w:val="auto"/>
        </w:rPr>
      </w:pPr>
      <w:r>
        <w:rPr>
          <w:rFonts w:ascii="Times New Roman" w:cs="Times New Roman" w:eastAsia="Times New Roman" w:hAnsi="Times New Roman"/>
          <w:sz w:val="19"/>
          <w:szCs w:val="19"/>
          <w:color w:val="auto"/>
        </w:rPr>
        <w:t>We first perform a qualitative assessment to determine if it was more likely than not that the fair value of a reporting unit is less than its carrying value. If the assessment indicates a possible impairment, we complete a quantitative review, comparing the estimated fair value of a reporting unit to its carrying amount, including goodwill. An impairment charge is recognized if the asset’s estimated fair value was less than its carrying amount. Fair value is typically estimated using an income approach using Level 3 inputs.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 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199"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Acquisitions </w:t>
      </w:r>
      <w:r>
        <w:rPr>
          <w:rFonts w:ascii="Times New Roman" w:cs="Times New Roman" w:eastAsia="Times New Roman" w:hAnsi="Times New Roman"/>
          <w:sz w:val="20"/>
          <w:szCs w:val="20"/>
          <w:color w:val="auto"/>
        </w:rPr>
        <w:t>— In accordance with the purchase method of accounting, the purchase price paid for an acquisition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allocated to the assets and liabilities acquired based upon their estimated fair values as of the acquisition date, with the excess of the purchase price over the net assets acquired recorded as goodwill. When we are in the process of valuing all of the assets and liabilities acquired in an acquisition, there can be subsequent adjustments to our estimates of fair value and resulting preliminary purchase price allocation. Generally, the valuation of our acquired asset and liabilities rely on complex estimates and assumptions.</w:t>
      </w:r>
    </w:p>
    <w:p>
      <w:pPr>
        <w:spacing w:after="0" w:line="199"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Acquisition-date fair value estimates are revised as necessary if, and when, additional information regarding these contingencies becomes available to further define and quantify assets acquired and liabilities assumed. Subsequent to finalization of purchase accounting, these revisions are accounted for as adjustments to income from operations. All acquisition-related transaction costs are expensed as incurred. See Note 17 to the Consolidated Financial Statements for additional information related to our acquisitions.</w:t>
      </w:r>
    </w:p>
    <w:p>
      <w:pPr>
        <w:spacing w:after="0" w:line="198"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20"/>
          <w:szCs w:val="20"/>
          <w:color w:val="auto"/>
        </w:rPr>
        <w:t xml:space="preserve">See Item 7. </w:t>
      </w:r>
      <w:r>
        <w:rPr>
          <w:rFonts w:ascii="Times New Roman" w:cs="Times New Roman" w:eastAsia="Times New Roman" w:hAnsi="Times New Roman"/>
          <w:sz w:val="20"/>
          <w:szCs w:val="20"/>
          <w:i w:val="1"/>
          <w:iCs w:val="1"/>
          <w:color w:val="auto"/>
        </w:rPr>
        <w:t>Management’s Discussion and Analysis of Financial Condition and Results of Operations</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(Gain) Loss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from Divestitures, Asset Impairments and Unusual Items, Net</w:t>
      </w:r>
      <w:r>
        <w:rPr>
          <w:rFonts w:ascii="Times New Roman" w:cs="Times New Roman" w:eastAsia="Times New Roman" w:hAnsi="Times New Roman"/>
          <w:sz w:val="20"/>
          <w:szCs w:val="20"/>
          <w:color w:val="auto"/>
        </w:rPr>
        <w:t>. See Note 11 to the Consolidated Financial Statements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additional information related to Asset Impairments and Unusual Items.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Inflation</w:t>
      </w:r>
    </w:p>
    <w:p>
      <w:pPr>
        <w:spacing w:after="0" w:line="243"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Variability in economic conditions, including inflation, interest rates, employment trends, and supply chain reliability, can create risk and uncertainty in financial outlook. We take proactive steps to recover and mitigate inflationary cost pressures through our overall pricing efforts and by managing our costs through efficiency, labor productivity, and investments in technology to automate certain aspects of our business. These efforts may not be successful for various reasons including the pace of inflation, operating cost inefficiencies, market responses, and contractual limitations, such as the timing lag in our ability to recover increased costs under certain contracts that are tied to a price escalation index with a lookback provision.</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Refer to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for further discussion.</w:t>
      </w: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43"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In the normal course of business, we are exposed to market risks, including changes in interest rates, certain commodity prices and currency rates. From time to time, we use derivatives to manage some portion of these risks. As of December 31, 2024, our outstanding derivatives were immaterial.</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3320" w:h="16920" w:orient="portrait"/>
          <w:cols w:equalWidth="0" w:num="1">
            <w:col w:w="10440"/>
          </w:cols>
          <w:pgMar w:left="1440" w:top="1440" w:right="1440" w:bottom="1440" w:gutter="0" w:footer="0" w:header="0"/>
          <w:type w:val="continuous"/>
        </w:sectPr>
      </w:pPr>
    </w:p>
    <w:bookmarkStart w:id="149" w:name="page150"/>
    <w:bookmarkEnd w:id="149"/>
    <w:p>
      <w:pPr>
        <w:spacing w:after="0" w:line="347"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Interest Rate Exposure — </w:t>
      </w:r>
      <w:r>
        <w:rPr>
          <w:rFonts w:ascii="Times New Roman" w:cs="Times New Roman" w:eastAsia="Times New Roman" w:hAnsi="Times New Roman"/>
          <w:sz w:val="20"/>
          <w:szCs w:val="20"/>
          <w:color w:val="auto"/>
        </w:rPr>
        <w:t>Our exposure to market risk for changes in interest rates relates primarily to our financing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activities. As of December 31, 2024, we had $24.1 billion of long-term debt, excluding the impacts of accounting for debt issuance costs, discounts and fair value adjustments attributable to terminated interest rate derivatives. We have $2.7 billion of debt that is exposed to changes in market interest rates within the next 12 months comprised primarily of</w:t>
      </w:r>
    </w:p>
    <w:p>
      <w:pPr>
        <w:spacing w:after="0" w:line="2" w:lineRule="exact"/>
        <w:rPr>
          <w:sz w:val="20"/>
          <w:szCs w:val="20"/>
          <w:color w:val="auto"/>
        </w:rPr>
      </w:pPr>
    </w:p>
    <w:p>
      <w:pPr>
        <w:jc w:val="both"/>
        <w:ind w:left="360" w:right="360" w:firstLine="7"/>
        <w:spacing w:after="0" w:line="243" w:lineRule="auto"/>
        <w:tabs>
          <w:tab w:leader="none" w:pos="59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 billion of short - term borrowings under our commercial paper program and (ii) $1.4 billion of tax - exempt bonds with term interest rate periods that expire within the next 12 months. We currently estimate that a 100 - basis point increase in the interest rates of our outstanding variable-rate debt obligations would increase our 2024 interest expense by $19 million.</w:t>
      </w:r>
    </w:p>
    <w:p>
      <w:pPr>
        <w:spacing w:after="0" w:line="201"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19"/>
          <w:szCs w:val="19"/>
          <w:color w:val="auto"/>
        </w:rPr>
        <w:t>Our remaining outstanding debt obligations have fixed interest rates through either the scheduled maturity of the debt or, for certain of our fixed-rate tax-exempt bonds, through the end of a term interest rate period that exceeds 12 months. The fair value of our fixed-rate debt obligations can increase or decrease significantly if market interest rates change.</w:t>
      </w:r>
    </w:p>
    <w:p>
      <w:pPr>
        <w:spacing w:after="0" w:line="171"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We performed a sensitivity analysis to determine how market rate changes might affect the fair value of our market risk-sensitive debt instruments. This analysis is inherently limited because it reflects a singular, hypothetical set of assumptions. Actual market movements may vary significantly from our assumptions. An instantaneous, 100 - basis point increase in interest rates across all maturities attributable to these instruments would have decreased the fair value of our debt by approximately $1.3 billion as of December 31, 2024.</w:t>
      </w:r>
    </w:p>
    <w:p>
      <w:pPr>
        <w:spacing w:after="0" w:line="197"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We are also exposed to interest rate market risk from our cash and cash equivalent balances, as well as assets held in restricted trust fund accounts. These assets are generally invested in high-quality, liquid instruments including money market funds that invest in U.S. government obligations with original maturities of three months or less. We believe that our exposure to changes in fair value of these assets due to interest rate fluctuations is insignificant as the fair value generally approximates our cost basis. We also invest a portion of our restricted trust fund account balances in available - for - sale securities, including U.S. Treasury securities, U.S. agency securities, municipal securities, mortgage-and asset-backed securities, which generally mature over the next ten years, as well as equity securities.</w:t>
      </w:r>
    </w:p>
    <w:p>
      <w:pPr>
        <w:spacing w:after="0" w:line="199"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Commodity Price Exposure — </w:t>
      </w:r>
      <w:r>
        <w:rPr>
          <w:rFonts w:ascii="Times New Roman" w:cs="Times New Roman" w:eastAsia="Times New Roman" w:hAnsi="Times New Roman"/>
          <w:sz w:val="20"/>
          <w:szCs w:val="20"/>
          <w:color w:val="auto"/>
        </w:rPr>
        <w:t>In the normal course of our business, we are subject to operating agreements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expose us to market risks arising from changes in the prices for commodities such as diesel fuel, electricity (and related renewable energy credits) and recycled materials, including old corrugated cardboard and plastics. We work to manage these risks through operational strategies that focus on capturing our costs in the prices we charge our customers for the services provided. Accordingly, as the market prices for these commodities increase or decrease, our revenues, operating costs and margins may also increase or decrease. Recycling revenues attributable to yield increased $245 million and decreased $308 million in 2024 and 2023, respectively, as compared with the prior year periods. While recycling commodity prices have recovered in 2024 from the low levels experienced in 2023, commodity values are still below prices seen at the beginning of 2022. Average market prices for single-stream recycled commodities were up 50% and down 40% in 2024 and 2023, respectively, as compared to the prior year periods. Variability in commodity prices can also impact the margins of our business as certain components of our revenue are structured as a pass through of costs, including recycling brokerage and fuel surcharges.</w:t>
      </w:r>
    </w:p>
    <w:p>
      <w:pPr>
        <w:spacing w:after="0" w:line="206"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In recent years, we have discussed our sustainability growth strategy that includes significant planned and ongoing investments in our WM Renewable Energy segment. We have invested, and continue to invest, in facilities to capture methane produced from the Company’s landfills and process it into RNG and electricity. RNG produced from our landfills constitutes a significant source of fuel allocated to our natural gas collection vehicles. The primary drivers of renewable fuel development at our landfills are tax policies, such as the federal tax credits for RNG production and renewable electricity generation under the IRA, and federal and state incentive programs, such as the federal Renewable Fuel Standard (“RFS”) program, California Low Carbon Fuel Standard and similar state programs that promote the production and use of renewable transportation fuels. At the federal level, oil refiners and importers are required through the RFS program to blend specified volumes of various categories of renewable transportation fuels with gasoline or buy credits, referred to as Renewable Identification Numbers (“RINs”), from renewable fuel producers. Many of our facilities are EPA-registered producers of transportation fuel making compressed and liquefied RNG from landfill biogas, which qualifies as a cellulosic biofuel under the RFS program. The Company has invested, and continues to invest, in facilities that capture and process landfill gas into RNG so that we can participate in the RFS program, and the Company has grown and stated its intention to continue to grow its asset base to increase its RNG production.</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3320" w:h="16920" w:orient="portrait"/>
          <w:cols w:equalWidth="0" w:num="1">
            <w:col w:w="10440"/>
          </w:cols>
          <w:pgMar w:left="1440" w:top="1440" w:right="1440" w:bottom="1440" w:gutter="0" w:footer="0" w:header="0"/>
          <w:type w:val="continuous"/>
        </w:sectPr>
      </w:pPr>
    </w:p>
    <w:bookmarkStart w:id="150" w:name="page151"/>
    <w:bookmarkEnd w:id="150"/>
    <w:p>
      <w:pPr>
        <w:spacing w:after="0" w:line="347" w:lineRule="exact"/>
        <w:rPr>
          <w:sz w:val="20"/>
          <w:szCs w:val="20"/>
          <w:color w:val="auto"/>
        </w:rPr>
      </w:pPr>
    </w:p>
    <w:p>
      <w:pPr>
        <w:jc w:val="both"/>
        <w:ind w:left="360" w:right="360" w:firstLine="360"/>
        <w:spacing w:after="0" w:line="241" w:lineRule="auto"/>
        <w:rPr>
          <w:sz w:val="20"/>
          <w:szCs w:val="20"/>
          <w:color w:val="auto"/>
        </w:rPr>
      </w:pPr>
      <w:r>
        <w:rPr>
          <w:rFonts w:ascii="Times New Roman" w:cs="Times New Roman" w:eastAsia="Times New Roman" w:hAnsi="Times New Roman"/>
          <w:sz w:val="20"/>
          <w:szCs w:val="20"/>
          <w:color w:val="auto"/>
        </w:rPr>
        <w:t>RINs prices generally respond to regulations enacted by the EPA, as well as fluctuations in supply and demand. The value of the RINs is set through a market established by the RFS program, which market has historically been very volatile. Prior to 2022, the EPA had promulgated rules on an annual basis establishing refiners’ obligations to purchase RNG and other cellulosic biofuels under the RFS program, which introduced a level of uncertainty into the renewable fuels and RINs market. However, in 2023, the EPA issued a highly anticipated rule establishing biofuel blending volumes under the RFS program for compliance years 2023 through 2025. The rule reflected the outsized role of biogas under the program, delivered on many reforms that benefit the solid waste sector, and recognized the continued growth of the market for RNG in vehicle applications. However, we cannot be certain that these changes, or the outcome of pending litigation challenging various aspects of the rule, will ultimately reduce volatility in the RINs market or that future rulemakings will be similarly favorable to our business. The new U.S. presidential administration could seek to reduce existing renewable fuel targets in a new rulemaking or otherwise set reduced targets for renewable fuels under the RFS program in future rulemakings. Moreover, consistent with its prior approach, the new administration may also increase the frequency with which it grants small refinery exemptions from RFS program requirements. While we cannot predict what actions the new administration may take with respect to the RFS program, any changes to existing or future renewable fuel targets or more frequent approval of requests for small refinery exemptions could have a significant negative impact on demand for renewable fuels and the value of RINs. In an effort to mitigate against such risk and stabilize our RNG portfolio, we are pursuing long-term sales transactions in the voluntary market. We continue to advocate for policies that could reduce the potential for volatility in the RINs market and ensure long-term stability for renewable transportation fuels, as changes in the RINs market or the structure of the RFS program can and has impacted the financial performance of our facilities. Such changes could impact or alter our projected future investments, and such investments may not yield the results anticipated. Revenue in our WM Renewable Energy segment attributable to yield increased $26 million and decreased $73 million in 2024 and 2023, respectively, as compared to the prior year periods, primarily driven by the fluctuations in energy and RIN market prices.</w:t>
      </w:r>
    </w:p>
    <w:p>
      <w:pPr>
        <w:spacing w:after="0" w:line="219"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The Company’s sustainability growth strategy also is informed by the increased adoption of state and Canadian clean fuel standard programs, utility policies, and voluntary market demand for RNG in transportation and industrial applications. Clean fuel standard programs, originally developed in California and subsequently adopted in Oregon, Washington, and New Mexico, establish annual carbon intensity benchmarks for transportation fuels that decrease over time. These programs operate similar to the RFS program in that certain regulated parties purchase credits from fuel producers, including RNG producers, to meet their carbon intensity obligations. Like RINs, clean fuel standard program credit values can fluctuate with policy and market dynamics. As such, we are advocating for existing programs to adopt measures to promote stability in credit pricing and for other states to adopt similar programs that incentivize the growth in RNG. We also are working closely with stakeholders to encourage the voluntary market for RNG demand, including utility RNG procurement programs, and sustainability protocols, as companies and other customers increasingly look to reduce their GHG emissions profiles. However, these state and voluntary programs may be altered, paused, or otherwise revoked by the applicable governmental authorities or as result of legal challenges.</w:t>
      </w:r>
    </w:p>
    <w:p>
      <w:pPr>
        <w:spacing w:after="0" w:line="197" w:lineRule="exact"/>
        <w:rPr>
          <w:sz w:val="20"/>
          <w:szCs w:val="20"/>
          <w:color w:val="auto"/>
        </w:rPr>
      </w:pPr>
    </w:p>
    <w:p>
      <w:pPr>
        <w:jc w:val="both"/>
        <w:ind w:left="360" w:right="360" w:firstLine="360"/>
        <w:spacing w:after="0" w:line="270" w:lineRule="auto"/>
        <w:rPr>
          <w:sz w:val="20"/>
          <w:szCs w:val="20"/>
          <w:color w:val="auto"/>
        </w:rPr>
      </w:pPr>
      <w:r>
        <w:rPr>
          <w:rFonts w:ascii="Times New Roman" w:cs="Times New Roman" w:eastAsia="Times New Roman" w:hAnsi="Times New Roman"/>
          <w:sz w:val="19"/>
          <w:szCs w:val="19"/>
          <w:i w:val="1"/>
          <w:iCs w:val="1"/>
          <w:color w:val="auto"/>
        </w:rPr>
        <w:t xml:space="preserve">Currency Rate Exposure — </w:t>
      </w:r>
      <w:r>
        <w:rPr>
          <w:rFonts w:ascii="Times New Roman" w:cs="Times New Roman" w:eastAsia="Times New Roman" w:hAnsi="Times New Roman"/>
          <w:sz w:val="19"/>
          <w:szCs w:val="19"/>
          <w:color w:val="auto"/>
        </w:rPr>
        <w:t>Our operations are primarily in the U.S. but we also have significant operations in Canada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certain countries in Europe. Additionally, we have certain support functions in India. Where significant, we have quantified and described the impact of foreign currency translation on components of income, including operating revenues and operating expenses. However, the impact of foreign currency has not materially affected our results of operations.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3320" w:h="16920" w:orient="portrait"/>
          <w:cols w:equalWidth="0" w:num="1">
            <w:col w:w="10440"/>
          </w:cols>
          <w:pgMar w:left="1440" w:top="1440" w:right="1440" w:bottom="1440" w:gutter="0" w:footer="0" w:header="0"/>
          <w:type w:val="continuous"/>
        </w:sectPr>
      </w:pPr>
    </w:p>
    <w:bookmarkStart w:id="151" w:name="page152"/>
    <w:bookmarkEnd w:id="151"/>
    <w:p>
      <w:pPr>
        <w:spacing w:after="0" w:line="3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 xml:space="preserve">Item 8. </w:t>
      </w:r>
      <w:r>
        <w:rPr>
          <w:rFonts w:ascii="Times New Roman" w:cs="Times New Roman" w:eastAsia="Times New Roman" w:hAnsi="Times New Roman"/>
          <w:sz w:val="20"/>
          <w:szCs w:val="20"/>
          <w:b w:val="1"/>
          <w:bCs w:val="1"/>
          <w:i w:val="1"/>
          <w:iCs w:val="1"/>
          <w:color w:val="auto"/>
        </w:rPr>
        <w:t>Financial Statements and Supplementary Data.</w:t>
      </w:r>
    </w:p>
    <w:p>
      <w:pPr>
        <w:spacing w:after="0" w:line="23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INDEX TO</w:t>
      </w:r>
    </w:p>
    <w:p>
      <w:pPr>
        <w:spacing w:after="0" w:line="24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spacing w:after="0" w:line="245" w:lineRule="exact"/>
        <w:rPr>
          <w:sz w:val="20"/>
          <w:szCs w:val="20"/>
          <w:color w:val="auto"/>
        </w:rPr>
      </w:pPr>
    </w:p>
    <w:p>
      <w:pPr>
        <w:ind w:left="9720"/>
        <w:spacing w:after="0"/>
        <w:rPr>
          <w:sz w:val="20"/>
          <w:szCs w:val="20"/>
          <w:color w:val="auto"/>
        </w:rPr>
      </w:pPr>
      <w:r>
        <w:rPr>
          <w:rFonts w:ascii="Times New Roman" w:cs="Times New Roman" w:eastAsia="Times New Roman" w:hAnsi="Times New Roman"/>
          <w:sz w:val="16"/>
          <w:szCs w:val="16"/>
          <w:b w:val="1"/>
          <w:bCs w:val="1"/>
          <w:u w:val="single" w:color="auto"/>
          <w:color w:val="auto"/>
        </w:rPr>
        <w:t>Page</w:t>
      </w:r>
    </w:p>
    <w:p>
      <w:pPr>
        <w:spacing w:after="0" w:line="36" w:lineRule="exact"/>
        <w:rPr>
          <w:sz w:val="20"/>
          <w:szCs w:val="20"/>
          <w:color w:val="auto"/>
        </w:rPr>
      </w:pPr>
    </w:p>
    <w:p>
      <w:pPr>
        <w:ind w:left="360"/>
        <w:spacing w:after="0"/>
        <w:tabs>
          <w:tab w:leader="none" w:pos="9860" w:val="left"/>
        </w:tabs>
        <w:rPr>
          <w:sz w:val="20"/>
          <w:szCs w:val="20"/>
          <w:color w:val="auto"/>
        </w:rPr>
      </w:pPr>
      <w:r>
        <w:rPr>
          <w:rFonts w:ascii="Times New Roman" w:cs="Times New Roman" w:eastAsia="Times New Roman" w:hAnsi="Times New Roman"/>
          <w:sz w:val="20"/>
          <w:szCs w:val="20"/>
          <w:color w:val="auto"/>
        </w:rPr>
        <w:t>Reports of Independent Registered Public Accounting Firm (PCAOB ID 42) . . . . . . . . . . . . . . . . . . . . . . . . . . . . . .</w:t>
      </w:r>
      <w:r>
        <w:rPr>
          <w:sz w:val="20"/>
          <w:szCs w:val="20"/>
          <w:color w:val="auto"/>
        </w:rPr>
        <w:tab/>
      </w:r>
      <w:r>
        <w:rPr>
          <w:rFonts w:ascii="Times New Roman" w:cs="Times New Roman" w:eastAsia="Times New Roman" w:hAnsi="Times New Roman"/>
          <w:sz w:val="20"/>
          <w:szCs w:val="20"/>
          <w:color w:val="auto"/>
        </w:rPr>
        <w:t>79</w:t>
      </w:r>
    </w:p>
    <w:p>
      <w:pPr>
        <w:spacing w:after="0" w:line="1" w:lineRule="exact"/>
        <w:rPr>
          <w:sz w:val="20"/>
          <w:szCs w:val="20"/>
          <w:color w:val="auto"/>
        </w:rPr>
      </w:pPr>
    </w:p>
    <w:p>
      <w:pPr>
        <w:ind w:left="360"/>
        <w:spacing w:after="0"/>
        <w:tabs>
          <w:tab w:leader="none" w:pos="9860" w:val="left"/>
        </w:tabs>
        <w:rPr>
          <w:sz w:val="20"/>
          <w:szCs w:val="20"/>
          <w:color w:val="auto"/>
        </w:rPr>
      </w:pPr>
      <w:r>
        <w:rPr>
          <w:rFonts w:ascii="Times New Roman" w:cs="Times New Roman" w:eastAsia="Times New Roman" w:hAnsi="Times New Roman"/>
          <w:sz w:val="20"/>
          <w:szCs w:val="20"/>
          <w:color w:val="auto"/>
        </w:rPr>
        <w:t>Consolidated Balance Sheets as of December 31, 2024 and 2023 . . . . . . . . . . . . . . . . . . . . . . . . . . . . . . . . . . . . . . . . .</w:t>
      </w:r>
      <w:r>
        <w:rPr>
          <w:sz w:val="20"/>
          <w:szCs w:val="20"/>
          <w:color w:val="auto"/>
        </w:rPr>
        <w:tab/>
      </w:r>
      <w:r>
        <w:rPr>
          <w:rFonts w:ascii="Times New Roman" w:cs="Times New Roman" w:eastAsia="Times New Roman" w:hAnsi="Times New Roman"/>
          <w:sz w:val="20"/>
          <w:szCs w:val="20"/>
          <w:color w:val="auto"/>
        </w:rPr>
        <w:t>84</w:t>
      </w:r>
    </w:p>
    <w:p>
      <w:pPr>
        <w:ind w:left="360"/>
        <w:spacing w:after="0"/>
        <w:tabs>
          <w:tab w:leader="none" w:pos="9860" w:val="left"/>
        </w:tabs>
        <w:rPr>
          <w:sz w:val="20"/>
          <w:szCs w:val="20"/>
          <w:color w:val="auto"/>
        </w:rPr>
      </w:pPr>
      <w:r>
        <w:rPr>
          <w:rFonts w:ascii="Times New Roman" w:cs="Times New Roman" w:eastAsia="Times New Roman" w:hAnsi="Times New Roman"/>
          <w:sz w:val="20"/>
          <w:szCs w:val="20"/>
          <w:color w:val="auto"/>
        </w:rPr>
        <w:t>Consolidated Statements of Operations for the Years Ended December 31, 2024, 2023 and 2022 . . . . . . . . . . . . . .</w:t>
      </w:r>
      <w:r>
        <w:rPr>
          <w:sz w:val="20"/>
          <w:szCs w:val="20"/>
          <w:color w:val="auto"/>
        </w:rPr>
        <w:tab/>
      </w:r>
      <w:r>
        <w:rPr>
          <w:rFonts w:ascii="Times New Roman" w:cs="Times New Roman" w:eastAsia="Times New Roman" w:hAnsi="Times New Roman"/>
          <w:sz w:val="20"/>
          <w:szCs w:val="20"/>
          <w:color w:val="auto"/>
        </w:rPr>
        <w:t>85</w:t>
      </w:r>
    </w:p>
    <w:p>
      <w:pPr>
        <w:ind w:left="360"/>
        <w:spacing w:after="0"/>
        <w:tabs>
          <w:tab w:leader="none" w:pos="9860" w:val="left"/>
        </w:tabs>
        <w:rPr>
          <w:sz w:val="20"/>
          <w:szCs w:val="20"/>
          <w:color w:val="auto"/>
        </w:rPr>
      </w:pPr>
      <w:r>
        <w:rPr>
          <w:rFonts w:ascii="Times New Roman" w:cs="Times New Roman" w:eastAsia="Times New Roman" w:hAnsi="Times New Roman"/>
          <w:sz w:val="20"/>
          <w:szCs w:val="20"/>
          <w:color w:val="auto"/>
        </w:rPr>
        <w:t>Consolidated Statements of Comprehensive Income for the Years Ended December 31, 2024, 2023 and 2022 . . .</w:t>
      </w:r>
      <w:r>
        <w:rPr>
          <w:sz w:val="20"/>
          <w:szCs w:val="20"/>
          <w:color w:val="auto"/>
        </w:rPr>
        <w:tab/>
      </w:r>
      <w:r>
        <w:rPr>
          <w:rFonts w:ascii="Times New Roman" w:cs="Times New Roman" w:eastAsia="Times New Roman" w:hAnsi="Times New Roman"/>
          <w:sz w:val="20"/>
          <w:szCs w:val="20"/>
          <w:color w:val="auto"/>
        </w:rPr>
        <w:t>85</w:t>
      </w:r>
    </w:p>
    <w:p>
      <w:pPr>
        <w:ind w:left="360"/>
        <w:spacing w:after="0"/>
        <w:tabs>
          <w:tab w:leader="none" w:pos="9860" w:val="left"/>
        </w:tabs>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2024, 2023 and 2022 . . . . . . . . . . . . . .</w:t>
      </w:r>
      <w:r>
        <w:rPr>
          <w:sz w:val="20"/>
          <w:szCs w:val="20"/>
          <w:color w:val="auto"/>
        </w:rPr>
        <w:tab/>
      </w:r>
      <w:r>
        <w:rPr>
          <w:rFonts w:ascii="Times New Roman" w:cs="Times New Roman" w:eastAsia="Times New Roman" w:hAnsi="Times New Roman"/>
          <w:sz w:val="20"/>
          <w:szCs w:val="20"/>
          <w:color w:val="auto"/>
        </w:rPr>
        <w:t>86</w:t>
      </w:r>
    </w:p>
    <w:p>
      <w:pPr>
        <w:ind w:left="360"/>
        <w:spacing w:after="0"/>
        <w:tabs>
          <w:tab w:leader="none" w:pos="9860" w:val="left"/>
        </w:tabs>
        <w:rPr>
          <w:sz w:val="20"/>
          <w:szCs w:val="20"/>
          <w:color w:val="auto"/>
        </w:rPr>
      </w:pPr>
      <w:r>
        <w:rPr>
          <w:rFonts w:ascii="Times New Roman" w:cs="Times New Roman" w:eastAsia="Times New Roman" w:hAnsi="Times New Roman"/>
          <w:sz w:val="20"/>
          <w:szCs w:val="20"/>
          <w:color w:val="auto"/>
        </w:rPr>
        <w:t>Consolidated Statements of Changes in Equity for the Years Ended December 31, 2024, 2023 and 2022 . . . . . . . .</w:t>
      </w:r>
      <w:r>
        <w:rPr>
          <w:sz w:val="20"/>
          <w:szCs w:val="20"/>
          <w:color w:val="auto"/>
        </w:rPr>
        <w:tab/>
      </w:r>
      <w:r>
        <w:rPr>
          <w:rFonts w:ascii="Times New Roman" w:cs="Times New Roman" w:eastAsia="Times New Roman" w:hAnsi="Times New Roman"/>
          <w:sz w:val="20"/>
          <w:szCs w:val="20"/>
          <w:color w:val="auto"/>
        </w:rPr>
        <w:t>87</w:t>
      </w:r>
    </w:p>
    <w:p>
      <w:pPr>
        <w:ind w:left="360"/>
        <w:spacing w:after="0"/>
        <w:tabs>
          <w:tab w:leader="none" w:pos="9860" w:val="left"/>
        </w:tabs>
        <w:rPr>
          <w:sz w:val="20"/>
          <w:szCs w:val="20"/>
          <w:color w:val="auto"/>
        </w:rPr>
      </w:pPr>
      <w:r>
        <w:rPr>
          <w:rFonts w:ascii="Times New Roman" w:cs="Times New Roman" w:eastAsia="Times New Roman" w:hAnsi="Times New Roman"/>
          <w:sz w:val="20"/>
          <w:szCs w:val="20"/>
          <w:color w:val="auto"/>
        </w:rPr>
        <w:t>Notes to Consolidated Financial Statements . . . . . . . . . . . . . . . . . . . . . . . . . . . . . . . . . . . . . . . . . . . . . . . . . . . . . . . . . .</w:t>
      </w:r>
      <w:r>
        <w:rPr>
          <w:sz w:val="20"/>
          <w:szCs w:val="20"/>
          <w:color w:val="auto"/>
        </w:rPr>
        <w:tab/>
      </w:r>
      <w:r>
        <w:rPr>
          <w:rFonts w:ascii="Times New Roman" w:cs="Times New Roman" w:eastAsia="Times New Roman" w:hAnsi="Times New Roman"/>
          <w:sz w:val="20"/>
          <w:szCs w:val="20"/>
          <w:color w:val="auto"/>
        </w:rPr>
        <w:t>88</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3320" w:h="16920" w:orient="portrait"/>
          <w:cols w:equalWidth="0" w:num="1">
            <w:col w:w="10440"/>
          </w:cols>
          <w:pgMar w:left="1440" w:top="1440" w:right="1440" w:bottom="1440" w:gutter="0" w:footer="0" w:header="0"/>
          <w:type w:val="continuous"/>
        </w:sectPr>
      </w:pPr>
    </w:p>
    <w:bookmarkStart w:id="152" w:name="page153"/>
    <w:bookmarkEnd w:id="152"/>
    <w:p>
      <w:pPr>
        <w:spacing w:after="0" w:line="31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To the Stockholders and the Board of Directors of Waste Management, Inc.</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2" w:lineRule="exact"/>
        <w:rPr>
          <w:sz w:val="20"/>
          <w:szCs w:val="20"/>
          <w:color w:val="auto"/>
        </w:rPr>
      </w:pPr>
    </w:p>
    <w:p>
      <w:pPr>
        <w:jc w:val="both"/>
        <w:ind w:left="360" w:right="360"/>
        <w:spacing w:after="0" w:line="233" w:lineRule="auto"/>
        <w:rPr>
          <w:sz w:val="20"/>
          <w:szCs w:val="20"/>
          <w:color w:val="auto"/>
        </w:rPr>
      </w:pPr>
      <w:r>
        <w:rPr>
          <w:rFonts w:ascii="Times New Roman" w:cs="Times New Roman" w:eastAsia="Times New Roman" w:hAnsi="Times New Roman"/>
          <w:sz w:val="20"/>
          <w:szCs w:val="20"/>
          <w:color w:val="auto"/>
        </w:rPr>
        <w:t>We have audited Waste Management, Inc.’s internal control over financial reporting as of December 31, 2024, based on criteria established in Internal Control—Integrated Framework issued by the Committee of Sponsoring Organizations of the Treadway Commission (2013 framework) (the COSO criteria). In our opinion, Waste Management, Inc. (the Company) maintained, in all material respects, effective internal control over financial reporting as of December 31, 2024, based on the COSO criteria.</w:t>
      </w:r>
    </w:p>
    <w:p>
      <w:pPr>
        <w:spacing w:after="0" w:line="95" w:lineRule="exact"/>
        <w:rPr>
          <w:sz w:val="20"/>
          <w:szCs w:val="20"/>
          <w:color w:val="auto"/>
        </w:rPr>
      </w:pPr>
    </w:p>
    <w:p>
      <w:pPr>
        <w:jc w:val="both"/>
        <w:ind w:left="360" w:right="360"/>
        <w:spacing w:after="0" w:line="237" w:lineRule="auto"/>
        <w:rPr>
          <w:sz w:val="20"/>
          <w:szCs w:val="20"/>
          <w:color w:val="auto"/>
        </w:rPr>
      </w:pPr>
      <w:r>
        <w:rPr>
          <w:rFonts w:ascii="Times New Roman" w:cs="Times New Roman" w:eastAsia="Times New Roman" w:hAnsi="Times New Roman"/>
          <w:sz w:val="20"/>
          <w:szCs w:val="20"/>
          <w:color w:val="auto"/>
        </w:rPr>
        <w:t>As indicated in the accompanying Management’s Report on Internal Control Over Financial Reporting, management’s assessment of and conclusion on the effectiveness of internal control over financial reporting did not include the internal controls of Stericycle, Inc., which is included in the 2024 consolidated financial statements of the Company and constituted approximately 13.0% of total assets, excluding goodwill, as of December 31, 2024 and approximately 1.8% of consolidated operating revenues, for the year then ended. Our audit of internal control over financial reporting of the Company also did not include an evaluation of the internal control over financial reporting of Stericycle, Inc.</w:t>
      </w:r>
    </w:p>
    <w:p>
      <w:pPr>
        <w:spacing w:after="0" w:line="98" w:lineRule="exact"/>
        <w:rPr>
          <w:sz w:val="20"/>
          <w:szCs w:val="20"/>
          <w:color w:val="auto"/>
        </w:rPr>
      </w:pPr>
    </w:p>
    <w:p>
      <w:pPr>
        <w:jc w:val="both"/>
        <w:ind w:left="360" w:right="360"/>
        <w:spacing w:after="0" w:line="248"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2024 consolidated financial statements of the Company, and our report dated February 19, 2025 expressed an unqualified opinion thereon.</w:t>
      </w:r>
    </w:p>
    <w:p>
      <w:pPr>
        <w:spacing w:after="0" w:line="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2" w:lineRule="exact"/>
        <w:rPr>
          <w:sz w:val="20"/>
          <w:szCs w:val="20"/>
          <w:color w:val="auto"/>
        </w:rPr>
      </w:pPr>
    </w:p>
    <w:p>
      <w:pPr>
        <w:jc w:val="both"/>
        <w:ind w:left="360" w:right="360"/>
        <w:spacing w:after="0" w:line="232"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8" w:lineRule="exact"/>
        <w:rPr>
          <w:sz w:val="20"/>
          <w:szCs w:val="20"/>
          <w:color w:val="auto"/>
        </w:rPr>
      </w:pPr>
    </w:p>
    <w:p>
      <w:pPr>
        <w:jc w:val="both"/>
        <w:ind w:left="360" w:right="360"/>
        <w:spacing w:after="0" w:line="248"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6" w:lineRule="exact"/>
        <w:rPr>
          <w:sz w:val="20"/>
          <w:szCs w:val="20"/>
          <w:color w:val="auto"/>
        </w:rPr>
      </w:pPr>
    </w:p>
    <w:p>
      <w:pPr>
        <w:jc w:val="both"/>
        <w:ind w:left="360" w:right="360"/>
        <w:spacing w:after="0" w:line="242"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3" w:lineRule="exact"/>
        <w:rPr>
          <w:sz w:val="20"/>
          <w:szCs w:val="20"/>
          <w:color w:val="auto"/>
        </w:rPr>
      </w:pPr>
    </w:p>
    <w:p>
      <w:pPr>
        <w:jc w:val="both"/>
        <w:ind w:left="360" w:right="360" w:firstLine="1"/>
        <w:spacing w:after="0" w:line="231"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8" w:lineRule="exact"/>
        <w:rPr>
          <w:sz w:val="20"/>
          <w:szCs w:val="20"/>
          <w:color w:val="auto"/>
        </w:rPr>
      </w:pPr>
    </w:p>
    <w:p>
      <w:pPr>
        <w:jc w:val="both"/>
        <w:ind w:left="360" w:right="360"/>
        <w:spacing w:after="0" w:line="267"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Houston, Texas</w:t>
      </w:r>
    </w:p>
    <w:p>
      <w:pPr>
        <w:ind w:left="360"/>
        <w:spacing w:after="0"/>
        <w:rPr>
          <w:sz w:val="20"/>
          <w:szCs w:val="20"/>
          <w:color w:val="auto"/>
        </w:rPr>
      </w:pPr>
      <w:r>
        <w:rPr>
          <w:rFonts w:ascii="Times New Roman" w:cs="Times New Roman" w:eastAsia="Times New Roman" w:hAnsi="Times New Roman"/>
          <w:sz w:val="20"/>
          <w:szCs w:val="20"/>
          <w:color w:val="auto"/>
        </w:rPr>
        <w:t>February 19, 2025</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3320" w:h="16920" w:orient="portrait"/>
          <w:cols w:equalWidth="0" w:num="1">
            <w:col w:w="10440"/>
          </w:cols>
          <w:pgMar w:left="1440" w:top="1440" w:right="1440" w:bottom="1440" w:gutter="0" w:footer="0" w:header="0"/>
          <w:type w:val="continuous"/>
        </w:sectPr>
      </w:pPr>
    </w:p>
    <w:bookmarkStart w:id="153" w:name="page154"/>
    <w:bookmarkEnd w:id="153"/>
    <w:p>
      <w:pPr>
        <w:spacing w:after="0" w:line="34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To the Stockholders and the Board of Directors of Waste Management, Inc.</w:t>
      </w: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32" w:lineRule="exact"/>
        <w:rPr>
          <w:sz w:val="20"/>
          <w:szCs w:val="20"/>
          <w:color w:val="auto"/>
        </w:rPr>
      </w:pPr>
    </w:p>
    <w:p>
      <w:pPr>
        <w:jc w:val="both"/>
        <w:ind w:left="360" w:right="360"/>
        <w:spacing w:after="0" w:line="241"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Waste Management, Inc. (the Company) as of December 31, 2024 and 2023, the related consolidated statements of operations, comprehensive income, cash flows and changes in equity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96" w:lineRule="exact"/>
        <w:rPr>
          <w:sz w:val="20"/>
          <w:szCs w:val="20"/>
          <w:color w:val="auto"/>
        </w:rPr>
      </w:pPr>
    </w:p>
    <w:p>
      <w:pPr>
        <w:jc w:val="both"/>
        <w:ind w:left="360" w:right="360"/>
        <w:spacing w:after="0" w:line="249"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19, 2025 expressed an unqualified opinion thereon.</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32" w:lineRule="exact"/>
        <w:rPr>
          <w:sz w:val="20"/>
          <w:szCs w:val="20"/>
          <w:color w:val="auto"/>
        </w:rPr>
      </w:pPr>
    </w:p>
    <w:p>
      <w:pPr>
        <w:jc w:val="both"/>
        <w:ind w:left="360" w:right="360"/>
        <w:spacing w:after="0" w:line="243"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ind w:left="360" w:right="360"/>
        <w:spacing w:after="0" w:line="24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32" w:lineRule="exact"/>
        <w:rPr>
          <w:sz w:val="20"/>
          <w:szCs w:val="20"/>
          <w:color w:val="auto"/>
        </w:rPr>
      </w:pPr>
    </w:p>
    <w:p>
      <w:pPr>
        <w:jc w:val="both"/>
        <w:ind w:left="360" w:right="360"/>
        <w:spacing w:after="0" w:line="241"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3320" w:h="16920" w:orient="portrait"/>
          <w:cols w:equalWidth="0" w:num="1">
            <w:col w:w="10440"/>
          </w:cols>
          <w:pgMar w:left="1440" w:top="1440" w:right="1440" w:bottom="1440" w:gutter="0" w:footer="0" w:header="0"/>
          <w:type w:val="continuous"/>
        </w:sectPr>
      </w:pPr>
    </w:p>
    <w:bookmarkStart w:id="154" w:name="page155"/>
    <w:bookmarkEnd w:id="154"/>
    <w:p>
      <w:pPr>
        <w:spacing w:after="0" w:line="367" w:lineRule="exact"/>
        <w:rPr>
          <w:sz w:val="20"/>
          <w:szCs w:val="20"/>
          <w:color w:val="auto"/>
        </w:rPr>
      </w:pPr>
    </w:p>
    <w:tbl>
      <w:tblPr>
        <w:tblLayout w:type="fixed"/>
        <w:tblInd w:w="480" w:type="dxa"/>
        <w:tblCellMar>
          <w:top w:w="0" w:type="dxa"/>
          <w:left w:w="0" w:type="dxa"/>
          <w:bottom w:w="0" w:type="dxa"/>
          <w:right w:w="0" w:type="dxa"/>
        </w:tblCellMar>
      </w:tblPr>
      <w:tr>
        <w:trPr>
          <w:trHeight w:val="267"/>
        </w:trPr>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Landfill Depletion</w:t>
            </w:r>
          </w:p>
        </w:tc>
      </w:tr>
      <w:tr>
        <w:trPr>
          <w:trHeight w:val="424"/>
        </w:trPr>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Description</w:t>
            </w:r>
          </w:p>
        </w:tc>
        <w:tc>
          <w:tcPr>
            <w:tcW w:w="340" w:type="dxa"/>
            <w:vAlign w:val="bottom"/>
          </w:tcPr>
          <w:p>
            <w:pPr>
              <w:ind w:left="120"/>
              <w:spacing w:after="0"/>
              <w:rPr>
                <w:sz w:val="20"/>
                <w:szCs w:val="20"/>
                <w:color w:val="auto"/>
              </w:rPr>
            </w:pPr>
            <w:r>
              <w:rPr>
                <w:rFonts w:ascii="Times New Roman" w:cs="Times New Roman" w:eastAsia="Times New Roman" w:hAnsi="Times New Roman"/>
                <w:sz w:val="20"/>
                <w:szCs w:val="20"/>
                <w:i w:val="1"/>
                <w:iCs w:val="1"/>
                <w:color w:val="auto"/>
              </w:rPr>
              <w:t>of</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the</w:t>
            </w: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At December 31, 2024, the Company’s landfill assets, net of accumulated depletion,</w:t>
            </w:r>
          </w:p>
        </w:tc>
      </w:tr>
      <w:tr>
        <w:trPr>
          <w:trHeight w:val="230"/>
        </w:trPr>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Matter</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totaled $8.0 billion and the associated depletion expense for 2024 was $795 million. As</w:t>
            </w:r>
          </w:p>
        </w:tc>
      </w:tr>
      <w:tr>
        <w:trPr>
          <w:trHeight w:val="229"/>
        </w:trPr>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discussed in Note 2 of the financial statements, the Company updates the estimates used</w:t>
            </w:r>
          </w:p>
        </w:tc>
      </w:tr>
      <w:tr>
        <w:trPr>
          <w:trHeight w:val="230"/>
        </w:trPr>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to calculate individual landfill depletion rates at least annually, or more often if significant</w:t>
            </w:r>
          </w:p>
        </w:tc>
      </w:tr>
      <w:tr>
        <w:trPr>
          <w:trHeight w:val="230"/>
        </w:trPr>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facts change. Landfill depletion rates are used in the computation of landfill depletion</w:t>
            </w:r>
          </w:p>
        </w:tc>
      </w:tr>
      <w:tr>
        <w:trPr>
          <w:trHeight w:val="267"/>
        </w:trPr>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expense.</w:t>
            </w:r>
          </w:p>
        </w:tc>
      </w:tr>
      <w:tr>
        <w:trPr>
          <w:trHeight w:val="433"/>
        </w:trPr>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Auditing landfill depletion rates and related depletion expense is complex due to the highly</w:t>
            </w:r>
          </w:p>
        </w:tc>
      </w:tr>
      <w:tr>
        <w:trPr>
          <w:trHeight w:val="230"/>
        </w:trPr>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judgmental nature of assumptions used in estimating the rates. Significant assumptions</w:t>
            </w:r>
          </w:p>
        </w:tc>
      </w:tr>
      <w:tr>
        <w:trPr>
          <w:trHeight w:val="229"/>
        </w:trPr>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used in the calculation of the rates include: estimated future development costs associated</w:t>
            </w:r>
          </w:p>
        </w:tc>
      </w:tr>
      <w:tr>
        <w:trPr>
          <w:trHeight w:val="230"/>
        </w:trPr>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with the construction and retirement of the landfill, estimated remaining permitted and</w:t>
            </w:r>
          </w:p>
        </w:tc>
      </w:tr>
      <w:tr>
        <w:trPr>
          <w:trHeight w:val="267"/>
        </w:trPr>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expansion airspace, and airspace utilization factors.</w:t>
            </w:r>
          </w:p>
        </w:tc>
      </w:tr>
      <w:tr>
        <w:trPr>
          <w:trHeight w:val="424"/>
        </w:trPr>
        <w:tc>
          <w:tcPr>
            <w:tcW w:w="4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How</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i w:val="1"/>
                <w:iCs w:val="1"/>
                <w:color w:val="auto"/>
              </w:rPr>
              <w:t>We  Addressed</w:t>
            </w: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We obtained an understanding, evaluated the design, and tested the operating effectiveness</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the</w:t>
            </w:r>
          </w:p>
        </w:tc>
        <w:tc>
          <w:tcPr>
            <w:tcW w:w="64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Matter</w:t>
            </w:r>
          </w:p>
        </w:tc>
        <w:tc>
          <w:tcPr>
            <w:tcW w:w="340" w:type="dxa"/>
            <w:vAlign w:val="bottom"/>
          </w:tcPr>
          <w:p>
            <w:pPr>
              <w:ind w:left="80"/>
              <w:spacing w:after="0"/>
              <w:rPr>
                <w:sz w:val="20"/>
                <w:szCs w:val="20"/>
                <w:color w:val="auto"/>
              </w:rPr>
            </w:pPr>
            <w:r>
              <w:rPr>
                <w:rFonts w:ascii="Times New Roman" w:cs="Times New Roman" w:eastAsia="Times New Roman" w:hAnsi="Times New Roman"/>
                <w:sz w:val="20"/>
                <w:szCs w:val="20"/>
                <w:i w:val="1"/>
                <w:iCs w:val="1"/>
                <w:color w:val="auto"/>
              </w:rPr>
              <w:t>in</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Our</w:t>
            </w: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of the Company’s controls over determining landfill depletion rates and calculating</w:t>
            </w:r>
          </w:p>
        </w:tc>
      </w:tr>
      <w:tr>
        <w:trPr>
          <w:trHeight w:val="229"/>
        </w:trPr>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Audit</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depletion expense. Our audit procedures included, among others, testing controls over: the</w:t>
            </w:r>
          </w:p>
        </w:tc>
      </w:tr>
      <w:tr>
        <w:trPr>
          <w:trHeight w:val="230"/>
        </w:trPr>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Company’s process for evaluating and updating the significant assumptions used in the</w:t>
            </w:r>
          </w:p>
        </w:tc>
      </w:tr>
      <w:tr>
        <w:trPr>
          <w:trHeight w:val="230"/>
        </w:trPr>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development of the landfill depletion rates, management’s review of those significant</w:t>
            </w:r>
          </w:p>
        </w:tc>
      </w:tr>
      <w:tr>
        <w:trPr>
          <w:trHeight w:val="230"/>
        </w:trPr>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assumptions, and the mathematical accuracy of the calculation and recording of depletion</w:t>
            </w:r>
          </w:p>
        </w:tc>
      </w:tr>
      <w:tr>
        <w:trPr>
          <w:trHeight w:val="267"/>
        </w:trPr>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expense.</w:t>
            </w:r>
          </w:p>
        </w:tc>
      </w:tr>
    </w:tbl>
    <w:p>
      <w:pPr>
        <w:spacing w:after="0" w:line="203" w:lineRule="exact"/>
        <w:rPr>
          <w:sz w:val="20"/>
          <w:szCs w:val="20"/>
          <w:color w:val="auto"/>
        </w:rPr>
      </w:pPr>
    </w:p>
    <w:p>
      <w:pPr>
        <w:jc w:val="both"/>
        <w:ind w:left="2460" w:right="820"/>
        <w:spacing w:after="0" w:line="243" w:lineRule="auto"/>
        <w:rPr>
          <w:sz w:val="20"/>
          <w:szCs w:val="20"/>
          <w:color w:val="auto"/>
        </w:rPr>
      </w:pPr>
      <w:r>
        <w:rPr>
          <w:rFonts w:ascii="Times New Roman" w:cs="Times New Roman" w:eastAsia="Times New Roman" w:hAnsi="Times New Roman"/>
          <w:sz w:val="20"/>
          <w:szCs w:val="20"/>
          <w:color w:val="auto"/>
        </w:rPr>
        <w:t>To test the landfill asset depletion rates, our audit procedures included, among others, assessing methodologies used by the Company and testing the significant assumptions discussed above, inclusive of the underlying data used by the Company in its development of these assumptions. We compared the significant assumptions used by management to historical trends and, when available, to comparable size landfills accepting a similar type of waste. Regarding expansion airspace, we evaluated the Company’s criteria for inclusion in remaining airspace. In addition, we considered the professional qualifications and objectivity of management’s internal engineers responsible for developing the assumptions. We involved EY engineering specialists to assist with the evaluation of the Company’s landfill future development cost and airspace assumptions. We also tested the completeness and accuracy of the historical data utilized in the development of the landfill depletion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3320" w:h="16920" w:orient="portrait"/>
          <w:cols w:equalWidth="0" w:num="1">
            <w:col w:w="10440"/>
          </w:cols>
          <w:pgMar w:left="1440" w:top="1440" w:right="1440" w:bottom="1440" w:gutter="0" w:footer="0" w:header="0"/>
        </w:sectPr>
      </w:pPr>
    </w:p>
    <w:bookmarkStart w:id="155" w:name="page156"/>
    <w:bookmarkEnd w:id="155"/>
    <w:p>
      <w:pPr>
        <w:spacing w:after="0" w:line="367" w:lineRule="exact"/>
        <w:rPr>
          <w:sz w:val="20"/>
          <w:szCs w:val="20"/>
          <w:color w:val="auto"/>
        </w:rPr>
      </w:pPr>
    </w:p>
    <w:tbl>
      <w:tblPr>
        <w:tblLayout w:type="fixed"/>
        <w:tblInd w:w="480" w:type="dxa"/>
        <w:tblCellMar>
          <w:top w:w="0" w:type="dxa"/>
          <w:left w:w="0" w:type="dxa"/>
          <w:bottom w:w="0" w:type="dxa"/>
          <w:right w:w="0" w:type="dxa"/>
        </w:tblCellMar>
      </w:tblPr>
      <w:tr>
        <w:trPr>
          <w:trHeight w:val="267"/>
        </w:trPr>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Landfill – Final Capping, Closure and Post-Closure Costs</w:t>
            </w:r>
          </w:p>
        </w:tc>
      </w:tr>
      <w:tr>
        <w:trPr>
          <w:trHeight w:val="368"/>
        </w:trPr>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Description</w:t>
            </w:r>
          </w:p>
        </w:tc>
        <w:tc>
          <w:tcPr>
            <w:tcW w:w="340" w:type="dxa"/>
            <w:vAlign w:val="bottom"/>
          </w:tcPr>
          <w:p>
            <w:pPr>
              <w:ind w:left="120"/>
              <w:spacing w:after="0"/>
              <w:rPr>
                <w:sz w:val="20"/>
                <w:szCs w:val="20"/>
                <w:color w:val="auto"/>
              </w:rPr>
            </w:pPr>
            <w:r>
              <w:rPr>
                <w:rFonts w:ascii="Times New Roman" w:cs="Times New Roman" w:eastAsia="Times New Roman" w:hAnsi="Times New Roman"/>
                <w:sz w:val="20"/>
                <w:szCs w:val="20"/>
                <w:i w:val="1"/>
                <w:iCs w:val="1"/>
                <w:color w:val="auto"/>
              </w:rPr>
              <w:t>of</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the</w:t>
            </w: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At December 31, 2024, the carrying value of the Company’s landfill asset retirement</w:t>
            </w:r>
          </w:p>
        </w:tc>
      </w:tr>
      <w:tr>
        <w:trPr>
          <w:trHeight w:val="230"/>
        </w:trPr>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Matter</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obligations related to final capping, closure and post-closure costs totaled $3.1 billion. As</w:t>
            </w:r>
          </w:p>
        </w:tc>
      </w:tr>
      <w:tr>
        <w:trPr>
          <w:trHeight w:val="230"/>
        </w:trPr>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discussed in Note 2 of the financial statements, the Company updates the estimates used</w:t>
            </w:r>
          </w:p>
        </w:tc>
      </w:tr>
      <w:tr>
        <w:trPr>
          <w:trHeight w:val="230"/>
        </w:trPr>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 measure the asset retirement obligations annually, or more often if significant facts</w:t>
            </w:r>
          </w:p>
        </w:tc>
      </w:tr>
      <w:tr>
        <w:trPr>
          <w:trHeight w:val="267"/>
        </w:trPr>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change.</w:t>
            </w:r>
          </w:p>
        </w:tc>
      </w:tr>
      <w:tr>
        <w:trPr>
          <w:trHeight w:val="433"/>
        </w:trPr>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Auditing the landfill asset retirement obligation is complex due to the highly judgmental</w:t>
            </w:r>
          </w:p>
        </w:tc>
      </w:tr>
      <w:tr>
        <w:trPr>
          <w:trHeight w:val="229"/>
        </w:trPr>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nature of the assumptions used in the measurement process. Significant assumptions</w:t>
            </w:r>
          </w:p>
        </w:tc>
      </w:tr>
      <w:tr>
        <w:trPr>
          <w:trHeight w:val="230"/>
        </w:trPr>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include: estimated future costs associated with the capping, closure and post closure</w:t>
            </w:r>
          </w:p>
        </w:tc>
      </w:tr>
      <w:tr>
        <w:trPr>
          <w:trHeight w:val="230"/>
        </w:trPr>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activities at each specific landfill, airspace consumed to date in relation to total estimated</w:t>
            </w:r>
          </w:p>
        </w:tc>
      </w:tr>
      <w:tr>
        <w:trPr>
          <w:trHeight w:val="267"/>
        </w:trPr>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permitted and expansion airspace and the projected remaining landfill life.</w:t>
            </w:r>
          </w:p>
        </w:tc>
      </w:tr>
      <w:tr>
        <w:trPr>
          <w:trHeight w:val="442"/>
        </w:trPr>
        <w:tc>
          <w:tcPr>
            <w:tcW w:w="3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w w:val="95"/>
              </w:rPr>
              <w:t>How</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i w:val="1"/>
                <w:iCs w:val="1"/>
                <w:color w:val="auto"/>
              </w:rPr>
              <w:t>We  Addressed</w:t>
            </w: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We obtained an understanding, evaluated the design, and tested the operating effectiveness</w:t>
            </w:r>
          </w:p>
        </w:tc>
      </w:tr>
      <w:tr>
        <w:trPr>
          <w:trHeight w:val="230"/>
        </w:trPr>
        <w:tc>
          <w:tcPr>
            <w:tcW w:w="3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the</w:t>
            </w:r>
          </w:p>
        </w:tc>
        <w:tc>
          <w:tcPr>
            <w:tcW w:w="66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Matter</w:t>
            </w:r>
          </w:p>
        </w:tc>
        <w:tc>
          <w:tcPr>
            <w:tcW w:w="340" w:type="dxa"/>
            <w:vAlign w:val="bottom"/>
          </w:tcPr>
          <w:p>
            <w:pPr>
              <w:ind w:left="80"/>
              <w:spacing w:after="0"/>
              <w:rPr>
                <w:sz w:val="20"/>
                <w:szCs w:val="20"/>
                <w:color w:val="auto"/>
              </w:rPr>
            </w:pPr>
            <w:r>
              <w:rPr>
                <w:rFonts w:ascii="Times New Roman" w:cs="Times New Roman" w:eastAsia="Times New Roman" w:hAnsi="Times New Roman"/>
                <w:sz w:val="20"/>
                <w:szCs w:val="20"/>
                <w:i w:val="1"/>
                <w:iCs w:val="1"/>
                <w:color w:val="auto"/>
              </w:rPr>
              <w:t>in</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Our</w:t>
            </w: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of the Company’s controls over the calculation of landfill asset retirement obligations. Our</w:t>
            </w:r>
          </w:p>
        </w:tc>
      </w:tr>
      <w:tr>
        <w:trPr>
          <w:trHeight w:val="229"/>
        </w:trPr>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Audit</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audit procedures included, among others, testing the Company’s controls over the landfill</w:t>
            </w:r>
          </w:p>
        </w:tc>
      </w:tr>
      <w:tr>
        <w:trPr>
          <w:trHeight w:val="230"/>
        </w:trPr>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asset retirement obligation estimation process and management’s review of the significant</w:t>
            </w:r>
          </w:p>
        </w:tc>
      </w:tr>
      <w:tr>
        <w:trPr>
          <w:trHeight w:val="230"/>
        </w:trPr>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assumptions used in the estimation of the liability, including the amount and timing of</w:t>
            </w:r>
          </w:p>
        </w:tc>
      </w:tr>
      <w:tr>
        <w:trPr>
          <w:trHeight w:val="267"/>
        </w:trPr>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retirement costs.</w:t>
            </w:r>
          </w:p>
        </w:tc>
      </w:tr>
    </w:tbl>
    <w:p>
      <w:pPr>
        <w:spacing w:after="0" w:line="203" w:lineRule="exact"/>
        <w:rPr>
          <w:sz w:val="20"/>
          <w:szCs w:val="20"/>
          <w:color w:val="auto"/>
        </w:rPr>
      </w:pPr>
    </w:p>
    <w:p>
      <w:pPr>
        <w:jc w:val="both"/>
        <w:ind w:left="2460" w:right="820"/>
        <w:spacing w:after="0" w:line="243" w:lineRule="auto"/>
        <w:rPr>
          <w:sz w:val="20"/>
          <w:szCs w:val="20"/>
          <w:color w:val="auto"/>
        </w:rPr>
      </w:pPr>
      <w:r>
        <w:rPr>
          <w:rFonts w:ascii="Times New Roman" w:cs="Times New Roman" w:eastAsia="Times New Roman" w:hAnsi="Times New Roman"/>
          <w:sz w:val="20"/>
          <w:szCs w:val="20"/>
          <w:color w:val="auto"/>
        </w:rPr>
        <w:t>To test the landfill asset retirement obligation valuation, we performed audit procedures that included, among others, assessing methodologies used by the Company, testing the completeness of activities included in the estimate (e.g., gas monitoring and extraction), and testing the significant assumptions discussed above, inclusive of the underlying data used by the Company in its development of these assumptions. We compared the significant assumptions used by management to historical trends and, when available, to comparable size landfills accepting the same type of waste. In addition, we considered the professional qualifications and objectivity of management’s internal engineers responsible for developing the assumptions. We involved EY engineering specialists to assist us with these procedures. Specifically, we utilized the EY engineering specialists to evaluate the reasons for significant changes in assumptions from the historical trend, and to determine whether the change from the historical trend was appropriate and identified timely. We also tested the completeness and accuracy of the historical data utilized in preparing the estimate.</w:t>
      </w:r>
    </w:p>
    <w:p>
      <w:pPr>
        <w:spacing w:after="0" w:line="2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i w:val="1"/>
          <w:iCs w:val="1"/>
          <w:color w:val="auto"/>
        </w:rPr>
        <w:t>Acquisition of Stericycle, Inc. – Valuation of Customer Relationships</w:t>
      </w:r>
    </w:p>
    <w:p>
      <w:pPr>
        <w:spacing w:after="0" w:line="174" w:lineRule="exact"/>
        <w:rPr>
          <w:sz w:val="20"/>
          <w:szCs w:val="20"/>
          <w:color w:val="auto"/>
        </w:rPr>
      </w:pPr>
    </w:p>
    <w:p>
      <w:pPr>
        <w:ind w:left="480"/>
        <w:spacing w:after="0"/>
        <w:tabs>
          <w:tab w:leader="none" w:pos="2440" w:val="left"/>
        </w:tabs>
        <w:rPr>
          <w:sz w:val="20"/>
          <w:szCs w:val="20"/>
          <w:color w:val="auto"/>
        </w:rPr>
      </w:pPr>
      <w:r>
        <w:rPr>
          <w:rFonts w:ascii="Times New Roman" w:cs="Times New Roman" w:eastAsia="Times New Roman" w:hAnsi="Times New Roman"/>
          <w:sz w:val="20"/>
          <w:szCs w:val="20"/>
          <w:i w:val="1"/>
          <w:iCs w:val="1"/>
          <w:color w:val="auto"/>
        </w:rPr>
        <w:t>Description of the</w:t>
      </w:r>
      <w:r>
        <w:rPr>
          <w:sz w:val="20"/>
          <w:szCs w:val="20"/>
          <w:color w:val="auto"/>
        </w:rPr>
        <w:tab/>
      </w:r>
      <w:r>
        <w:rPr>
          <w:rFonts w:ascii="Times New Roman" w:cs="Times New Roman" w:eastAsia="Times New Roman" w:hAnsi="Times New Roman"/>
          <w:sz w:val="20"/>
          <w:szCs w:val="20"/>
          <w:color w:val="auto"/>
        </w:rPr>
        <w:t>As described in Note 17 to the consolidated financial statements, during the year ended</w:t>
      </w:r>
    </w:p>
    <w:p>
      <w:pPr>
        <w:spacing w:after="0" w:line="28" w:lineRule="exact"/>
        <w:rPr>
          <w:sz w:val="20"/>
          <w:szCs w:val="20"/>
          <w:color w:val="auto"/>
        </w:rPr>
      </w:pPr>
    </w:p>
    <w:p>
      <w:pPr>
        <w:jc w:val="both"/>
        <w:ind w:left="2460" w:right="820" w:hanging="1979"/>
        <w:spacing w:after="0" w:line="243" w:lineRule="auto"/>
        <w:tabs>
          <w:tab w:leader="none" w:pos="2440" w:val="left"/>
        </w:tabs>
        <w:rPr>
          <w:sz w:val="20"/>
          <w:szCs w:val="20"/>
          <w:color w:val="auto"/>
        </w:rPr>
      </w:pPr>
      <w:r>
        <w:rPr>
          <w:rFonts w:ascii="Times New Roman" w:cs="Times New Roman" w:eastAsia="Times New Roman" w:hAnsi="Times New Roman"/>
          <w:sz w:val="20"/>
          <w:szCs w:val="20"/>
          <w:i w:val="1"/>
          <w:iCs w:val="1"/>
          <w:color w:val="auto"/>
        </w:rPr>
        <w:t>Matter</w:t>
      </w:r>
      <w:r>
        <w:rPr>
          <w:sz w:val="20"/>
          <w:szCs w:val="20"/>
          <w:color w:val="auto"/>
        </w:rPr>
        <w:tab/>
      </w:r>
      <w:r>
        <w:rPr>
          <w:rFonts w:ascii="Times New Roman" w:cs="Times New Roman" w:eastAsia="Times New Roman" w:hAnsi="Times New Roman"/>
          <w:sz w:val="20"/>
          <w:szCs w:val="20"/>
          <w:color w:val="auto"/>
        </w:rPr>
        <w:t>December 31, 2024, the Company completed the acquisition of Stericycle, Inc. (“Stericycle”) for purchase consideration of approximately $6.9 billion, of which $ 2.3 billion was allocated to customer relationships. The transaction was accounted for as a business combination.</w:t>
      </w:r>
    </w:p>
    <w:p>
      <w:pPr>
        <w:spacing w:after="0" w:line="190" w:lineRule="exact"/>
        <w:rPr>
          <w:sz w:val="20"/>
          <w:szCs w:val="20"/>
          <w:color w:val="auto"/>
        </w:rPr>
      </w:pPr>
    </w:p>
    <w:p>
      <w:pPr>
        <w:jc w:val="both"/>
        <w:ind w:left="2460" w:right="820"/>
        <w:spacing w:after="0" w:line="245" w:lineRule="auto"/>
        <w:rPr>
          <w:sz w:val="20"/>
          <w:szCs w:val="20"/>
          <w:color w:val="auto"/>
        </w:rPr>
      </w:pPr>
      <w:r>
        <w:rPr>
          <w:rFonts w:ascii="Times New Roman" w:cs="Times New Roman" w:eastAsia="Times New Roman" w:hAnsi="Times New Roman"/>
          <w:sz w:val="20"/>
          <w:szCs w:val="20"/>
          <w:color w:val="auto"/>
        </w:rPr>
        <w:t>Auditing the Company's accounting for its acquisition of Stericycle was complex due to the significant estimation uncertainty in determining the fair value of certain customer relationships included within Other intangible assets. The Company valued the customer relationships using an income approach; specifically, the multi-period excess earnings model. The significant estimation uncertainty was primarily due to the sensitivity of the fair value to underlying assumptions, including projected revenue, attrition rate, EBITDA margin, and discount rate. These significant assumptions are forward-looking and could be affected by future economic and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3320" w:h="16920" w:orient="portrait"/>
          <w:cols w:equalWidth="0" w:num="1">
            <w:col w:w="10440"/>
          </w:cols>
          <w:pgMar w:left="1440" w:top="1440" w:right="1440" w:bottom="1440" w:gutter="0" w:footer="0" w:header="0"/>
        </w:sectPr>
      </w:pPr>
    </w:p>
    <w:bookmarkStart w:id="156" w:name="page157"/>
    <w:bookmarkEnd w:id="156"/>
    <w:p>
      <w:pPr>
        <w:spacing w:after="0" w:line="347" w:lineRule="exact"/>
        <w:rPr>
          <w:sz w:val="20"/>
          <w:szCs w:val="20"/>
          <w:color w:val="auto"/>
        </w:rPr>
      </w:pPr>
    </w:p>
    <w:p>
      <w:pPr>
        <w:ind w:left="480"/>
        <w:spacing w:after="0"/>
        <w:tabs>
          <w:tab w:leader="none" w:pos="2440" w:val="left"/>
        </w:tabs>
        <w:rPr>
          <w:sz w:val="20"/>
          <w:szCs w:val="20"/>
          <w:color w:val="auto"/>
        </w:rPr>
      </w:pPr>
      <w:r>
        <w:rPr>
          <w:rFonts w:ascii="Times New Roman" w:cs="Times New Roman" w:eastAsia="Times New Roman" w:hAnsi="Times New Roman"/>
          <w:sz w:val="20"/>
          <w:szCs w:val="20"/>
          <w:i w:val="1"/>
          <w:iCs w:val="1"/>
          <w:color w:val="auto"/>
        </w:rPr>
        <w:t>How We Addressed</w:t>
      </w:r>
      <w:r>
        <w:rPr>
          <w:sz w:val="20"/>
          <w:szCs w:val="20"/>
          <w:color w:val="auto"/>
        </w:rPr>
        <w:tab/>
      </w:r>
      <w:r>
        <w:rPr>
          <w:rFonts w:ascii="Times New Roman" w:cs="Times New Roman" w:eastAsia="Times New Roman" w:hAnsi="Times New Roman"/>
          <w:sz w:val="19"/>
          <w:szCs w:val="19"/>
          <w:color w:val="auto"/>
        </w:rPr>
        <w:t>We obtained an understanding, evaluated the design, and tested the operating effectiveness</w:t>
      </w:r>
    </w:p>
    <w:p>
      <w:pPr>
        <w:spacing w:after="0" w:line="28" w:lineRule="exact"/>
        <w:rPr>
          <w:sz w:val="20"/>
          <w:szCs w:val="20"/>
          <w:color w:val="auto"/>
        </w:rPr>
      </w:pPr>
    </w:p>
    <w:p>
      <w:pPr>
        <w:ind w:left="480"/>
        <w:spacing w:after="0"/>
        <w:tabs>
          <w:tab w:leader="none" w:pos="2440" w:val="left"/>
        </w:tabs>
        <w:rPr>
          <w:sz w:val="20"/>
          <w:szCs w:val="20"/>
          <w:color w:val="auto"/>
        </w:rPr>
      </w:pPr>
      <w:r>
        <w:rPr>
          <w:rFonts w:ascii="Times New Roman" w:cs="Times New Roman" w:eastAsia="Times New Roman" w:hAnsi="Times New Roman"/>
          <w:sz w:val="20"/>
          <w:szCs w:val="20"/>
          <w:i w:val="1"/>
          <w:iCs w:val="1"/>
          <w:color w:val="auto"/>
        </w:rPr>
        <w:t>the Matter in Our</w:t>
      </w:r>
      <w:r>
        <w:rPr>
          <w:sz w:val="20"/>
          <w:szCs w:val="20"/>
          <w:color w:val="auto"/>
        </w:rPr>
        <w:tab/>
      </w:r>
      <w:r>
        <w:rPr>
          <w:rFonts w:ascii="Times New Roman" w:cs="Times New Roman" w:eastAsia="Times New Roman" w:hAnsi="Times New Roman"/>
          <w:sz w:val="20"/>
          <w:szCs w:val="20"/>
          <w:color w:val="auto"/>
        </w:rPr>
        <w:t>of the Company’s controls over the purchase price allocation process. We tested</w:t>
      </w:r>
    </w:p>
    <w:p>
      <w:pPr>
        <w:ind w:left="2460" w:right="820" w:hanging="1979"/>
        <w:spacing w:after="0" w:line="248" w:lineRule="auto"/>
        <w:tabs>
          <w:tab w:leader="none" w:pos="2440" w:val="left"/>
        </w:tabs>
        <w:rPr>
          <w:sz w:val="20"/>
          <w:szCs w:val="20"/>
          <w:color w:val="auto"/>
        </w:rPr>
      </w:pPr>
      <w:r>
        <w:rPr>
          <w:rFonts w:ascii="Times New Roman" w:cs="Times New Roman" w:eastAsia="Times New Roman" w:hAnsi="Times New Roman"/>
          <w:sz w:val="20"/>
          <w:szCs w:val="20"/>
          <w:i w:val="1"/>
          <w:iCs w:val="1"/>
          <w:color w:val="auto"/>
        </w:rPr>
        <w:t>Audit</w:t>
      </w:r>
      <w:r>
        <w:rPr>
          <w:sz w:val="20"/>
          <w:szCs w:val="20"/>
          <w:color w:val="auto"/>
        </w:rPr>
        <w:tab/>
      </w:r>
      <w:r>
        <w:rPr>
          <w:rFonts w:ascii="Times New Roman" w:cs="Times New Roman" w:eastAsia="Times New Roman" w:hAnsi="Times New Roman"/>
          <w:sz w:val="20"/>
          <w:szCs w:val="20"/>
          <w:color w:val="auto"/>
        </w:rPr>
        <w:t>management’s review controls over the significant assumptions described above along with the completeness and accuracy of the data used in the fair value estimates.</w:t>
      </w:r>
    </w:p>
    <w:p>
      <w:pPr>
        <w:spacing w:after="0" w:line="187" w:lineRule="exact"/>
        <w:rPr>
          <w:sz w:val="20"/>
          <w:szCs w:val="20"/>
          <w:color w:val="auto"/>
        </w:rPr>
      </w:pPr>
    </w:p>
    <w:p>
      <w:pPr>
        <w:jc w:val="both"/>
        <w:ind w:left="2460" w:right="820"/>
        <w:spacing w:after="0" w:line="257" w:lineRule="auto"/>
        <w:rPr>
          <w:sz w:val="20"/>
          <w:szCs w:val="20"/>
          <w:color w:val="auto"/>
        </w:rPr>
      </w:pPr>
      <w:r>
        <w:rPr>
          <w:rFonts w:ascii="Times New Roman" w:cs="Times New Roman" w:eastAsia="Times New Roman" w:hAnsi="Times New Roman"/>
          <w:sz w:val="19"/>
          <w:szCs w:val="19"/>
          <w:color w:val="auto"/>
        </w:rPr>
        <w:t>To test the estimated fair value of the customer relationships, our audit procedures included, among others, evaluating the Company's selection of the valuation methodology, evaluating the significant assumptions described above used to develop the prospective financial information and testing the completeness and accuracy of the underlying data supporting the significant assumptions. We involved our valuation specialists to assist with evaluating the methodology and significant assumptions used by the management to determine the fair value estimates. We compared the significant assumptions to current industry, market and economic trends, the assumptions used by the Company to value similar assets in other acquisitions, as well as historical results of the Company's business and other guideline companies within the same industry. We also performed a sensitivity analysis of the significant assumptions to evaluate the change in the estimated fair value of the customer relationships resulting from changes in the assumptions.</w:t>
      </w:r>
    </w:p>
    <w:p>
      <w:pPr>
        <w:spacing w:after="0" w:line="200" w:lineRule="exact"/>
        <w:rPr>
          <w:sz w:val="20"/>
          <w:szCs w:val="20"/>
          <w:color w:val="auto"/>
        </w:rPr>
      </w:pPr>
    </w:p>
    <w:p>
      <w:pPr>
        <w:spacing w:after="0" w:line="23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have served as the Company’s auditor since 2002.</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Houston, Texas</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February 19, 2025</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3320" w:h="16920" w:orient="portrait"/>
          <w:cols w:equalWidth="0" w:num="1">
            <w:col w:w="10440"/>
          </w:cols>
          <w:pgMar w:left="1440" w:top="1440" w:right="1440" w:bottom="1440" w:gutter="0" w:footer="0" w:header="0"/>
          <w:type w:val="continuous"/>
        </w:sectPr>
      </w:pPr>
    </w:p>
    <w:bookmarkStart w:id="157" w:name="page158"/>
    <w:bookmarkEnd w:id="157"/>
    <w:p>
      <w:pPr>
        <w:spacing w:after="0" w:line="344"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32"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20"/>
          <w:szCs w:val="20"/>
          <w:b w:val="1"/>
          <w:bCs w:val="1"/>
          <w:color w:val="auto"/>
        </w:rPr>
        <w:t>(In Millions, Except Share and Par Value Amounts)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20"/>
          <w:szCs w:val="20"/>
          <w:b w:val="1"/>
          <w:bCs w:val="1"/>
          <w:color w:val="auto"/>
        </w:rPr>
        <w:t>ASSETS</w:t>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Current assets:</w:t>
      </w:r>
    </w:p>
    <w:p>
      <w:pPr>
        <w:ind w:left="480"/>
        <w:spacing w:after="0"/>
        <w:rPr>
          <w:sz w:val="20"/>
          <w:szCs w:val="20"/>
          <w:color w:val="auto"/>
        </w:rPr>
      </w:pPr>
      <w:r>
        <w:rPr>
          <w:rFonts w:ascii="Times New Roman" w:cs="Times New Roman" w:eastAsia="Times New Roman" w:hAnsi="Times New Roman"/>
          <w:sz w:val="19"/>
          <w:szCs w:val="19"/>
          <w:color w:val="auto"/>
        </w:rPr>
        <w:t>Cash and cash equivalents . . . . . . . . . . . . . . . . . . . . . . . . . . . . . . . . . . . . . . . . . . . . . . . . . . . . . . .</w:t>
      </w:r>
    </w:p>
    <w:p>
      <w:pPr>
        <w:spacing w:after="0" w:line="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Accounts receivable, net of allowance for doubtful accounts of $165 and $30, respectively . .</w:t>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Other receivables, net of allowance for doubtful accounts of $4 and $4, respectively . . . . . . .</w:t>
      </w:r>
    </w:p>
    <w:p>
      <w:pPr>
        <w:spacing w:after="0" w:line="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Parts and supplies . . . . . . . . . . . . . . . . . . . . . . . . . . . . . . . . . . . . . . . . . . . . . . . . . . . . . . . . . . . . . .</w:t>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Other current assets. . . . . . . . . . . . . . . . . . . . . . . . . . . . . . . . . . . . . . . . . . . . . . . . . . . . . . . . . . . . .</w: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auto"/>
        </w:rPr>
        <w:t>Total current assets . . . . . . . . . . . . . . . . . . . . . . . . . . . . . . . . . . . . . . . . . . . . . . . . . . . . . . . . . . . .</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Property and equipment, net of accumulated depreciation and depletion of $23,777 and</w:t>
      </w:r>
    </w:p>
    <w:p>
      <w:pPr>
        <w:ind w:left="360"/>
        <w:spacing w:after="0"/>
        <w:rPr>
          <w:sz w:val="20"/>
          <w:szCs w:val="20"/>
          <w:color w:val="auto"/>
        </w:rPr>
      </w:pPr>
      <w:r>
        <w:rPr>
          <w:rFonts w:ascii="Times New Roman" w:cs="Times New Roman" w:eastAsia="Times New Roman" w:hAnsi="Times New Roman"/>
          <w:sz w:val="19"/>
          <w:szCs w:val="19"/>
          <w:color w:val="auto"/>
        </w:rPr>
        <w:t>$22,826, respectively . . . . . . . . . . . . . . . . . . . . . . . . . . . . . . . . . . . . . . . . . . . . . . . . . . . . . . . . . . . .</w:t>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Goodwill . . . . . . . . . . . . . . . . . . . . . . . . . . . . . . . . . . . . . . . . . . . . . . . . . . . . . . . . . . . . . . . . . . . . . .</w:t>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Other intangible assets, net . . . . . . . . . . . . . . . . . . . . . . . . . . . . . . . . . . . . . . . . . . . . . . . . . . . . . . . .</w:t>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Restricted funds . . . . . . . . . . . . . . . . . . . . . . . . . . . . . . . . . . . . . . . . . . . . . . . . . . . . . . . . . . . . . . . . .</w:t>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Investments in unconsolidated entities . . . . . . . . . . . . . . . . . . . . . . . . . . . . . . . . . . . . . . . . . . . . . .</w:t>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Other long-term assets . . . . . . . . . . . . . . . . . . . . . . . . . . . . . . . . . . . . . . . . . . . . . . . . . . . . . . . . . . .</w:t>
      </w:r>
    </w:p>
    <w:p>
      <w:pPr>
        <w:spacing w:after="0" w:line="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Total assets . . . . . . . . . . . . . . . . . . . . . . . . . . . . . . . . . . . . . . . . . . . . . . . . . . . . . . . . . . . . . . . . .</w:t>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20"/>
          <w:szCs w:val="20"/>
          <w:b w:val="1"/>
          <w:bCs w:val="1"/>
          <w:color w:val="auto"/>
        </w:rPr>
        <w:t>LIABILITIES AND EQUITY</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Current liabilities:</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Accounts payable . . . . . . . . . . . . . . . . . . . . . . . . . . . . . . . . . . . . . . . . . . . . . . . . . . . . . . . . . . . . . .</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Accrued liabilities . . . . . . . . . . . . . . . . . . . . . . . . . . . . . . . . . . . . . . . . . . . . . . . . . . . . . . . . . . . . . .</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Deferred revenues . . . . . . . . . . . . . . . . . . . . . . . . . . . . . . . . . . . . . . . . . . . . . . . . . . . . . . . . . . . . . .</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Current portion of long-term debt . . . . . . . . . . . . . . . . . . . . . . . . . . . . . . . . . . . . . . . . . . . . . . . . .</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Total current liabilities . . . . . . . . . . . . . . . . . . . . . . . . . . . . . . . . . . . . . . . . . . . . . . . . . . . . . . . . .</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Long-term debt, less current portion . . . . . . . . . . . . . . . . . . . . . . . . . . . . . . . . . . . . . . . . . . . . . . . .</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Deferred income taxes . . . . . . . . . . . . . . . . . . . . . . . . . . . . . . . . . . . . . . . . . . . . . . . . . . . . . . . . . . .</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Landfill and environmental remediation liabilities . . . . . . . . . . . . . . . . . . . . . . . . . . . . . . . . . . . . .</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Other long-term liabilities . . . . . . . . . . . . . . . . . . . . . . . . . . . . . . . . . . . . . . . . . . . . . . . . . . . . . . . . .</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Total liabilities . . . . . . . . . . . . . . . . . . . . . . . . . . . . . . . . . . . . . . . . . . . . . . . . . . . . . . . . . . . . . . .</w:t>
      </w:r>
    </w:p>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Commitments and contingencies (Note 10)</w:t>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Equity:</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Waste Management, Inc. stockholders’ equity:</w:t>
      </w:r>
    </w:p>
    <w:p>
      <w:pPr>
        <w:ind w:left="600"/>
        <w:spacing w:after="0" w:line="253" w:lineRule="auto"/>
        <w:rPr>
          <w:sz w:val="20"/>
          <w:szCs w:val="20"/>
          <w:color w:val="auto"/>
        </w:rPr>
      </w:pPr>
      <w:r>
        <w:rPr>
          <w:rFonts w:ascii="Times New Roman" w:cs="Times New Roman" w:eastAsia="Times New Roman" w:hAnsi="Times New Roman"/>
          <w:sz w:val="19"/>
          <w:szCs w:val="19"/>
          <w:color w:val="auto"/>
        </w:rPr>
        <w:t>Common stock, $0.01 par value; 1,500,000,000 shares authorized; 630,282,461 shares issued . . . . . . . . . . . . . . . . . . . . . . . . . . . . . . . . . . . . . . . . . . . . . . . . . . . . . . . . . . . . . . . . . . . . . . . Additional paid-in capital . . . . . . . . . . . . . . . . . . . . . . . . . . . . . . . . . . . . . . . . . . . . . . . . . . . . . .</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Retained earnings . . . . . . . . . . . . . . . . . . . . . . . . . . . . . . . . . . . . . . . . . . . . . . . . . . . . . . . . . . . . .</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Accumulated other comprehensive income (loss) . . . . . . . . . . . . . . . . . . . . . . . . . . . . . . . . . . .</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Treasury stock at cost 228,788,284 and 228,827,218 shares, respectively . . . . . . . . . . . . . .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Total Waste Management, Inc. stockholders’ equity . . . . . . . . . . . . . . . . . . . . . . . . . . . . . . .</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Noncontrolling interests . . . . . . . . . . . . . . . . . . . . . . . . . . . . . . . . . . . . . . . . . . . . . . . . . . . . . . . . . .</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Total equity . . . . . . . . . . . . . . . . . . . . . . . . . . . . . . . . . . . . . . . . . . . . . . . . . . . . . . . . . . . . . . . .</w:t>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Total liabilities and equity . . . . . . . . . . . . . . . . . . . . . . . . . . . . . . . . . . . . . . . . . . . . . . . . . . . . .</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16510</wp:posOffset>
                </wp:positionV>
                <wp:extent cx="1177925" cy="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792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3pt" to="93.75pt,1.3pt" o:allowincell="f" strokecolor="#000000" strokeweight="0.4799pt"/>
            </w:pict>
          </mc:Fallback>
        </mc:AlternateContent>
      </w:r>
    </w:p>
    <w:p>
      <w:pPr>
        <w:spacing w:after="0" w:line="16" w:lineRule="exact"/>
        <w:rPr>
          <w:sz w:val="20"/>
          <w:szCs w:val="20"/>
          <w:color w:val="auto"/>
        </w:rPr>
      </w:pPr>
    </w:p>
    <w:p>
      <w:pPr>
        <w:ind w:left="280"/>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0</wp:posOffset>
                </wp:positionV>
                <wp:extent cx="531495" cy="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14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0pt" to="42.85pt,0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659130</wp:posOffset>
                </wp:positionH>
                <wp:positionV relativeFrom="paragraph">
                  <wp:posOffset>0</wp:posOffset>
                </wp:positionV>
                <wp:extent cx="531495" cy="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14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9pt,0pt" to="93.75pt,0pt" o:allowincell="f" strokecolor="#000000" strokeweight="0.4799pt"/>
            </w:pict>
          </mc:Fallback>
        </mc:AlternateConten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480" w:val="left"/>
          <w:tab w:leader="none" w:pos="1020" w:val="left"/>
          <w:tab w:leader="none" w:pos="150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414</w:t>
        <w:tab/>
        <w:t>$</w:t>
      </w:r>
      <w:r>
        <w:rPr>
          <w:sz w:val="20"/>
          <w:szCs w:val="20"/>
          <w:color w:val="auto"/>
        </w:rPr>
        <w:tab/>
      </w:r>
      <w:r>
        <w:rPr>
          <w:rFonts w:ascii="Times New Roman" w:cs="Times New Roman" w:eastAsia="Times New Roman" w:hAnsi="Times New Roman"/>
          <w:sz w:val="20"/>
          <w:szCs w:val="20"/>
          <w:color w:val="auto"/>
        </w:rPr>
        <w:t>458</w:t>
      </w:r>
    </w:p>
    <w:p>
      <w:pPr>
        <w:spacing w:after="0" w:line="30" w:lineRule="exact"/>
        <w:rPr>
          <w:sz w:val="20"/>
          <w:szCs w:val="20"/>
          <w:color w:val="auto"/>
        </w:rPr>
      </w:pPr>
    </w:p>
    <w:p>
      <w:pPr>
        <w:ind w:left="340"/>
        <w:spacing w:after="0"/>
        <w:tabs>
          <w:tab w:leader="none" w:pos="1340" w:val="left"/>
        </w:tabs>
        <w:rPr>
          <w:sz w:val="20"/>
          <w:szCs w:val="20"/>
          <w:color w:val="auto"/>
        </w:rPr>
      </w:pPr>
      <w:r>
        <w:rPr>
          <w:rFonts w:ascii="Times New Roman" w:cs="Times New Roman" w:eastAsia="Times New Roman" w:hAnsi="Times New Roman"/>
          <w:sz w:val="20"/>
          <w:szCs w:val="20"/>
          <w:color w:val="auto"/>
        </w:rPr>
        <w:t>3,272</w:t>
      </w:r>
      <w:r>
        <w:rPr>
          <w:sz w:val="20"/>
          <w:szCs w:val="20"/>
          <w:color w:val="auto"/>
        </w:rPr>
        <w:tab/>
      </w:r>
      <w:r>
        <w:rPr>
          <w:rFonts w:ascii="Times New Roman" w:cs="Times New Roman" w:eastAsia="Times New Roman" w:hAnsi="Times New Roman"/>
          <w:sz w:val="20"/>
          <w:szCs w:val="20"/>
          <w:color w:val="auto"/>
        </w:rPr>
        <w:t>2,633</w:t>
      </w:r>
    </w:p>
    <w:p>
      <w:pPr>
        <w:ind w:left="500"/>
        <w:spacing w:after="0"/>
        <w:tabs>
          <w:tab w:leader="none" w:pos="1500" w:val="left"/>
        </w:tabs>
        <w:rPr>
          <w:sz w:val="20"/>
          <w:szCs w:val="20"/>
          <w:color w:val="auto"/>
        </w:rPr>
      </w:pPr>
      <w:r>
        <w:rPr>
          <w:rFonts w:ascii="Times New Roman" w:cs="Times New Roman" w:eastAsia="Times New Roman" w:hAnsi="Times New Roman"/>
          <w:sz w:val="20"/>
          <w:szCs w:val="20"/>
          <w:color w:val="auto"/>
        </w:rPr>
        <w:t>415</w:t>
      </w:r>
      <w:r>
        <w:rPr>
          <w:sz w:val="20"/>
          <w:szCs w:val="20"/>
          <w:color w:val="auto"/>
        </w:rPr>
        <w:tab/>
      </w:r>
      <w:r>
        <w:rPr>
          <w:rFonts w:ascii="Times New Roman" w:cs="Times New Roman" w:eastAsia="Times New Roman" w:hAnsi="Times New Roman"/>
          <w:sz w:val="20"/>
          <w:szCs w:val="20"/>
          <w:color w:val="auto"/>
        </w:rPr>
        <w:t>237</w:t>
      </w:r>
    </w:p>
    <w:p>
      <w:pPr>
        <w:spacing w:after="0" w:line="2" w:lineRule="exact"/>
        <w:rPr>
          <w:sz w:val="20"/>
          <w:szCs w:val="20"/>
          <w:color w:val="auto"/>
        </w:rPr>
      </w:pPr>
    </w:p>
    <w:p>
      <w:pPr>
        <w:ind w:left="1520" w:hanging="1023"/>
        <w:spacing w:after="0"/>
        <w:tabs>
          <w:tab w:leader="none" w:pos="152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173</w:t>
      </w:r>
    </w:p>
    <w:p>
      <w:pPr>
        <w:ind w:left="1520" w:hanging="1023"/>
        <w:spacing w:after="0"/>
        <w:tabs>
          <w:tab w:leader="none" w:pos="152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303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-1270</wp:posOffset>
                </wp:positionV>
                <wp:extent cx="531495" cy="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14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0.0999pt" to="42.85pt,-0.0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659130</wp:posOffset>
                </wp:positionH>
                <wp:positionV relativeFrom="paragraph">
                  <wp:posOffset>-1270</wp:posOffset>
                </wp:positionV>
                <wp:extent cx="531495" cy="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14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9pt,-0.0999pt" to="93.75pt,-0.0999pt" o:allowincell="f" strokecolor="#000000" strokeweight="0.4799pt"/>
            </w:pict>
          </mc:Fallback>
        </mc:AlternateContent>
      </w:r>
    </w:p>
    <w:p>
      <w:pPr>
        <w:ind w:left="340"/>
        <w:spacing w:after="0"/>
        <w:tabs>
          <w:tab w:leader="none" w:pos="1340" w:val="left"/>
        </w:tabs>
        <w:rPr>
          <w:sz w:val="20"/>
          <w:szCs w:val="20"/>
          <w:color w:val="auto"/>
        </w:rPr>
      </w:pPr>
      <w:r>
        <w:rPr>
          <w:rFonts w:ascii="Times New Roman" w:cs="Times New Roman" w:eastAsia="Times New Roman" w:hAnsi="Times New Roman"/>
          <w:sz w:val="20"/>
          <w:szCs w:val="20"/>
          <w:color w:val="auto"/>
        </w:rPr>
        <w:t>4,774</w:t>
      </w:r>
      <w:r>
        <w:rPr>
          <w:sz w:val="20"/>
          <w:szCs w:val="20"/>
          <w:color w:val="auto"/>
        </w:rPr>
        <w:tab/>
      </w:r>
      <w:r>
        <w:rPr>
          <w:rFonts w:ascii="Times New Roman" w:cs="Times New Roman" w:eastAsia="Times New Roman" w:hAnsi="Times New Roman"/>
          <w:sz w:val="20"/>
          <w:szCs w:val="20"/>
          <w:color w:val="auto"/>
        </w:rPr>
        <w:t>3,804</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19,340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16,968</w:t>
            </w:r>
          </w:p>
        </w:tc>
      </w:tr>
      <w:tr>
        <w:trPr>
          <w:trHeight w:val="230"/>
        </w:trPr>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13,438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9,254</w:t>
            </w:r>
          </w:p>
        </w:tc>
      </w:tr>
      <w:tr>
        <w:trPr>
          <w:trHeight w:val="232"/>
        </w:trPr>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4,188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759</w:t>
            </w:r>
          </w:p>
        </w:tc>
      </w:tr>
      <w:tr>
        <w:trPr>
          <w:trHeight w:val="230"/>
        </w:trPr>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422</w:t>
            </w:r>
          </w:p>
        </w:tc>
      </w:tr>
      <w:tr>
        <w:trPr>
          <w:trHeight w:val="231"/>
        </w:trPr>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606</w:t>
            </w:r>
          </w:p>
        </w:tc>
      </w:tr>
      <w:tr>
        <w:trPr>
          <w:trHeight w:val="250"/>
        </w:trPr>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1,568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1,010</w:t>
            </w:r>
          </w:p>
        </w:tc>
      </w:tr>
      <w:tr>
        <w:trPr>
          <w:trHeight w:val="230"/>
        </w:trPr>
        <w:tc>
          <w:tcPr>
            <w:tcW w:w="20" w:type="dxa"/>
            <w:vAlign w:val="bottom"/>
            <w:tcBorders>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$ 44,567</w:t>
            </w:r>
          </w:p>
        </w:tc>
        <w:tc>
          <w:tcPr>
            <w:tcW w:w="1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$ 32,823</w:t>
            </w:r>
          </w:p>
        </w:tc>
      </w:tr>
    </w:tbl>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320" w:val="left"/>
          <w:tab w:leader="none" w:pos="1020" w:val="left"/>
          <w:tab w:leader="none" w:pos="1340" w:val="left"/>
        </w:tabs>
        <w:rPr>
          <w:sz w:val="20"/>
          <w:szCs w:val="20"/>
          <w:color w:val="auto"/>
        </w:rPr>
      </w:pPr>
      <w:r>
        <w:rPr>
          <w:rFonts w:ascii="Times New Roman" w:cs="Times New Roman" w:eastAsia="Times New Roman" w:hAnsi="Times New Roman"/>
          <w:sz w:val="20"/>
          <w:szCs w:val="20"/>
          <w:color w:val="auto"/>
        </w:rPr>
        <w:t>$</w:t>
        <w:tab/>
        <w:t>2,046</w:t>
        <w:tab/>
        <w:t>$</w:t>
        <w:tab/>
        <w:t>1,709</w:t>
      </w:r>
    </w:p>
    <w:p>
      <w:pPr>
        <w:spacing w:after="0" w:line="28" w:lineRule="exact"/>
        <w:rPr>
          <w:sz w:val="20"/>
          <w:szCs w:val="20"/>
          <w:color w:val="auto"/>
        </w:rPr>
      </w:pPr>
    </w:p>
    <w:p>
      <w:pPr>
        <w:ind w:left="340"/>
        <w:spacing w:after="0"/>
        <w:tabs>
          <w:tab w:leader="none" w:pos="1340" w:val="left"/>
        </w:tabs>
        <w:rPr>
          <w:sz w:val="20"/>
          <w:szCs w:val="20"/>
          <w:color w:val="auto"/>
        </w:rPr>
      </w:pPr>
      <w:r>
        <w:rPr>
          <w:rFonts w:ascii="Times New Roman" w:cs="Times New Roman" w:eastAsia="Times New Roman" w:hAnsi="Times New Roman"/>
          <w:sz w:val="20"/>
          <w:szCs w:val="20"/>
          <w:color w:val="auto"/>
        </w:rPr>
        <w:t>2,180</w:t>
      </w:r>
      <w:r>
        <w:rPr>
          <w:sz w:val="20"/>
          <w:szCs w:val="20"/>
          <w:color w:val="auto"/>
        </w:rPr>
        <w:tab/>
      </w:r>
      <w:r>
        <w:rPr>
          <w:rFonts w:ascii="Times New Roman" w:cs="Times New Roman" w:eastAsia="Times New Roman" w:hAnsi="Times New Roman"/>
          <w:sz w:val="20"/>
          <w:szCs w:val="20"/>
          <w:color w:val="auto"/>
        </w:rPr>
        <w:t>1,605</w:t>
      </w:r>
    </w:p>
    <w:p>
      <w:pPr>
        <w:spacing w:after="0" w:line="2" w:lineRule="exact"/>
        <w:rPr>
          <w:sz w:val="20"/>
          <w:szCs w:val="20"/>
          <w:color w:val="auto"/>
        </w:rPr>
      </w:pPr>
    </w:p>
    <w:p>
      <w:pPr>
        <w:ind w:left="1520" w:hanging="1023"/>
        <w:spacing w:after="0"/>
        <w:tabs>
          <w:tab w:leader="none" w:pos="152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578</w:t>
      </w:r>
    </w:p>
    <w:p>
      <w:pPr>
        <w:ind w:left="3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1,359</w:t>
      </w:r>
      <w:r>
        <w:rPr>
          <w:rFonts w:ascii="Times New Roman" w:cs="Times New Roman" w:eastAsia="Times New Roman" w:hAnsi="Times New Roman"/>
          <w:sz w:val="20"/>
          <w:szCs w:val="20"/>
          <w:color w:val="auto"/>
        </w:rPr>
        <w:t>334</w:t>
      </w:r>
    </w:p>
    <w:p>
      <w:pPr>
        <w:spacing w:after="0" w:line="8" w:lineRule="exact"/>
        <w:rPr>
          <w:rFonts w:ascii="Times New Roman" w:cs="Times New Roman" w:eastAsia="Times New Roman" w:hAnsi="Times New Roman"/>
          <w:sz w:val="20"/>
          <w:szCs w:val="20"/>
          <w:color w:val="auto"/>
        </w:rPr>
      </w:pPr>
    </w:p>
    <w:p>
      <w:pPr>
        <w:ind w:left="3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6,2584,226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659130</wp:posOffset>
                </wp:positionH>
                <wp:positionV relativeFrom="paragraph">
                  <wp:posOffset>-152400</wp:posOffset>
                </wp:positionV>
                <wp:extent cx="531495" cy="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14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9pt,-12pt" to="93.75pt,-12pt" o:allowincell="f" strokecolor="#000000" strokeweight="0.4799pt"/>
            </w:pict>
          </mc:Fallback>
        </mc:AlternateContent>
      </w:r>
    </w:p>
    <w:p>
      <w:pPr>
        <w:ind w:left="240"/>
        <w:spacing w:after="0"/>
        <w:tabs>
          <w:tab w:leader="none" w:pos="1240" w:val="left"/>
        </w:tabs>
        <w:rPr>
          <w:sz w:val="20"/>
          <w:szCs w:val="20"/>
          <w:color w:val="auto"/>
        </w:rPr>
      </w:pPr>
      <w:r>
        <w:rPr>
          <w:rFonts w:ascii="Times New Roman" w:cs="Times New Roman" w:eastAsia="Times New Roman" w:hAnsi="Times New Roman"/>
          <w:sz w:val="20"/>
          <w:szCs w:val="20"/>
          <w:color w:val="auto"/>
        </w:rPr>
        <w:t>22,541</w:t>
      </w:r>
      <w:r>
        <w:rPr>
          <w:sz w:val="20"/>
          <w:szCs w:val="20"/>
          <w:color w:val="auto"/>
        </w:rPr>
        <w:tab/>
      </w:r>
      <w:r>
        <w:rPr>
          <w:rFonts w:ascii="Times New Roman" w:cs="Times New Roman" w:eastAsia="Times New Roman" w:hAnsi="Times New Roman"/>
          <w:sz w:val="20"/>
          <w:szCs w:val="20"/>
          <w:color w:val="auto"/>
        </w:rPr>
        <w:t>15,895</w:t>
      </w:r>
    </w:p>
    <w:p>
      <w:pPr>
        <w:ind w:left="340"/>
        <w:spacing w:after="0"/>
        <w:tabs>
          <w:tab w:leader="none" w:pos="1340" w:val="left"/>
        </w:tabs>
        <w:rPr>
          <w:sz w:val="20"/>
          <w:szCs w:val="20"/>
          <w:color w:val="auto"/>
        </w:rPr>
      </w:pPr>
      <w:r>
        <w:rPr>
          <w:rFonts w:ascii="Times New Roman" w:cs="Times New Roman" w:eastAsia="Times New Roman" w:hAnsi="Times New Roman"/>
          <w:sz w:val="20"/>
          <w:szCs w:val="20"/>
          <w:color w:val="auto"/>
        </w:rPr>
        <w:t>2,815</w:t>
      </w:r>
      <w:r>
        <w:rPr>
          <w:sz w:val="20"/>
          <w:szCs w:val="20"/>
          <w:color w:val="auto"/>
        </w:rPr>
        <w:tab/>
      </w:r>
      <w:r>
        <w:rPr>
          <w:rFonts w:ascii="Times New Roman" w:cs="Times New Roman" w:eastAsia="Times New Roman" w:hAnsi="Times New Roman"/>
          <w:sz w:val="20"/>
          <w:szCs w:val="20"/>
          <w:color w:val="auto"/>
        </w:rPr>
        <w:t>1,826</w:t>
      </w:r>
    </w:p>
    <w:p>
      <w:pPr>
        <w:spacing w:after="0" w:line="2" w:lineRule="exact"/>
        <w:rPr>
          <w:sz w:val="20"/>
          <w:szCs w:val="20"/>
          <w:color w:val="auto"/>
        </w:rPr>
      </w:pPr>
    </w:p>
    <w:p>
      <w:pPr>
        <w:ind w:left="340"/>
        <w:spacing w:after="0"/>
        <w:tabs>
          <w:tab w:leader="none" w:pos="1340" w:val="left"/>
        </w:tabs>
        <w:rPr>
          <w:sz w:val="20"/>
          <w:szCs w:val="20"/>
          <w:color w:val="auto"/>
        </w:rPr>
      </w:pPr>
      <w:r>
        <w:rPr>
          <w:rFonts w:ascii="Times New Roman" w:cs="Times New Roman" w:eastAsia="Times New Roman" w:hAnsi="Times New Roman"/>
          <w:sz w:val="20"/>
          <w:szCs w:val="20"/>
          <w:color w:val="auto"/>
        </w:rPr>
        <w:t>3,048</w:t>
      </w:r>
      <w:r>
        <w:rPr>
          <w:sz w:val="20"/>
          <w:szCs w:val="20"/>
          <w:color w:val="auto"/>
        </w:rPr>
        <w:tab/>
      </w:r>
      <w:r>
        <w:rPr>
          <w:rFonts w:ascii="Times New Roman" w:cs="Times New Roman" w:eastAsia="Times New Roman" w:hAnsi="Times New Roman"/>
          <w:sz w:val="20"/>
          <w:szCs w:val="20"/>
          <w:color w:val="auto"/>
        </w:rPr>
        <w:t>2,888</w:t>
      </w:r>
    </w:p>
    <w:p>
      <w:pPr>
        <w:ind w:left="340"/>
        <w:spacing w:after="0"/>
        <w:tabs>
          <w:tab w:leader="none" w:pos="1340" w:val="left"/>
        </w:tabs>
        <w:rPr>
          <w:sz w:val="20"/>
          <w:szCs w:val="20"/>
          <w:color w:val="auto"/>
        </w:rPr>
      </w:pPr>
      <w:r>
        <w:rPr>
          <w:rFonts w:ascii="Times New Roman" w:cs="Times New Roman" w:eastAsia="Times New Roman" w:hAnsi="Times New Roman"/>
          <w:sz w:val="20"/>
          <w:szCs w:val="20"/>
          <w:u w:val="single" w:color="auto"/>
          <w:color w:val="auto"/>
        </w:rPr>
        <w:t>1,651</w:t>
      </w:r>
      <w:r>
        <w:rPr>
          <w:sz w:val="20"/>
          <w:szCs w:val="20"/>
          <w:color w:val="auto"/>
        </w:rPr>
        <w:tab/>
      </w:r>
      <w:r>
        <w:rPr>
          <w:rFonts w:ascii="Times New Roman" w:cs="Times New Roman" w:eastAsia="Times New Roman" w:hAnsi="Times New Roman"/>
          <w:sz w:val="20"/>
          <w:szCs w:val="20"/>
          <w:u w:val="single" w:color="auto"/>
          <w:color w:val="auto"/>
        </w:rPr>
        <w:t>1,092</w:t>
      </w:r>
    </w:p>
    <w:p>
      <w:pPr>
        <w:spacing w:after="0" w:line="9" w:lineRule="exact"/>
        <w:rPr>
          <w:sz w:val="20"/>
          <w:szCs w:val="20"/>
          <w:color w:val="auto"/>
        </w:rPr>
      </w:pPr>
    </w:p>
    <w:p>
      <w:pPr>
        <w:ind w:left="240"/>
        <w:spacing w:after="0"/>
        <w:tabs>
          <w:tab w:leader="none" w:pos="1240" w:val="left"/>
        </w:tabs>
        <w:rPr>
          <w:sz w:val="20"/>
          <w:szCs w:val="20"/>
          <w:color w:val="auto"/>
        </w:rPr>
      </w:pPr>
      <w:r>
        <w:rPr>
          <w:rFonts w:ascii="Times New Roman" w:cs="Times New Roman" w:eastAsia="Times New Roman" w:hAnsi="Times New Roman"/>
          <w:sz w:val="20"/>
          <w:szCs w:val="20"/>
          <w:u w:val="single" w:color="auto"/>
          <w:color w:val="auto"/>
        </w:rPr>
        <w:t>36,313</w:t>
      </w:r>
      <w:r>
        <w:rPr>
          <w:sz w:val="20"/>
          <w:szCs w:val="20"/>
          <w:color w:val="auto"/>
        </w:rPr>
        <w:tab/>
      </w:r>
      <w:r>
        <w:rPr>
          <w:rFonts w:ascii="Times New Roman" w:cs="Times New Roman" w:eastAsia="Times New Roman" w:hAnsi="Times New Roman"/>
          <w:sz w:val="20"/>
          <w:szCs w:val="20"/>
          <w:u w:val="single" w:color="auto"/>
          <w:color w:val="auto"/>
        </w:rPr>
        <w:t>25,927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720" w:hanging="1023"/>
        <w:spacing w:after="0"/>
        <w:tabs>
          <w:tab w:leader="none" w:pos="172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w:t>
      </w:r>
    </w:p>
    <w:p>
      <w:pPr>
        <w:spacing w:after="0" w:line="28" w:lineRule="exact"/>
        <w:rPr>
          <w:rFonts w:ascii="Times New Roman" w:cs="Times New Roman" w:eastAsia="Times New Roman" w:hAnsi="Times New Roman"/>
          <w:sz w:val="20"/>
          <w:szCs w:val="20"/>
          <w:color w:val="auto"/>
        </w:rPr>
      </w:pPr>
    </w:p>
    <w:p>
      <w:pPr>
        <w:ind w:left="3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5,4965,351</w:t>
      </w:r>
    </w:p>
    <w:p>
      <w:pPr>
        <w:spacing w:after="0" w:line="2" w:lineRule="exact"/>
        <w:rPr>
          <w:sz w:val="20"/>
          <w:szCs w:val="20"/>
          <w:color w:val="auto"/>
        </w:rPr>
      </w:pPr>
    </w:p>
    <w:p>
      <w:pPr>
        <w:ind w:left="240"/>
        <w:spacing w:after="0"/>
        <w:tabs>
          <w:tab w:leader="none" w:pos="1240" w:val="left"/>
        </w:tabs>
        <w:rPr>
          <w:sz w:val="20"/>
          <w:szCs w:val="20"/>
          <w:color w:val="auto"/>
        </w:rPr>
      </w:pPr>
      <w:r>
        <w:rPr>
          <w:rFonts w:ascii="Times New Roman" w:cs="Times New Roman" w:eastAsia="Times New Roman" w:hAnsi="Times New Roman"/>
          <w:sz w:val="20"/>
          <w:szCs w:val="20"/>
          <w:color w:val="auto"/>
        </w:rPr>
        <w:t>15,858</w:t>
      </w:r>
      <w:r>
        <w:rPr>
          <w:sz w:val="20"/>
          <w:szCs w:val="20"/>
          <w:color w:val="auto"/>
        </w:rPr>
        <w:tab/>
      </w:r>
      <w:r>
        <w:rPr>
          <w:rFonts w:ascii="Times New Roman" w:cs="Times New Roman" w:eastAsia="Times New Roman" w:hAnsi="Times New Roman"/>
          <w:sz w:val="20"/>
          <w:szCs w:val="20"/>
          <w:color w:val="auto"/>
        </w:rPr>
        <w:t>14,334</w:t>
      </w:r>
    </w:p>
    <w:p>
      <w:pPr>
        <w:ind w:left="1540" w:hanging="1115"/>
        <w:spacing w:after="0"/>
        <w:tabs>
          <w:tab w:leader="none" w:pos="154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(37)</w:t>
      </w:r>
    </w:p>
    <w:p>
      <w:pPr>
        <w:spacing w:after="0" w:line="1" w:lineRule="exact"/>
        <w:rPr>
          <w:rFonts w:ascii="Times New Roman" w:cs="Times New Roman" w:eastAsia="Times New Roman" w:hAnsi="Times New Roman"/>
          <w:sz w:val="20"/>
          <w:szCs w:val="20"/>
          <w:color w:val="auto"/>
        </w:rPr>
      </w:pPr>
    </w:p>
    <w:p>
      <w:pPr>
        <w:ind w:left="180"/>
        <w:spacing w:after="0" w:line="23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(12,993)   (12,751)</w:t>
      </w: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84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8,252</w:t>
            </w:r>
          </w:p>
        </w:tc>
        <w:tc>
          <w:tcPr>
            <w:tcW w:w="180" w:type="dxa"/>
            <w:vAlign w:val="bottom"/>
            <w:gridSpan w:val="2"/>
          </w:tcPr>
          <w:p>
            <w:pPr>
              <w:spacing w:after="0"/>
              <w:rPr>
                <w:sz w:val="17"/>
                <w:szCs w:val="17"/>
                <w:color w:val="auto"/>
              </w:rPr>
            </w:pPr>
          </w:p>
        </w:tc>
        <w:tc>
          <w:tcPr>
            <w:tcW w:w="84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6,903</w:t>
            </w:r>
          </w:p>
        </w:tc>
      </w:tr>
      <w:tr>
        <w:trPr>
          <w:trHeight w:val="251"/>
        </w:trPr>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20"/>
        </w:trPr>
        <w:tc>
          <w:tcPr>
            <w:tcW w:w="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8,254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6,896</w:t>
            </w:r>
          </w:p>
        </w:tc>
      </w:tr>
      <w:tr>
        <w:trPr>
          <w:trHeight w:val="231"/>
        </w:trPr>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$ 44,567</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$ 32,823</w:t>
            </w:r>
          </w:p>
        </w:tc>
      </w:tr>
    </w:tbl>
    <w:p>
      <w:pPr>
        <w:spacing w:after="0" w:line="1133" w:lineRule="exact"/>
        <w:rPr>
          <w:sz w:val="20"/>
          <w:szCs w:val="20"/>
          <w:color w:val="auto"/>
        </w:rPr>
      </w:pPr>
    </w:p>
    <w:p>
      <w:pPr>
        <w:sectPr>
          <w:pgSz w:w="13320" w:h="16920" w:orient="portrait"/>
          <w:cols w:equalWidth="0" w:num="2">
            <w:col w:w="7880" w:space="320"/>
            <w:col w:w="22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3320" w:h="16920" w:orient="portrait"/>
          <w:cols w:equalWidth="0" w:num="1">
            <w:col w:w="10440"/>
          </w:cols>
          <w:pgMar w:left="1440" w:top="1440" w:right="1440" w:bottom="1440" w:gutter="0" w:footer="0" w:header="0"/>
          <w:type w:val="continuous"/>
        </w:sectPr>
      </w:pPr>
    </w:p>
    <w:bookmarkStart w:id="158" w:name="page159"/>
    <w:bookmarkEnd w:id="158"/>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Except per Share Amounts)</w:t>
      </w:r>
    </w:p>
    <w:p>
      <w:pPr>
        <w:spacing w:after="0" w:line="232"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1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revenues</w:t>
            </w: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2"/>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1"/>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01"/>
              <w:spacing w:after="0" w:line="173"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540" w:type="dxa"/>
            <w:vAlign w:val="bottom"/>
            <w:vMerge w:val="continue"/>
          </w:tcPr>
          <w:p>
            <w:pPr>
              <w:jc w:val="right"/>
              <w:ind w:right="1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w:t>
            </w: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22,063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gridSpan w:val="3"/>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20,426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gridSpan w:val="3"/>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19,698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54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Costs and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Operating . . . . . .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12,606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12,294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Selling, general and administrative . . . . . . . . . . . . . . . . . .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Depreciation, depletion and amortization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Restructuring . . .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(Gain) loss from divestitures, asset impairments and unusual items, net . . . . .</w:t>
            </w: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Income from operations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18,000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16,851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16,333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vMerge w:val="continue"/>
          </w:tcPr>
          <w:p>
            <w:pPr>
              <w:jc w:val="right"/>
              <w:ind w:right="1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4,063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3,575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3,365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5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Other income (expense):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Interest expense, net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(598)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(500)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Loss on early extinguishment of debt, net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6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Equity in net income (losses) of unconsolidated entities .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Other, net . . . . . . . . . . . . . . . . . . . . . . . . . . . . . . . . . . . . . . . . . . . . . . . . . . . . . . .</w:t>
            </w: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(554)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(447)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540" w:type="dxa"/>
            <w:vAlign w:val="bottom"/>
            <w:vMerge w:val="continue"/>
          </w:tcPr>
          <w:p>
            <w:pPr>
              <w:jc w:val="right"/>
              <w:ind w:right="1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3,458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3,021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2,918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 . . . . . . . . . . . . . . . . . . . . . . . . . . . . . . . . . . . . . . . . . . . . . . . . .</w:t>
            </w: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745</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6540" w:type="dxa"/>
            <w:vAlign w:val="bottom"/>
          </w:tcPr>
          <w:p>
            <w:pPr>
              <w:jc w:val="right"/>
              <w:ind w:right="160"/>
              <w:spacing w:after="0" w:line="200" w:lineRule="exact"/>
              <w:rPr>
                <w:sz w:val="20"/>
                <w:szCs w:val="20"/>
                <w:color w:val="auto"/>
              </w:rPr>
            </w:pPr>
            <w:r>
              <w:rPr>
                <w:rFonts w:ascii="Times New Roman" w:cs="Times New Roman" w:eastAsia="Times New Roman" w:hAnsi="Times New Roman"/>
                <w:sz w:val="20"/>
                <w:szCs w:val="20"/>
                <w:color w:val="auto"/>
                <w:w w:val="98"/>
              </w:rPr>
              <w:t>. . . . . . . . . . . . . . . . . . . . . . . . . . . . . . . . . . . . . . . . . . . . .Consolidatednetincome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2,745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2,276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2,240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Less: Net income (loss) attributable to noncontrolling interests . . . . .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540" w:type="dxa"/>
            <w:vAlign w:val="bottom"/>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 . . . . . . . . . . . . . . . . . . . . . .NetincomeattributabletoWasteManagement,Inc</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2,746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gridSpan w:val="3"/>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2,304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gridSpan w:val="3"/>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2,238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5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 . . . . . . . . . . . . . . . . . . . . . . . . . . . . . . . . . . . .Basicearningspercommonshare</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5.69</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540" w:type="dxa"/>
            <w:vAlign w:val="bottom"/>
          </w:tcPr>
          <w:p>
            <w:pPr>
              <w:jc w:val="right"/>
              <w:ind w:right="160"/>
              <w:spacing w:after="0" w:line="222" w:lineRule="exact"/>
              <w:rPr>
                <w:sz w:val="20"/>
                <w:szCs w:val="20"/>
                <w:color w:val="auto"/>
              </w:rPr>
            </w:pPr>
            <w:r>
              <w:rPr>
                <w:rFonts w:ascii="Times New Roman" w:cs="Times New Roman" w:eastAsia="Times New Roman" w:hAnsi="Times New Roman"/>
                <w:sz w:val="20"/>
                <w:szCs w:val="20"/>
                <w:color w:val="auto"/>
              </w:rPr>
              <w:t>. . . . . . . . . . . . . . . . . . . . . . . . . . . . . . . . . . . .Dilutedearningspercommonshare</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6.81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gridSpan w:val="3"/>
          </w:tcPr>
          <w:p>
            <w:pPr>
              <w:jc w:val="right"/>
              <w:ind w:right="60"/>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5.66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gridSpan w:val="3"/>
          </w:tcPr>
          <w:p>
            <w:pPr>
              <w:jc w:val="right"/>
              <w:ind w:right="80"/>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5.39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0"/>
        </w:trPr>
        <w:tc>
          <w:tcPr>
            <w:tcW w:w="7940" w:type="dxa"/>
            <w:vAlign w:val="bottom"/>
            <w:gridSpan w:val="12"/>
          </w:tcPr>
          <w:p>
            <w:pPr>
              <w:ind w:left="1820"/>
              <w:spacing w:after="0"/>
              <w:rPr>
                <w:sz w:val="20"/>
                <w:szCs w:val="20"/>
                <w:color w:val="auto"/>
              </w:rPr>
            </w:pPr>
            <w:r>
              <w:rPr>
                <w:rFonts w:ascii="Times New Roman" w:cs="Times New Roman" w:eastAsia="Times New Roman" w:hAnsi="Times New Roman"/>
                <w:sz w:val="20"/>
                <w:szCs w:val="20"/>
                <w:b w:val="1"/>
                <w:bCs w:val="1"/>
                <w:color w:val="auto"/>
                <w:w w:val="99"/>
              </w:rPr>
              <w:t>CONSOLIDATED STATEMENTS OF COMPREHENSIVE INCOME</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540" w:type="dxa"/>
            <w:vAlign w:val="bottom"/>
          </w:tcPr>
          <w:p>
            <w:pPr>
              <w:ind w:left="4320"/>
              <w:spacing w:after="0"/>
              <w:rPr>
                <w:sz w:val="20"/>
                <w:szCs w:val="20"/>
                <w:color w:val="auto"/>
              </w:rPr>
            </w:pPr>
            <w:r>
              <w:rPr>
                <w:rFonts w:ascii="Times New Roman" w:cs="Times New Roman" w:eastAsia="Times New Roman" w:hAnsi="Times New Roman"/>
                <w:sz w:val="20"/>
                <w:szCs w:val="20"/>
                <w:b w:val="1"/>
                <w:bCs w:val="1"/>
                <w:color w:val="auto"/>
              </w:rPr>
              <w:t>(In Millions)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5"/>
        </w:trPr>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1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Consolidated net income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2"/>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4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1"/>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540" w:type="dxa"/>
            <w:vAlign w:val="bottom"/>
            <w:vMerge w:val="continue"/>
          </w:tcPr>
          <w:p>
            <w:pPr>
              <w:jc w:val="right"/>
              <w:ind w:right="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w:t>
            </w:r>
          </w:p>
        </w:tc>
        <w:tc>
          <w:tcPr>
            <w:tcW w:w="1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2,745</w:t>
            </w:r>
          </w:p>
        </w:tc>
        <w:tc>
          <w:tcPr>
            <w:tcW w:w="10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2,276</w:t>
            </w: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2,240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5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Other comprehensive income (loss), net of tax:</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Derivative instruments, net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Available-for-sale securities, net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29"/>
        </w:trPr>
        <w:tc>
          <w:tcPr>
            <w:tcW w:w="654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Foreign currency translation adjustments . . . . . . . . . . . . . .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50"/>
        </w:trPr>
        <w:tc>
          <w:tcPr>
            <w:tcW w:w="6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Post-retirement benefit obligations, net . . . . . . . . . . . . . . . . . . . . . . . . .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6540" w:type="dxa"/>
            <w:vAlign w:val="bottom"/>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 . . . . . . . . . . . . . . . . . . . . . . . . . . .Othercomprehensiveincome(loss),netoftax</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32</w:t>
            </w: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540" w:type="dxa"/>
            <w:vAlign w:val="bottom"/>
          </w:tcPr>
          <w:p>
            <w:pPr>
              <w:jc w:val="right"/>
              <w:ind w:right="60"/>
              <w:spacing w:after="0" w:line="201" w:lineRule="exact"/>
              <w:rPr>
                <w:sz w:val="20"/>
                <w:szCs w:val="20"/>
                <w:color w:val="auto"/>
              </w:rPr>
            </w:pPr>
            <w:r>
              <w:rPr>
                <w:rFonts w:ascii="Times New Roman" w:cs="Times New Roman" w:eastAsia="Times New Roman" w:hAnsi="Times New Roman"/>
                <w:sz w:val="20"/>
                <w:szCs w:val="20"/>
                <w:color w:val="auto"/>
                <w:w w:val="97"/>
              </w:rPr>
              <w:t>. . . . . . . . . . . . . . . . . . . . . . . . . . . . . . . . . . . . . . . . . . . . . . .Comprehensiveincome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60"/>
              <w:spacing w:after="0" w:line="201" w:lineRule="exact"/>
              <w:rPr>
                <w:sz w:val="20"/>
                <w:szCs w:val="20"/>
                <w:color w:val="auto"/>
              </w:rPr>
            </w:pPr>
            <w:r>
              <w:rPr>
                <w:rFonts w:ascii="Times New Roman" w:cs="Times New Roman" w:eastAsia="Times New Roman" w:hAnsi="Times New Roman"/>
                <w:sz w:val="20"/>
                <w:szCs w:val="20"/>
                <w:color w:val="auto"/>
              </w:rPr>
              <w:t>2,667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2,308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2,154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Less: Comprehensive income (loss) attributable to noncontrolling interests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(28)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540" w:type="dxa"/>
            <w:vAlign w:val="bottom"/>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rPr>
              <w:t>. . . . . . . . . . . . . .ComprehensiveincomeattributabletoWasteManagement,Inc</w:t>
            </w:r>
          </w:p>
        </w:tc>
        <w:tc>
          <w:tcPr>
            <w:tcW w:w="12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gridSpan w:val="2"/>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rPr>
              <w:t>2,668</w:t>
            </w:r>
          </w:p>
        </w:tc>
        <w:tc>
          <w:tcPr>
            <w:tcW w:w="10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2,336</w:t>
            </w:r>
          </w:p>
        </w:tc>
        <w:tc>
          <w:tcPr>
            <w:tcW w:w="40" w:type="dxa"/>
            <w:vAlign w:val="bottom"/>
            <w:tcBorders>
              <w:top w:val="single" w:sz="8" w:color="auto"/>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2,152</w:t>
            </w: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3320" w:h="16920" w:orient="portrait"/>
          <w:cols w:equalWidth="0" w:num="1">
            <w:col w:w="10440"/>
          </w:cols>
          <w:pgMar w:left="1440" w:top="1440" w:right="1440" w:bottom="1440" w:gutter="0" w:footer="0" w:header="0"/>
          <w:type w:val="continuous"/>
        </w:sectPr>
      </w:pPr>
    </w:p>
    <w:bookmarkStart w:id="159" w:name="page160"/>
    <w:bookmarkEnd w:id="159"/>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w:t>
      </w:r>
    </w:p>
    <w:p>
      <w:pPr>
        <w:spacing w:after="0" w:line="232"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6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gridSpan w:val="10"/>
          </w:tcPr>
          <w:p>
            <w:pPr>
              <w:ind w:lef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3"/>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51"/>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50"/>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50"/>
              <w:spacing w:after="0" w:line="173"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8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 . . . . . . . . . . . . . . . . . . . . . . . . . . . . . . . . . . . .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consolidated net income to net cash provided by operating</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Depreciation, depletion and amortization . . . . . . . . . . . . . . . . . . . . . . . . . . . . . . . . . . . .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Deferred income tax expense (benefit) . . . . . . . . . . . . . . . . . . . . . . . . . . . . . . . . . . . . . .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Interest accretion on landfill and environmental remediation liabilities . . . . . . . . . . . . .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Provision for bad debts . . . . . . . . . . . . . . . . . . . . . . . . . . . . . . . . . . . . . . . . . . . . . . . . . .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Equity-based compensation expense . . . . . . . . . . . . . . . . . . . . . . . . . . . . . . . . . . . . . . .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Net gain on disposal of assets . . . . . . . . . . . . . . . . . . . . . . . . . . . . . . . . . . . . . . . . . . . . .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6"/>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Goodwill impairment . . . . . . . . . . . . . . . . . . . . . . . . . . . . . . . . . . . . . . . . . . . . . . . . . . .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(Gain) loss from divestitures, asset impairments (other than goodwill) and other, net . .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Equity in net (income) losses of unconsolidated entities, net of dividends . . . . . . . . . .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Loss on early extinguishment of debt, net . . . . . . . . . . . . . . . . . . . . . . . . . . . . . . . . . . .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6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Change in operating assets and liabilities, net of effects of acquisitions and divestitures: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Receivables . . . . . . . . . . . . . . . . . . . . . . . . . . . . . . . . . . . . . . . . . . . . . . . . . . . . . . . .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06"/>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Other current assets . . . . . . . . . . . . . . . . . . . . . . . . . . . . . . . . . . . . . . . . . . . . . . . . . .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Other assets . . . . . . . . . . . . . . . . . . . . . . . . . . . . . . . . . . . . . . . . . . . . . . . . . . . . . . . .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Accounts payable and accrued liabilities . . . . . . . . . . . . . . . . . . . . . . . . . . . . . . . . .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Deferred revenues and other liabilities . . . . . . . . . . . . . . . . . . . . . . . . . . . . . . . . . . . .</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860" w:type="dxa"/>
            <w:vAlign w:val="bottom"/>
          </w:tcPr>
          <w:p>
            <w:pPr>
              <w:jc w:val="right"/>
              <w:ind w:right="230"/>
              <w:spacing w:after="0" w:line="197" w:lineRule="exact"/>
              <w:rPr>
                <w:sz w:val="20"/>
                <w:szCs w:val="20"/>
                <w:color w:val="auto"/>
              </w:rPr>
            </w:pPr>
            <w:r>
              <w:rPr>
                <w:rFonts w:ascii="Times New Roman" w:cs="Times New Roman" w:eastAsia="Times New Roman" w:hAnsi="Times New Roman"/>
                <w:sz w:val="18"/>
                <w:szCs w:val="18"/>
                <w:color w:val="auto"/>
              </w:rPr>
              <w:t>. . . . . . . . . . . . . . . . . . . . . . . . . . . . . . . . . . . . . . .Netcashprovidedbyoperatingactivities</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5,390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4,719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4,536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86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Acquisitions of businesses, net of cash acquired . . . . . . . . . . . . . . . . . . . . . . . . . . . . . .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06"/>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Capital expenditures . . . . . . . . . . . . . . . . . . . . . . . . . . . . . . . . . . . . . . . . . . . . . . . . . . . .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 . . . . . .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Other, net . . . . . . . . . . . . . . . . . . . . . . . . . . . . . . . . . . . . . . . . . . . . . . . . . . . . . . . . . . . . .</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860" w:type="dxa"/>
            <w:vAlign w:val="bottom"/>
          </w:tcPr>
          <w:p>
            <w:pPr>
              <w:jc w:val="right"/>
              <w:ind w:right="230"/>
              <w:spacing w:after="0" w:line="197" w:lineRule="exact"/>
              <w:rPr>
                <w:sz w:val="20"/>
                <w:szCs w:val="20"/>
                <w:color w:val="auto"/>
              </w:rPr>
            </w:pPr>
            <w:r>
              <w:rPr>
                <w:rFonts w:ascii="Times New Roman" w:cs="Times New Roman" w:eastAsia="Times New Roman" w:hAnsi="Times New Roman"/>
                <w:sz w:val="18"/>
                <w:szCs w:val="18"/>
                <w:color w:val="auto"/>
              </w:rPr>
              <w:t>. . . . . . . . . . . . . . . . . . . . . . . . . . . . . . . . . . . . . . . . . . .Netcashusedininvestingactivities</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(10,601)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(3,091)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(3,063)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86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New borrowings . . . . . . . . . . . . . . . . . . . . . . . . . . . . . . . . . . . . . . . . . . . . . . . . . . . . . . .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Debt repayments . . . . . . . . . . . . . . . . . . . . . . . . . . . . . . . . . . . . . . . . . . . . . . . . . . . . . . .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(17,870)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(20,394)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(7,328)</w:t>
            </w:r>
          </w:p>
        </w:tc>
        <w:tc>
          <w:tcPr>
            <w:tcW w:w="0" w:type="dxa"/>
            <w:vAlign w:val="bottom"/>
          </w:tcPr>
          <w:p>
            <w:pPr>
              <w:spacing w:after="0"/>
              <w:rPr>
                <w:sz w:val="1"/>
                <w:szCs w:val="1"/>
                <w:color w:val="auto"/>
              </w:rPr>
            </w:pPr>
          </w:p>
        </w:tc>
      </w:tr>
      <w:tr>
        <w:trPr>
          <w:trHeight w:val="206"/>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Common stock repurchase program . . . . . . . . . . . . . . . . . . . . . . . . . . . . . . . . . . . . . . . .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Cash dividends . . . . . . . . . . . . . . . . . . . . . . . . . . . . . . . . . . . . . . . . . . . . . . . . . . . . . . . .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06"/>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Exercise of common stock options . . . . . . . . . . . . . . . . . . . . . . . . . . . . . . . . . . . . . . . . .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Tax payments associated with equity-based compensation transactions . . . . . . . . . . . .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5"/>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Other, net . . . . . . . . . . . . . . . . . . . . . . . . . . . . . . . . . . . . . . . . . . . . . . . . . . . . . . . . . . . . .</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860" w:type="dxa"/>
            <w:vAlign w:val="bottom"/>
          </w:tcPr>
          <w:p>
            <w:pPr>
              <w:jc w:val="right"/>
              <w:ind w:right="230"/>
              <w:spacing w:after="0" w:line="197" w:lineRule="exact"/>
              <w:rPr>
                <w:sz w:val="20"/>
                <w:szCs w:val="20"/>
                <w:color w:val="auto"/>
              </w:rPr>
            </w:pPr>
            <w:r>
              <w:rPr>
                <w:rFonts w:ascii="Times New Roman" w:cs="Times New Roman" w:eastAsia="Times New Roman" w:hAnsi="Times New Roman"/>
                <w:sz w:val="18"/>
                <w:szCs w:val="18"/>
                <w:color w:val="auto"/>
              </w:rPr>
              <w:t>. . . . . . . . . . . . . . . . . . . . . . . . . . . . . . . .Netcashprovidedby(usedin)financingactivities</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5,155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(1,524)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(1,216)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86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and cash</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equivalents. . . . . . . . . . . . . . . . . . . . . . . . . . . . . . . . . . . . . . . . . . . . . . . . . . . . . . . . . . . . . . .</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6860" w:type="dxa"/>
            <w:vAlign w:val="bottom"/>
          </w:tcPr>
          <w:p>
            <w:pPr>
              <w:jc w:val="right"/>
              <w:ind w:right="230"/>
              <w:spacing w:after="0" w:line="179" w:lineRule="exact"/>
              <w:rPr>
                <w:sz w:val="20"/>
                <w:szCs w:val="20"/>
                <w:color w:val="auto"/>
              </w:rPr>
            </w:pPr>
            <w:r>
              <w:rPr>
                <w:rFonts w:ascii="Times New Roman" w:cs="Times New Roman" w:eastAsia="Times New Roman" w:hAnsi="Times New Roman"/>
                <w:sz w:val="18"/>
                <w:szCs w:val="18"/>
                <w:color w:val="auto"/>
              </w:rPr>
              <w:t>. . . .Increase(decrease)incash,cashequivalentsandrestrictedcashandcashequivalents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251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9"/>
              </w:rPr>
              <w:t>Cash, cash equivalents and restricted cash and cash equivalents at beginning of period . . . .</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860" w:type="dxa"/>
            <w:vAlign w:val="bottom"/>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 . . . . . . . .Cash,cashequivalentsandrestrictedcashandcashequivalentsatendofperiod</w:t>
            </w: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 and cash equivalents at end of</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Cash and cash equivalents . . . . . . . . . . . . . . . . . . . . . . . . . . . . . . . . . . .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9"/>
              </w:rPr>
              <w:t>Restricted cash and cash equivalents included in other current assets . . . . . . . . . . . . . . . . .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9"/>
              </w:rPr>
              <w:t>Restricted cash and cash equivalents included in restricted funds . . . . . . . . . . . . . . . . . . . . .</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860" w:type="dxa"/>
            <w:vAlign w:val="bottom"/>
          </w:tcPr>
          <w:p>
            <w:pPr>
              <w:jc w:val="right"/>
              <w:ind w:right="230"/>
              <w:spacing w:after="0" w:line="199" w:lineRule="exact"/>
              <w:rPr>
                <w:sz w:val="20"/>
                <w:szCs w:val="20"/>
                <w:color w:val="auto"/>
              </w:rPr>
            </w:pPr>
            <w:r>
              <w:rPr>
                <w:rFonts w:ascii="Times New Roman" w:cs="Times New Roman" w:eastAsia="Times New Roman" w:hAnsi="Times New Roman"/>
                <w:sz w:val="18"/>
                <w:szCs w:val="18"/>
                <w:color w:val="auto"/>
              </w:rPr>
              <w:t>. . . . . . . . .Cash,cashequivalentsandrestrictedcashandcashequivalentsatendofperiod</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487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552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3320" w:h="16920" w:orient="portrait"/>
          <w:cols w:equalWidth="0" w:num="1">
            <w:col w:w="10440"/>
          </w:cols>
          <w:pgMar w:left="1440" w:top="1440" w:right="1440" w:bottom="1440" w:gutter="0" w:footer="0" w:header="0"/>
          <w:type w:val="continuous"/>
        </w:sectPr>
      </w:pPr>
    </w:p>
    <w:bookmarkStart w:id="160" w:name="page161"/>
    <w:bookmarkEnd w:id="160"/>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EQUITY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Except Shares in Thousands)</w:t>
      </w:r>
    </w:p>
    <w:p>
      <w:pPr>
        <w:spacing w:after="0" w:line="234" w:lineRule="exact"/>
        <w:rPr>
          <w:sz w:val="20"/>
          <w:szCs w:val="20"/>
          <w:color w:val="auto"/>
        </w:rPr>
      </w:pPr>
    </w:p>
    <w:tbl>
      <w:tblPr>
        <w:tblLayout w:type="fixed"/>
        <w:tblInd w:w="340" w:type="dxa"/>
        <w:tblCellMar>
          <w:top w:w="0" w:type="dxa"/>
          <w:left w:w="0" w:type="dxa"/>
          <w:bottom w:w="0" w:type="dxa"/>
          <w:right w:w="0" w:type="dxa"/>
        </w:tblCellMar>
      </w:tblPr>
      <w:tr>
        <w:trPr>
          <w:trHeight w:val="191"/>
        </w:trPr>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18"/>
          </w:tcPr>
          <w:p>
            <w:pPr>
              <w:ind w:left="320"/>
              <w:spacing w:after="0"/>
              <w:rPr>
                <w:sz w:val="20"/>
                <w:szCs w:val="20"/>
                <w:color w:val="auto"/>
              </w:rPr>
            </w:pPr>
            <w:r>
              <w:rPr>
                <w:rFonts w:ascii="Times New Roman" w:cs="Times New Roman" w:eastAsia="Times New Roman" w:hAnsi="Times New Roman"/>
                <w:sz w:val="15"/>
                <w:szCs w:val="15"/>
                <w:b w:val="1"/>
                <w:bCs w:val="1"/>
                <w:color w:val="auto"/>
              </w:rPr>
              <w:t>Waste Management, Inc. Stockholders’ Equity</w:t>
            </w:r>
          </w:p>
        </w:tc>
        <w:tc>
          <w:tcPr>
            <w:tcW w:w="6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160"/>
              <w:spacing w:after="0" w:line="146"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5"/>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20" w:type="dxa"/>
            <w:vAlign w:val="bottom"/>
          </w:tcPr>
          <w:p>
            <w:pPr>
              <w:spacing w:after="0"/>
              <w:rPr>
                <w:sz w:val="16"/>
                <w:szCs w:val="16"/>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1400" w:type="dxa"/>
            <w:vAlign w:val="bottom"/>
            <w:gridSpan w:val="6"/>
          </w:tcPr>
          <w:p>
            <w:pPr>
              <w:ind w:left="160"/>
              <w:spacing w:after="0"/>
              <w:rPr>
                <w:sz w:val="20"/>
                <w:szCs w:val="20"/>
                <w:color w:val="auto"/>
              </w:rPr>
            </w:pPr>
            <w:r>
              <w:rPr>
                <w:rFonts w:ascii="Times New Roman" w:cs="Times New Roman" w:eastAsia="Times New Roman" w:hAnsi="Times New Roman"/>
                <w:sz w:val="15"/>
                <w:szCs w:val="15"/>
                <w:b w:val="1"/>
                <w:bCs w:val="1"/>
                <w:color w:val="auto"/>
              </w:rPr>
              <w:t>Treasury Stock</w:t>
            </w:r>
          </w:p>
        </w:tc>
        <w:tc>
          <w:tcPr>
            <w:tcW w:w="9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w w:val="99"/>
              </w:rPr>
              <w:t>Noncontrolling</w:t>
            </w:r>
          </w:p>
        </w:tc>
        <w:tc>
          <w:tcPr>
            <w:tcW w:w="0" w:type="dxa"/>
            <w:vAlign w:val="bottom"/>
          </w:tcPr>
          <w:p>
            <w:pPr>
              <w:spacing w:after="0"/>
              <w:rPr>
                <w:sz w:val="1"/>
                <w:szCs w:val="1"/>
                <w:color w:val="auto"/>
              </w:rPr>
            </w:pPr>
          </w:p>
        </w:tc>
      </w:tr>
      <w:tr>
        <w:trPr>
          <w:trHeight w:val="164"/>
        </w:trPr>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Balance, December 31, 2021</w:t>
            </w:r>
          </w:p>
        </w:tc>
        <w:tc>
          <w:tcPr>
            <w:tcW w:w="100" w:type="dxa"/>
            <w:vAlign w:val="bottom"/>
          </w:tcPr>
          <w:p>
            <w:pPr>
              <w:spacing w:after="0"/>
              <w:rPr>
                <w:sz w:val="14"/>
                <w:szCs w:val="14"/>
                <w:color w:val="auto"/>
              </w:rPr>
            </w:pPr>
          </w:p>
        </w:tc>
        <w:tc>
          <w:tcPr>
            <w:tcW w:w="600" w:type="dxa"/>
            <w:vAlign w:val="bottom"/>
            <w:gridSpan w:val="3"/>
          </w:tcPr>
          <w:p>
            <w:pPr>
              <w:ind w:left="40"/>
              <w:spacing w:after="0" w:line="164" w:lineRule="exact"/>
              <w:rPr>
                <w:sz w:val="20"/>
                <w:szCs w:val="20"/>
                <w:color w:val="auto"/>
              </w:rPr>
            </w:pPr>
            <w:r>
              <w:rPr>
                <w:rFonts w:ascii="Times New Roman" w:cs="Times New Roman" w:eastAsia="Times New Roman" w:hAnsi="Times New Roman"/>
                <w:sz w:val="15"/>
                <w:szCs w:val="15"/>
                <w:b w:val="1"/>
                <w:bCs w:val="1"/>
                <w:color w:val="auto"/>
              </w:rPr>
              <w:t>Total</w:t>
            </w:r>
          </w:p>
        </w:tc>
        <w:tc>
          <w:tcPr>
            <w:tcW w:w="580" w:type="dxa"/>
            <w:vAlign w:val="bottom"/>
            <w:tcBorders>
              <w:top w:val="single" w:sz="8" w:color="auto"/>
            </w:tcBorders>
          </w:tcPr>
          <w:p>
            <w:pPr>
              <w:jc w:val="right"/>
              <w:ind w:right="5"/>
              <w:spacing w:after="0" w:line="164" w:lineRule="exact"/>
              <w:rPr>
                <w:sz w:val="20"/>
                <w:szCs w:val="20"/>
                <w:color w:val="auto"/>
              </w:rPr>
            </w:pPr>
            <w:r>
              <w:rPr>
                <w:rFonts w:ascii="Times New Roman" w:cs="Times New Roman" w:eastAsia="Times New Roman" w:hAnsi="Times New Roman"/>
                <w:sz w:val="15"/>
                <w:szCs w:val="15"/>
                <w:b w:val="1"/>
                <w:bCs w:val="1"/>
                <w:color w:val="auto"/>
              </w:rPr>
              <w:t>Shares</w:t>
            </w: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2"/>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auto"/>
              </w:rPr>
              <w:t>Amounts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5"/>
                <w:szCs w:val="15"/>
                <w:b w:val="1"/>
                <w:bCs w:val="1"/>
                <w:color w:val="auto"/>
              </w:rPr>
              <w:t>Capital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00"/>
              <w:spacing w:after="0" w:line="164" w:lineRule="exact"/>
              <w:rPr>
                <w:sz w:val="20"/>
                <w:szCs w:val="20"/>
                <w:color w:val="auto"/>
              </w:rPr>
            </w:pPr>
            <w:r>
              <w:rPr>
                <w:rFonts w:ascii="Times New Roman" w:cs="Times New Roman" w:eastAsia="Times New Roman" w:hAnsi="Times New Roman"/>
                <w:sz w:val="15"/>
                <w:szCs w:val="15"/>
                <w:b w:val="1"/>
                <w:bCs w:val="1"/>
                <w:color w:val="auto"/>
              </w:rPr>
              <w:t>Earnings</w:t>
            </w:r>
          </w:p>
        </w:tc>
        <w:tc>
          <w:tcPr>
            <w:tcW w:w="20" w:type="dxa"/>
            <w:vAlign w:val="bottom"/>
          </w:tcPr>
          <w:p>
            <w:pPr>
              <w:spacing w:after="0"/>
              <w:rPr>
                <w:sz w:val="14"/>
                <w:szCs w:val="14"/>
                <w:color w:val="auto"/>
              </w:rPr>
            </w:pPr>
          </w:p>
        </w:tc>
        <w:tc>
          <w:tcPr>
            <w:tcW w:w="1080" w:type="dxa"/>
            <w:vAlign w:val="bottom"/>
            <w:gridSpan w:val="4"/>
          </w:tcPr>
          <w:p>
            <w:pPr>
              <w:jc w:val="center"/>
              <w:ind w:right="140"/>
              <w:spacing w:after="0" w:line="164" w:lineRule="exact"/>
              <w:rPr>
                <w:sz w:val="20"/>
                <w:szCs w:val="20"/>
                <w:color w:val="auto"/>
              </w:rPr>
            </w:pPr>
            <w:r>
              <w:rPr>
                <w:rFonts w:ascii="Times New Roman" w:cs="Times New Roman" w:eastAsia="Times New Roman" w:hAnsi="Times New Roman"/>
                <w:sz w:val="15"/>
                <w:szCs w:val="15"/>
                <w:b w:val="1"/>
                <w:bCs w:val="1"/>
                <w:color w:val="auto"/>
                <w:w w:val="99"/>
              </w:rPr>
              <w:t>(Loss) Income</w:t>
            </w:r>
          </w:p>
        </w:tc>
        <w:tc>
          <w:tcPr>
            <w:tcW w:w="680" w:type="dxa"/>
            <w:vAlign w:val="bottom"/>
            <w:tcBorders>
              <w:top w:val="single" w:sz="8" w:color="auto"/>
            </w:tcBorders>
            <w:gridSpan w:val="3"/>
          </w:tcPr>
          <w:p>
            <w:pPr>
              <w:ind w:left="80"/>
              <w:spacing w:after="0" w:line="164" w:lineRule="exact"/>
              <w:rPr>
                <w:sz w:val="20"/>
                <w:szCs w:val="20"/>
                <w:color w:val="auto"/>
              </w:rPr>
            </w:pPr>
            <w:r>
              <w:rPr>
                <w:rFonts w:ascii="Times New Roman" w:cs="Times New Roman" w:eastAsia="Times New Roman" w:hAnsi="Times New Roman"/>
                <w:sz w:val="15"/>
                <w:szCs w:val="15"/>
                <w:b w:val="1"/>
                <w:bCs w:val="1"/>
                <w:color w:val="auto"/>
              </w:rPr>
              <w:t>Shares</w:t>
            </w:r>
          </w:p>
        </w:tc>
        <w:tc>
          <w:tcPr>
            <w:tcW w:w="640" w:type="dxa"/>
            <w:vAlign w:val="bottom"/>
            <w:tcBorders>
              <w:top w:val="single" w:sz="8" w:color="auto"/>
            </w:tcBorders>
          </w:tcPr>
          <w:p>
            <w:pPr>
              <w:ind w:left="20"/>
              <w:spacing w:after="0" w:line="164" w:lineRule="exact"/>
              <w:rPr>
                <w:sz w:val="20"/>
                <w:szCs w:val="20"/>
                <w:color w:val="auto"/>
              </w:rPr>
            </w:pPr>
            <w:r>
              <w:rPr>
                <w:rFonts w:ascii="Times New Roman" w:cs="Times New Roman" w:eastAsia="Times New Roman" w:hAnsi="Times New Roman"/>
                <w:sz w:val="15"/>
                <w:szCs w:val="15"/>
                <w:b w:val="1"/>
                <w:bCs w:val="1"/>
                <w:color w:val="auto"/>
              </w:rPr>
              <w:t>Amounts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line="164" w:lineRule="exact"/>
              <w:rPr>
                <w:sz w:val="20"/>
                <w:szCs w:val="20"/>
                <w:color w:val="auto"/>
              </w:rPr>
            </w:pPr>
            <w:r>
              <w:rPr>
                <w:rFonts w:ascii="Times New Roman" w:cs="Times New Roman" w:eastAsia="Times New Roman" w:hAnsi="Times New Roman"/>
                <w:sz w:val="15"/>
                <w:szCs w:val="15"/>
                <w:b w:val="1"/>
                <w:bCs w:val="1"/>
                <w:color w:val="auto"/>
              </w:rPr>
              <w:t>Interests</w:t>
            </w:r>
          </w:p>
        </w:tc>
        <w:tc>
          <w:tcPr>
            <w:tcW w:w="0" w:type="dxa"/>
            <w:vAlign w:val="bottom"/>
          </w:tcPr>
          <w:p>
            <w:pPr>
              <w:spacing w:after="0"/>
              <w:rPr>
                <w:sz w:val="1"/>
                <w:szCs w:val="1"/>
                <w:color w:val="auto"/>
              </w:rPr>
            </w:pPr>
          </w:p>
        </w:tc>
      </w:tr>
      <w:tr>
        <w:trPr>
          <w:trHeight w:val="148"/>
        </w:trPr>
        <w:tc>
          <w:tcPr>
            <w:tcW w:w="2560" w:type="dxa"/>
            <w:vAlign w:val="bottom"/>
            <w:gridSpan w:val="2"/>
            <w:vMerge w:val="continue"/>
          </w:tcPr>
          <w:p>
            <w:pPr>
              <w:ind w:left="1740"/>
              <w:spacing w:after="0" w:line="130" w:lineRule="exact"/>
              <w:rPr>
                <w:sz w:val="20"/>
                <w:szCs w:val="20"/>
                <w:color w:val="auto"/>
              </w:rPr>
            </w:pPr>
            <w:r>
              <w:rPr>
                <w:rFonts w:ascii="Times New Roman" w:cs="Times New Roman" w:eastAsia="Times New Roman" w:hAnsi="Times New Roman"/>
                <w:sz w:val="15"/>
                <w:szCs w:val="15"/>
                <w:color w:val="auto"/>
              </w:rPr>
              <w:t>. . . . . . . .</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7,126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630,282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jc w:val="right"/>
              <w:ind w:right="105"/>
              <w:spacing w:after="0" w:line="149" w:lineRule="exact"/>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5,169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12,004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17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w w:val="98"/>
              </w:rPr>
              <w:t>(214,159)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w w:val="99"/>
              </w:rPr>
              <w:t>$ (10,072)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Consolidated net income. . . . . . . . . . .</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of tax . . . . . . . . . . . . . . . . . . . . . .</w:t>
            </w:r>
          </w:p>
        </w:tc>
        <w:tc>
          <w:tcPr>
            <w:tcW w:w="10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(86)</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(86)</w:t>
            </w:r>
          </w:p>
        </w:tc>
        <w:tc>
          <w:tcPr>
            <w:tcW w:w="20" w:type="dxa"/>
            <w:vAlign w:val="bottom"/>
          </w:tcPr>
          <w:p>
            <w:pPr>
              <w:spacing w:after="0"/>
              <w:rPr>
                <w:sz w:val="15"/>
                <w:szCs w:val="15"/>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3"/>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Cash dividends declared of $2.60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per common share . . . . . . . . . . . . . . .</w:t>
            </w:r>
          </w:p>
        </w:tc>
        <w:tc>
          <w:tcPr>
            <w:tcW w:w="10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(1,077)</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(1,077)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3"/>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Equity-based compensation</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transactions, net . . . . . . . . . . . . . . . . .</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73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4"/>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Common stock repurchase program . . .</w:t>
            </w:r>
          </w:p>
        </w:tc>
        <w:tc>
          <w:tcPr>
            <w:tcW w:w="10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(1,500)</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(9,796)</w:t>
            </w:r>
          </w:p>
        </w:tc>
        <w:tc>
          <w:tcPr>
            <w:tcW w:w="2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(1,570)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Acquisitions and other, net . . . . . . . . .</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560" w:type="dxa"/>
            <w:vAlign w:val="bottom"/>
            <w:gridSpan w:val="2"/>
          </w:tcPr>
          <w:p>
            <w:pPr>
              <w:spacing w:after="0" w:line="147" w:lineRule="exact"/>
              <w:rPr>
                <w:sz w:val="20"/>
                <w:szCs w:val="20"/>
                <w:color w:val="auto"/>
              </w:rPr>
            </w:pPr>
            <w:r>
              <w:rPr>
                <w:rFonts w:ascii="Times New Roman" w:cs="Times New Roman" w:eastAsia="Times New Roman" w:hAnsi="Times New Roman"/>
                <w:sz w:val="15"/>
                <w:szCs w:val="15"/>
                <w:color w:val="auto"/>
              </w:rPr>
              <w:t>. . . . . . . .Balance,December31,2022</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5"/>
                <w:szCs w:val="15"/>
                <w:color w:val="auto"/>
              </w:rPr>
              <w:t>6,864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5"/>
                <w:szCs w:val="15"/>
                <w:color w:val="auto"/>
              </w:rPr>
              <w:t>630,282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jc w:val="right"/>
              <w:ind w:right="105"/>
              <w:spacing w:after="0" w:line="147" w:lineRule="exact"/>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5"/>
                <w:szCs w:val="15"/>
                <w:color w:val="auto"/>
              </w:rPr>
              <w:t>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line="147"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5"/>
                <w:szCs w:val="15"/>
                <w:color w:val="auto"/>
              </w:rPr>
              <w:t>5,314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5"/>
                <w:szCs w:val="15"/>
                <w:color w:val="auto"/>
              </w:rPr>
              <w:t>13,167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5"/>
                <w:szCs w:val="15"/>
                <w:color w:val="auto"/>
              </w:rPr>
              <w:t>(69)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5"/>
                <w:szCs w:val="15"/>
                <w:color w:val="auto"/>
                <w:w w:val="98"/>
              </w:rPr>
              <w:t>(222,396)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5"/>
                <w:szCs w:val="15"/>
                <w:color w:val="auto"/>
                <w:w w:val="99"/>
              </w:rPr>
              <w:t>$ (11,569)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line="147"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5"/>
                <w:szCs w:val="15"/>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Consolidated net income. . . . . . . . . . .</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(28)</w:t>
            </w:r>
          </w:p>
        </w:tc>
        <w:tc>
          <w:tcPr>
            <w:tcW w:w="0" w:type="dxa"/>
            <w:vAlign w:val="bottom"/>
          </w:tcPr>
          <w:p>
            <w:pPr>
              <w:spacing w:after="0"/>
              <w:rPr>
                <w:sz w:val="1"/>
                <w:szCs w:val="1"/>
                <w:color w:val="auto"/>
              </w:rPr>
            </w:pPr>
          </w:p>
        </w:tc>
      </w:tr>
      <w:tr>
        <w:trPr>
          <w:trHeight w:val="173"/>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of tax . . . . . . . . . . . . . . . . . . . . . .</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3"/>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Cash dividends declared of $2.80 per</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common share . . . . . . . . . . . . . . . . . .</w:t>
            </w:r>
          </w:p>
        </w:tc>
        <w:tc>
          <w:tcPr>
            <w:tcW w:w="10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(1,136)</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(1,136)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3"/>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Equity-based compensation</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transactions, net . . . . . . . . . . . . . . . . .</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73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4"/>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Common stock repurchase program . . .</w:t>
            </w:r>
          </w:p>
        </w:tc>
        <w:tc>
          <w:tcPr>
            <w:tcW w:w="10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(1,315)</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(7,840)</w:t>
            </w:r>
          </w:p>
        </w:tc>
        <w:tc>
          <w:tcPr>
            <w:tcW w:w="2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(1,255)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8"/>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net . . . . . . . . . . . . . . . . . . . . .</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560" w:type="dxa"/>
            <w:vAlign w:val="bottom"/>
            <w:gridSpan w:val="2"/>
          </w:tcPr>
          <w:p>
            <w:pPr>
              <w:spacing w:after="0" w:line="149" w:lineRule="exact"/>
              <w:rPr>
                <w:sz w:val="20"/>
                <w:szCs w:val="20"/>
                <w:color w:val="auto"/>
              </w:rPr>
            </w:pPr>
            <w:r>
              <w:rPr>
                <w:rFonts w:ascii="Times New Roman" w:cs="Times New Roman" w:eastAsia="Times New Roman" w:hAnsi="Times New Roman"/>
                <w:sz w:val="15"/>
                <w:szCs w:val="15"/>
                <w:color w:val="auto"/>
              </w:rPr>
              <w:t>. . . . . . . .Balance,December31,2023</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6,896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630,282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jc w:val="right"/>
              <w:ind w:right="105"/>
              <w:spacing w:after="0" w:line="149" w:lineRule="exact"/>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5,351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14,334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(37)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w w:val="98"/>
              </w:rPr>
              <w:t>(228,827)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w w:val="99"/>
              </w:rPr>
              <w:t>$ (12,751)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Adoption of new accounting standard .</w:t>
            </w:r>
          </w:p>
        </w:tc>
        <w:tc>
          <w:tcPr>
            <w:tcW w:w="10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3"/>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Consolidated net income. . . . . . . . . . .</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73"/>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of tax . . . . . . . . . . . . . . . . . . . . . .</w:t>
            </w:r>
          </w:p>
        </w:tc>
        <w:tc>
          <w:tcPr>
            <w:tcW w:w="10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(78)</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(78)</w:t>
            </w:r>
          </w:p>
        </w:tc>
        <w:tc>
          <w:tcPr>
            <w:tcW w:w="20" w:type="dxa"/>
            <w:vAlign w:val="bottom"/>
          </w:tcPr>
          <w:p>
            <w:pPr>
              <w:spacing w:after="0"/>
              <w:rPr>
                <w:sz w:val="15"/>
                <w:szCs w:val="15"/>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3"/>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Cash dividends declared of $3.00 per</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common share . . . . . . . . . . . . . . . . . .</w:t>
            </w:r>
          </w:p>
        </w:tc>
        <w:tc>
          <w:tcPr>
            <w:tcW w:w="10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(1,210)</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3"/>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Equity-based compensation</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transactions, net . . . . . . . . . . . . . . . . .</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83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4"/>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Common stock repurchase program . . .</w:t>
            </w:r>
          </w:p>
        </w:tc>
        <w:tc>
          <w:tcPr>
            <w:tcW w:w="10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(265)</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(1,494)</w:t>
            </w:r>
          </w:p>
        </w:tc>
        <w:tc>
          <w:tcPr>
            <w:tcW w:w="2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(325)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8"/>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net . . . . . . . . . . . . . . . . . . . . .</w:t>
            </w:r>
          </w:p>
        </w:tc>
        <w:tc>
          <w:tcPr>
            <w:tcW w:w="10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w:t>
            </w:r>
          </w:p>
        </w:tc>
        <w:tc>
          <w:tcPr>
            <w:tcW w:w="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5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Balance, December 31, 2024 . . . . . . . .</w:t>
            </w: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8,254</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630,282</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05"/>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6</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5,496</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15,858</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(115)</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98"/>
              </w:rPr>
              <w:t>(228,788)</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99"/>
              </w:rPr>
              <w:t>$ (12,993)</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3320" w:h="16920" w:orient="portrait"/>
          <w:cols w:equalWidth="0" w:num="1">
            <w:col w:w="10440"/>
          </w:cols>
          <w:pgMar w:left="1440" w:top="1440" w:right="1440" w:bottom="1440" w:gutter="0" w:footer="0" w:header="0"/>
          <w:type w:val="continuous"/>
        </w:sectPr>
      </w:pPr>
    </w:p>
    <w:bookmarkStart w:id="161" w:name="page162"/>
    <w:bookmarkEnd w:id="161"/>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Years Ended December 31, 2024, 2023 and 2022</w:t>
      </w:r>
    </w:p>
    <w:p>
      <w:pPr>
        <w:spacing w:after="0" w:line="207" w:lineRule="exact"/>
        <w:rPr>
          <w:sz w:val="20"/>
          <w:szCs w:val="20"/>
          <w:color w:val="auto"/>
        </w:rPr>
      </w:pPr>
    </w:p>
    <w:p>
      <w:pPr>
        <w:ind w:left="720" w:hanging="353"/>
        <w:spacing w:after="0"/>
        <w:tabs>
          <w:tab w:leader="none" w:pos="720" w:val="left"/>
        </w:tabs>
        <w:numPr>
          <w:ilvl w:val="0"/>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Basis of Presentation</w:t>
      </w:r>
    </w:p>
    <w:p>
      <w:pPr>
        <w:spacing w:after="0" w:line="244"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18. 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199"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recycling and resource recovery services. Through our subsidiaries, including our Waste Management Renewable Energy (“WM Renewable Energy”) segment, we are also a leading developer, operator and owner of landfill gas-to-energy facilities in the U.S. and Canada that produce renewable electricity and renewable natural gas, which is a significant source of fuel that we allocate to our natural gas fleet.</w:t>
      </w:r>
    </w:p>
    <w:p>
      <w:pPr>
        <w:spacing w:after="0" w:line="202" w:lineRule="exact"/>
        <w:rPr>
          <w:sz w:val="20"/>
          <w:szCs w:val="20"/>
          <w:color w:val="auto"/>
        </w:rPr>
      </w:pPr>
    </w:p>
    <w:p>
      <w:pPr>
        <w:jc w:val="both"/>
        <w:ind w:left="360" w:right="360" w:firstLine="360"/>
        <w:spacing w:after="0" w:line="266" w:lineRule="auto"/>
        <w:rPr>
          <w:sz w:val="20"/>
          <w:szCs w:val="20"/>
          <w:color w:val="auto"/>
        </w:rPr>
      </w:pPr>
      <w:r>
        <w:rPr>
          <w:rFonts w:ascii="Times New Roman" w:cs="Times New Roman" w:eastAsia="Times New Roman" w:hAnsi="Times New Roman"/>
          <w:sz w:val="19"/>
          <w:szCs w:val="19"/>
          <w:color w:val="auto"/>
        </w:rPr>
        <w:t>On November 4, 2024, we completed our acquisition of all outstanding shares of Stericycle, Inc. (“Stericycle”), the operations of which are presented in this report as our new WM Healthcare Solutions segment. The acquisition expands our offerings in the U.S. and Canada and adds operations in parts of Western Europe. These businesses provide Regulated Waste and Compliance Services (“RWCS”) and Secure Information Destruction (“SID”) services that protect people and brands, promote health and well-being and safeguard the environment. Refer to Note 17 for further discussion.</w:t>
      </w:r>
    </w:p>
    <w:p>
      <w:pPr>
        <w:spacing w:after="0" w:line="180"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Our senior management evaluates, oversees and manages the financial performance of our business through five reportable segments, referred to as (i) Collection and Disposal - East Tier (“East Tier”); (ii) Collection and Disposal - West Tier (“West Tier”); (iii) Recycling Processing and Sales; (iv) WM Renewable Energy and (v) WM Healthcare Solutions. Our East and West Tiers along with certain ancillary services (“Other Ancillary”) that are not managed through our Tier segments, but that support our collection and disposal operations, form our “Collection and Disposal” businesses. We also provide additional services not managed through our five reportable segments, which are presented as Corporate and Other. Refer to Note 19 for further discussion.</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Reclassifications</w:t>
      </w:r>
    </w:p>
    <w:p>
      <w:pPr>
        <w:spacing w:after="0" w:line="239"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When necessary, reclassifications have been made to our prior period financial information to conform to the current year presentation and are not material to our consolidated financial statements.</w:t>
      </w:r>
    </w:p>
    <w:p>
      <w:pPr>
        <w:spacing w:after="0" w:line="175" w:lineRule="exact"/>
        <w:rPr>
          <w:sz w:val="20"/>
          <w:szCs w:val="20"/>
          <w:color w:val="auto"/>
        </w:rPr>
      </w:pPr>
    </w:p>
    <w:p>
      <w:pPr>
        <w:ind w:left="360"/>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2.</w:t>
        <w:tab/>
        <w:t>Summary of Significant Accounting Policies</w:t>
      </w:r>
    </w:p>
    <w:p>
      <w:pPr>
        <w:spacing w:after="0" w:line="2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Principles of Consolidation</w:t>
      </w:r>
    </w:p>
    <w:p>
      <w:pPr>
        <w:spacing w:after="0" w:line="237" w:lineRule="exact"/>
        <w:rPr>
          <w:sz w:val="20"/>
          <w:szCs w:val="20"/>
          <w:color w:val="auto"/>
        </w:rPr>
      </w:pPr>
    </w:p>
    <w:p>
      <w:pPr>
        <w:jc w:val="both"/>
        <w:ind w:left="360" w:right="360" w:firstLine="360"/>
        <w:spacing w:after="0" w:line="266" w:lineRule="auto"/>
        <w:rPr>
          <w:sz w:val="20"/>
          <w:szCs w:val="20"/>
          <w:color w:val="auto"/>
        </w:rPr>
      </w:pPr>
      <w:r>
        <w:rPr>
          <w:rFonts w:ascii="Times New Roman" w:cs="Times New Roman" w:eastAsia="Times New Roman" w:hAnsi="Times New Roman"/>
          <w:sz w:val="19"/>
          <w:szCs w:val="19"/>
          <w:color w:val="auto"/>
        </w:rPr>
        <w:t>The accompanying Consolidated Financial Statements include the accounts of WMI, its wholly-owned and majority - owned subsidiaries and certain variable interest entities for which we have determined that we are the primary beneficiary. In the opinion of management, these Consolidated Financial Statements include all adjustments, which, unless otherwise disclosed, are of a normal recurring nature, necessary for a fair presentation of the financial position, results of operations, comprehensive income, cash flows, and changes in equity for the periods presented. All material intercompany</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3320" w:h="16920" w:orient="portrait"/>
          <w:cols w:equalWidth="0" w:num="1">
            <w:col w:w="10440"/>
          </w:cols>
          <w:pgMar w:left="1440" w:top="1440" w:right="1440" w:bottom="1440" w:gutter="0" w:footer="0" w:header="0"/>
          <w:type w:val="continuous"/>
        </w:sectPr>
      </w:pPr>
    </w:p>
    <w:bookmarkStart w:id="162" w:name="page163"/>
    <w:bookmarkEnd w:id="162"/>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spacing w:after="0" w:line="278" w:lineRule="auto"/>
        <w:rPr>
          <w:sz w:val="20"/>
          <w:szCs w:val="20"/>
          <w:color w:val="auto"/>
        </w:rPr>
      </w:pPr>
      <w:r>
        <w:rPr>
          <w:rFonts w:ascii="Times New Roman" w:cs="Times New Roman" w:eastAsia="Times New Roman" w:hAnsi="Times New Roman"/>
          <w:sz w:val="20"/>
          <w:szCs w:val="20"/>
          <w:color w:val="auto"/>
        </w:rPr>
        <w:t>balances and transactions have been eliminated. Investments in unconsolidated entities are accounted for under the appropriate method of accounting.</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Estimates and Assumptions</w:t>
      </w:r>
    </w:p>
    <w:p>
      <w:pPr>
        <w:spacing w:after="0" w:line="237"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Each of these items is discussed in additional detail below. Actual results could differ materially from the estimates and assumptions that we use in the preparation of our financial statements.</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Cash and Cash Equivalents</w:t>
      </w:r>
    </w:p>
    <w:p>
      <w:pPr>
        <w:spacing w:after="0" w:line="238"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Cash in excess of current operating requirements is invested in short-term interest-bearing instruments with maturities of three months or less at the date of purchase and is stated at cost, which approximates market value.</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Concentrations of Credit Risk</w:t>
      </w:r>
    </w:p>
    <w:p>
      <w:pPr>
        <w:spacing w:after="0" w:line="237"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Financial instruments that potentially subject us to concentrations of credit risk consist primarily of cash and cash equivalents, investments held within restricted funds,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 - paying customers. However, our overall credit risk associated with trade receivables is limited due to the large number and diversity of customers we serve. As of December 31, 2024 and 2023, no single customer represented greater than 5% of total accounts receivable.</w:t>
      </w:r>
    </w:p>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Accounts and Other Receivables</w:t>
      </w:r>
    </w:p>
    <w:p>
      <w:pPr>
        <w:spacing w:after="0" w:line="238"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Our receivables, which are recorded when billed, when services are performed or when cash is advanced, are claims against third parties that will generally be settled in cash. The carrying value of our receivables, net of the allowance for doubtful accounts, represents the estimated net realizable value. We estimate our allowance for doubtful accounts based on historical collection trends; type of customer, such as municipal or commercial; the age of outstanding receivables and existing as well as expected economic conditions. If events or changes in circumstances indicate that specific receivable balances may be impaired, further consideration is given to the collectability of those balances and the allowance is adjusted accordingly. Past-due receivable balances are written off when our collection efforts have been unsuccessful. Also, we recognize interest income on long-term interest-bearing notes receivable as the interest accrues under the terms of the notes. We no longer accrue interest once the notes are deemed uncollectible.</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3320" w:h="16920" w:orient="portrait"/>
          <w:cols w:equalWidth="0" w:num="1">
            <w:col w:w="10440"/>
          </w:cols>
          <w:pgMar w:left="1440" w:top="1440" w:right="1440" w:bottom="1440" w:gutter="0" w:footer="0" w:header="0"/>
          <w:type w:val="continuous"/>
        </w:sectPr>
      </w:pPr>
    </w:p>
    <w:bookmarkStart w:id="163" w:name="page164"/>
    <w:bookmarkEnd w:id="163"/>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The following table reflects the activity in our allowance for doubtful accounts of trade receivables for the year ended</w:t>
      </w:r>
    </w:p>
    <w:p>
      <w:pPr>
        <w:spacing w:after="0" w:line="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December 31 (in millions):</w:t>
      </w:r>
    </w:p>
    <w:p>
      <w:pPr>
        <w:spacing w:after="0" w:line="231"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7660" w:type="dxa"/>
            <w:vAlign w:val="bottom"/>
            <w:vMerge w:val="restart"/>
          </w:tcPr>
          <w:p>
            <w:pPr>
              <w:jc w:val="right"/>
              <w:ind w:right="5660"/>
              <w:spacing w:after="0"/>
              <w:rPr>
                <w:sz w:val="20"/>
                <w:szCs w:val="20"/>
                <w:color w:val="auto"/>
              </w:rPr>
            </w:pPr>
            <w:r>
              <w:rPr>
                <w:rFonts w:ascii="Times New Roman" w:cs="Times New Roman" w:eastAsia="Times New Roman" w:hAnsi="Times New Roman"/>
                <w:sz w:val="20"/>
                <w:szCs w:val="20"/>
                <w:color w:val="auto"/>
                <w:w w:val="98"/>
              </w:rPr>
              <w:t>Balance as of January 1</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660" w:type="dxa"/>
            <w:vAlign w:val="bottom"/>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w:t>
            </w:r>
          </w:p>
        </w:tc>
        <w:tc>
          <w:tcPr>
            <w:tcW w:w="20" w:type="dxa"/>
            <w:vAlign w:val="bottom"/>
          </w:tcPr>
          <w:p>
            <w:pPr>
              <w:spacing w:after="0"/>
              <w:rPr>
                <w:sz w:val="17"/>
                <w:szCs w:val="17"/>
                <w:color w:val="auto"/>
              </w:rPr>
            </w:pPr>
          </w:p>
        </w:tc>
        <w:tc>
          <w:tcPr>
            <w:tcW w:w="1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30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9"/>
              </w:rPr>
              <w:t>Additions charged to expense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Accounts written-off, net of recoveries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(55)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50"/>
        </w:trPr>
        <w:tc>
          <w:tcPr>
            <w:tcW w:w="76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9"/>
              </w:rPr>
              <w:t>Acquisitions, divestitures and other, net . . . . . . . . . .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6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 . . . . . . . .BalanceasofDecember31</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165</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To determine the allowance for doubtful accounts for trade receivables, we rely upon, among other factors, historical loss trends, the age of outstanding receivables, and existing as well as expected economic conditions, and we believe that all of our trade receivables share similar risk characteristics. We monitor our credit exposure on an ongoing basis and assess whether assets in the pool continue to display similar risk characteristics. Our acquisition of Stericycle introduced a new mix of customers which we believe generally share similar risk characteristics with our existing trade receivables; however, Stericycle has and continues to encounter certain billing and collection delays. The Company determined that a portion of the acquired Stericycle receivables have experienced more-than-insignificant deterioration in credit quality since origination, as of the acquisition date. As a result, a gross allowance for doubtful accounts of trade receivables was recognized in the amount of $130 million as of the acquisition date of November 4, 2024. Based on aging analysis as of December 31, 2024 and 2023, approximately 85% and 90%, respectively, of our trade receivables were outstanding less than 60 days.</w:t>
      </w:r>
    </w:p>
    <w:p>
      <w:pPr>
        <w:spacing w:after="0" w:line="209"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To determine the allowance for doubtful accounts for other receivables, as well as loans and other instruments, we rely primarily on credit ratings and associated default rates based on the maturity of the instrument. Other receivables, as of December 31, 2024 and 2023, include receivables related to income tax payments in excess of our current income tax obligations of $255 million and $120 million, respectively. Other receivables as of December 31, 2024 and 2023 also include a receivable of $46 million and $26 million, respectively, related to alternative fuel tax credits. Based on an aging analysis as of December 31, 2024 and 2023, approximately 65% and 50%, respectively, of our other receivables were due within 12 months or less.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Parts and Supplies</w:t>
      </w:r>
    </w:p>
    <w:p>
      <w:pPr>
        <w:spacing w:after="0" w:line="237"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Parts and supplies consist primarily of spare parts, fuel, tires, lubricants and processed recycling materials. Our parts and supplies are stated at the lower of cost (using the average cost method) or market.</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Landfill Accounting</w:t>
      </w:r>
    </w:p>
    <w:p>
      <w:pPr>
        <w:spacing w:after="0" w:line="237"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Cost Basis of Landfill Assets — </w:t>
      </w:r>
      <w:r>
        <w:rPr>
          <w:rFonts w:ascii="Times New Roman" w:cs="Times New Roman" w:eastAsia="Times New Roman" w:hAnsi="Times New Roman"/>
          <w:sz w:val="20"/>
          <w:szCs w:val="20"/>
          <w:color w:val="auto"/>
        </w:rPr>
        <w:t>We capitalize various costs that we incur to make a landfill ready to accept waste.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These costs generally 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and directly related engineering, capitalized interest, on-site road construction and other capital infrastructure costs. The cost basis of our landfill assets also includes asset retirement costs, which represent estimates of future costs associated with landfill final capping, closure and post - closure activities. These costs are discussed below.</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3320" w:h="16920" w:orient="portrait"/>
          <w:cols w:equalWidth="0" w:num="1">
            <w:col w:w="10440"/>
          </w:cols>
          <w:pgMar w:left="1440" w:top="1440" w:right="1440" w:bottom="1440" w:gutter="0" w:footer="0" w:header="0"/>
          <w:type w:val="continuous"/>
        </w:sectPr>
      </w:pPr>
    </w:p>
    <w:bookmarkStart w:id="164" w:name="page165"/>
    <w:bookmarkEnd w:id="164"/>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360" w:right="360" w:firstLine="36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Final Capping, Closure and Post-Closure Costs — </w:t>
      </w:r>
      <w:r>
        <w:rPr>
          <w:rFonts w:ascii="Times New Roman" w:cs="Times New Roman" w:eastAsia="Times New Roman" w:hAnsi="Times New Roman"/>
          <w:sz w:val="20"/>
          <w:szCs w:val="20"/>
          <w:color w:val="auto"/>
        </w:rPr>
        <w:t>Following is a description of our asset retirement activities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our related accounting:</w:t>
      </w:r>
    </w:p>
    <w:p>
      <w:pPr>
        <w:spacing w:after="0" w:line="181" w:lineRule="exact"/>
        <w:rPr>
          <w:sz w:val="20"/>
          <w:szCs w:val="20"/>
          <w:color w:val="auto"/>
        </w:rPr>
      </w:pPr>
    </w:p>
    <w:p>
      <w:pPr>
        <w:jc w:val="both"/>
        <w:ind w:left="1080" w:right="360" w:hanging="353"/>
        <w:spacing w:after="0" w:line="247" w:lineRule="auto"/>
        <w:tabs>
          <w:tab w:leader="none" w:pos="1080" w:val="left"/>
        </w:tabs>
        <w:numPr>
          <w:ilvl w:val="0"/>
          <w:numId w:val="11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Final Capping — </w:t>
      </w:r>
      <w:r>
        <w:rPr>
          <w:rFonts w:ascii="Times New Roman" w:cs="Times New Roman" w:eastAsia="Times New Roman" w:hAnsi="Times New Roman"/>
          <w:sz w:val="20"/>
          <w:szCs w:val="20"/>
          <w:color w:val="auto"/>
        </w:rPr>
        <w:t>Generally involves the installation of flexible membrane liners and geosynthetic clay liners,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drainage and compacted soil layers and topsoil over areas of a landfill where total airspace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and recorded as an asset and a liability based on estimates of the discounted cash flows associated with each final capping event.</w:t>
      </w:r>
    </w:p>
    <w:p>
      <w:pPr>
        <w:spacing w:after="0" w:line="93" w:lineRule="exact"/>
        <w:rPr>
          <w:rFonts w:ascii="Arial" w:cs="Arial" w:eastAsia="Arial" w:hAnsi="Arial"/>
          <w:sz w:val="20"/>
          <w:szCs w:val="20"/>
          <w:color w:val="auto"/>
        </w:rPr>
      </w:pPr>
    </w:p>
    <w:p>
      <w:pPr>
        <w:jc w:val="both"/>
        <w:ind w:left="1080" w:right="360" w:hanging="353"/>
        <w:spacing w:after="0" w:line="247" w:lineRule="auto"/>
        <w:tabs>
          <w:tab w:leader="none" w:pos="1080" w:val="left"/>
        </w:tabs>
        <w:numPr>
          <w:ilvl w:val="0"/>
          <w:numId w:val="11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Closure — </w:t>
      </w:r>
      <w:r>
        <w:rPr>
          <w:rFonts w:ascii="Times New Roman" w:cs="Times New Roman" w:eastAsia="Times New Roman" w:hAnsi="Times New Roman"/>
          <w:sz w:val="20"/>
          <w:szCs w:val="20"/>
          <w:color w:val="auto"/>
        </w:rPr>
        <w:t>Includes the construction of the final portion of methane gas collection systems (when required),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demobilization and routine maintenance costs. These are costs incurred after the site ceases to accept waste, but before the landfill is certified as closed by the applicable regulatory agency. These costs are recorded as an asset retirement obligation as airspace is consumed over the life of the landfill with a corresponding increase in the landfill asset. Closure obligations are recorded over the life of the landfill based on estimates of the discounted cash flows associated with performing closure activities.</w:t>
      </w:r>
    </w:p>
    <w:p>
      <w:pPr>
        <w:spacing w:after="0" w:line="93" w:lineRule="exact"/>
        <w:rPr>
          <w:rFonts w:ascii="Arial" w:cs="Arial" w:eastAsia="Arial" w:hAnsi="Arial"/>
          <w:sz w:val="20"/>
          <w:szCs w:val="20"/>
          <w:color w:val="auto"/>
        </w:rPr>
      </w:pPr>
    </w:p>
    <w:p>
      <w:pPr>
        <w:jc w:val="both"/>
        <w:ind w:left="1080" w:right="360" w:hanging="353"/>
        <w:spacing w:after="0" w:line="247" w:lineRule="auto"/>
        <w:tabs>
          <w:tab w:leader="none" w:pos="1080" w:val="left"/>
        </w:tabs>
        <w:numPr>
          <w:ilvl w:val="0"/>
          <w:numId w:val="11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Post-Closure — </w:t>
      </w:r>
      <w:r>
        <w:rPr>
          <w:rFonts w:ascii="Times New Roman" w:cs="Times New Roman" w:eastAsia="Times New Roman" w:hAnsi="Times New Roman"/>
          <w:sz w:val="20"/>
          <w:szCs w:val="20"/>
          <w:color w:val="auto"/>
        </w:rPr>
        <w:t>Involves the maintenance and monitoring of a landfill site that has been certified closed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applicable regulatory agency. Generally, we are required to maintain and monitor landfill sites for a 30-year period. These maintenance and monitoring costs are recorded as an asset retirement obligation as airspace is consumed over the life of the landfill with a corresponding increase in the landfill asset. Post-closure obligations are recorded over the life of the landfill based on estimates of the discounted cash flows associated with performing post-closure activities.</w:t>
      </w:r>
    </w:p>
    <w:p>
      <w:pPr>
        <w:spacing w:after="0" w:line="199"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We develop our estimates of these obligations using input from our operations personnel, engineers and accountants. Our estimates are based on our interpretation of current requirements and are intended to approximate fair value. Absent quoted market prices, the estimate of fair value is based on the best available information, including the results of present value techniques. In many cases, we contract with third parties to fulfill our obligations for final capping, closure and post-closure. We use historical experience, professional engineering judgment and quoted or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completed.</w:t>
      </w:r>
    </w:p>
    <w:p>
      <w:pPr>
        <w:spacing w:after="0" w:line="206"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Once we have determined final capping, closure and post-closure costs, we inflate those costs to the expected time of payment and discount those expected future costs back to present value. As of December 31, 2024, 2023 and 2022, we inflated these costs in current dollars to the expected time of payment using an inflation rate of 2.50%, for each year. We discounted these costs to present value using the credit-adjusted, risk -free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 average rate of the recorded obligation. As a result, the credit-adjusted, risk-free discount rate used to calculate the present value of an obligation is specific to each individual asset retirement obligation. The weighted average rate applicable to our long-term asset retirement obligations as of December 31, 2024 was approximately 4.8%.</w:t>
      </w:r>
    </w:p>
    <w:p>
      <w:pPr>
        <w:spacing w:after="0" w:line="202" w:lineRule="exact"/>
        <w:rPr>
          <w:sz w:val="20"/>
          <w:szCs w:val="20"/>
          <w:color w:val="auto"/>
        </w:rPr>
      </w:pPr>
    </w:p>
    <w:p>
      <w:pPr>
        <w:jc w:val="both"/>
        <w:ind w:left="360" w:right="360" w:firstLine="360"/>
        <w:spacing w:after="0" w:line="266" w:lineRule="auto"/>
        <w:rPr>
          <w:sz w:val="20"/>
          <w:szCs w:val="20"/>
          <w:color w:val="auto"/>
        </w:rPr>
      </w:pPr>
      <w:r>
        <w:rPr>
          <w:rFonts w:ascii="Times New Roman" w:cs="Times New Roman" w:eastAsia="Times New Roman" w:hAnsi="Times New Roman"/>
          <w:sz w:val="19"/>
          <w:szCs w:val="19"/>
          <w:color w:val="auto"/>
        </w:rPr>
        <w:t>We record the estimated fair value of final capping, closure and post-closure liabilities for our landfills based on the airspace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3320" w:h="16920" w:orient="portrait"/>
          <w:cols w:equalWidth="0" w:num="1">
            <w:col w:w="10440"/>
          </w:cols>
          <w:pgMar w:left="1440" w:top="1440" w:right="1440" w:bottom="1440" w:gutter="0" w:footer="0" w:header="0"/>
          <w:type w:val="continuous"/>
        </w:sectPr>
      </w:pPr>
    </w:p>
    <w:bookmarkStart w:id="165" w:name="page166"/>
    <w:bookmarkEnd w:id="165"/>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spacing w:after="0" w:line="252" w:lineRule="auto"/>
        <w:rPr>
          <w:sz w:val="20"/>
          <w:szCs w:val="20"/>
          <w:color w:val="auto"/>
        </w:rPr>
      </w:pPr>
      <w:r>
        <w:rPr>
          <w:rFonts w:ascii="Times New Roman" w:cs="Times New Roman" w:eastAsia="Times New Roman" w:hAnsi="Times New Roman"/>
          <w:sz w:val="20"/>
          <w:szCs w:val="20"/>
          <w:color w:val="auto"/>
        </w:rPr>
        <w:t>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195"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Sustained changes in inflation rates or the estimated costs, timing or extent of future final capping, closure and post - closure activities typically result in both (i) a current adjustment to the recorded liability and landfill asset and (ii) a change in liability and asset amounts to be recorded prospectively over either the remaining permitted and expansion airspace (as defined below) of the related discrete final capping event or the remaining permitted and expansion airspace of the landfill, as appropriate. Any changes related to the capitalized and future cost of the landfill assets are then recognized in accordance with our landfill depletion policy, which would generally result in depletion expense being recognized prospectively over the remaining permitted and expansion airspace of the final capping event or the remaining permitted and expansion airspace of the landfill, as appropriate. Changes in such estimates associated with a fully consumed landfill result in an adjustment to the recorded liability and landfill assets with an immediate corresponding adjustment to landfill airspace depletion expense.</w:t>
      </w:r>
    </w:p>
    <w:p>
      <w:pPr>
        <w:spacing w:after="0" w:line="201"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Interest accretion on final capping, closure and post-closure liabilities is recorded using the effective interest method and is recorded as landfill operating costs, which is included in operating expenses within our Consolidated Statements of Operations.</w:t>
      </w:r>
    </w:p>
    <w:p>
      <w:pPr>
        <w:spacing w:after="0" w:line="186"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Depletion of Landfill Assets — </w:t>
      </w:r>
      <w:r>
        <w:rPr>
          <w:rFonts w:ascii="Times New Roman" w:cs="Times New Roman" w:eastAsia="Times New Roman" w:hAnsi="Times New Roman"/>
          <w:sz w:val="20"/>
          <w:szCs w:val="20"/>
          <w:color w:val="auto"/>
        </w:rPr>
        <w:t>The depletable basis of a landfill includes (i) amounts previously expended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capitalized, net of accumulated airspace depletion; (ii) capitalized landfill final capping, closure and post-closure costs, net of accumulated airspace depletion; (iii) projections of future purchase and development costs required to develop the landfill site to its remaining permitted and expansion airspace (as defined below) and (iv) projected asset retirement costs related to landfill final capping, closure and post-closure activities.</w:t>
      </w:r>
    </w:p>
    <w:p>
      <w:pPr>
        <w:spacing w:after="0" w:line="197"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Depletion is recorded on a units -of-consumption basis, applying expense as a rate per ton. The rate per ton is calculated by dividing each component of the depletable basis of a landfill by the number of tons needed to fill the corresponding asset’s airspace. For landfills that we do not own, but operate through lease or other contractual agreements, the rate per ton is calculated based on expected airspace to be utilized over the lesser of the contractual term of the underlying agreement or the life of the landfill.</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apply the following guidelines in determining a landfill’s remaining permitted and expansion airspace:</w:t>
      </w:r>
    </w:p>
    <w:p>
      <w:pPr>
        <w:spacing w:after="0" w:line="134" w:lineRule="exact"/>
        <w:rPr>
          <w:sz w:val="20"/>
          <w:szCs w:val="20"/>
          <w:color w:val="auto"/>
        </w:rPr>
      </w:pPr>
    </w:p>
    <w:p>
      <w:pPr>
        <w:jc w:val="both"/>
        <w:ind w:left="1080" w:right="360" w:hanging="353"/>
        <w:spacing w:after="0" w:line="252" w:lineRule="auto"/>
        <w:tabs>
          <w:tab w:leader="none" w:pos="1080" w:val="left"/>
        </w:tabs>
        <w:numPr>
          <w:ilvl w:val="0"/>
          <w:numId w:val="11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Remaining Permitted Airspace — </w:t>
      </w:r>
      <w:r>
        <w:rPr>
          <w:rFonts w:ascii="Times New Roman" w:cs="Times New Roman" w:eastAsia="Times New Roman" w:hAnsi="Times New Roman"/>
          <w:sz w:val="20"/>
          <w:szCs w:val="20"/>
          <w:color w:val="auto"/>
        </w:rPr>
        <w:t>Our engineers, in consultation with third-party engineering consultants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surveyors, are responsible for determining remaining permitted airspace at our landfills. The remaining permitted airspace is determined by an annual survey, which is used to compare the existing landfill topography to the expected final landfill topography.</w:t>
      </w:r>
    </w:p>
    <w:p>
      <w:pPr>
        <w:spacing w:after="0" w:line="88" w:lineRule="exact"/>
        <w:rPr>
          <w:rFonts w:ascii="Arial" w:cs="Arial" w:eastAsia="Arial" w:hAnsi="Arial"/>
          <w:sz w:val="20"/>
          <w:szCs w:val="20"/>
          <w:color w:val="auto"/>
        </w:rPr>
      </w:pPr>
    </w:p>
    <w:p>
      <w:pPr>
        <w:jc w:val="both"/>
        <w:ind w:left="1080" w:right="360" w:hanging="353"/>
        <w:spacing w:after="0" w:line="247" w:lineRule="auto"/>
        <w:tabs>
          <w:tab w:leader="none" w:pos="1080" w:val="left"/>
        </w:tabs>
        <w:numPr>
          <w:ilvl w:val="0"/>
          <w:numId w:val="11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Expansion Airspace — </w:t>
      </w:r>
      <w:r>
        <w:rPr>
          <w:rFonts w:ascii="Times New Roman" w:cs="Times New Roman" w:eastAsia="Times New Roman" w:hAnsi="Times New Roman"/>
          <w:sz w:val="20"/>
          <w:szCs w:val="20"/>
          <w:color w:val="auto"/>
        </w:rPr>
        <w:t>We also include currently unpermitted expansion airspace in our estimate of remaining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permitted and expansion airspace in certain circumstances. First, for unpermitted airspace to be initially included in our estimate of remaining permitted and expansion airspace, we must believe that obtaining the expansion permit is likely. Second, we must generally expect the initial expansion permit application to be submitted within one year and the final expansion permit to be received within five years, in addition to meeting the following criteria:</w:t>
      </w:r>
    </w:p>
    <w:p>
      <w:pPr>
        <w:spacing w:after="0" w:line="93" w:lineRule="exact"/>
        <w:rPr>
          <w:rFonts w:ascii="Arial" w:cs="Arial" w:eastAsia="Arial" w:hAnsi="Arial"/>
          <w:sz w:val="20"/>
          <w:szCs w:val="20"/>
          <w:color w:val="auto"/>
        </w:rPr>
      </w:pPr>
    </w:p>
    <w:p>
      <w:pPr>
        <w:ind w:left="1440" w:right="360" w:hanging="352"/>
        <w:spacing w:after="0" w:line="277" w:lineRule="auto"/>
        <w:tabs>
          <w:tab w:leader="none" w:pos="1440" w:val="left"/>
        </w:tabs>
        <w:numPr>
          <w:ilvl w:val="1"/>
          <w:numId w:val="116"/>
        </w:numPr>
        <w:rPr>
          <w:rFonts w:ascii="Arial" w:cs="Arial" w:eastAsia="Arial" w:hAnsi="Arial"/>
          <w:sz w:val="20"/>
          <w:szCs w:val="20"/>
          <w:color w:val="auto"/>
        </w:rPr>
      </w:pPr>
      <w:r>
        <w:rPr>
          <w:rFonts w:ascii="Times New Roman" w:cs="Times New Roman" w:eastAsia="Times New Roman" w:hAnsi="Times New Roman"/>
          <w:sz w:val="20"/>
          <w:szCs w:val="20"/>
          <w:color w:val="auto"/>
        </w:rPr>
        <w:t>Personnel are actively working on the expansion of an existing landfill, including efforts to obtain land use and local, state or provincial approvals;</w:t>
      </w:r>
    </w:p>
    <w:p>
      <w:pPr>
        <w:spacing w:after="0" w:line="62" w:lineRule="exact"/>
        <w:rPr>
          <w:rFonts w:ascii="Arial" w:cs="Arial" w:eastAsia="Arial" w:hAnsi="Arial"/>
          <w:sz w:val="20"/>
          <w:szCs w:val="20"/>
          <w:color w:val="auto"/>
        </w:rPr>
      </w:pPr>
    </w:p>
    <w:p>
      <w:pPr>
        <w:ind w:left="1440" w:hanging="352"/>
        <w:spacing w:after="0"/>
        <w:tabs>
          <w:tab w:leader="none" w:pos="1440" w:val="left"/>
        </w:tabs>
        <w:numPr>
          <w:ilvl w:val="1"/>
          <w:numId w:val="116"/>
        </w:numPr>
        <w:rPr>
          <w:rFonts w:ascii="Arial" w:cs="Arial" w:eastAsia="Arial" w:hAnsi="Arial"/>
          <w:sz w:val="20"/>
          <w:szCs w:val="20"/>
          <w:color w:val="auto"/>
        </w:rPr>
      </w:pPr>
      <w:r>
        <w:rPr>
          <w:rFonts w:ascii="Times New Roman" w:cs="Times New Roman" w:eastAsia="Times New Roman" w:hAnsi="Times New Roman"/>
          <w:sz w:val="20"/>
          <w:szCs w:val="20"/>
          <w:color w:val="auto"/>
        </w:rPr>
        <w:t>We have a legal right to use or obtain land to be included in the expansion plan;</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3320" w:h="16920" w:orient="portrait"/>
          <w:cols w:equalWidth="0" w:num="1">
            <w:col w:w="10440"/>
          </w:cols>
          <w:pgMar w:left="1440" w:top="1440" w:right="1440" w:bottom="1440" w:gutter="0" w:footer="0" w:header="0"/>
          <w:type w:val="continuous"/>
        </w:sectPr>
      </w:pPr>
    </w:p>
    <w:bookmarkStart w:id="166" w:name="page167"/>
    <w:bookmarkEnd w:id="166"/>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48" w:lineRule="exact"/>
        <w:rPr>
          <w:sz w:val="20"/>
          <w:szCs w:val="20"/>
          <w:color w:val="auto"/>
        </w:rPr>
      </w:pPr>
    </w:p>
    <w:p>
      <w:pPr>
        <w:ind w:left="1440" w:right="360" w:hanging="353"/>
        <w:spacing w:after="0" w:line="277" w:lineRule="auto"/>
        <w:tabs>
          <w:tab w:leader="none" w:pos="1440" w:val="left"/>
        </w:tabs>
        <w:numPr>
          <w:ilvl w:val="0"/>
          <w:numId w:val="117"/>
        </w:numPr>
        <w:rPr>
          <w:rFonts w:ascii="Arial" w:cs="Arial" w:eastAsia="Arial" w:hAnsi="Arial"/>
          <w:sz w:val="20"/>
          <w:szCs w:val="20"/>
          <w:color w:val="auto"/>
        </w:rPr>
      </w:pPr>
      <w:r>
        <w:rPr>
          <w:rFonts w:ascii="Times New Roman" w:cs="Times New Roman" w:eastAsia="Times New Roman" w:hAnsi="Times New Roman"/>
          <w:sz w:val="20"/>
          <w:szCs w:val="20"/>
          <w:color w:val="auto"/>
        </w:rPr>
        <w:t>There are no significant known technical, legal, community, business, or political restrictions or similar issues that could negatively affect the success of such expansion; and</w:t>
      </w:r>
    </w:p>
    <w:p>
      <w:pPr>
        <w:spacing w:after="0" w:line="62" w:lineRule="exact"/>
        <w:rPr>
          <w:rFonts w:ascii="Arial" w:cs="Arial" w:eastAsia="Arial" w:hAnsi="Arial"/>
          <w:sz w:val="20"/>
          <w:szCs w:val="20"/>
          <w:color w:val="auto"/>
        </w:rPr>
      </w:pPr>
    </w:p>
    <w:p>
      <w:pPr>
        <w:ind w:left="1440" w:right="360" w:hanging="353"/>
        <w:spacing w:after="0" w:line="277" w:lineRule="auto"/>
        <w:tabs>
          <w:tab w:leader="none" w:pos="1440" w:val="left"/>
        </w:tabs>
        <w:numPr>
          <w:ilvl w:val="0"/>
          <w:numId w:val="117"/>
        </w:numPr>
        <w:rPr>
          <w:rFonts w:ascii="Arial" w:cs="Arial" w:eastAsia="Arial" w:hAnsi="Arial"/>
          <w:sz w:val="20"/>
          <w:szCs w:val="20"/>
          <w:color w:val="auto"/>
        </w:rPr>
      </w:pPr>
      <w:r>
        <w:rPr>
          <w:rFonts w:ascii="Times New Roman" w:cs="Times New Roman" w:eastAsia="Times New Roman" w:hAnsi="Times New Roman"/>
          <w:sz w:val="20"/>
          <w:szCs w:val="20"/>
          <w:color w:val="auto"/>
        </w:rPr>
        <w:t>Financial analysis has been completed based on conceptual design, and the results demonstrate that the expansion meets Company criteria for investment.</w:t>
      </w:r>
    </w:p>
    <w:p>
      <w:pPr>
        <w:spacing w:after="0" w:line="169"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on a quarterly basis. Of the 18 landfill sites with expansions included as of December 31, 2024, one landfill required the Chief Financial Officer to approve the inclusion of the unpermitted airspace because the permit application process did not meet the one- or five - year requirements.</w:t>
      </w:r>
    </w:p>
    <w:p>
      <w:pPr>
        <w:spacing w:after="0" w:line="201"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20"/>
          <w:szCs w:val="20"/>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depletable basis of the landfill.</w:t>
      </w:r>
    </w:p>
    <w:p>
      <w:pPr>
        <w:spacing w:after="0" w:line="188"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consider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202"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depletion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98" w:lineRule="exact"/>
        <w:rPr>
          <w:sz w:val="20"/>
          <w:szCs w:val="20"/>
          <w:color w:val="auto"/>
        </w:rPr>
      </w:pPr>
    </w:p>
    <w:p>
      <w:pPr>
        <w:jc w:val="both"/>
        <w:ind w:left="360" w:right="360" w:firstLine="360"/>
        <w:spacing w:after="0" w:line="260" w:lineRule="auto"/>
        <w:rPr>
          <w:sz w:val="20"/>
          <w:szCs w:val="20"/>
          <w:color w:val="auto"/>
        </w:rPr>
      </w:pPr>
      <w:r>
        <w:rPr>
          <w:rFonts w:ascii="Times New Roman" w:cs="Times New Roman" w:eastAsia="Times New Roman" w:hAnsi="Times New Roman"/>
          <w:sz w:val="19"/>
          <w:szCs w:val="19"/>
          <w:color w:val="auto"/>
        </w:rPr>
        <w:t>It is possible that actual results, including the amount of costs incurred, the timing of final capping, closure and post - 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earnings may be experienced due to higher depletion rates or higher expenses; or higher earnings may result if the opposite occurs. Most significantly, if it is determined that expansion capacity should no longer be considered in calculating the recoverability of a landfill asset, we may be required to recognize an asset impairment or incur significantly higher depletion expense. If at any time management makes the decision to abandon the expansion effort, the capitalized costs related to the expansion effort are expensed immediately.</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Environmental Remediation Liabilities</w:t>
      </w:r>
    </w:p>
    <w:p>
      <w:pPr>
        <w:spacing w:after="0" w:line="237" w:lineRule="exact"/>
        <w:rPr>
          <w:sz w:val="20"/>
          <w:szCs w:val="20"/>
          <w:color w:val="auto"/>
        </w:rPr>
      </w:pPr>
    </w:p>
    <w:p>
      <w:pPr>
        <w:jc w:val="both"/>
        <w:ind w:left="360" w:right="360" w:firstLine="360"/>
        <w:spacing w:after="0" w:line="279" w:lineRule="auto"/>
        <w:rPr>
          <w:sz w:val="20"/>
          <w:szCs w:val="20"/>
          <w:color w:val="auto"/>
        </w:rPr>
      </w:pPr>
      <w:r>
        <w:rPr>
          <w:rFonts w:ascii="Times New Roman" w:cs="Times New Roman" w:eastAsia="Times New Roman" w:hAnsi="Times New Roman"/>
          <w:sz w:val="19"/>
          <w:szCs w:val="19"/>
          <w:color w:val="auto"/>
        </w:rPr>
        <w:t>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3320" w:h="16920" w:orient="portrait"/>
          <w:cols w:equalWidth="0" w:num="1">
            <w:col w:w="10440"/>
          </w:cols>
          <w:pgMar w:left="1440" w:top="1440" w:right="1440" w:bottom="1440" w:gutter="0" w:footer="0" w:header="0"/>
          <w:type w:val="continuous"/>
        </w:sectPr>
      </w:pPr>
    </w:p>
    <w:bookmarkStart w:id="167" w:name="page168"/>
    <w:bookmarkEnd w:id="167"/>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spacing w:after="0" w:line="249" w:lineRule="auto"/>
        <w:rPr>
          <w:sz w:val="20"/>
          <w:szCs w:val="20"/>
          <w:color w:val="auto"/>
        </w:rPr>
      </w:pPr>
      <w:r>
        <w:rPr>
          <w:rFonts w:ascii="Times New Roman" w:cs="Times New Roman" w:eastAsia="Times New Roman" w:hAnsi="Times New Roman"/>
          <w:sz w:val="20"/>
          <w:szCs w:val="20"/>
          <w:color w:val="auto"/>
        </w:rPr>
        <w:t>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 up.</w:t>
      </w:r>
    </w:p>
    <w:p>
      <w:pPr>
        <w:spacing w:after="0" w:line="197"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Where it is probable that a liability has been incurred, we estimate costs required to remediate sites based on site - specific facts and circumstances. We routinely review and evaluate sites that require remediation and determine our estimated cost for the likely remedy based on a number of estimates and assumptions. Next, we review the same type of information with respect to other named and unnamed PRPs. Estimates of the costs for the likely remedy are then developed using our internal resources, third-party environmental engineers or other service providers. Internally developed estimates are based on:</w:t>
      </w:r>
    </w:p>
    <w:p>
      <w:pPr>
        <w:spacing w:after="0" w:line="95" w:lineRule="exact"/>
        <w:rPr>
          <w:sz w:val="20"/>
          <w:szCs w:val="20"/>
          <w:color w:val="auto"/>
        </w:rPr>
      </w:pPr>
    </w:p>
    <w:p>
      <w:pPr>
        <w:ind w:left="1080" w:hanging="353"/>
        <w:spacing w:after="0"/>
        <w:tabs>
          <w:tab w:leader="none" w:pos="1080" w:val="left"/>
        </w:tabs>
        <w:numPr>
          <w:ilvl w:val="0"/>
          <w:numId w:val="118"/>
        </w:numPr>
        <w:rPr>
          <w:rFonts w:ascii="Arial" w:cs="Arial" w:eastAsia="Arial" w:hAnsi="Arial"/>
          <w:sz w:val="20"/>
          <w:szCs w:val="20"/>
          <w:color w:val="auto"/>
        </w:rPr>
      </w:pPr>
      <w:r>
        <w:rPr>
          <w:rFonts w:ascii="Times New Roman" w:cs="Times New Roman" w:eastAsia="Times New Roman" w:hAnsi="Times New Roman"/>
          <w:sz w:val="20"/>
          <w:szCs w:val="20"/>
          <w:color w:val="auto"/>
        </w:rPr>
        <w:t>Management’s judgment and experience in remediating our own and unrelated parties’ sites;</w:t>
      </w:r>
    </w:p>
    <w:p>
      <w:pPr>
        <w:spacing w:after="0" w:line="132" w:lineRule="exact"/>
        <w:rPr>
          <w:rFonts w:ascii="Arial" w:cs="Arial" w:eastAsia="Arial" w:hAnsi="Arial"/>
          <w:sz w:val="20"/>
          <w:szCs w:val="20"/>
          <w:color w:val="auto"/>
        </w:rPr>
      </w:pPr>
    </w:p>
    <w:p>
      <w:pPr>
        <w:ind w:left="1080" w:hanging="353"/>
        <w:spacing w:after="0"/>
        <w:tabs>
          <w:tab w:leader="none" w:pos="1080" w:val="left"/>
        </w:tabs>
        <w:numPr>
          <w:ilvl w:val="0"/>
          <w:numId w:val="118"/>
        </w:numPr>
        <w:rPr>
          <w:rFonts w:ascii="Arial" w:cs="Arial" w:eastAsia="Arial" w:hAnsi="Arial"/>
          <w:sz w:val="20"/>
          <w:szCs w:val="20"/>
          <w:color w:val="auto"/>
        </w:rPr>
      </w:pPr>
      <w:r>
        <w:rPr>
          <w:rFonts w:ascii="Times New Roman" w:cs="Times New Roman" w:eastAsia="Times New Roman" w:hAnsi="Times New Roman"/>
          <w:sz w:val="20"/>
          <w:szCs w:val="20"/>
          <w:color w:val="auto"/>
        </w:rPr>
        <w:t>Information available from regulatory agencies as to costs of remediation;</w:t>
      </w:r>
    </w:p>
    <w:p>
      <w:pPr>
        <w:spacing w:after="0" w:line="132" w:lineRule="exact"/>
        <w:rPr>
          <w:rFonts w:ascii="Arial" w:cs="Arial" w:eastAsia="Arial" w:hAnsi="Arial"/>
          <w:sz w:val="20"/>
          <w:szCs w:val="20"/>
          <w:color w:val="auto"/>
        </w:rPr>
      </w:pPr>
    </w:p>
    <w:p>
      <w:pPr>
        <w:ind w:left="1080" w:right="360" w:hanging="353"/>
        <w:spacing w:after="0" w:line="277" w:lineRule="auto"/>
        <w:tabs>
          <w:tab w:leader="none" w:pos="1080" w:val="left"/>
        </w:tabs>
        <w:numPr>
          <w:ilvl w:val="0"/>
          <w:numId w:val="118"/>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financial resources and relative degree of responsibility of other PRPs who may be liable for remediation of a specific site; and</w:t>
      </w:r>
    </w:p>
    <w:p>
      <w:pPr>
        <w:spacing w:after="0" w:line="63" w:lineRule="exact"/>
        <w:rPr>
          <w:rFonts w:ascii="Arial" w:cs="Arial" w:eastAsia="Arial" w:hAnsi="Arial"/>
          <w:sz w:val="20"/>
          <w:szCs w:val="20"/>
          <w:color w:val="auto"/>
        </w:rPr>
      </w:pPr>
    </w:p>
    <w:p>
      <w:pPr>
        <w:ind w:left="1080" w:hanging="353"/>
        <w:spacing w:after="0"/>
        <w:tabs>
          <w:tab w:leader="none" w:pos="1080" w:val="left"/>
        </w:tabs>
        <w:numPr>
          <w:ilvl w:val="0"/>
          <w:numId w:val="118"/>
        </w:numPr>
        <w:rPr>
          <w:rFonts w:ascii="Arial" w:cs="Arial" w:eastAsia="Arial" w:hAnsi="Arial"/>
          <w:sz w:val="20"/>
          <w:szCs w:val="20"/>
          <w:color w:val="auto"/>
        </w:rPr>
      </w:pPr>
      <w:r>
        <w:rPr>
          <w:rFonts w:ascii="Times New Roman" w:cs="Times New Roman" w:eastAsia="Times New Roman" w:hAnsi="Times New Roman"/>
          <w:sz w:val="20"/>
          <w:szCs w:val="20"/>
          <w:color w:val="auto"/>
        </w:rPr>
        <w:t>The typical allocation of costs among PRPs, unless the actual allocation has been determined.</w:t>
      </w:r>
    </w:p>
    <w:p>
      <w:pPr>
        <w:spacing w:after="0" w:line="238"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(where estimable), our aggregate potential liability would be approximately $9 million higher than the $222 million recorded in the Consolidated Balance Sheet as of December 31, 2024.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200"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We record our obligations on an undiscounted basis unless we are aware of a material environmental liability where we believe that both the amount and timing of the payments are fixed or reliably determinable.</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Property and Equipment (exclusive of landfills, discussed above)</w:t>
      </w:r>
    </w:p>
    <w:p>
      <w:pPr>
        <w:spacing w:after="0" w:line="237"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We record property and equipment at cost. Expenditures for major additions and improvements are capitalized and maintenance activities are expensed as incurred. We depreciate property and equipment over the estimated useful life of the asset using the straight-line method. We generally assume no salvage value for our depreciable property and equipment. When property and equipment are retired, sold or otherwise disposed of, the cost and accumulated depreciation are removed from our accounts and any resulting gain or loss is included in results of operations as an offset or increase to operating expense for the period.</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3320" w:h="16920" w:orient="portrait"/>
          <w:cols w:equalWidth="0" w:num="1">
            <w:col w:w="10440"/>
          </w:cols>
          <w:pgMar w:left="1440" w:top="1440" w:right="1440" w:bottom="1440" w:gutter="0" w:footer="0" w:header="0"/>
          <w:type w:val="continuous"/>
        </w:sectPr>
      </w:pPr>
    </w:p>
    <w:bookmarkStart w:id="168" w:name="page169"/>
    <w:bookmarkEnd w:id="168"/>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estimated useful lives for significant property and equipment categories are as follows (in years):</w:t>
      </w:r>
    </w:p>
    <w:p>
      <w:pPr>
        <w:spacing w:after="0" w:line="261"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8660" w:type="dxa"/>
            <w:vAlign w:val="bottom"/>
            <w:vMerge w:val="restart"/>
          </w:tcPr>
          <w:p>
            <w:pPr>
              <w:jc w:val="right"/>
              <w:ind w:right="5680"/>
              <w:spacing w:after="0"/>
              <w:rPr>
                <w:sz w:val="20"/>
                <w:szCs w:val="20"/>
                <w:color w:val="auto"/>
              </w:rPr>
            </w:pPr>
            <w:r>
              <w:rPr>
                <w:rFonts w:ascii="Times New Roman" w:cs="Times New Roman" w:eastAsia="Times New Roman" w:hAnsi="Times New Roman"/>
                <w:sz w:val="20"/>
                <w:szCs w:val="20"/>
                <w:color w:val="auto"/>
                <w:w w:val="99"/>
              </w:rPr>
              <w:t>Vehicles — excluding rail haul cars</w:t>
            </w:r>
          </w:p>
        </w:tc>
        <w:tc>
          <w:tcPr>
            <w:tcW w:w="10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Useful Lives</w:t>
            </w:r>
          </w:p>
        </w:tc>
        <w:tc>
          <w:tcPr>
            <w:tcW w:w="0" w:type="dxa"/>
            <w:vAlign w:val="bottom"/>
          </w:tcPr>
          <w:p>
            <w:pPr>
              <w:spacing w:after="0"/>
              <w:rPr>
                <w:sz w:val="1"/>
                <w:szCs w:val="1"/>
                <w:color w:val="auto"/>
              </w:rPr>
            </w:pPr>
          </w:p>
        </w:tc>
      </w:tr>
      <w:tr>
        <w:trPr>
          <w:trHeight w:val="202"/>
        </w:trPr>
        <w:tc>
          <w:tcPr>
            <w:tcW w:w="8660" w:type="dxa"/>
            <w:vAlign w:val="bottom"/>
            <w:vMerge w:val="continue"/>
          </w:tcPr>
          <w:p>
            <w:pPr>
              <w:jc w:val="right"/>
              <w:ind w:right="2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w:t>
            </w:r>
          </w:p>
        </w:tc>
        <w:tc>
          <w:tcPr>
            <w:tcW w:w="10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3 to 10</w:t>
            </w:r>
          </w:p>
        </w:tc>
        <w:tc>
          <w:tcPr>
            <w:tcW w:w="0" w:type="dxa"/>
            <w:vAlign w:val="bottom"/>
          </w:tcPr>
          <w:p>
            <w:pPr>
              <w:spacing w:after="0"/>
              <w:rPr>
                <w:sz w:val="1"/>
                <w:szCs w:val="1"/>
                <w:color w:val="auto"/>
              </w:rPr>
            </w:pPr>
          </w:p>
        </w:tc>
      </w:tr>
      <w:tr>
        <w:trPr>
          <w:trHeight w:val="230"/>
        </w:trPr>
        <w:tc>
          <w:tcPr>
            <w:tcW w:w="86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7"/>
              </w:rPr>
              <w:t>Vehicles — rail haul cars . . . . . . . . . . . . . . . . . . . . . . . . . . . . . . . . . . . . . . . . . . . . . . . . . . . . . .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 to 30</w:t>
            </w:r>
          </w:p>
        </w:tc>
        <w:tc>
          <w:tcPr>
            <w:tcW w:w="0" w:type="dxa"/>
            <w:vAlign w:val="bottom"/>
          </w:tcPr>
          <w:p>
            <w:pPr>
              <w:spacing w:after="0"/>
              <w:rPr>
                <w:sz w:val="1"/>
                <w:szCs w:val="1"/>
                <w:color w:val="auto"/>
              </w:rPr>
            </w:pPr>
          </w:p>
        </w:tc>
      </w:tr>
      <w:tr>
        <w:trPr>
          <w:trHeight w:val="232"/>
        </w:trPr>
        <w:tc>
          <w:tcPr>
            <w:tcW w:w="86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6"/>
              </w:rPr>
              <w:t>Machinery and equipment (a) . . . . . . . . . . . . . . . . . . . . . . . . . . . . . . . . . . . . . . . . . . . . . . . . . . .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 to 30</w:t>
            </w:r>
          </w:p>
        </w:tc>
        <w:tc>
          <w:tcPr>
            <w:tcW w:w="0" w:type="dxa"/>
            <w:vAlign w:val="bottom"/>
          </w:tcPr>
          <w:p>
            <w:pPr>
              <w:spacing w:after="0"/>
              <w:rPr>
                <w:sz w:val="1"/>
                <w:szCs w:val="1"/>
                <w:color w:val="auto"/>
              </w:rPr>
            </w:pPr>
          </w:p>
        </w:tc>
      </w:tr>
      <w:tr>
        <w:trPr>
          <w:trHeight w:val="230"/>
        </w:trPr>
        <w:tc>
          <w:tcPr>
            <w:tcW w:w="86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7"/>
              </w:rPr>
              <w:t>Buildings and improvements . . . . . . . . . . . . . . . . . . . . . . . . . . . . . . . . . . . . . . . . . . . . . . . . . . .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 to 40</w:t>
            </w:r>
          </w:p>
        </w:tc>
        <w:tc>
          <w:tcPr>
            <w:tcW w:w="0" w:type="dxa"/>
            <w:vAlign w:val="bottom"/>
          </w:tcPr>
          <w:p>
            <w:pPr>
              <w:spacing w:after="0"/>
              <w:rPr>
                <w:sz w:val="1"/>
                <w:szCs w:val="1"/>
                <w:color w:val="auto"/>
              </w:rPr>
            </w:pPr>
          </w:p>
        </w:tc>
      </w:tr>
      <w:tr>
        <w:trPr>
          <w:trHeight w:val="267"/>
        </w:trPr>
        <w:tc>
          <w:tcPr>
            <w:tcW w:w="86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7"/>
              </w:rPr>
              <w:t>Furniture, fixtures and office equipment . . . . . . . . . . . . . . . . . . . . . . . . . . . . . . . . . . . . . . . . . .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 to 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95885</wp:posOffset>
                </wp:positionV>
                <wp:extent cx="1541145"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7.55pt" to="139.65pt,7.55pt" o:allowincell="f" strokecolor="#000000" strokeweight="1.02pt"/>
            </w:pict>
          </mc:Fallback>
        </mc:AlternateContent>
      </w:r>
    </w:p>
    <w:p>
      <w:pPr>
        <w:spacing w:after="0" w:line="174" w:lineRule="exact"/>
        <w:rPr>
          <w:sz w:val="20"/>
          <w:szCs w:val="20"/>
          <w:color w:val="auto"/>
        </w:rPr>
      </w:pPr>
    </w:p>
    <w:p>
      <w:pPr>
        <w:ind w:left="720" w:right="360" w:hanging="353"/>
        <w:spacing w:after="0" w:line="278" w:lineRule="auto"/>
        <w:tabs>
          <w:tab w:leader="none" w:pos="72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recycling and renewable natural gas (“RNG”) facilities and WM Healthcare Solutions autoclaves and incinerators as well as containers.</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Leases</w:t>
      </w:r>
    </w:p>
    <w:p>
      <w:pPr>
        <w:spacing w:after="0" w:line="237" w:lineRule="exact"/>
        <w:rPr>
          <w:sz w:val="20"/>
          <w:szCs w:val="20"/>
          <w:color w:val="auto"/>
        </w:rPr>
      </w:pPr>
    </w:p>
    <w:p>
      <w:pPr>
        <w:jc w:val="both"/>
        <w:ind w:left="360" w:right="360" w:firstLine="360"/>
        <w:spacing w:after="0" w:line="266" w:lineRule="auto"/>
        <w:rPr>
          <w:sz w:val="20"/>
          <w:szCs w:val="20"/>
          <w:color w:val="auto"/>
        </w:rPr>
      </w:pPr>
      <w:r>
        <w:rPr>
          <w:rFonts w:ascii="Times New Roman" w:cs="Times New Roman" w:eastAsia="Times New Roman" w:hAnsi="Times New Roman"/>
          <w:sz w:val="19"/>
          <w:szCs w:val="19"/>
          <w:color w:val="auto"/>
        </w:rPr>
        <w:t>We lease property and equipment in the ordinary course of our business. Our operating lease activities primarily consist of leases for real estate, landfills, fleet vehicles and operating equipment. Our financing lease activities primarily consist of leases for operating equipment, railcars and landfill assets. Our leases have varying terms. Some may include renewal or purchase options, escalation clauses, restrictions, penalties or other obligations that we consider in determining minimum lease payments. The leases are classified as either operating leases or financing leases, as appropriate.</w:t>
      </w:r>
    </w:p>
    <w:p>
      <w:pPr>
        <w:spacing w:after="0" w:line="179"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Operating Leases (excluding landfill leases discussed below) — </w:t>
      </w:r>
      <w:r>
        <w:rPr>
          <w:rFonts w:ascii="Times New Roman" w:cs="Times New Roman" w:eastAsia="Times New Roman" w:hAnsi="Times New Roman"/>
          <w:sz w:val="20"/>
          <w:szCs w:val="20"/>
          <w:color w:val="auto"/>
        </w:rPr>
        <w:t>The majority of our leases are operating leases.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classification generally can be attributed to either (i) relatively low fixed minimum lease payments as a result of real property lease obligations that vary based on the volume of waste we receive or process or (ii) minimum lease terms that are much shorter than the assets’ economic useful lives. Management expects that in the normal course of business our operating leases will be renewed, replaced by other leases or replaced with fixed asset expenditures.</w:t>
      </w:r>
    </w:p>
    <w:p>
      <w:pPr>
        <w:spacing w:after="0" w:line="197"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Financing Leases (excluding landfill leases discussed below) — </w:t>
      </w:r>
      <w:r>
        <w:rPr>
          <w:rFonts w:ascii="Times New Roman" w:cs="Times New Roman" w:eastAsia="Times New Roman" w:hAnsi="Times New Roman"/>
          <w:sz w:val="20"/>
          <w:szCs w:val="20"/>
          <w:color w:val="auto"/>
        </w:rPr>
        <w:t>Assets under financing leases are capitalized using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interest rates determined at the commencement of each lease and are depreciated over either the useful life of the asset or the lease term, as appropriate, on a straight-line basis. The present value of the related lease payments is recorded as a debt obligation.</w:t>
      </w:r>
    </w:p>
    <w:p>
      <w:pPr>
        <w:spacing w:after="0" w:line="191"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Landfill Leases — </w:t>
      </w:r>
      <w:r>
        <w:rPr>
          <w:rFonts w:ascii="Times New Roman" w:cs="Times New Roman" w:eastAsia="Times New Roman" w:hAnsi="Times New Roman"/>
          <w:sz w:val="20"/>
          <w:szCs w:val="20"/>
          <w:color w:val="auto"/>
        </w:rPr>
        <w:t>From an operating perspective, landfills that we lease are similar to landfills we own because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generally we will operate the landfill for the life of the operating permit. The most significant portion of our rental obligations for landfill leases is contingent upon operating factors such as disposal volume and often there are no contractual minimum rental obligations. Contingent rental obligations are expensed as incurred. For landfill financing leases that provide for minimum contractual rental obligations, we record the present value of the minimum obligation as part of the landfill asset, which is depleted on a units-of-consumption basis over the shorter of the lease term or the life of the landfill.</w:t>
      </w:r>
    </w:p>
    <w:p>
      <w:pPr>
        <w:spacing w:after="0" w:line="201"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For operating and financing leases, including landfill leases, our rent expense for each of the last three years and future minimum lease payments are disclosed in Note 7.</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Acquisitions</w:t>
      </w:r>
    </w:p>
    <w:p>
      <w:pPr>
        <w:spacing w:after="0" w:line="238"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We generally recognize assets acquired and liabilities assumed in business combinations, including contingent assets and liabilities, based on fair value estimates as of the date of acquisition.</w:t>
      </w:r>
    </w:p>
    <w:p>
      <w:pPr>
        <w:spacing w:after="0" w:line="167" w:lineRule="exact"/>
        <w:rPr>
          <w:sz w:val="20"/>
          <w:szCs w:val="20"/>
          <w:color w:val="auto"/>
        </w:rPr>
      </w:pPr>
    </w:p>
    <w:p>
      <w:pPr>
        <w:jc w:val="both"/>
        <w:ind w:left="360" w:right="360" w:firstLine="360"/>
        <w:spacing w:after="0" w:line="277" w:lineRule="auto"/>
        <w:rPr>
          <w:sz w:val="20"/>
          <w:szCs w:val="20"/>
          <w:color w:val="auto"/>
        </w:rPr>
      </w:pPr>
      <w:r>
        <w:rPr>
          <w:rFonts w:ascii="Times New Roman" w:cs="Times New Roman" w:eastAsia="Times New Roman" w:hAnsi="Times New Roman"/>
          <w:sz w:val="20"/>
          <w:szCs w:val="20"/>
          <w:i w:val="1"/>
          <w:iCs w:val="1"/>
          <w:color w:val="auto"/>
        </w:rPr>
        <w:t xml:space="preserve">Contingent Consideration — </w:t>
      </w:r>
      <w:r>
        <w:rPr>
          <w:rFonts w:ascii="Times New Roman" w:cs="Times New Roman" w:eastAsia="Times New Roman" w:hAnsi="Times New Roman"/>
          <w:sz w:val="20"/>
          <w:szCs w:val="20"/>
          <w:color w:val="auto"/>
        </w:rPr>
        <w:t>In certain acquisitions, we agree to pay additional amounts to sellers contingent upon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achievement by the acquired businesses of certain negotiated goals, such as targeted revenue levels, targeted disposal</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3320" w:h="16920" w:orient="portrait"/>
          <w:cols w:equalWidth="0" w:num="1">
            <w:col w:w="10440"/>
          </w:cols>
          <w:pgMar w:left="1440" w:top="1440" w:right="1440" w:bottom="1440" w:gutter="0" w:footer="0" w:header="0"/>
          <w:type w:val="continuous"/>
        </w:sectPr>
      </w:pPr>
    </w:p>
    <w:bookmarkStart w:id="169" w:name="page170"/>
    <w:bookmarkEnd w:id="169"/>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spacing w:after="0" w:line="252" w:lineRule="auto"/>
        <w:rPr>
          <w:sz w:val="20"/>
          <w:szCs w:val="20"/>
          <w:color w:val="auto"/>
        </w:rPr>
      </w:pPr>
      <w:r>
        <w:rPr>
          <w:rFonts w:ascii="Times New Roman" w:cs="Times New Roman" w:eastAsia="Times New Roman" w:hAnsi="Times New Roman"/>
          <w:sz w:val="20"/>
          <w:szCs w:val="20"/>
          <w:color w:val="auto"/>
        </w:rPr>
        <w:t>volumes or the issuance of permits for expanded landfill airspace. We have recognized liabilities for these contingent obligations based on their estimated fair value as of the date of acquisition with any differences between the acquisition date fair value, subsequent remeasurements and the ultimate settlement of the obligations being recognized as an adjustment to income from operations. Refer to Note 11 for adjustments recognized during the reported periods.</w:t>
      </w:r>
    </w:p>
    <w:p>
      <w:pPr>
        <w:spacing w:after="0" w:line="195"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Acquired Assets and Assumed Liabilities — </w:t>
      </w:r>
      <w:r>
        <w:rPr>
          <w:rFonts w:ascii="Times New Roman" w:cs="Times New Roman" w:eastAsia="Times New Roman" w:hAnsi="Times New Roman"/>
          <w:sz w:val="20"/>
          <w:szCs w:val="20"/>
          <w:color w:val="auto"/>
        </w:rPr>
        <w:t>Assets and liabilities arising from contingencies such as pre-acquisition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environmental matters and litigation are recognized at their acquisition-date fair value when their respective fair values can be determined. Acquired contingencies whose fair value is not determinable during the measurement period are recognized only if they are probable and reasonably estimable.</w:t>
      </w:r>
    </w:p>
    <w:p>
      <w:pPr>
        <w:spacing w:after="0" w:line="193"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Acquisition-date fair value estimates are revised as necessary if, and when, additional information regarding these contingencies becomes available to further define and quantify assets acquired and liabilities assumed. Subsequent to finalization of purchase accounting, these revisions are accounted for as adjustments to income from operations. All acquisition-related transaction costs are generally expensed as incurred. During 2024, we acquired Stericycle which is included in our new WM Healthcare Solutions segment. We also acquired 11 solid waste and recycling businesses. See Note 17 for additional information related to our acquisitions.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Goodwill and Other Intangible Assets</w:t>
      </w:r>
    </w:p>
    <w:p>
      <w:pPr>
        <w:spacing w:after="0" w:line="237"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20"/>
          <w:szCs w:val="20"/>
          <w:color w:val="auto"/>
        </w:rPr>
        <w:t xml:space="preserve">Goodwill is the excess of our purchase cost over the fair value of the net assets of acquired businesses. We do not amortize goodwill, but as discussed in the </w:t>
      </w:r>
      <w:r>
        <w:rPr>
          <w:rFonts w:ascii="Times New Roman" w:cs="Times New Roman" w:eastAsia="Times New Roman" w:hAnsi="Times New Roman"/>
          <w:sz w:val="20"/>
          <w:szCs w:val="20"/>
          <w:i w:val="1"/>
          <w:iCs w:val="1"/>
          <w:color w:val="auto"/>
        </w:rPr>
        <w:t>Long-Lived Asset Impairments</w:t>
      </w:r>
      <w:r>
        <w:rPr>
          <w:rFonts w:ascii="Times New Roman" w:cs="Times New Roman" w:eastAsia="Times New Roman" w:hAnsi="Times New Roman"/>
          <w:sz w:val="20"/>
          <w:szCs w:val="20"/>
          <w:color w:val="auto"/>
        </w:rPr>
        <w:t xml:space="preserve"> section below, we assess our goodwill for impairment at least annually.</w:t>
      </w:r>
    </w:p>
    <w:p>
      <w:pPr>
        <w:spacing w:after="0" w:line="188"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19"/>
          <w:szCs w:val="19"/>
          <w:color w:val="auto"/>
        </w:rPr>
        <w:t>Other intangible assets consist primarily of customer and supplier relationships, covenants not- to-compete, licenses, permits (other than landfill permits, which are combined with landfill tangible assets and depleted per our landfill depletion policy), trade names and other contracts. Other intangible assets are recorded at fair value on the acquisition date and are generally amortized using either a 150% declining balance approach or a straight-line basis as we determine appropriate. Customer and supplier relationships are typically amortized over terms of 10 to 15 years. Covenants not-to-compete are amortized over the term of the non-compete covenant, which is generally five years. Definite-lived intangibles are amortized over their useful lives on a straight-line basis while indefinite-lived intangibles are not amortized.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Long-Lived Asset Impairments</w:t>
      </w:r>
    </w:p>
    <w:p>
      <w:pPr>
        <w:spacing w:after="0" w:line="237"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We assess our long-lived assets for impairment as required under the applicable accounting standards. If necessary, impairments are recorded in (gain) loss from divestitures, asset impairments and unusual items, net in our Consolidated Statements of Operations.</w:t>
      </w:r>
    </w:p>
    <w:p>
      <w:pPr>
        <w:spacing w:after="0" w:line="186"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Property and Equipment, Including Landfills and Definite-Lived Intangible Assets </w:t>
      </w:r>
      <w:r>
        <w:rPr>
          <w:rFonts w:ascii="Times New Roman" w:cs="Times New Roman" w:eastAsia="Times New Roman" w:hAnsi="Times New Roman"/>
          <w:sz w:val="19"/>
          <w:szCs w:val="19"/>
          <w:color w:val="auto"/>
        </w:rPr>
        <w:t>— We monitor the carrying value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3320" w:h="16920" w:orient="portrait"/>
          <w:cols w:equalWidth="0" w:num="1">
            <w:col w:w="10440"/>
          </w:cols>
          <w:pgMar w:left="1440" w:top="1440" w:right="1440" w:bottom="1440" w:gutter="0" w:footer="0" w:header="0"/>
          <w:type w:val="continuous"/>
        </w:sectPr>
      </w:pPr>
    </w:p>
    <w:bookmarkStart w:id="170" w:name="page171"/>
    <w:bookmarkEnd w:id="170"/>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spacing w:after="0" w:line="252" w:lineRule="auto"/>
        <w:rPr>
          <w:sz w:val="20"/>
          <w:szCs w:val="20"/>
          <w:color w:val="auto"/>
        </w:rPr>
      </w:pPr>
      <w:r>
        <w:rPr>
          <w:rFonts w:ascii="Times New Roman" w:cs="Times New Roman" w:eastAsia="Times New Roman" w:hAnsi="Times New Roman"/>
          <w:sz w:val="20"/>
          <w:szCs w:val="20"/>
          <w:color w:val="auto"/>
        </w:rPr>
        <w:t>generally determined by considering (i) internally developed discounted projected cash flow analysis of the asset or asset group; (ii) third-party valuations and/or (iii) information available regarding the current market for similar assets. Estimating future cash flows requires significant judgment and projections may vary from the cash flows eventually realized, which could impact our ability to accurately assess whether an asset has been impaired.</w:t>
      </w:r>
    </w:p>
    <w:p>
      <w:pPr>
        <w:spacing w:after="0" w:line="195"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pacing w:after="0" w:line="202"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Indefinite-Lived Intangible Assets, Including Goodwill — </w:t>
      </w:r>
      <w:r>
        <w:rPr>
          <w:rFonts w:ascii="Times New Roman" w:cs="Times New Roman" w:eastAsia="Times New Roman" w:hAnsi="Times New Roman"/>
          <w:sz w:val="20"/>
          <w:szCs w:val="20"/>
          <w:color w:val="auto"/>
        </w:rPr>
        <w:t>At least annually using a measurement date of October 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more frequently if warranted, we assess our indefinite-lived intangible assets, including the goodwill of our reporting units, for impairment.</w:t>
      </w:r>
    </w:p>
    <w:p>
      <w:pPr>
        <w:spacing w:after="0" w:line="186" w:lineRule="exact"/>
        <w:rPr>
          <w:sz w:val="20"/>
          <w:szCs w:val="20"/>
          <w:color w:val="auto"/>
        </w:rPr>
      </w:pPr>
    </w:p>
    <w:p>
      <w:pPr>
        <w:jc w:val="both"/>
        <w:ind w:left="360" w:right="360" w:firstLine="360"/>
        <w:spacing w:after="0" w:line="256" w:lineRule="auto"/>
        <w:rPr>
          <w:sz w:val="20"/>
          <w:szCs w:val="20"/>
          <w:color w:val="auto"/>
        </w:rPr>
      </w:pPr>
      <w:r>
        <w:rPr>
          <w:rFonts w:ascii="Times New Roman" w:cs="Times New Roman" w:eastAsia="Times New Roman" w:hAnsi="Times New Roman"/>
          <w:sz w:val="19"/>
          <w:szCs w:val="19"/>
          <w:color w:val="auto"/>
        </w:rPr>
        <w:t>We first perform a qualitative assessment to determine if it is more likely than not that the fair value of a reporting unit is less than its carrying value. If the assessment indicates a possible impairment, we complete a quantitative review, comparing the estimated fair value of a reporting unit to its carrying amount, including goodwill. An impairment charge is recognized if the asset’s estimated fair value is less than its carrying amount. Fair value is typically estimated using an income approach using Level 3 inputs.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 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198"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20"/>
          <w:szCs w:val="20"/>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Refer to Note 11 for information related to impairments recognized during the reported periods.</w:t>
      </w:r>
    </w:p>
    <w:p>
      <w:pPr>
        <w:spacing w:after="0" w:line="2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Insured and Self-Insured Claims</w:t>
      </w:r>
    </w:p>
    <w:p>
      <w:pPr>
        <w:spacing w:after="0" w:line="237"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We have retained a significant portion of the risks related to our health and welfare, general liability, automobile liability and workers’ compensation claims programs. For our self-insured portions, the exposure for unpaid claims and associated expenses, including incurred but not reported losses, is based on an actuarial valuation or internal estimates. The gross estimated liability associated with settling unpaid claims is included in accrued liabilities in our Consolidated Balance Sheets if expected to be settled within one year; otherwise, it is included in other long-term liabilities. Estimated</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3320" w:h="16920" w:orient="portrait"/>
          <w:cols w:equalWidth="0" w:num="1">
            <w:col w:w="10440"/>
          </w:cols>
          <w:pgMar w:left="1440" w:top="1440" w:right="1440" w:bottom="1440" w:gutter="0" w:footer="0" w:header="0"/>
          <w:type w:val="continuous"/>
        </w:sectPr>
      </w:pPr>
    </w:p>
    <w:bookmarkStart w:id="171" w:name="page172"/>
    <w:bookmarkEnd w:id="171"/>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spacing w:after="0" w:line="278" w:lineRule="auto"/>
        <w:rPr>
          <w:sz w:val="20"/>
          <w:szCs w:val="20"/>
          <w:color w:val="auto"/>
        </w:rPr>
      </w:pPr>
      <w:r>
        <w:rPr>
          <w:rFonts w:ascii="Times New Roman" w:cs="Times New Roman" w:eastAsia="Times New Roman" w:hAnsi="Times New Roman"/>
          <w:sz w:val="20"/>
          <w:szCs w:val="20"/>
          <w:color w:val="auto"/>
        </w:rPr>
        <w:t>insurance recoveries related to recorded liabilities are reflected as other current receivables or other long-term assets in our Consolidated Balance Sheets when we believe that the receipt of such amounts is probable.</w:t>
      </w:r>
    </w:p>
    <w:p>
      <w:pPr>
        <w:spacing w:after="0" w:line="167"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We use a wholly-owned insurance captive to insure the deductibles for our general liability, automobile liability and workers’ compensation claims programs. We continue to maintain conventional insurance policies with third-party insurers. WMI pays an annual premium to the insurance captive on behalf of WMI and its insured subsidiaries, typically in the first quarter of the year, for estimated losses based on an external actuarial analysis. These premiums are held in a restricted funds account to be used solely for paying insurance claims, resulting in a transfer of risk from our Company to the insurance captive, and are allocated between current and long-term assets depending on estimated timing of the use of funds.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Restricted Funds</w:t>
      </w:r>
    </w:p>
    <w:p>
      <w:pPr>
        <w:spacing w:after="0" w:line="238"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19"/>
          <w:szCs w:val="19"/>
          <w:color w:val="auto"/>
        </w:rPr>
        <w:t>Our restricted funds accounts primarily consist of funds deposited for purposes of funding insurance claims and settling landfill final capping, closure, post-closure and environmental remediation obligations. These funds are generally allocated between cash, money market funds, equity securities and available-for-sale debt securities depending on the estimated timing and purpose of the use of funds. We use a wholly-owned insurance captive to insure the deductibles for certain claims programs and the premiums paid are directly deposited into a restricted funds account to be used solely for paying insurance claims. At several of our landfills, we provide financial assurance by depositing cash into restricted trust funds for purposes of settling final capping, closure, post-closure and environmental remediation obligations. Balances maintained in these restricted funds accounts will fluctuate based on (i) changes in statutory requirements; (ii) future deposits made to comply with contractual arrangements; (iii) the ongoing use of funds; (iv) acquisitions or divestitures and (v) changes in the fair value of the financial instruments held in the restricted funds accounts.</w:t>
      </w:r>
    </w:p>
    <w:p>
      <w:pPr>
        <w:spacing w:after="0" w:line="191"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See Notes 16 and 18 for additional discussion related to restricted funds accounts for final capping, closure, post - closure or environmental remediation obligations.</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Investments in Unconsolidated Entities</w:t>
      </w:r>
    </w:p>
    <w:p>
      <w:pPr>
        <w:spacing w:after="0" w:line="237"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As a result of adopting ASU 2023-02 in 2024, our investments in entities established to invest in and manage low-income housing properties are accounted for using the proportional amortization method. Under the proportional amortization method, the equity investment is amortized in proportion to the income tax credits and other income tax benefits received. Investments in unconsolidated entities over which the Company has significant influence are accounted for under the equity method of accounting. Equity investments in which the Company does not have the ability to exert significant influence over the investees’ operating and financing activities are measured using a quantitative approach as these investments do not have readily determinable fair values. The quantitative approach, or measurement alternative, is equal to its cost minus impairment, if any, plus or minus changes resulting from observable price changes in orderly transactions for the identical or a similar investment of the same issuer. The following table summarizes our investments in unconsolidated entities as of December 31 (in millions):</w:t>
      </w:r>
    </w:p>
    <w:p>
      <w:pPr>
        <w:spacing w:after="0" w:line="223"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7520" w:type="dxa"/>
            <w:vAlign w:val="bottom"/>
            <w:vMerge w:val="restart"/>
          </w:tcPr>
          <w:p>
            <w:pPr>
              <w:jc w:val="right"/>
              <w:ind w:right="5220"/>
              <w:spacing w:after="0"/>
              <w:rPr>
                <w:sz w:val="20"/>
                <w:szCs w:val="20"/>
                <w:color w:val="auto"/>
              </w:rPr>
            </w:pPr>
            <w:r>
              <w:rPr>
                <w:rFonts w:ascii="Times New Roman" w:cs="Times New Roman" w:eastAsia="Times New Roman" w:hAnsi="Times New Roman"/>
                <w:sz w:val="20"/>
                <w:szCs w:val="20"/>
                <w:color w:val="auto"/>
                <w:w w:val="99"/>
              </w:rPr>
              <w:t>Equity method investments</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2"/>
        </w:trPr>
        <w:tc>
          <w:tcPr>
            <w:tcW w:w="7520" w:type="dxa"/>
            <w:vAlign w:val="bottom"/>
            <w:vMerge w:val="continue"/>
          </w:tcPr>
          <w:p>
            <w:pPr>
              <w:jc w:val="right"/>
              <w:ind w:right="18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w:t>
            </w:r>
          </w:p>
        </w:tc>
        <w:tc>
          <w:tcPr>
            <w:tcW w:w="2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86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20"/>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538</w:t>
            </w:r>
          </w:p>
        </w:tc>
        <w:tc>
          <w:tcPr>
            <w:tcW w:w="0" w:type="dxa"/>
            <w:vAlign w:val="bottom"/>
          </w:tcPr>
          <w:p>
            <w:pPr>
              <w:spacing w:after="0"/>
              <w:rPr>
                <w:sz w:val="1"/>
                <w:szCs w:val="1"/>
                <w:color w:val="auto"/>
              </w:rPr>
            </w:pPr>
          </w:p>
        </w:tc>
      </w:tr>
      <w:tr>
        <w:trPr>
          <w:trHeight w:val="230"/>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8"/>
              </w:rPr>
              <w:t>Investments qualifying for proportional amortization method (a)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1"/>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8"/>
              </w:rPr>
              <w:t>Investments without readily determinable fair values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rPr>
                <w:sz w:val="1"/>
                <w:szCs w:val="1"/>
                <w:color w:val="auto"/>
              </w:rPr>
            </w:pPr>
          </w:p>
        </w:tc>
      </w:tr>
      <w:tr>
        <w:trPr>
          <w:trHeight w:val="230"/>
        </w:trPr>
        <w:tc>
          <w:tcPr>
            <w:tcW w:w="7520" w:type="dxa"/>
            <w:vAlign w:val="bottom"/>
          </w:tcPr>
          <w:p>
            <w:pPr>
              <w:jc w:val="right"/>
              <w:ind w:right="18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.Investmentsinunconsolidatedentities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846</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106680</wp:posOffset>
                </wp:positionV>
                <wp:extent cx="1541145"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8.4pt" to="139.65pt,8.4pt" o:allowincell="f" strokecolor="#000000" strokeweight="1.0199pt"/>
            </w:pict>
          </mc:Fallback>
        </mc:AlternateContent>
      </w:r>
    </w:p>
    <w:p>
      <w:pPr>
        <w:spacing w:after="0" w:line="191" w:lineRule="exact"/>
        <w:rPr>
          <w:sz w:val="20"/>
          <w:szCs w:val="20"/>
          <w:color w:val="auto"/>
        </w:rPr>
      </w:pPr>
    </w:p>
    <w:p>
      <w:pPr>
        <w:ind w:left="720" w:right="360" w:hanging="353"/>
        <w:spacing w:after="0" w:line="278" w:lineRule="auto"/>
        <w:tabs>
          <w:tab w:leader="none" w:pos="72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discussed above, our low-income housing investments are accounted for using the proportional amortization method. Prior to 2024, these investments were included as equity method investments.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3320" w:h="16920" w:orient="portrait"/>
          <w:cols w:equalWidth="0" w:num="1">
            <w:col w:w="10440"/>
          </w:cols>
          <w:pgMar w:left="1440" w:top="1440" w:right="1440" w:bottom="1440" w:gutter="0" w:footer="0" w:header="0"/>
          <w:type w:val="continuous"/>
        </w:sectPr>
      </w:pPr>
    </w:p>
    <w:bookmarkStart w:id="172" w:name="page173"/>
    <w:bookmarkEnd w:id="172"/>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We monitor and assess the carrying value of our investments throughout the year for potential impairment and write them down to their fair value when other-than-temporary declines exist. Fair value is generally based on (i) other third - party investors’ recent or pending transactions in the securities; (ii) other information available regarding the current market for similar assets; (iii) a market or income approach, as deemed appropriate and/or (iv) a quantitative approach, or measurement alternative, as noted above. Impairments of our investments are recorded in (gain) loss from divestitures, asset impairments and unusual items, net in our Consolidated Statements of Operations in accordance with appropriate accounting guidance.</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Refer to Note 11 for information related to impairments and other adjustments recognized during the reported periods.</w:t>
      </w: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Derivative Instruments</w:t>
      </w:r>
    </w:p>
    <w:p>
      <w:pPr>
        <w:spacing w:after="0" w:line="237"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At times we use derivative instruments to manage risk. To qualify for hedge accounting, the hedged item must expose us to risk and the related derivative instrument must reduce the exposure to that risk and meet specific hedge documentation requirements related to designation dates, expectations for hedge effectiveness and the probability that hedged future transactions will occur as forecasted. We formally designate derivative instruments as hedges and document and assess their effectiveness at inception of the hedge and on a quarterly basis thereafter. Forecasted transactions are evaluated for the probability of occurrence.</w:t>
      </w:r>
    </w:p>
    <w:p>
      <w:pPr>
        <w:spacing w:after="0" w:line="200"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We are required to recognize derivative instruments at fair value as either assets or liabilities on our Consolidated Balance Sheets unless such instruments meet certain normal purchase/normal sale criteria. For derivatives that qualify for hedge accounting, we designate them as cash flow hedges. The change in the fair value of a cash flow hedge is reported in accumulated other comprehensive income (loss) and is reclassified to earnings when the forecasted transaction affects earnings. See Note 6 for additional information regarding our derivative instruments.</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Foreign Currency</w:t>
      </w:r>
    </w:p>
    <w:p>
      <w:pPr>
        <w:spacing w:after="0" w:line="238"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Our operations are primarily in the U.S. but we also have significant operations in Canada and certain countries in Western Europe. Additionally, we have certain support functions in India. Local currencies generally are considered the functional currencies of our operations and investments outside the U.S. The assets and liabilities of our foreign operations are translated to U.S. dollars using the exchange rate as of the balance sheet date. Revenues and expenses are translated to U.S. dollars using the average exchange rate during the period. The resulting translation difference is reflected as a component of other comprehensive income (loss), net of tax. Foreign currency translation adjustments have primarily been impacted by fluctuations in the U.S. dollar/Canadian dollar exchange rate and to a lesser extent, the U.S. dollar/Euro exchange rates and the U.S. dollar/British pound sterling exchange rate.</w:t>
      </w:r>
    </w:p>
    <w:p>
      <w:pPr>
        <w:spacing w:after="0" w:line="202"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The U.S. dollar/Canadian dollar exchange rate was 1.4384 at December 31, 2024, 1.3243 at December 31, 2023 and 1.3554 at December 31, 2022. The U.S. dollar/Euro exchange rate was 0.9659 at December 31, 2024. The U.S. dollar/British pound sterling exchange rate was 0.7990 at December 31, 2024. Refer to Note 12 for information regarding the impacts of foreign currency on our comprehensive income and results of operations.</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237"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We generally recognize revenue as services are performed or products are delivered. For example, revenue typically is recognized as waste is collected; tons are received at our landfills, transfer stations or processing facilities; or recycling and other commodities, such as RNG, electricity and capacity, Renewable Identification Numbers (“RINs”) and Renewable Energy Credits (“RECs”), are sold. Compliance services revenues are recognized over the contractual service period. We also bill for certain services prior to performance. Such services include, among others, certain commercial</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3320" w:h="16920" w:orient="portrait"/>
          <w:cols w:equalWidth="0" w:num="1">
            <w:col w:w="10440"/>
          </w:cols>
          <w:pgMar w:left="1440" w:top="1440" w:right="1440" w:bottom="1440" w:gutter="0" w:footer="0" w:header="0"/>
          <w:type w:val="continuous"/>
        </w:sectPr>
      </w:pPr>
    </w:p>
    <w:bookmarkStart w:id="173" w:name="page174"/>
    <w:bookmarkEnd w:id="173"/>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spacing w:after="0" w:line="278" w:lineRule="auto"/>
        <w:rPr>
          <w:sz w:val="20"/>
          <w:szCs w:val="20"/>
          <w:color w:val="auto"/>
        </w:rPr>
      </w:pPr>
      <w:r>
        <w:rPr>
          <w:rFonts w:ascii="Times New Roman" w:cs="Times New Roman" w:eastAsia="Times New Roman" w:hAnsi="Times New Roman"/>
          <w:sz w:val="20"/>
          <w:szCs w:val="20"/>
          <w:color w:val="auto"/>
        </w:rPr>
        <w:t>and residential contracts, and equipment rentals. These advanced billings are included in deferred revenues and recognized as revenue in the period service is provided.</w:t>
      </w:r>
    </w:p>
    <w:p>
      <w:pPr>
        <w:spacing w:after="0" w:line="167" w:lineRule="exact"/>
        <w:rPr>
          <w:sz w:val="20"/>
          <w:szCs w:val="20"/>
          <w:color w:val="auto"/>
        </w:rPr>
      </w:pPr>
    </w:p>
    <w:p>
      <w:pPr>
        <w:jc w:val="both"/>
        <w:ind w:left="360" w:right="360" w:firstLine="360"/>
        <w:spacing w:after="0" w:line="260" w:lineRule="auto"/>
        <w:rPr>
          <w:sz w:val="20"/>
          <w:szCs w:val="20"/>
          <w:color w:val="auto"/>
        </w:rPr>
      </w:pPr>
      <w:r>
        <w:rPr>
          <w:rFonts w:ascii="Times New Roman" w:cs="Times New Roman" w:eastAsia="Times New Roman" w:hAnsi="Times New Roman"/>
          <w:sz w:val="19"/>
          <w:szCs w:val="19"/>
          <w:color w:val="auto"/>
        </w:rPr>
        <w:t>Our Collection and Disposal operating revenues are primarily generated from fees charged for our collection, transfer and disposal. Revenues from our collection operations are influenced by factors such as collection frequency, type of collection equipment furnished, type and volume or weight of the waste collected, distance to the disposal facility or recycling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considering our cost of loading, transporting and disposing of the solid waste at a disposal site. The fees we charge for our services generally include applicable fees, such as our energy surcharge, which are intended to pass through to customers direct and indirect costs incurred.</w:t>
      </w:r>
    </w:p>
    <w:p>
      <w:pPr>
        <w:spacing w:after="0" w:line="188"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Recycling Processing and Sales revenues generally consist of tipping fees and the sale of recycling commodities to and/or on behalf of third parties.</w:t>
      </w:r>
    </w:p>
    <w:p>
      <w:pPr>
        <w:spacing w:after="0" w:line="167"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Our WM Renewable Energy revenue is primarily generated from (i) the sale of captured and converted landfill methane gas; (ii) the sale of RINs under the Renewable Fuel Standard (“RFS”) program implemented by the U.S. Environmental Protection Agency (“EPA”); (iii) sale of Low Carbon Fuel credits designed to stimulate the use of low-carbon fuels and (iv) the sale of energy (electricity and capacity) and associated RECs.</w:t>
      </w:r>
    </w:p>
    <w:p>
      <w:pPr>
        <w:spacing w:after="0" w:line="193"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Our WM Healthcare Solutions revenue is primarily generated from (i) RWCS, which provide collection, processing and disposal of regulated and specialized waste, including medical, pharmaceutical and hazardous waste, and compliance programs and (ii) SID services, which provides for the collection of personal and confidential information for secure destruction and recycling of sorted office paper. The customers typically enter into a contract for the provision of services on a weekly, monthly or as-needed basis over the contract term. We receive fees based on a monthly, quarterly or annual rate and/or fees based on contractual rates depending on measures including the volume, weight, and type of waste, as specified in applicable contracts.</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See Note 19 for additional information related to revenue by reportable segment and major lines of business.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Deferred Revenues</w:t>
      </w:r>
    </w:p>
    <w:p>
      <w:pPr>
        <w:spacing w:after="0" w:line="235"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We record deferred revenues when cash payments are received or due in advance of our performance and classify them as current since they are earned within a year and there are no significant financing components. Substantially all our deferred revenues during the reported periods are realized as revenues within one to three months, when the related services are performed.</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i w:val="1"/>
          <w:iCs w:val="1"/>
          <w:color w:val="auto"/>
        </w:rPr>
        <w:t>Contract Acquisition Costs</w:t>
      </w:r>
    </w:p>
    <w:p>
      <w:pPr>
        <w:spacing w:after="0" w:line="283"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Consolidated Balance Sheets.</w:t>
      </w:r>
    </w:p>
    <w:p>
      <w:pPr>
        <w:spacing w:after="0" w:line="80"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20"/>
          <w:szCs w:val="20"/>
          <w:color w:val="auto"/>
        </w:rPr>
        <w:t>As of December 31, 2024 and 2023, we had $218 million and $207 million of deferred contract costs, respectively, of which $154 million and $148 million, respectively, were related to deferred sales incentives. During each of the years ended December 31, 2024, 2023 and 2022, we amortized $28 million, $26 million and $24 million, respectively, of sales incentives to selling, general and administrative expense.</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3320" w:h="16920" w:orient="portrait"/>
          <w:cols w:equalWidth="0" w:num="1">
            <w:col w:w="10440"/>
          </w:cols>
          <w:pgMar w:left="1440" w:top="1440" w:right="1440" w:bottom="1440" w:gutter="0" w:footer="0" w:header="0"/>
          <w:type w:val="continuous"/>
        </w:sectPr>
      </w:pPr>
    </w:p>
    <w:bookmarkStart w:id="174" w:name="page175"/>
    <w:bookmarkEnd w:id="174"/>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i w:val="1"/>
          <w:iCs w:val="1"/>
          <w:color w:val="auto"/>
        </w:rPr>
        <w:t>Long-Term Contracts</w:t>
      </w:r>
    </w:p>
    <w:p>
      <w:pPr>
        <w:spacing w:after="0" w:line="238"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Approximately 25% of our total revenue is derived from contracts with a remaining term greater than one year. The consideration for these contracts is primarily variable in nature. The variable elements of these contracts primarily include the number of homes and businesses served, weight, number of containers served and annual rate changes based on consumer price index, fuel prices or other operating costs. Such contracts are generally within our collection, recycling and other lines of business and have a weighted average remaining contract life of approximately four years. We do not disclose the value of unsatisfied performance obligations for these contracts as our right to consideration corresponds directly to the value provided to the customer for services completed to date and all future variable consideration is allocated to wholly unsatisfied performance obligations.</w:t>
      </w:r>
    </w:p>
    <w:p>
      <w:pPr>
        <w:spacing w:after="0" w:line="2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i w:val="1"/>
          <w:iCs w:val="1"/>
          <w:color w:val="auto"/>
        </w:rPr>
        <w:t>Environmental Credits</w:t>
      </w:r>
    </w:p>
    <w:p>
      <w:pPr>
        <w:spacing w:after="0" w:line="238"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We generate environmental credits through our production and sale of renewable energy. Our operating costs are associated with the production of renewable energy. The environmental credits are a form of government incentive generated through our renewable energy production and not as a result of the physical attributes of our production. The environmental credits are able to be separated and sold independent of the renewable energy produced. Thus, no cost is allocated to the environmental credit when it is generated.</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Capitalized Interest</w:t>
      </w:r>
    </w:p>
    <w:p>
      <w:pPr>
        <w:spacing w:after="0" w:line="237"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20"/>
          <w:szCs w:val="20"/>
          <w:color w:val="auto"/>
        </w:rPr>
        <w:t>We capitalize interest on certain projects under development, including landfill expansion projects, certain assets under construction, including operating landfills and landfill gas-to-energy projects and internal-use software. During 2024, 2023 and 2022, total interest costs were $728 million, $590 million and $425 million, respectively, of which $84 million, $63 million and $29 million were capitalized in 2024, 2023 and 2022, respectively.</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238"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20"/>
          <w:szCs w:val="20"/>
          <w:color w:val="auto"/>
        </w:rPr>
        <w:t>The Company is subject to income tax in the U.S., Canada and within parts of Western Europe. Current tax obligations associated with our income tax expense are reflected in the accompanying Consolidated Balance Sheets as a component of accrued liabilities and our deferred tax obligations are reflected in deferred income taxes.</w:t>
      </w:r>
    </w:p>
    <w:p>
      <w:pPr>
        <w:spacing w:after="0" w:line="188"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Deferred income taxes are based on the difference between the financial reporting and tax basis of assets and liabilities. Deferred income tax expense represents the change during the reporting period in the deferred tax assets and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We establish reserves for uncertain tax positions when, despite our belief that our tax return positions are supportable, we believe that certain positions may be challenged and potentially disallowed. When facts and circumstances change, we adjust these reserves through our income tax expense.</w:t>
      </w:r>
    </w:p>
    <w:p>
      <w:pPr>
        <w:spacing w:after="0" w:line="199" w:lineRule="exact"/>
        <w:rPr>
          <w:sz w:val="20"/>
          <w:szCs w:val="20"/>
          <w:color w:val="auto"/>
        </w:rPr>
      </w:pPr>
    </w:p>
    <w:p>
      <w:pPr>
        <w:jc w:val="both"/>
        <w:ind w:left="360" w:right="360" w:firstLine="360"/>
        <w:spacing w:after="0" w:line="305" w:lineRule="auto"/>
        <w:rPr>
          <w:sz w:val="20"/>
          <w:szCs w:val="20"/>
          <w:color w:val="auto"/>
        </w:rPr>
      </w:pPr>
      <w:r>
        <w:rPr>
          <w:rFonts w:ascii="Times New Roman" w:cs="Times New Roman" w:eastAsia="Times New Roman" w:hAnsi="Times New Roman"/>
          <w:sz w:val="19"/>
          <w:szCs w:val="19"/>
          <w:color w:val="auto"/>
        </w:rPr>
        <w:t>Should interest and penalties be assessed by taxing authorities on any underpayment of income tax, such amounts would be accrued and classified as a component of our income tax expense in our Consolidated Statements of Operations.</w:t>
      </w:r>
    </w:p>
    <w:p>
      <w:pPr>
        <w:spacing w:after="0" w:line="1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See Note 8 for discussion of our income taxes.</w:t>
      </w:r>
    </w:p>
    <w:p>
      <w:pPr>
        <w:spacing w:after="0" w:line="2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Contingent Liabilities</w:t>
      </w:r>
    </w:p>
    <w:p>
      <w:pPr>
        <w:spacing w:after="0" w:line="237"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We estimate the amount of potential exposure we may have with respect to claims, assessments and litigation in accordance with authoritative guidance on accounting for contingencies. We are party to pending or threatened legal</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3320" w:h="16920" w:orient="portrait"/>
          <w:cols w:equalWidth="0" w:num="1">
            <w:col w:w="10440"/>
          </w:cols>
          <w:pgMar w:left="1440" w:top="1440" w:right="1440" w:bottom="1440" w:gutter="0" w:footer="0" w:header="0"/>
          <w:type w:val="continuous"/>
        </w:sectPr>
      </w:pPr>
    </w:p>
    <w:bookmarkStart w:id="175" w:name="page176"/>
    <w:bookmarkEnd w:id="175"/>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spacing w:after="0" w:line="252" w:lineRule="auto"/>
        <w:rPr>
          <w:sz w:val="20"/>
          <w:szCs w:val="20"/>
          <w:color w:val="auto"/>
        </w:rPr>
      </w:pPr>
      <w:r>
        <w:rPr>
          <w:rFonts w:ascii="Times New Roman" w:cs="Times New Roman" w:eastAsia="Times New Roman" w:hAnsi="Times New Roman"/>
          <w:sz w:val="20"/>
          <w:szCs w:val="20"/>
          <w:color w:val="auto"/>
        </w:rPr>
        <w:t>proceedings covering a wide range of matters in various jurisdictions. It is difficult to predict the outcome of litigation, as it is subject to many uncertainties. Additionally, it is not always possible for management to make a meaningful estimate of the potential loss or range of loss associated with such contingencies. See Note 10 for discussion of our commitments and contingencies.</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Supplemental Cash Flow Information</w:t>
      </w: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shows supplemental cash flow information for the year ended December 31 (in millions):</w:t>
      </w:r>
    </w:p>
    <w:p>
      <w:pPr>
        <w:spacing w:after="0" w:line="305"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6540" w:type="dxa"/>
            <w:vAlign w:val="bottom"/>
            <w:vMerge w:val="restart"/>
          </w:tcPr>
          <w:p>
            <w:pPr>
              <w:jc w:val="right"/>
              <w:ind w:right="3720"/>
              <w:spacing w:after="0"/>
              <w:rPr>
                <w:sz w:val="20"/>
                <w:szCs w:val="20"/>
                <w:color w:val="auto"/>
              </w:rPr>
            </w:pPr>
            <w:r>
              <w:rPr>
                <w:rFonts w:ascii="Times New Roman" w:cs="Times New Roman" w:eastAsia="Times New Roman" w:hAnsi="Times New Roman"/>
                <w:sz w:val="20"/>
                <w:szCs w:val="20"/>
                <w:color w:val="auto"/>
                <w:w w:val="99"/>
              </w:rPr>
              <w:t>Interest, net of capitalized interest</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2"/>
        </w:trPr>
        <w:tc>
          <w:tcPr>
            <w:tcW w:w="6540" w:type="dxa"/>
            <w:vAlign w:val="bottom"/>
            <w:vMerge w:val="continue"/>
          </w:tcPr>
          <w:p>
            <w:pPr>
              <w:jc w:val="right"/>
              <w:ind w:right="6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 .</w:t>
            </w:r>
          </w:p>
        </w:tc>
        <w:tc>
          <w:tcPr>
            <w:tcW w:w="16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530</w:t>
            </w:r>
          </w:p>
        </w:tc>
        <w:tc>
          <w:tcPr>
            <w:tcW w:w="2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447</w:t>
            </w:r>
          </w:p>
        </w:tc>
        <w:tc>
          <w:tcPr>
            <w:tcW w:w="20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348</w:t>
            </w:r>
          </w:p>
        </w:tc>
        <w:tc>
          <w:tcPr>
            <w:tcW w:w="0" w:type="dxa"/>
            <w:vAlign w:val="bottom"/>
          </w:tcPr>
          <w:p>
            <w:pPr>
              <w:spacing w:after="0"/>
              <w:rPr>
                <w:sz w:val="1"/>
                <w:szCs w:val="1"/>
                <w:color w:val="auto"/>
              </w:rPr>
            </w:pPr>
          </w:p>
        </w:tc>
      </w:tr>
      <w:tr>
        <w:trPr>
          <w:trHeight w:val="232"/>
        </w:trPr>
        <w:tc>
          <w:tcPr>
            <w:tcW w:w="65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6"/>
              </w:rPr>
              <w:t>Income taxes . . . . . . . . . . . . . . . . . . . . . . . . . . . . . . . . . . . . . . . . . . . . . . . . . . . . . .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w:t>
            </w:r>
          </w:p>
        </w:tc>
        <w:tc>
          <w:tcPr>
            <w:tcW w:w="0" w:type="dxa"/>
            <w:vAlign w:val="bottom"/>
          </w:tcPr>
          <w:p>
            <w:pPr>
              <w:spacing w:after="0"/>
              <w:rPr>
                <w:sz w:val="1"/>
                <w:szCs w:val="1"/>
                <w:color w:val="auto"/>
              </w:rPr>
            </w:pPr>
          </w:p>
        </w:tc>
      </w:tr>
      <w:tr>
        <w:trPr>
          <w:trHeight w:val="267"/>
        </w:trPr>
        <w:tc>
          <w:tcPr>
            <w:tcW w:w="65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7"/>
              </w:rPr>
              <w:t>Accrued capital expenditures . . . . . . . . . . . . . . . . . . . . . . . . . . . . . . . . . . . . . . . . . .</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During 2024, 2023 and 2022, we had $474 million, $276 million and $225 million, respectively, of non-cash financing activities primarily from our low - income housing investments and new financing leases. These are discussed further in Notes 6 and 8. Additionally, we had approximately $20 million, $25 million and $135 million of non-cash investing activities related to non-cash consideration transferred as part of our acquisitions in 2024, 2023 and 2022, respectively. See Note 17 for further discussion of our acquisitions.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Adoption of New Accounting Standards in 2024</w:t>
      </w:r>
    </w:p>
    <w:p>
      <w:pPr>
        <w:spacing w:after="0" w:line="241" w:lineRule="exact"/>
        <w:rPr>
          <w:sz w:val="20"/>
          <w:szCs w:val="20"/>
          <w:color w:val="auto"/>
        </w:rPr>
      </w:pPr>
    </w:p>
    <w:p>
      <w:pPr>
        <w:jc w:val="both"/>
        <w:ind w:left="360" w:right="360" w:firstLine="144"/>
        <w:spacing w:after="0" w:line="276" w:lineRule="auto"/>
        <w:rPr>
          <w:sz w:val="20"/>
          <w:szCs w:val="20"/>
          <w:color w:val="auto"/>
        </w:rPr>
      </w:pPr>
      <w:r>
        <w:rPr>
          <w:rFonts w:ascii="Times New Roman" w:cs="Times New Roman" w:eastAsia="Times New Roman" w:hAnsi="Times New Roman"/>
          <w:sz w:val="20"/>
          <w:szCs w:val="20"/>
          <w:i w:val="1"/>
          <w:iCs w:val="1"/>
          <w:color w:val="auto"/>
        </w:rPr>
        <w:t>Investments—Equity Method and Joint Ventures: Accounting for Investments in Tax Credit Structures Using the Proportional Amortization Method</w:t>
      </w:r>
    </w:p>
    <w:p>
      <w:pPr>
        <w:spacing w:after="0" w:line="169" w:lineRule="exact"/>
        <w:rPr>
          <w:sz w:val="20"/>
          <w:szCs w:val="20"/>
          <w:color w:val="auto"/>
        </w:rPr>
      </w:pPr>
    </w:p>
    <w:p>
      <w:pPr>
        <w:jc w:val="both"/>
        <w:ind w:left="360" w:right="360" w:firstLine="144"/>
        <w:spacing w:after="0" w:line="244" w:lineRule="auto"/>
        <w:rPr>
          <w:sz w:val="20"/>
          <w:szCs w:val="20"/>
          <w:color w:val="auto"/>
        </w:rPr>
      </w:pPr>
      <w:r>
        <w:rPr>
          <w:rFonts w:ascii="Times New Roman" w:cs="Times New Roman" w:eastAsia="Times New Roman" w:hAnsi="Times New Roman"/>
          <w:sz w:val="20"/>
          <w:szCs w:val="20"/>
          <w:color w:val="auto"/>
        </w:rPr>
        <w:t>In March 2023, the Financial Accounting Standards Board (“FASB”) issued Accounting Standards Update ("ASU") 2023-02, “Investments—Equity Method and Joint Ventures (Topic 323): Accounting for Investments in Tax Credit Structures Using the Proportional Amortization Method" (“ASU 2023-02”), which allows reporting entities the option to use the proportional amortization method to account for equity investments made primarily for the purpose of receiving income tax credits and other income tax benefits when certain requirements are met. For public business entities, the amendments are effective for fiscal years beginning after December 15, 2023, including interim periods within those fiscal years. In 2024, the Company adopted ASU 2023-02 on a modified retrospective basis. The amended guidance did not have a material impact on our consolidated financial statements. See Note 8 for further discussion of our low-income housing investments.</w:t>
      </w: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Improvements to Reportable Segment Disclosures</w:t>
      </w:r>
    </w:p>
    <w:p>
      <w:pPr>
        <w:spacing w:after="0" w:line="237"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In November 2023, the FASB issued ASU 2023-07, “Segment Reporting (Topic 280): Improvements to Reportable Segment Disclosures” (“ASU 2023-07”) which expands annual and interim disclosure requirements for reportable segments, primarily through enhanced disclosures about significant segment expenses. ASU 2023 -07 was effective for public entities for fiscal years beginning after December 15, 2023, and interim periods within fiscal years beginning after December 15, 2024. The Company adopted ASU 2023-07 for the year ended 2024 and accordingly, our segment disclosures for years 2023 and 2022 have been retrospectively recast under this guidance. See Note 19 for further discussion of our segments.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3320" w:h="16920" w:orient="portrait"/>
          <w:cols w:equalWidth="0" w:num="1">
            <w:col w:w="10440"/>
          </w:cols>
          <w:pgMar w:left="1440" w:top="1440" w:right="1440" w:bottom="1440" w:gutter="0" w:footer="0" w:header="0"/>
          <w:type w:val="continuous"/>
        </w:sectPr>
      </w:pPr>
    </w:p>
    <w:bookmarkStart w:id="176" w:name="page177"/>
    <w:bookmarkEnd w:id="176"/>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0" w:lineRule="exact"/>
        <w:rPr>
          <w:sz w:val="20"/>
          <w:szCs w:val="20"/>
          <w:color w:val="auto"/>
        </w:rPr>
      </w:pPr>
    </w:p>
    <w:p>
      <w:pPr>
        <w:ind w:left="720" w:hanging="353"/>
        <w:spacing w:after="0"/>
        <w:tabs>
          <w:tab w:leader="none" w:pos="720" w:val="left"/>
        </w:tabs>
        <w:numPr>
          <w:ilvl w:val="0"/>
          <w:numId w:val="1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Landfill and Environmental Remediation Liabilities</w:t>
      </w:r>
    </w:p>
    <w:p>
      <w:pPr>
        <w:spacing w:after="0" w:line="244" w:lineRule="exact"/>
        <w:rPr>
          <w:sz w:val="20"/>
          <w:szCs w:val="20"/>
          <w:color w:val="auto"/>
        </w:rPr>
      </w:pPr>
    </w:p>
    <w:p>
      <w:pPr>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Liabilities for landfill and environmental remediation costs as of December 31 are presented in the table below (in millions):</w:t>
      </w:r>
    </w:p>
    <w:p>
      <w:pPr>
        <w:spacing w:after="0" w:line="187"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w w:val="98"/>
              </w:rPr>
              <w:t>Environmental</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8"/>
              </w:rPr>
              <w:t>Environmental</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Current (in accrued liabilities)</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auto"/>
                <w:w w:val="97"/>
              </w:rPr>
              <w:t>Landfill</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Remediation</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w w:val="97"/>
              </w:rPr>
              <w:t>Landfill</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Remediation</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1"/>
        </w:trPr>
        <w:tc>
          <w:tcPr>
            <w:tcW w:w="3720" w:type="dxa"/>
            <w:vAlign w:val="bottom"/>
            <w:gridSpan w:val="2"/>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w:t>
            </w:r>
          </w:p>
        </w:tc>
        <w:tc>
          <w:tcPr>
            <w:tcW w:w="1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177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54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231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143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174</w:t>
            </w:r>
          </w:p>
        </w:tc>
        <w:tc>
          <w:tcPr>
            <w:tcW w:w="0" w:type="dxa"/>
            <w:vAlign w:val="bottom"/>
          </w:tcPr>
          <w:p>
            <w:pPr>
              <w:spacing w:after="0"/>
              <w:rPr>
                <w:sz w:val="1"/>
                <w:szCs w:val="1"/>
                <w:color w:val="auto"/>
              </w:rPr>
            </w:pPr>
          </w:p>
        </w:tc>
      </w:tr>
      <w:tr>
        <w:trPr>
          <w:trHeight w:val="250"/>
        </w:trPr>
        <w:tc>
          <w:tcPr>
            <w:tcW w:w="37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7"/>
              </w:rPr>
              <w:t>Long-term . . . . . . . . . . . . . . . . . . . . . . . . . . .</w:t>
            </w: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3,048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2,710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2,888</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3,057</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222</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3,279</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2,853</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209</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3,062</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The changes to landfill and environmental remediation liabilities for the year ended December 31, 2024 are reflected in the table below (in millions):</w:t>
      </w:r>
    </w:p>
    <w:p>
      <w:pPr>
        <w:spacing w:after="0" w:line="188"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0" w:type="dxa"/>
            <w:vAlign w:val="bottom"/>
          </w:tcPr>
          <w:p>
            <w:pPr>
              <w:spacing w:after="0"/>
              <w:rPr>
                <w:sz w:val="1"/>
                <w:szCs w:val="1"/>
                <w:color w:val="auto"/>
              </w:rPr>
            </w:pPr>
          </w:p>
        </w:tc>
      </w:tr>
      <w:tr>
        <w:trPr>
          <w:trHeight w:val="204"/>
        </w:trPr>
        <w:tc>
          <w:tcPr>
            <w:tcW w:w="7460" w:type="dxa"/>
            <w:vAlign w:val="bottom"/>
            <w:vMerge w:val="restart"/>
          </w:tcPr>
          <w:p>
            <w:pPr>
              <w:jc w:val="right"/>
              <w:ind w:right="5780"/>
              <w:spacing w:after="0"/>
              <w:rPr>
                <w:sz w:val="20"/>
                <w:szCs w:val="20"/>
                <w:color w:val="auto"/>
              </w:rPr>
            </w:pPr>
            <w:r>
              <w:rPr>
                <w:rFonts w:ascii="Times New Roman" w:cs="Times New Roman" w:eastAsia="Times New Roman" w:hAnsi="Times New Roman"/>
                <w:sz w:val="20"/>
                <w:szCs w:val="20"/>
                <w:color w:val="auto"/>
                <w:w w:val="99"/>
              </w:rPr>
              <w:t>December 31, 2023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Landfill</w:t>
            </w:r>
          </w:p>
        </w:tc>
        <w:tc>
          <w:tcPr>
            <w:tcW w:w="20" w:type="dxa"/>
            <w:vAlign w:val="bottom"/>
          </w:tcPr>
          <w:p>
            <w:pPr>
              <w:spacing w:after="0"/>
              <w:rPr>
                <w:sz w:val="17"/>
                <w:szCs w:val="17"/>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Remediation</w:t>
            </w:r>
          </w:p>
        </w:tc>
        <w:tc>
          <w:tcPr>
            <w:tcW w:w="0" w:type="dxa"/>
            <w:vAlign w:val="bottom"/>
          </w:tcPr>
          <w:p>
            <w:pPr>
              <w:spacing w:after="0"/>
              <w:rPr>
                <w:sz w:val="1"/>
                <w:szCs w:val="1"/>
                <w:color w:val="auto"/>
              </w:rPr>
            </w:pPr>
          </w:p>
        </w:tc>
      </w:tr>
      <w:tr>
        <w:trPr>
          <w:trHeight w:val="202"/>
        </w:trPr>
        <w:tc>
          <w:tcPr>
            <w:tcW w:w="7460" w:type="dxa"/>
            <w:vAlign w:val="bottom"/>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 .</w:t>
            </w:r>
          </w:p>
        </w:tc>
        <w:tc>
          <w:tcPr>
            <w:tcW w:w="20" w:type="dxa"/>
            <w:vAlign w:val="bottom"/>
          </w:tcPr>
          <w:p>
            <w:pPr>
              <w:spacing w:after="0"/>
              <w:rPr>
                <w:sz w:val="17"/>
                <w:szCs w:val="17"/>
                <w:color w:val="auto"/>
              </w:rPr>
            </w:pPr>
          </w:p>
        </w:tc>
        <w:tc>
          <w:tcPr>
            <w:tcW w:w="1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2,853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209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Obligations incurred and capitalized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7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Obligations settled . . . . . . . . .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30"/>
        </w:trPr>
        <w:tc>
          <w:tcPr>
            <w:tcW w:w="7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Interest accretion . . . . . . . . . .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7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Revisions in estimates and interest rate assumptions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Acquisitions, divestitures and other adjustments . . . . . . . . . . . . . . . . . . . . . . . . . . . . . .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1"/>
        </w:trPr>
        <w:tc>
          <w:tcPr>
            <w:tcW w:w="7460" w:type="dxa"/>
            <w:vAlign w:val="bottom"/>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 . .December31,2024</w:t>
            </w: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3,057</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Our recorded liabilities as of December 31, 2024 include the impacts of inflating certain of these costs based on our expectations of the timing of cash settlement.</w:t>
      </w:r>
    </w:p>
    <w:p>
      <w:pPr>
        <w:spacing w:after="0" w:line="164" w:lineRule="exact"/>
        <w:rPr>
          <w:sz w:val="20"/>
          <w:szCs w:val="20"/>
          <w:color w:val="auto"/>
        </w:rPr>
      </w:pPr>
    </w:p>
    <w:p>
      <w:pPr>
        <w:ind w:left="360"/>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Property and Equipment</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Property and equipment as of December 31 consisted of the following (in millions):</w:t>
      </w:r>
    </w:p>
    <w:p>
      <w:pPr>
        <w:spacing w:after="0" w:line="260"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6600" w:type="dxa"/>
            <w:vAlign w:val="bottom"/>
            <w:vMerge w:val="restart"/>
          </w:tcPr>
          <w:p>
            <w:pPr>
              <w:jc w:val="right"/>
              <w:ind w:right="6080"/>
              <w:spacing w:after="0"/>
              <w:rPr>
                <w:sz w:val="20"/>
                <w:szCs w:val="20"/>
                <w:color w:val="auto"/>
              </w:rPr>
            </w:pPr>
            <w:r>
              <w:rPr>
                <w:rFonts w:ascii="Times New Roman" w:cs="Times New Roman" w:eastAsia="Times New Roman" w:hAnsi="Times New Roman"/>
                <w:sz w:val="20"/>
                <w:szCs w:val="20"/>
                <w:color w:val="auto"/>
                <w:w w:val="97"/>
              </w:rPr>
              <w:t>Land</w:t>
            </w: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0" w:type="dxa"/>
            <w:vAlign w:val="bottom"/>
            <w:vMerge w:val="continue"/>
          </w:tcPr>
          <w:p>
            <w:pPr>
              <w:jc w:val="right"/>
              <w:ind w:right="3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w:t>
            </w:r>
          </w:p>
        </w:tc>
        <w:tc>
          <w:tcPr>
            <w:tcW w:w="20" w:type="dxa"/>
            <w:vAlign w:val="bottom"/>
          </w:tcPr>
          <w:p>
            <w:pPr>
              <w:spacing w:after="0"/>
              <w:rPr>
                <w:sz w:val="17"/>
                <w:szCs w:val="17"/>
                <w:color w:val="auto"/>
              </w:rPr>
            </w:pPr>
          </w:p>
        </w:tc>
        <w:tc>
          <w:tcPr>
            <w:tcW w:w="320" w:type="dxa"/>
            <w:vAlign w:val="bottom"/>
          </w:tcPr>
          <w:p>
            <w:pPr>
              <w:jc w:val="right"/>
              <w:ind w:right="120"/>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873</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jc w:val="right"/>
              <w:ind w:right="100"/>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772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w w:val="95"/>
              </w:rPr>
              <w:t>Landfills . . . . . . . . . . . . . . . . . . . . . . . . . . . . . . . . . . . .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20,273</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0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w w:val="97"/>
              </w:rPr>
              <w:t>Vehicles  . . . . . . . . . . . . . . . . . . . . . . . . . . . . . . . . . . .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7,065</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w w:val="96"/>
              </w:rPr>
              <w:t>Machinery and equipment (a) . . . . . . . . . . . . . . . . . . .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5,757</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0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w w:val="96"/>
              </w:rPr>
              <w:t>Containers . . . . . . . . . . . . . . . . . . . . . . . . . . . . . . . . . .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3,369</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w w:val="97"/>
              </w:rPr>
              <w:t>Buildings and improvements . . . . . . . . . . . . . . . . . . . . . . . . . . . . . . . . . .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5,210</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60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w w:val="98"/>
              </w:rPr>
              <w:t>Furniture, fixtures and office equipment  . . . . . . . . . . . . . . . . . . . . . . . . . . . . . .</w:t>
            </w: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570</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43,117</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39,794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rPr>
              <w:t>Less: Accumulated depreciation of tangible property and equipment . . . . .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(11,518)</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(11,183)</w:t>
            </w:r>
          </w:p>
        </w:tc>
        <w:tc>
          <w:tcPr>
            <w:tcW w:w="0" w:type="dxa"/>
            <w:vAlign w:val="bottom"/>
          </w:tcPr>
          <w:p>
            <w:pPr>
              <w:spacing w:after="0"/>
              <w:rPr>
                <w:sz w:val="1"/>
                <w:szCs w:val="1"/>
                <w:color w:val="auto"/>
              </w:rPr>
            </w:pPr>
          </w:p>
        </w:tc>
      </w:tr>
      <w:tr>
        <w:trPr>
          <w:trHeight w:val="251"/>
        </w:trPr>
        <w:tc>
          <w:tcPr>
            <w:tcW w:w="660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w w:val="99"/>
              </w:rPr>
              <w:t>Less: Accumulated depletion of landfill airspace . . . . . . . . . . . . . . . . . . . . . . .</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(12,259)</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(11,643)</w:t>
            </w:r>
          </w:p>
        </w:tc>
        <w:tc>
          <w:tcPr>
            <w:tcW w:w="0" w:type="dxa"/>
            <w:vAlign w:val="bottom"/>
          </w:tcPr>
          <w:p>
            <w:pPr>
              <w:spacing w:after="0"/>
              <w:rPr>
                <w:sz w:val="1"/>
                <w:szCs w:val="1"/>
                <w:color w:val="auto"/>
              </w:rPr>
            </w:pPr>
          </w:p>
        </w:tc>
      </w:tr>
      <w:tr>
        <w:trPr>
          <w:trHeight w:val="230"/>
        </w:trPr>
        <w:tc>
          <w:tcPr>
            <w:tcW w:w="6600" w:type="dxa"/>
            <w:vAlign w:val="bottom"/>
          </w:tcPr>
          <w:p>
            <w:pPr>
              <w:jc w:val="right"/>
              <w:ind w:right="32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.Propertyandequipment,net(b)</w:t>
            </w:r>
          </w:p>
        </w:tc>
        <w:tc>
          <w:tcPr>
            <w:tcW w:w="2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19,340</w:t>
            </w: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0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16,968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106680</wp:posOffset>
                </wp:positionV>
                <wp:extent cx="1541145"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8.4pt" to="139.65pt,8.4pt" o:allowincell="f" strokecolor="#000000" strokeweight="1.0199pt"/>
            </w:pict>
          </mc:Fallback>
        </mc:AlternateContent>
      </w:r>
    </w:p>
    <w:p>
      <w:pPr>
        <w:spacing w:after="0" w:line="191" w:lineRule="exact"/>
        <w:rPr>
          <w:sz w:val="20"/>
          <w:szCs w:val="20"/>
          <w:color w:val="auto"/>
        </w:rPr>
      </w:pPr>
    </w:p>
    <w:p>
      <w:pPr>
        <w:jc w:val="both"/>
        <w:ind w:left="720" w:right="360" w:hanging="353"/>
        <w:spacing w:after="0" w:line="252" w:lineRule="auto"/>
        <w:tabs>
          <w:tab w:leader="none" w:pos="72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December 31, 2024 and 2023, includes (i) $1.7 billion and $1.5 billion, respectively, related to recycling facilities and (ii) $834 million and $720 million, respectively, related to RNG facilities. December 31, 2024 also includes $419 million related to autoclaves, incinerators, and other equipment of Stericycle that was acquired on November 4, 2024 and is now included in WM Healthcare Solutions.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3320" w:h="16920" w:orient="portrait"/>
          <w:cols w:equalWidth="0" w:num="1">
            <w:col w:w="10440"/>
          </w:cols>
          <w:pgMar w:left="1440" w:top="1440" w:right="1440" w:bottom="1440" w:gutter="0" w:footer="0" w:header="0"/>
          <w:type w:val="continuous"/>
        </w:sectPr>
      </w:pPr>
    </w:p>
    <w:bookmarkStart w:id="177" w:name="page178"/>
    <w:bookmarkEnd w:id="177"/>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720" w:right="360" w:hanging="353"/>
        <w:spacing w:after="0" w:line="278" w:lineRule="auto"/>
        <w:tabs>
          <w:tab w:leader="none" w:pos="72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approximately $3.4 billion and $2.8 billion of construction in progress as of December 31, 2024 and 2023, respectively.</w:t>
      </w:r>
    </w:p>
    <w:p>
      <w:pPr>
        <w:spacing w:after="0" w:line="127"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Note 11 for information regarding asset impairments.</w:t>
      </w:r>
    </w:p>
    <w:p>
      <w:pPr>
        <w:spacing w:after="0" w:line="200"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Depreciation and depletion expense, including for assets recorded as financing leases, consisted of the following for the year ended December 31 (in millions):</w:t>
      </w:r>
    </w:p>
    <w:p>
      <w:pPr>
        <w:spacing w:after="0" w:line="147"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6680" w:type="dxa"/>
            <w:vAlign w:val="bottom"/>
            <w:vMerge w:val="restart"/>
          </w:tcPr>
          <w:p>
            <w:pPr>
              <w:jc w:val="right"/>
              <w:ind w:right="2660"/>
              <w:spacing w:after="0"/>
              <w:rPr>
                <w:sz w:val="20"/>
                <w:szCs w:val="20"/>
                <w:color w:val="auto"/>
              </w:rPr>
            </w:pPr>
            <w:r>
              <w:rPr>
                <w:rFonts w:ascii="Times New Roman" w:cs="Times New Roman" w:eastAsia="Times New Roman" w:hAnsi="Times New Roman"/>
                <w:sz w:val="20"/>
                <w:szCs w:val="20"/>
                <w:color w:val="auto"/>
                <w:w w:val="99"/>
              </w:rPr>
              <w:t>Depreciation of tangible property and equipment</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9"/>
        </w:trPr>
        <w:tc>
          <w:tcPr>
            <w:tcW w:w="6680" w:type="dxa"/>
            <w:vAlign w:val="bottom"/>
            <w:vMerge w:val="continue"/>
          </w:tcPr>
          <w:p>
            <w:pPr>
              <w:jc w:val="right"/>
              <w:ind w:right="200"/>
              <w:spacing w:after="0" w:line="177" w:lineRule="exact"/>
              <w:rPr>
                <w:sz w:val="20"/>
                <w:szCs w:val="20"/>
                <w:color w:val="auto"/>
              </w:rPr>
            </w:pPr>
            <w:r>
              <w:rPr>
                <w:rFonts w:ascii="Times New Roman" w:cs="Times New Roman" w:eastAsia="Times New Roman" w:hAnsi="Times New Roman"/>
                <w:sz w:val="20"/>
                <w:szCs w:val="20"/>
                <w:color w:val="auto"/>
              </w:rPr>
              <w:t>. . . . . . . . . . . . . . . . . . . . . . . . . .</w:t>
            </w:r>
          </w:p>
        </w:tc>
        <w:tc>
          <w:tcPr>
            <w:tcW w:w="20" w:type="dxa"/>
            <w:vAlign w:val="bottom"/>
          </w:tcPr>
          <w:p>
            <w:pPr>
              <w:spacing w:after="0"/>
              <w:rPr>
                <w:sz w:val="17"/>
                <w:szCs w:val="17"/>
                <w:color w:val="auto"/>
              </w:rPr>
            </w:pPr>
          </w:p>
        </w:tc>
        <w:tc>
          <w:tcPr>
            <w:tcW w:w="1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1,292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1,197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1,155</w:t>
            </w:r>
          </w:p>
        </w:tc>
        <w:tc>
          <w:tcPr>
            <w:tcW w:w="0" w:type="dxa"/>
            <w:vAlign w:val="bottom"/>
          </w:tcPr>
          <w:p>
            <w:pPr>
              <w:spacing w:after="0"/>
              <w:rPr>
                <w:sz w:val="1"/>
                <w:szCs w:val="1"/>
                <w:color w:val="auto"/>
              </w:rPr>
            </w:pPr>
          </w:p>
        </w:tc>
      </w:tr>
      <w:tr>
        <w:trPr>
          <w:trHeight w:val="25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Depletion of landfill airspace . . . . . . . . . .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754</w:t>
            </w:r>
          </w:p>
        </w:tc>
        <w:tc>
          <w:tcPr>
            <w:tcW w:w="0" w:type="dxa"/>
            <w:vAlign w:val="bottom"/>
          </w:tcPr>
          <w:p>
            <w:pPr>
              <w:spacing w:after="0"/>
              <w:rPr>
                <w:sz w:val="1"/>
                <w:szCs w:val="1"/>
                <w:color w:val="auto"/>
              </w:rPr>
            </w:pPr>
          </w:p>
        </w:tc>
      </w:tr>
      <w:tr>
        <w:trPr>
          <w:trHeight w:val="230"/>
        </w:trPr>
        <w:tc>
          <w:tcPr>
            <w:tcW w:w="6680" w:type="dxa"/>
            <w:vAlign w:val="bottom"/>
          </w:tcPr>
          <w:p>
            <w:pPr>
              <w:jc w:val="right"/>
              <w:ind w:right="20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.Depreciationanddepletionexpense</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2,087</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1,942</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1,909</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See Note 5 for information regarding amortization of our intangible assets.</w:t>
      </w:r>
    </w:p>
    <w:p>
      <w:pPr>
        <w:spacing w:after="0" w:line="196" w:lineRule="exact"/>
        <w:rPr>
          <w:sz w:val="20"/>
          <w:szCs w:val="20"/>
          <w:color w:val="auto"/>
        </w:rPr>
      </w:pPr>
    </w:p>
    <w:p>
      <w:pPr>
        <w:ind w:left="360"/>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Goodwill and Other Intangible Assets</w:t>
      </w:r>
    </w:p>
    <w:p>
      <w:pPr>
        <w:spacing w:after="0" w:line="204"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Goodwill was $13,438 million and $9,254 million as of December 31, 2024 and 2023, respectively. As discussed in Note 2, we perform our annual impairment test of goodwill balances for our reporting units using a measurement date of October 1. We will also perform interim tests if an impairment indicator exists. In 2023, as a result of a longer-than-anticipated ramp toward full scale and profitability of a business engaged in accelerating film and plastic wrap recycling capabilities, we recorded a goodwill impairment charge of $168 million, with $22 million attributable to noncontrolling interests. This charge was partially offset by the recognition of $46 million of income related to the reversal of a liability for contingent consideration associated with our investment in such business for the year ended December 31, 2023. This net charge was reflected in our financial statements as part of our Recycling Processing and Sales segment. Fair value of the business was estimated using an income approach based on long-term projected discounted future cash flows of the reporting unit. The $4,184 million increase in goodwill during 2024 is primarily related to our acquisition of Stericycle. There were no impairments of goodwill or other intangible assets as of December 31, 2024. See Notes 11 and 17 for additional information.</w:t>
      </w:r>
    </w:p>
    <w:p>
      <w:pPr>
        <w:spacing w:after="0" w:line="167"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Goodwill is included within each segment’s total assets. For segment reporting purposes, our recycling facilities and recycling brokerage services are included within our Recycling Processing and Sales segment. All of the goodwill from our acquisition of Stericycle was provisionally assigned to the WM Healthcare Solutions segment. The assignment of goodwill to reporting units is not complete as of December 31, 2024. The following table presents changes in goodwill during the reported periods (in millions):</w:t>
      </w:r>
    </w:p>
    <w:p>
      <w:pPr>
        <w:spacing w:after="0" w:line="182" w:lineRule="exact"/>
        <w:rPr>
          <w:sz w:val="20"/>
          <w:szCs w:val="20"/>
          <w:color w:val="auto"/>
        </w:rPr>
      </w:pPr>
    </w:p>
    <w:tbl>
      <w:tblPr>
        <w:tblLayout w:type="fixed"/>
        <w:tblInd w:w="360" w:type="dxa"/>
        <w:tblCellMar>
          <w:top w:w="0" w:type="dxa"/>
          <w:left w:w="0" w:type="dxa"/>
          <w:bottom w:w="0" w:type="dxa"/>
          <w:right w:w="0" w:type="dxa"/>
        </w:tblCellMar>
      </w:tblPr>
      <w:tr>
        <w:trPr>
          <w:trHeight w:val="174"/>
        </w:trPr>
        <w:tc>
          <w:tcPr>
            <w:tcW w:w="3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Recycling</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center"/>
              <w:ind w:right="67"/>
              <w:spacing w:after="0"/>
              <w:rPr>
                <w:sz w:val="20"/>
                <w:szCs w:val="20"/>
                <w:color w:val="auto"/>
              </w:rPr>
            </w:pPr>
            <w:r>
              <w:rPr>
                <w:rFonts w:ascii="Times New Roman" w:cs="Times New Roman" w:eastAsia="Times New Roman" w:hAnsi="Times New Roman"/>
                <w:sz w:val="15"/>
                <w:szCs w:val="15"/>
                <w:b w:val="1"/>
                <w:bCs w:val="1"/>
                <w:color w:val="auto"/>
              </w:rPr>
              <w:t>WM</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7"/>
          </w:tcPr>
          <w:p>
            <w:pPr>
              <w:ind w:left="620"/>
              <w:spacing w:after="0"/>
              <w:rPr>
                <w:sz w:val="20"/>
                <w:szCs w:val="20"/>
                <w:color w:val="auto"/>
              </w:rPr>
            </w:pPr>
            <w:r>
              <w:rPr>
                <w:rFonts w:ascii="Times New Roman" w:cs="Times New Roman" w:eastAsia="Times New Roman" w:hAnsi="Times New Roman"/>
                <w:sz w:val="15"/>
                <w:szCs w:val="15"/>
                <w:b w:val="1"/>
                <w:bCs w:val="1"/>
                <w:color w:val="auto"/>
              </w:rPr>
              <w:t>Collection and Disposal</w:t>
            </w: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w w:val="99"/>
              </w:rPr>
              <w:t>Processing</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Healthcare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Balance, December 31, 2022</w:t>
            </w:r>
          </w:p>
        </w:tc>
        <w:tc>
          <w:tcPr>
            <w:tcW w:w="160" w:type="dxa"/>
            <w:vAlign w:val="bottom"/>
          </w:tcPr>
          <w:p>
            <w:pPr>
              <w:spacing w:after="0"/>
              <w:rPr>
                <w:sz w:val="14"/>
                <w:szCs w:val="14"/>
                <w:color w:val="auto"/>
              </w:rPr>
            </w:pPr>
          </w:p>
        </w:tc>
        <w:tc>
          <w:tcPr>
            <w:tcW w:w="1000" w:type="dxa"/>
            <w:vAlign w:val="bottom"/>
            <w:gridSpan w:val="2"/>
          </w:tcPr>
          <w:p>
            <w:pPr>
              <w:jc w:val="right"/>
              <w:ind w:right="360"/>
              <w:spacing w:after="0" w:line="164" w:lineRule="exact"/>
              <w:rPr>
                <w:sz w:val="20"/>
                <w:szCs w:val="20"/>
                <w:color w:val="auto"/>
              </w:rPr>
            </w:pPr>
            <w:r>
              <w:rPr>
                <w:rFonts w:ascii="Times New Roman" w:cs="Times New Roman" w:eastAsia="Times New Roman" w:hAnsi="Times New Roman"/>
                <w:sz w:val="15"/>
                <w:szCs w:val="15"/>
                <w:b w:val="1"/>
                <w:bCs w:val="1"/>
                <w:color w:val="auto"/>
              </w:rPr>
              <w:t>East Tier</w:t>
            </w:r>
          </w:p>
        </w:tc>
        <w:tc>
          <w:tcPr>
            <w:tcW w:w="70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5"/>
                <w:szCs w:val="15"/>
                <w:b w:val="1"/>
                <w:bCs w:val="1"/>
                <w:color w:val="auto"/>
              </w:rPr>
              <w:t>West Tier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5"/>
                <w:szCs w:val="15"/>
                <w:b w:val="1"/>
                <w:bCs w:val="1"/>
                <w:color w:val="auto"/>
                <w:w w:val="99"/>
              </w:rPr>
              <w:t>Other Ancillary</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auto"/>
              </w:rPr>
              <w:t>and Sales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auto"/>
              </w:rPr>
              <w:t>Solutions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80"/>
              <w:spacing w:after="0" w:line="164"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0"/>
        </w:trPr>
        <w:tc>
          <w:tcPr>
            <w:tcW w:w="3360" w:type="dxa"/>
            <w:vAlign w:val="bottom"/>
            <w:gridSpan w:val="2"/>
            <w:vMerge w:val="continue"/>
          </w:tcPr>
          <w:p>
            <w:pPr>
              <w:jc w:val="right"/>
              <w:ind w:right="260"/>
              <w:spacing w:after="0" w:line="167" w:lineRule="exact"/>
              <w:rPr>
                <w:sz w:val="20"/>
                <w:szCs w:val="20"/>
                <w:color w:val="auto"/>
              </w:rPr>
            </w:pPr>
            <w:r>
              <w:rPr>
                <w:rFonts w:ascii="Times New Roman" w:cs="Times New Roman" w:eastAsia="Times New Roman" w:hAnsi="Times New Roman"/>
                <w:sz w:val="19"/>
                <w:szCs w:val="19"/>
                <w:color w:val="auto"/>
              </w:rPr>
              <w:t>. . . . . . . . .</w:t>
            </w:r>
          </w:p>
        </w:tc>
        <w:tc>
          <w:tcPr>
            <w:tcW w:w="16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9"/>
                <w:szCs w:val="19"/>
                <w:color w:val="auto"/>
                <w:w w:val="83"/>
              </w:rPr>
              <w:t>$</w:t>
            </w:r>
          </w:p>
        </w:tc>
        <w:tc>
          <w:tcPr>
            <w:tcW w:w="84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9"/>
                <w:szCs w:val="19"/>
                <w:color w:val="auto"/>
              </w:rPr>
              <w:t>5,072</w:t>
            </w: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9"/>
                <w:szCs w:val="19"/>
                <w:color w:val="auto"/>
              </w:rPr>
              <w:t>$</w:t>
            </w:r>
          </w:p>
        </w:tc>
        <w:tc>
          <w:tcPr>
            <w:tcW w:w="54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9"/>
                <w:szCs w:val="19"/>
                <w:color w:val="auto"/>
              </w:rPr>
              <w:t>3,696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9"/>
                <w:szCs w:val="19"/>
                <w:color w:val="auto"/>
              </w:rPr>
              <w:t>$</w:t>
            </w:r>
          </w:p>
        </w:tc>
        <w:tc>
          <w:tcPr>
            <w:tcW w:w="52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9"/>
                <w:szCs w:val="19"/>
                <w:color w:val="auto"/>
              </w:rPr>
              <w:t>27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9"/>
                <w:szCs w:val="19"/>
                <w:color w:val="auto"/>
              </w:rPr>
              <w:t>$</w:t>
            </w:r>
          </w:p>
        </w:tc>
        <w:tc>
          <w:tcPr>
            <w:tcW w:w="52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9"/>
                <w:szCs w:val="19"/>
                <w:color w:val="auto"/>
              </w:rPr>
              <w:t>527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9"/>
                <w:szCs w:val="19"/>
                <w:color w:val="auto"/>
              </w:rPr>
              <w:t>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9"/>
                <w:szCs w:val="19"/>
                <w:color w:val="auto"/>
              </w:rPr>
              <w:t>9,323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6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w w:val="98"/>
              </w:rPr>
              <w:t>Acquired goodwill . . . . . . . . . . . . . . . . . .</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6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w w:val="99"/>
              </w:rPr>
              <w:t>Divested goodwill . . . . . . . . . . . . . . . . . .</w:t>
            </w: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0"/>
        </w:trPr>
        <w:tc>
          <w:tcPr>
            <w:tcW w:w="336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w w:val="97"/>
              </w:rPr>
              <w:t>Impairments . . . . . . . . . . . . . . . . . . . . . . .</w:t>
            </w: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6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w w:val="99"/>
              </w:rPr>
              <w:t>Foreign currency translation and other . .</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360" w:type="dxa"/>
            <w:vAlign w:val="bottom"/>
            <w:gridSpan w:val="2"/>
          </w:tcPr>
          <w:p>
            <w:pPr>
              <w:jc w:val="right"/>
              <w:ind w:right="260"/>
              <w:spacing w:after="0" w:line="190" w:lineRule="exact"/>
              <w:rPr>
                <w:sz w:val="20"/>
                <w:szCs w:val="20"/>
                <w:color w:val="auto"/>
              </w:rPr>
            </w:pPr>
            <w:r>
              <w:rPr>
                <w:rFonts w:ascii="Times New Roman" w:cs="Times New Roman" w:eastAsia="Times New Roman" w:hAnsi="Times New Roman"/>
                <w:sz w:val="19"/>
                <w:szCs w:val="19"/>
                <w:color w:val="auto"/>
              </w:rPr>
              <w:t>. . . . . . . . .Balance,December31,2023</w:t>
            </w:r>
          </w:p>
        </w:tc>
        <w:tc>
          <w:tcPr>
            <w:tcW w:w="16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w w:val="83"/>
              </w:rPr>
              <w:t>$</w:t>
            </w:r>
          </w:p>
        </w:tc>
        <w:tc>
          <w:tcPr>
            <w:tcW w:w="84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5,094</w:t>
            </w:r>
          </w:p>
        </w:tc>
        <w:tc>
          <w:tcPr>
            <w:tcW w:w="160" w:type="dxa"/>
            <w:vAlign w:val="bottom"/>
          </w:tcPr>
          <w:p>
            <w:pPr>
              <w:spacing w:after="0"/>
              <w:rPr>
                <w:sz w:val="16"/>
                <w:szCs w:val="16"/>
                <w:color w:val="auto"/>
              </w:rPr>
            </w:pPr>
          </w:p>
        </w:tc>
        <w:tc>
          <w:tcPr>
            <w:tcW w:w="160" w:type="dxa"/>
            <w:vAlign w:val="bottom"/>
          </w:tcPr>
          <w:p>
            <w:pPr>
              <w:spacing w:after="0" w:line="190" w:lineRule="exact"/>
              <w:rPr>
                <w:sz w:val="20"/>
                <w:szCs w:val="20"/>
                <w:color w:val="auto"/>
              </w:rPr>
            </w:pPr>
            <w:r>
              <w:rPr>
                <w:rFonts w:ascii="Times New Roman" w:cs="Times New Roman" w:eastAsia="Times New Roman" w:hAnsi="Times New Roman"/>
                <w:sz w:val="19"/>
                <w:szCs w:val="19"/>
                <w:color w:val="auto"/>
              </w:rPr>
              <w:t>$</w:t>
            </w:r>
          </w:p>
        </w:tc>
        <w:tc>
          <w:tcPr>
            <w:tcW w:w="54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3,766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line="190" w:lineRule="exact"/>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27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line="190" w:lineRule="exact"/>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366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line="190"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9,254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6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Acquired goodwill . . . . . . . . . . . . . . . . .</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3,633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6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w w:val="99"/>
              </w:rPr>
              <w:t>Divested goodwill . . . . . . . . . . . . . . . . . .</w:t>
            </w: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(4)</w:t>
            </w:r>
          </w:p>
        </w:tc>
        <w:tc>
          <w:tcPr>
            <w:tcW w:w="0" w:type="dxa"/>
            <w:vAlign w:val="bottom"/>
          </w:tcPr>
          <w:p>
            <w:pPr>
              <w:spacing w:after="0"/>
              <w:rPr>
                <w:sz w:val="1"/>
                <w:szCs w:val="1"/>
                <w:color w:val="auto"/>
              </w:rPr>
            </w:pPr>
          </w:p>
        </w:tc>
      </w:tr>
      <w:tr>
        <w:trPr>
          <w:trHeight w:val="220"/>
        </w:trPr>
        <w:tc>
          <w:tcPr>
            <w:tcW w:w="336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w w:val="97"/>
              </w:rPr>
              <w:t>Impairments . . . . . . . . . . . . . . . . . . . . . . .</w:t>
            </w: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9"/>
        </w:trPr>
        <w:tc>
          <w:tcPr>
            <w:tcW w:w="336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w w:val="99"/>
              </w:rPr>
              <w:t>Foreign currency translation and other . .</w:t>
            </w: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(32)</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(33)</w:t>
            </w:r>
          </w:p>
        </w:tc>
        <w:tc>
          <w:tcPr>
            <w:tcW w:w="0" w:type="dxa"/>
            <w:vAlign w:val="bottom"/>
          </w:tcPr>
          <w:p>
            <w:pPr>
              <w:spacing w:after="0"/>
              <w:rPr>
                <w:sz w:val="1"/>
                <w:szCs w:val="1"/>
                <w:color w:val="auto"/>
              </w:rPr>
            </w:pPr>
          </w:p>
        </w:tc>
      </w:tr>
      <w:tr>
        <w:trPr>
          <w:trHeight w:val="219"/>
        </w:trPr>
        <w:tc>
          <w:tcPr>
            <w:tcW w:w="3340" w:type="dxa"/>
            <w:vAlign w:val="bottom"/>
          </w:tcPr>
          <w:p>
            <w:pPr>
              <w:jc w:val="right"/>
              <w:ind w:right="145"/>
              <w:spacing w:after="0" w:line="211" w:lineRule="exact"/>
              <w:rPr>
                <w:sz w:val="20"/>
                <w:szCs w:val="20"/>
                <w:color w:val="auto"/>
              </w:rPr>
            </w:pPr>
            <w:r>
              <w:rPr>
                <w:rFonts w:ascii="Times New Roman" w:cs="Times New Roman" w:eastAsia="Times New Roman" w:hAnsi="Times New Roman"/>
                <w:sz w:val="19"/>
                <w:szCs w:val="19"/>
                <w:color w:val="auto"/>
              </w:rPr>
              <w:t>Balance, December 31, 2024 . . . . . . . . .</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11" w:lineRule="exact"/>
              <w:rPr>
                <w:sz w:val="20"/>
                <w:szCs w:val="20"/>
                <w:color w:val="auto"/>
              </w:rPr>
            </w:pPr>
            <w:r>
              <w:rPr>
                <w:rFonts w:ascii="Times New Roman" w:cs="Times New Roman" w:eastAsia="Times New Roman" w:hAnsi="Times New Roman"/>
                <w:sz w:val="19"/>
                <w:szCs w:val="19"/>
                <w:color w:val="auto"/>
                <w:w w:val="83"/>
              </w:rPr>
              <w:t>$</w:t>
            </w:r>
          </w:p>
        </w:tc>
        <w:tc>
          <w:tcPr>
            <w:tcW w:w="840" w:type="dxa"/>
            <w:vAlign w:val="bottom"/>
            <w:tcBorders>
              <w:top w:val="single" w:sz="8" w:color="auto"/>
              <w:bottom w:val="single" w:sz="8" w:color="auto"/>
            </w:tcBorders>
          </w:tcPr>
          <w:p>
            <w:pPr>
              <w:jc w:val="right"/>
              <w:spacing w:after="0" w:line="211" w:lineRule="exact"/>
              <w:rPr>
                <w:sz w:val="20"/>
                <w:szCs w:val="20"/>
                <w:color w:val="auto"/>
              </w:rPr>
            </w:pPr>
            <w:r>
              <w:rPr>
                <w:rFonts w:ascii="Times New Roman" w:cs="Times New Roman" w:eastAsia="Times New Roman" w:hAnsi="Times New Roman"/>
                <w:sz w:val="19"/>
                <w:szCs w:val="19"/>
                <w:color w:val="auto"/>
              </w:rPr>
              <w:t>5,615</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line="211" w:lineRule="exact"/>
              <w:rPr>
                <w:sz w:val="20"/>
                <w:szCs w:val="20"/>
                <w:color w:val="auto"/>
              </w:rPr>
            </w:pPr>
            <w:r>
              <w:rPr>
                <w:rFonts w:ascii="Times New Roman" w:cs="Times New Roman" w:eastAsia="Times New Roman" w:hAnsi="Times New Roman"/>
                <w:sz w:val="19"/>
                <w:szCs w:val="19"/>
                <w:color w:val="auto"/>
              </w:rPr>
              <w:t>$</w:t>
            </w:r>
          </w:p>
        </w:tc>
        <w:tc>
          <w:tcPr>
            <w:tcW w:w="540" w:type="dxa"/>
            <w:vAlign w:val="bottom"/>
            <w:tcBorders>
              <w:top w:val="single" w:sz="8" w:color="auto"/>
              <w:bottom w:val="single" w:sz="8" w:color="auto"/>
            </w:tcBorders>
          </w:tcPr>
          <w:p>
            <w:pPr>
              <w:jc w:val="right"/>
              <w:spacing w:after="0" w:line="211" w:lineRule="exact"/>
              <w:rPr>
                <w:sz w:val="20"/>
                <w:szCs w:val="20"/>
                <w:color w:val="auto"/>
              </w:rPr>
            </w:pPr>
            <w:r>
              <w:rPr>
                <w:rFonts w:ascii="Times New Roman" w:cs="Times New Roman" w:eastAsia="Times New Roman" w:hAnsi="Times New Roman"/>
                <w:sz w:val="19"/>
                <w:szCs w:val="19"/>
                <w:color w:val="auto"/>
              </w:rPr>
              <w:t>3,792</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line="211" w:lineRule="exact"/>
              <w:rPr>
                <w:sz w:val="20"/>
                <w:szCs w:val="20"/>
                <w:color w:val="auto"/>
              </w:rPr>
            </w:pPr>
            <w:r>
              <w:rPr>
                <w:rFonts w:ascii="Times New Roman" w:cs="Times New Roman" w:eastAsia="Times New Roman" w:hAnsi="Times New Roman"/>
                <w:sz w:val="19"/>
                <w:szCs w:val="19"/>
                <w:color w:val="auto"/>
              </w:rPr>
              <w:t>$</w:t>
            </w:r>
          </w:p>
        </w:tc>
        <w:tc>
          <w:tcPr>
            <w:tcW w:w="520" w:type="dxa"/>
            <w:vAlign w:val="bottom"/>
            <w:tcBorders>
              <w:top w:val="single" w:sz="8" w:color="auto"/>
              <w:bottom w:val="single" w:sz="8" w:color="auto"/>
            </w:tcBorders>
          </w:tcPr>
          <w:p>
            <w:pPr>
              <w:jc w:val="right"/>
              <w:spacing w:after="0" w:line="211" w:lineRule="exact"/>
              <w:rPr>
                <w:sz w:val="20"/>
                <w:szCs w:val="20"/>
                <w:color w:val="auto"/>
              </w:rPr>
            </w:pPr>
            <w:r>
              <w:rPr>
                <w:rFonts w:ascii="Times New Roman" w:cs="Times New Roman" w:eastAsia="Times New Roman" w:hAnsi="Times New Roman"/>
                <w:sz w:val="19"/>
                <w:szCs w:val="19"/>
                <w:color w:val="auto"/>
              </w:rPr>
              <w:t>27</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line="211" w:lineRule="exact"/>
              <w:rPr>
                <w:sz w:val="20"/>
                <w:szCs w:val="20"/>
                <w:color w:val="auto"/>
              </w:rPr>
            </w:pPr>
            <w:r>
              <w:rPr>
                <w:rFonts w:ascii="Times New Roman" w:cs="Times New Roman" w:eastAsia="Times New Roman" w:hAnsi="Times New Roman"/>
                <w:sz w:val="19"/>
                <w:szCs w:val="19"/>
                <w:color w:val="auto"/>
              </w:rPr>
              <w:t>$</w:t>
            </w:r>
          </w:p>
        </w:tc>
        <w:tc>
          <w:tcPr>
            <w:tcW w:w="520" w:type="dxa"/>
            <w:vAlign w:val="bottom"/>
            <w:tcBorders>
              <w:top w:val="single" w:sz="8" w:color="auto"/>
              <w:bottom w:val="single" w:sz="8" w:color="auto"/>
            </w:tcBorders>
          </w:tcPr>
          <w:p>
            <w:pPr>
              <w:jc w:val="right"/>
              <w:spacing w:after="0" w:line="211" w:lineRule="exact"/>
              <w:rPr>
                <w:sz w:val="20"/>
                <w:szCs w:val="20"/>
                <w:color w:val="auto"/>
              </w:rPr>
            </w:pPr>
            <w:r>
              <w:rPr>
                <w:rFonts w:ascii="Times New Roman" w:cs="Times New Roman" w:eastAsia="Times New Roman" w:hAnsi="Times New Roman"/>
                <w:sz w:val="19"/>
                <w:szCs w:val="19"/>
                <w:color w:val="auto"/>
              </w:rPr>
              <w:t>370</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line="211" w:lineRule="exact"/>
              <w:rPr>
                <w:sz w:val="20"/>
                <w:szCs w:val="20"/>
                <w:color w:val="auto"/>
              </w:rPr>
            </w:pPr>
            <w:r>
              <w:rPr>
                <w:rFonts w:ascii="Times New Roman" w:cs="Times New Roman" w:eastAsia="Times New Roman" w:hAnsi="Times New Roman"/>
                <w:sz w:val="19"/>
                <w:szCs w:val="19"/>
                <w:color w:val="auto"/>
              </w:rPr>
              <w:t>3,633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line="211"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Borders>
              <w:top w:val="single" w:sz="8" w:color="auto"/>
              <w:bottom w:val="single" w:sz="8" w:color="auto"/>
            </w:tcBorders>
          </w:tcPr>
          <w:p>
            <w:pPr>
              <w:jc w:val="right"/>
              <w:spacing w:after="0" w:line="211" w:lineRule="exact"/>
              <w:rPr>
                <w:sz w:val="20"/>
                <w:szCs w:val="20"/>
                <w:color w:val="auto"/>
              </w:rPr>
            </w:pPr>
            <w:r>
              <w:rPr>
                <w:rFonts w:ascii="Times New Roman" w:cs="Times New Roman" w:eastAsia="Times New Roman" w:hAnsi="Times New Roman"/>
                <w:sz w:val="19"/>
                <w:szCs w:val="19"/>
                <w:color w:val="auto"/>
              </w:rPr>
              <w:t>1</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line="211" w:lineRule="exact"/>
              <w:rPr>
                <w:sz w:val="20"/>
                <w:szCs w:val="20"/>
                <w:color w:val="auto"/>
              </w:rPr>
            </w:pPr>
            <w:r>
              <w:rPr>
                <w:rFonts w:ascii="Times New Roman" w:cs="Times New Roman" w:eastAsia="Times New Roman" w:hAnsi="Times New Roman"/>
                <w:sz w:val="19"/>
                <w:szCs w:val="19"/>
                <w:color w:val="auto"/>
              </w:rPr>
              <w:t>13,438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3320" w:h="16920" w:orient="portrait"/>
          <w:cols w:equalWidth="0" w:num="1">
            <w:col w:w="10440"/>
          </w:cols>
          <w:pgMar w:left="1440" w:top="1440" w:right="1440" w:bottom="1440" w:gutter="0" w:footer="0" w:header="0"/>
          <w:type w:val="continuous"/>
        </w:sectPr>
      </w:pPr>
    </w:p>
    <w:bookmarkStart w:id="178" w:name="page179"/>
    <w:bookmarkEnd w:id="178"/>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other intangible assets consisted of the following as of December 31 (in millions):</w:t>
      </w:r>
    </w:p>
    <w:p>
      <w:pPr>
        <w:spacing w:after="0" w:line="272"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Covenants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rPr>
              <w:t>Licenses,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Trade names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w w:val="99"/>
              </w:rPr>
              <w:t>and Supplier</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Not-to-</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7"/>
              </w:rPr>
              <w:t>Permits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Relationships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Compete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8"/>
              </w:rPr>
              <w:t>and Other</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1"/>
        </w:trPr>
        <w:tc>
          <w:tcPr>
            <w:tcW w:w="34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 . . . . . . . . . . . . . . . . .</w:t>
            </w:r>
          </w:p>
        </w:tc>
        <w:tc>
          <w:tcPr>
            <w:tcW w:w="440" w:type="dxa"/>
            <w:vAlign w:val="bottom"/>
            <w:gridSpan w:val="2"/>
          </w:tcPr>
          <w:p>
            <w:pPr>
              <w:jc w:val="right"/>
              <w:ind w:right="227"/>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w:t>
            </w:r>
          </w:p>
        </w:tc>
        <w:tc>
          <w:tcPr>
            <w:tcW w:w="2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3,549</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2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w:t>
            </w: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4,993</w:t>
            </w:r>
          </w:p>
        </w:tc>
        <w:tc>
          <w:tcPr>
            <w:tcW w:w="0" w:type="dxa"/>
            <w:vAlign w:val="bottom"/>
          </w:tcPr>
          <w:p>
            <w:pPr>
              <w:spacing w:after="0"/>
              <w:rPr>
                <w:sz w:val="1"/>
                <w:szCs w:val="1"/>
                <w:color w:val="auto"/>
              </w:rPr>
            </w:pPr>
          </w:p>
        </w:tc>
      </w:tr>
      <w:tr>
        <w:trPr>
          <w:trHeight w:val="250"/>
        </w:trPr>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Less: Accumulated amortization . . . .</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(805)</w:t>
            </w:r>
          </w:p>
        </w:tc>
        <w:tc>
          <w:tcPr>
            <w:tcW w:w="0" w:type="dxa"/>
            <w:vAlign w:val="bottom"/>
          </w:tcPr>
          <w:p>
            <w:pPr>
              <w:spacing w:after="0"/>
              <w:rPr>
                <w:sz w:val="1"/>
                <w:szCs w:val="1"/>
                <w:color w:val="auto"/>
              </w:rPr>
            </w:pPr>
          </w:p>
        </w:tc>
      </w:tr>
      <w:tr>
        <w:trPr>
          <w:trHeight w:val="229"/>
        </w:trPr>
        <w:tc>
          <w:tcPr>
            <w:tcW w:w="34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2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2,876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482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4,188</w:t>
            </w:r>
          </w:p>
        </w:tc>
        <w:tc>
          <w:tcPr>
            <w:tcW w:w="0" w:type="dxa"/>
            <w:vAlign w:val="bottom"/>
          </w:tcPr>
          <w:p>
            <w:pPr>
              <w:spacing w:after="0"/>
              <w:rPr>
                <w:sz w:val="1"/>
                <w:szCs w:val="1"/>
                <w:color w:val="auto"/>
              </w:rPr>
            </w:pPr>
          </w:p>
        </w:tc>
      </w:tr>
      <w:tr>
        <w:trPr>
          <w:trHeight w:val="212"/>
        </w:trPr>
        <w:tc>
          <w:tcPr>
            <w:tcW w:w="3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 . . . . . . . . . . . . . . . . .</w:t>
            </w:r>
          </w:p>
        </w:tc>
        <w:tc>
          <w:tcPr>
            <w:tcW w:w="440" w:type="dxa"/>
            <w:vAlign w:val="bottom"/>
            <w:gridSpan w:val="2"/>
          </w:tcPr>
          <w:p>
            <w:pPr>
              <w:jc w:val="right"/>
              <w:ind w:right="227"/>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2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2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1,422</w:t>
            </w:r>
          </w:p>
        </w:tc>
        <w:tc>
          <w:tcPr>
            <w:tcW w:w="0" w:type="dxa"/>
            <w:vAlign w:val="bottom"/>
          </w:tcPr>
          <w:p>
            <w:pPr>
              <w:spacing w:after="0"/>
              <w:rPr>
                <w:sz w:val="1"/>
                <w:szCs w:val="1"/>
                <w:color w:val="auto"/>
              </w:rPr>
            </w:pPr>
          </w:p>
        </w:tc>
      </w:tr>
      <w:tr>
        <w:trPr>
          <w:trHeight w:val="250"/>
        </w:trPr>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Less: Accumulated amortization . . . .</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27"/>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19</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684</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27</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48</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759</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Amortization expense for other intangible assets was $180 million, $129 million and $129 million for 2024, 2023 and 2022, respectively. Additional information related to other intangible assets acquired through business combinations is included in Note 17. As of December 31, 2024 and 2023, we had $970 million and $21 million, respectively, of indefinite lived trade names, licenses, permits and other intangible assets that are not subject to amortization because they do not have stated expirations or have routine, administrative renewal processes. As of December 31, 2024, we expect annual amortization expense related to other intangible assets to be $448 million in 2025, $405 million in 2026, $300 million in 2027, $267 million in 2028 and $220 million in 2029. See Note 17 for additional information related to intangibles acquired from our acquisitions.</w:t>
      </w:r>
    </w:p>
    <w:p>
      <w:pPr>
        <w:spacing w:after="0" w:line="233" w:lineRule="exact"/>
        <w:rPr>
          <w:sz w:val="20"/>
          <w:szCs w:val="20"/>
          <w:color w:val="auto"/>
        </w:rPr>
      </w:pPr>
    </w:p>
    <w:p>
      <w:pPr>
        <w:ind w:left="360"/>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Debt and Derivatives</w:t>
      </w:r>
    </w:p>
    <w:p>
      <w:pPr>
        <w:spacing w:after="0" w:line="243"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major components of debt at principal amounts as of each balance sheet date (in millions) and provides the maturities and interest rate ranges of each major category as of December 31:</w:t>
      </w:r>
    </w:p>
    <w:p>
      <w:pPr>
        <w:spacing w:after="0" w:line="188"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7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Commercial paper program (weighted average interest rate of 4.7% as of</w:t>
            </w: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1"/>
        </w:trPr>
        <w:tc>
          <w:tcPr>
            <w:tcW w:w="74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2024 and 5.6% as of December 31, 2023) . . . . . . . . . . . . . . . . . . . . . . . . . .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w:t>
            </w:r>
          </w:p>
        </w:tc>
        <w:tc>
          <w:tcPr>
            <w:tcW w:w="240" w:type="dxa"/>
            <w:vAlign w:val="bottom"/>
          </w:tcPr>
          <w:p>
            <w:pPr>
              <w:spacing w:after="0"/>
              <w:rPr>
                <w:sz w:val="20"/>
                <w:szCs w:val="20"/>
                <w:color w:val="auto"/>
              </w:rPr>
            </w:pP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860</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Senior notes, maturing through 2054, interest rates ranging from 0.75% to 7.75%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interest rate of 4.2% as of December 31, 2024 and 3.7% as of</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2023) . . . . . . . . . . . . . . .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18,419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11,376</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Canadian senior notes, C$500 million maturing September 2026, interest rate of 2.6%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Tax-exempt bonds, maturing through 2053, fixed and variable interest rates ranging</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from 0.70% to 4.80% (weighted average interest rate of 3.7% as of December 31, 2024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and 3.3% as of December 31, 2023) . .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2,883</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Financing leases and other, maturing through 2082 (weighted average interest rate of</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4.9% as of December 31, 2024 and 5.0% as of December 31, 2023) (a)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w:t>
            </w:r>
          </w:p>
        </w:tc>
        <w:tc>
          <w:tcPr>
            <w:tcW w:w="0" w:type="dxa"/>
            <w:vAlign w:val="bottom"/>
          </w:tcPr>
          <w:p>
            <w:pPr>
              <w:spacing w:after="0"/>
              <w:rPr>
                <w:sz w:val="1"/>
                <w:szCs w:val="1"/>
                <w:color w:val="auto"/>
              </w:rPr>
            </w:pPr>
          </w:p>
        </w:tc>
      </w:tr>
      <w:tr>
        <w:trPr>
          <w:trHeight w:val="25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Debt issuance costs, discounts and other . . . . . . . . . . . . . . . . . . . . . . . . . . . . . . . . . . . . . . . . .</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(179)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02"/>
        </w:trPr>
        <w:tc>
          <w:tcPr>
            <w:tcW w:w="7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23,900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16,229</w:t>
            </w:r>
          </w:p>
        </w:tc>
        <w:tc>
          <w:tcPr>
            <w:tcW w:w="0" w:type="dxa"/>
            <w:vAlign w:val="bottom"/>
          </w:tcPr>
          <w:p>
            <w:pPr>
              <w:spacing w:after="0"/>
              <w:rPr>
                <w:sz w:val="1"/>
                <w:szCs w:val="1"/>
                <w:color w:val="auto"/>
              </w:rPr>
            </w:pPr>
          </w:p>
        </w:tc>
      </w:tr>
      <w:tr>
        <w:trPr>
          <w:trHeight w:val="25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Current portion of long-term debt . . . . . . . . . . . . . . . . . . . . . . . . . . . . . . . . . . . . . . . . . . . . . .</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1,359</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334</w:t>
            </w:r>
          </w:p>
        </w:tc>
        <w:tc>
          <w:tcPr>
            <w:tcW w:w="0" w:type="dxa"/>
            <w:vAlign w:val="bottom"/>
          </w:tcPr>
          <w:p>
            <w:pPr>
              <w:spacing w:after="0"/>
              <w:rPr>
                <w:sz w:val="1"/>
                <w:szCs w:val="1"/>
                <w:color w:val="auto"/>
              </w:rPr>
            </w:pPr>
          </w:p>
        </w:tc>
      </w:tr>
      <w:tr>
        <w:trPr>
          <w:trHeight w:val="231"/>
        </w:trPr>
        <w:tc>
          <w:tcPr>
            <w:tcW w:w="74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 . . . . . . . . . . . . . . . . . . . . . . . . . . . . . . . . . . . . . . . . . . .Long-termdebt,lesscurrentportion</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22,541</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15,895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106680</wp:posOffset>
                </wp:positionV>
                <wp:extent cx="1541145" cy="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8.4pt" to="139.65pt,8.4pt" o:allowincell="f" strokecolor="#000000" strokeweight="1.0199pt"/>
            </w:pict>
          </mc:Fallback>
        </mc:AlternateContent>
      </w:r>
    </w:p>
    <w:p>
      <w:pPr>
        <w:spacing w:after="0" w:line="191" w:lineRule="exact"/>
        <w:rPr>
          <w:sz w:val="20"/>
          <w:szCs w:val="20"/>
          <w:color w:val="auto"/>
        </w:rPr>
      </w:pPr>
    </w:p>
    <w:p>
      <w:pPr>
        <w:ind w:left="720" w:right="360" w:hanging="353"/>
        <w:spacing w:after="0" w:line="278" w:lineRule="auto"/>
        <w:tabs>
          <w:tab w:leader="none" w:pos="72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Excluding our landfill financing leases, the maturities of our financing leases and other debt obligations extend through 2059.</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3320" w:h="16920" w:orient="portrait"/>
          <w:cols w:equalWidth="0" w:num="1">
            <w:col w:w="10440"/>
          </w:cols>
          <w:pgMar w:left="1440" w:top="1440" w:right="1440" w:bottom="1440" w:gutter="0" w:footer="0" w:header="0"/>
          <w:type w:val="continuous"/>
        </w:sectPr>
      </w:pPr>
    </w:p>
    <w:bookmarkStart w:id="179" w:name="page180"/>
    <w:bookmarkEnd w:id="179"/>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Debt Classification</w:t>
      </w:r>
    </w:p>
    <w:p>
      <w:pPr>
        <w:spacing w:after="0" w:line="2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December 31, 2024, we had approximately $4.0 billion of debt maturing within the next 12 months, including</w:t>
      </w:r>
    </w:p>
    <w:p>
      <w:pPr>
        <w:spacing w:after="0" w:line="27" w:lineRule="exact"/>
        <w:rPr>
          <w:sz w:val="20"/>
          <w:szCs w:val="20"/>
          <w:color w:val="auto"/>
        </w:rPr>
      </w:pPr>
    </w:p>
    <w:p>
      <w:pPr>
        <w:jc w:val="both"/>
        <w:ind w:left="360" w:right="360" w:firstLine="7"/>
        <w:spacing w:after="0" w:line="241" w:lineRule="auto"/>
        <w:tabs>
          <w:tab w:leader="none" w:pos="59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 billion of tax-exempt bonds with term interest rate periods that expire within the next 12 months, which is prior to their scheduled maturities; (ii) $1.2 billion of short-term borrowings under our commercial paper program (net of related discount on issuance); (iii) $422 million of 3.125% senior notes that mature in March 2025; (iv) $500 million of 0.750% senior notes that mature in November 2025 and (v) $438 million of other debt with scheduled maturities within the next 12 months, including $298 million of tax-exempt bonds. As of December 31, 2024, we have classified $2.6 billion of debt maturing in the next 12 months as long - term because we have the intent and ability to refinance these borrowings on a long-term basis as supported by the forecasted available capacity under our $3.5 billion long-term U.S. and Canadian revolving credit facility (“$3.5 billion revolving credit facility”). The remaining $1.4 billion of debt maturing in the next 12 months is classified as current obligations.</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Access to and Utilization of Credit Facilities, Term Credit Agreement and Commercial Paper Program</w:t>
      </w:r>
    </w:p>
    <w:p>
      <w:pPr>
        <w:spacing w:after="0" w:line="239" w:lineRule="exact"/>
        <w:rPr>
          <w:sz w:val="20"/>
          <w:szCs w:val="20"/>
          <w:color w:val="auto"/>
        </w:rPr>
      </w:pPr>
    </w:p>
    <w:p>
      <w:pPr>
        <w:jc w:val="both"/>
        <w:ind w:left="360" w:right="360" w:firstLine="360"/>
        <w:spacing w:after="0" w:line="270" w:lineRule="auto"/>
        <w:rPr>
          <w:sz w:val="20"/>
          <w:szCs w:val="20"/>
          <w:color w:val="auto"/>
        </w:rPr>
      </w:pPr>
      <w:r>
        <w:rPr>
          <w:rFonts w:ascii="Times New Roman" w:cs="Times New Roman" w:eastAsia="Times New Roman" w:hAnsi="Times New Roman"/>
          <w:sz w:val="19"/>
          <w:szCs w:val="19"/>
          <w:i w:val="1"/>
          <w:iCs w:val="1"/>
          <w:color w:val="auto"/>
        </w:rPr>
        <w:t xml:space="preserve">Term Credit Agreement up to $7.2 Billion — </w:t>
      </w:r>
      <w:r>
        <w:rPr>
          <w:rFonts w:ascii="Times New Roman" w:cs="Times New Roman" w:eastAsia="Times New Roman" w:hAnsi="Times New Roman"/>
          <w:sz w:val="19"/>
          <w:szCs w:val="19"/>
          <w:color w:val="auto"/>
        </w:rPr>
        <w:t>On August 28, 2024, the Company entered into a delayed draw Term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Credit Agreement in a principal amount of up to $7.2 billion (the “Term Credit Agreement”). In October 2024, we drew $5.2 billion of borrowings under the Term Credit Agreement that were applied to funding our acquisition of Stericycle. In November 2024, we repaid all outstanding borrowings and contemporaneously terminated the Term Credit Agreement.</w:t>
      </w:r>
    </w:p>
    <w:p>
      <w:pPr>
        <w:spacing w:after="0" w:line="176" w:lineRule="exact"/>
        <w:rPr>
          <w:sz w:val="20"/>
          <w:szCs w:val="20"/>
          <w:color w:val="auto"/>
        </w:rPr>
      </w:pPr>
    </w:p>
    <w:p>
      <w:pPr>
        <w:jc w:val="both"/>
        <w:ind w:left="360" w:right="360" w:firstLine="144"/>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$3.5 Billion Revolving Credit Facility — </w:t>
      </w:r>
      <w:r>
        <w:rPr>
          <w:rFonts w:ascii="Times New Roman" w:cs="Times New Roman" w:eastAsia="Times New Roman" w:hAnsi="Times New Roman"/>
          <w:sz w:val="20"/>
          <w:szCs w:val="20"/>
          <w:color w:val="auto"/>
        </w:rPr>
        <w:t>In May 2024, we amended and restated our $ 3.5 billion U.S. and Canadian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revolving credit facility, extending the term through May 2029. The agreement includes a $ 1.0 billion accordion feature that may be used to increase total capacity in future periods, and we have the option to request up to two one-year extensions. Waste Management of Canada Corporation and WM Quebec Inc., each an indirect wholly-owned subsidiary of WMI, are borrowers under the $3.5 billion revolving credit facility, and the agreement permits borrowing in Canadian dollars up to the U.S. dollar equivalent of $375 million, with such borrowings to be repaid in Canadian dollars. WM Holdings, Inc. (“WM Holdings”), a wholly-owned subsidiary of WMI, guarantees all the obligations under the $3.5 billion revolving credit facility.</w:t>
      </w:r>
    </w:p>
    <w:p>
      <w:pPr>
        <w:spacing w:after="0" w:line="192"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The $3.5 billion revolving credit facility provides us with credit capacity to be used for cash borrowings, to support letters of credit and to support our commercial paper program. The interest rates we pay on outstanding U.S. or Canadian loans are based on a secured overnight financing rate administered by the Federal Reserve Bank of New York (“SOFR”) or the Canadian Overnight Repo Rate Average (“CORRA”) administered by the Bank of Canada, respectively, plus a spread depending on our senior public debt rating assigned by Moody’s Investors Service, Inc. and Standard and Poor’s Global Ratings. The spread above SOFR or CORRA can range from 0.585% to 1.025% per annum, plus applicable credit adjustments. We also pay certain other fees set forth in the $3.5 billion revolving credit facility agreement, including a facility fee based on the aggregate commitment, regardless of usage. As of December 31, 2024, we had no outstanding borrowings under this facility. We had $1.2 billion of outstanding borrowings (net of related discount on issuance) under our commercial paper program and $224 million of letters of credit issued, both supported by the facility, leaving unused and available credit capacity of $2.1 billion as of December 31, 2024.</w:t>
      </w:r>
    </w:p>
    <w:p>
      <w:pPr>
        <w:spacing w:after="0" w:line="210"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Commercial Paper Program </w:t>
      </w:r>
      <w:r>
        <w:rPr>
          <w:rFonts w:ascii="Times New Roman" w:cs="Times New Roman" w:eastAsia="Times New Roman" w:hAnsi="Times New Roman"/>
          <w:sz w:val="20"/>
          <w:szCs w:val="20"/>
          <w:color w:val="auto"/>
        </w:rPr>
        <w:t>— We have a commercial paper program that enables us to borrow funds for up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397 days at competitive interest rates. The rates we pay for outstanding borrowings are based on the term of the notes. The commercial paper program is fully supported by our $3.5 billion revolving credit facility. As of December 31, 2024, we had $1.2 billion of outstanding borrowings (net of related discount on issuance) under our commercial paper program.</w:t>
      </w:r>
    </w:p>
    <w:p>
      <w:pPr>
        <w:spacing w:after="0" w:line="193"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Other Letter of Credit Lines — </w:t>
      </w:r>
      <w:r>
        <w:rPr>
          <w:rFonts w:ascii="Times New Roman" w:cs="Times New Roman" w:eastAsia="Times New Roman" w:hAnsi="Times New Roman"/>
          <w:sz w:val="20"/>
          <w:szCs w:val="20"/>
          <w:color w:val="auto"/>
        </w:rPr>
        <w:t>As of December 31, 2024, we had utilized $862 million of other uncommitted letter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credit lines with terms extending through December 2028.</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3320" w:h="16920" w:orient="portrait"/>
          <w:cols w:equalWidth="0" w:num="1">
            <w:col w:w="10440"/>
          </w:cols>
          <w:pgMar w:left="1440" w:top="1440" w:right="1440" w:bottom="1440" w:gutter="0" w:footer="0" w:header="0"/>
          <w:type w:val="continuous"/>
        </w:sectPr>
      </w:pPr>
    </w:p>
    <w:bookmarkStart w:id="180" w:name="page181"/>
    <w:bookmarkEnd w:id="180"/>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Debt Borrowings and Repayments</w:t>
      </w:r>
    </w:p>
    <w:p>
      <w:pPr>
        <w:spacing w:after="0" w:line="240"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Commercial Paper Program </w:t>
      </w:r>
      <w:r>
        <w:rPr>
          <w:rFonts w:ascii="Times New Roman" w:cs="Times New Roman" w:eastAsia="Times New Roman" w:hAnsi="Times New Roman"/>
          <w:sz w:val="20"/>
          <w:szCs w:val="20"/>
          <w:color w:val="auto"/>
        </w:rPr>
        <w:t>— During the year ended December 31, 2024 we made cash repayments of $12.3 billion,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were partially offset by $12.7 billion of cash borrowings (net of related discount on issuance). A portion of these borrowings were repaid with proceeds from our senior notes issuances discussed below.</w:t>
      </w:r>
    </w:p>
    <w:p>
      <w:pPr>
        <w:spacing w:after="0" w:line="179" w:lineRule="exact"/>
        <w:rPr>
          <w:sz w:val="20"/>
          <w:szCs w:val="20"/>
          <w:color w:val="auto"/>
        </w:rPr>
      </w:pPr>
    </w:p>
    <w:p>
      <w:pPr>
        <w:jc w:val="both"/>
        <w:ind w:left="360" w:right="360" w:firstLine="360"/>
        <w:spacing w:after="0"/>
        <w:rPr>
          <w:sz w:val="20"/>
          <w:szCs w:val="20"/>
          <w:color w:val="auto"/>
        </w:rPr>
      </w:pPr>
      <w:r>
        <w:rPr>
          <w:rFonts w:ascii="Times New Roman" w:cs="Times New Roman" w:eastAsia="Times New Roman" w:hAnsi="Times New Roman"/>
          <w:sz w:val="20"/>
          <w:szCs w:val="20"/>
          <w:i w:val="1"/>
          <w:iCs w:val="1"/>
          <w:color w:val="auto"/>
        </w:rPr>
        <w:t xml:space="preserve">Senior Notes </w:t>
      </w:r>
      <w:r>
        <w:rPr>
          <w:rFonts w:ascii="Times New Roman" w:cs="Times New Roman" w:eastAsia="Times New Roman" w:hAnsi="Times New Roman"/>
          <w:sz w:val="20"/>
          <w:szCs w:val="20"/>
          <w:color w:val="auto"/>
        </w:rPr>
        <w:t>— In July 2024, WMI issued $750 million of 4.950% senior notes due July 2027 and $750 million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4.950% notes due July 2031, the net proceeds of which were $1.49 billion. The net proceeds were used primarily to reduce outstanding borrowings under our commercial paper program. We also repaid $156 million of WMI’s 3.500% senior notes upon maturity in May 2024.</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November 2024, we issued senior notes, the net proceeds of which were approximately $5.2 billion, consisting of</w:t>
      </w:r>
    </w:p>
    <w:p>
      <w:pPr>
        <w:spacing w:after="0" w:line="6" w:lineRule="exact"/>
        <w:rPr>
          <w:sz w:val="20"/>
          <w:szCs w:val="20"/>
          <w:color w:val="auto"/>
        </w:rPr>
      </w:pPr>
    </w:p>
    <w:p>
      <w:pPr>
        <w:ind w:left="640" w:hanging="273"/>
        <w:spacing w:after="0"/>
        <w:tabs>
          <w:tab w:leader="none" w:pos="64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billion of 4.500% senior notes due March 2028; (ii) $700 million of 4.650% senior notes due March 2030;</w:t>
      </w:r>
    </w:p>
    <w:p>
      <w:pPr>
        <w:ind w:left="720" w:hanging="353"/>
        <w:spacing w:after="0" w:line="227" w:lineRule="auto"/>
        <w:tabs>
          <w:tab w:leader="none" w:pos="72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$750 million of 4.800% senior notes due March 2032; (iv) $1.5 billion of 4.950% senior notes due March 2035 and</w:t>
      </w:r>
    </w:p>
    <w:p>
      <w:pPr>
        <w:ind w:left="360" w:right="360" w:firstLine="7"/>
        <w:spacing w:after="0" w:line="238" w:lineRule="auto"/>
        <w:tabs>
          <w:tab w:leader="none" w:pos="64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$1.25 billion of 5.350% senior notes due October 2054. We used the net proceeds to repay all outstanding borrowing under the Term Credit Agreement.</w:t>
      </w:r>
    </w:p>
    <w:p>
      <w:pPr>
        <w:spacing w:after="0" w:line="179"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Term Credit Agreement </w:t>
      </w:r>
      <w:r>
        <w:rPr>
          <w:rFonts w:ascii="Times New Roman" w:cs="Times New Roman" w:eastAsia="Times New Roman" w:hAnsi="Times New Roman"/>
          <w:sz w:val="20"/>
          <w:szCs w:val="20"/>
          <w:color w:val="auto"/>
        </w:rPr>
        <w:t>— In October 2024, we drew $ 5.2 billion of borrowings under the Term Credit Agreement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were applied to funding our acquisition of Stericycle. In November 2024, we repaid all outstanding borrowings with net proceeds from our November 2024 issuance of $5.2 billion of senior notes and contemporaneously terminated the Term Credit Agreement, resulting in a $7 million loss on early extinguishment of debt.</w:t>
      </w:r>
    </w:p>
    <w:p>
      <w:pPr>
        <w:spacing w:after="0" w:line="191"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Stericycle Exchange Offer and Consent Solicitation </w:t>
      </w:r>
      <w:r>
        <w:rPr>
          <w:rFonts w:ascii="Times New Roman" w:cs="Times New Roman" w:eastAsia="Times New Roman" w:hAnsi="Times New Roman"/>
          <w:sz w:val="20"/>
          <w:szCs w:val="20"/>
          <w:color w:val="auto"/>
        </w:rPr>
        <w:t>– On November 8, 2024, we completed our private offer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eligible holders to exchange $500 million of outstanding 3.875% senior notes issued by Stericycle (the “Stericycle Notes”) for new notes issued by us (the “WM Notes”) and cash. The WM Notes have the same interest rate, interest payment dates, and maturity date as the exchanged Stericycle Notes but differ in certain respects from the Stericycle Notes, including with respect to the redemption provisions. Approximately $485 million in aggregate principal amount of the Stericycle Notes, or 97%, were tendered and accepted, and new WM Notes were issued. The portion of Stericycle Notes not exchanged, approximately $15 million, remains an outstanding obligation of Stericycle, our wholly-owned subsidiary. The debt exchange is accounted for as a modification of debt, as the financial terms of the WM Notes do not differ from the Stericycle Notes, and there is no substantial difference between the present value of cash flows under each respective set of notes. In connection with the exchange offer, we solicited and obtained sufficient consents to amend the Stericycle Notes and related indenture to eliminate substantially all the restrictive covenants, restrictive provisions and events of default, other than payment-related, guarantee-related and bankruptcy- related events of default, and such amendments took effect with respect to the remaining Stericycle Notes on November 8, 2024.</w:t>
      </w:r>
    </w:p>
    <w:p>
      <w:pPr>
        <w:spacing w:after="0" w:line="203"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Tax-Exempt Bonds — </w:t>
      </w:r>
      <w:r>
        <w:rPr>
          <w:rFonts w:ascii="Times New Roman" w:cs="Times New Roman" w:eastAsia="Times New Roman" w:hAnsi="Times New Roman"/>
          <w:sz w:val="20"/>
          <w:szCs w:val="20"/>
          <w:color w:val="auto"/>
        </w:rPr>
        <w:t>We issued $50 million of tax-exempt bonds in 2024. The proceeds from the issuance of these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bonds were deposited directly into a restricted trust fund to be used for the specific purpose for which the money was raised, which is generally to finance expenditures for solid waste disposal, recycling and renewable natural gas facility construction and development. In 2024, we also repaid $60 million of our tax-exempt bonds with available cash at their scheduled maturities.</w:t>
      </w:r>
    </w:p>
    <w:p>
      <w:pPr>
        <w:spacing w:after="0" w:line="198"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Financing Leases and Other — </w:t>
      </w:r>
      <w:r>
        <w:rPr>
          <w:rFonts w:ascii="Times New Roman" w:cs="Times New Roman" w:eastAsia="Times New Roman" w:hAnsi="Times New Roman"/>
          <w:sz w:val="20"/>
          <w:szCs w:val="20"/>
          <w:color w:val="auto"/>
        </w:rPr>
        <w:t>The increase in our financing leases and other debt obligations in 2024 are primarily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related to (i) a note payable associated with our low-income housing investment discussed in Note 8, which increased our debt obligations by $316 million and (ii) $153 million primarily related to non-cash financing leases. The increase in our debt obligations was partially offset by $135 million of cash repayments of debt at maturity.</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3320" w:h="16920" w:orient="portrait"/>
          <w:cols w:equalWidth="0" w:num="1">
            <w:col w:w="10440"/>
          </w:cols>
          <w:pgMar w:left="1440" w:top="1440" w:right="1440" w:bottom="1440" w:gutter="0" w:footer="0" w:header="0"/>
          <w:type w:val="continuous"/>
        </w:sectPr>
      </w:pPr>
    </w:p>
    <w:bookmarkStart w:id="181" w:name="page182"/>
    <w:bookmarkEnd w:id="181"/>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Scheduled Debt Payments</w:t>
      </w:r>
    </w:p>
    <w:p>
      <w:pPr>
        <w:spacing w:after="0" w:line="240"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Principal payments of our debt for the next five years and thereafter, based on scheduled maturities are as follows: $2,613 million in 2025, $747 million in 2026, $2,022 million in 2027, $1,969 million in 2028, $2,048 million in 2029 and $14,680 million thereafter. Our recorded debt and financing lease obligations include non-cash adjustments associated with debt issuance costs, discounts and fair value adjustments attributable to terminated interest rate derivatives, which have been excluded from these amounts because they will not result in cash payments. As discussed above, we have the intent and ability to refinance our commercial paper borrowings on a long-term basis. See Note 7 below for further discussion of our financing lease arrangements.</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Secured Debt</w:t>
      </w:r>
    </w:p>
    <w:p>
      <w:pPr>
        <w:spacing w:after="0" w:line="239"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Our debt balances are generally unsecured, except for financing lease obligations and the notes payable associated with our investments in low-income housing properties. See Notes 8 and 18 for additional information related to these investments.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Debt Covenants</w:t>
      </w:r>
    </w:p>
    <w:p>
      <w:pPr>
        <w:spacing w:after="0" w:line="240" w:lineRule="exact"/>
        <w:rPr>
          <w:sz w:val="20"/>
          <w:szCs w:val="20"/>
          <w:color w:val="auto"/>
        </w:rPr>
      </w:pPr>
    </w:p>
    <w:p>
      <w:pPr>
        <w:jc w:val="both"/>
        <w:ind w:left="360" w:right="360" w:firstLine="360"/>
        <w:spacing w:after="0" w:line="242" w:lineRule="auto"/>
        <w:rPr>
          <w:sz w:val="20"/>
          <w:szCs w:val="20"/>
          <w:color w:val="auto"/>
        </w:rPr>
      </w:pPr>
      <w:r>
        <w:rPr>
          <w:rFonts w:ascii="Times New Roman" w:cs="Times New Roman" w:eastAsia="Times New Roman" w:hAnsi="Times New Roman"/>
          <w:sz w:val="20"/>
          <w:szCs w:val="20"/>
          <w:color w:val="auto"/>
        </w:rPr>
        <w:t>The terms of certain of our financing arrangements require that we comply with financial and other covenants. Our most restrictive financial covenant is the one contained in our $3.5 billion revolving credit facility, which sets forth a maximum total debt to consolidated earnings before interest, taxes, depreciation, depletion and amortization ratio (the “Leverage Ratio”). This covenant requires that the Leverage Ratio for the preceding four fiscal quarters will not be more than 3.75 to 1, provided that if an acquisition permitted under the $3.5 billion revolving credit facility involving aggregate consideration in excess of $ 200 million occurs during the fiscal quarter, the Company shall have the right to increase the Leverage Ratio to 4.25 to 1 during such fiscal quarter and for the following three fiscal quarters (the “Elevated Leverage Ratio Period”). Given the strength of the Company’s financial position and its expectation to maintain headroom within the Leverage Ratio, the Company has not elected to increase the Leverage Ratio for an Elevated Leverage Ratio Period in connection with the acquisition of Stericycle. There shall be no more than two Elevated Leverage Ratio Periods during the term of the $3.5 billion revolving credit facility, and the Leverage Ratio must return to 3.75 to 1 for at least one fiscal quarter between Elevated Leverage Ratio Periods. The calculation of all components used in the Leverage Ratio covenant are as defined in the $3.5 billion revolving credit facility. As of December 31, 2024 and 2023, we were in compliance with our Leverage Ratio covenant.</w:t>
      </w:r>
    </w:p>
    <w:p>
      <w:pPr>
        <w:spacing w:after="0" w:line="214"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Our $3.5 billion revolving credit facility, senior notes and other financing arrangements also contain certain restrictions on the ability of the Company’s subsidiaries to incur additional indebtedness as well as restrictions on the ability of the Company and its subsidiaries to, among other things, incur liens, engage in sale-leaseback transactions and engage in mergers and consolidations. We monitor our compliance with these restrictions, but do not believe that they significantly impact our ability to enter into investing or financing arrangements typical for our business. As of December 31, 2024 and 2023, we were in compliance with all covenants and restrictions under our financing arrangements, in addition to our Leverage Ratio covenant, that may have a material effect on our Consolidated Financial Statements.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3320" w:h="16920" w:orient="portrait"/>
          <w:cols w:equalWidth="0" w:num="1">
            <w:col w:w="10440"/>
          </w:cols>
          <w:pgMar w:left="1440" w:top="1440" w:right="1440" w:bottom="1440" w:gutter="0" w:footer="0" w:header="0"/>
          <w:type w:val="continuous"/>
        </w:sectPr>
      </w:pPr>
    </w:p>
    <w:bookmarkStart w:id="182" w:name="page183"/>
    <w:bookmarkEnd w:id="182"/>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i w:val="1"/>
          <w:iCs w:val="1"/>
          <w:color w:val="auto"/>
        </w:rPr>
        <w:t>Derivatives</w:t>
      </w:r>
    </w:p>
    <w:p>
      <w:pPr>
        <w:spacing w:after="0" w:line="240"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In order to secure underlying interest rates associated with senior note issuances, we entered into treasury lock transactions during 2024 to (i) fix the ten-year treasury rate on an aggregate notional amount of $900 million and (ii) to fix the thirty-year treasury rate on an aggregate notional amount of $650 million. We designated our treasury locks as cash flow hedges. These treasury rate locks were terminated contemporaneously with the related issuances of senior notes in November 2024, and we received cash of $35 million to settle the related assets. The deferred gains are being amortized from accumulated other comprehensive (loss) income to interest expense over the ten-year and thirty-year lives of the related senior notes issuances using the effective interest method. Additionally, although not material to our financial statements, we do periodically enter into natural gas hedges to mitigate against risk from fluctuation in natural gas prices. As of December 31, 2024, our outstanding natural gas hedges were immaterial.</w:t>
      </w:r>
    </w:p>
    <w:p>
      <w:pPr>
        <w:spacing w:after="0" w:line="193" w:lineRule="exact"/>
        <w:rPr>
          <w:sz w:val="20"/>
          <w:szCs w:val="20"/>
          <w:color w:val="auto"/>
        </w:rPr>
      </w:pPr>
    </w:p>
    <w:p>
      <w:pPr>
        <w:ind w:left="720" w:hanging="353"/>
        <w:spacing w:after="0"/>
        <w:tabs>
          <w:tab w:leader="none" w:pos="720" w:val="left"/>
        </w:tabs>
        <w:numPr>
          <w:ilvl w:val="0"/>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243"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Our operating lease activities primarily consist of leases for real estate, landfills (as discussed further in Note 2), fleet vehicles and operating equipment. Our financing lease activities primarily consist of leases for operating equipment, railcars and landfill assets. Leases with an initial term of 12 months or less, which are not expected to be renewed beyond one year, are not recorded on the balance sheet and are recognized as lease expense on a straight-line basis over the lease term. Most leases include one or more options to renew, with renewal terms generally ranging from one to 10 years. The exercise of lease renewal options is generally at our sole discretion. We include the renewal term in the calculation of the right-of-use asset and related lease liability when such renewals are reasonably certain of being exercised. Certain leases also include options to purchase the leased property. The depreciable life of assets and leasehold improvements is limited by the expected lease term, unless there is a transfer of title or purchase option reasonably certain of exercise. Certain of our lease agreements include rental payments based on usage, and other lease agreements include rental payments adjusted periodically for inflation; these payments are treated as variable lease payments. Our lease agreements do not contain any material residual value guarantees or material restrictive covenants.</w:t>
      </w:r>
    </w:p>
    <w:p>
      <w:pPr>
        <w:spacing w:after="0" w:line="206"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20"/>
          <w:szCs w:val="20"/>
          <w:color w:val="auto"/>
        </w:rPr>
        <w:t>When the implicit interest rate is not readily available for our leases, we discount future cash flows of the remaining lease payments using the current interest rate that would be paid to borrow on collateralized debt over a similar term, or incremental borrowing rate, at the commencement date.</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3320" w:h="16920" w:orient="portrait"/>
          <w:cols w:equalWidth="0" w:num="1">
            <w:col w:w="10440"/>
          </w:cols>
          <w:pgMar w:left="1440" w:top="1440" w:right="1440" w:bottom="1440" w:gutter="0" w:footer="0" w:header="0"/>
          <w:type w:val="continuous"/>
        </w:sectPr>
      </w:pPr>
    </w:p>
    <w:bookmarkStart w:id="183" w:name="page184"/>
    <w:bookmarkEnd w:id="183"/>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Supplemental balance sheet information for our leases as of December 31 is as follows (in millions):</w:t>
      </w:r>
    </w:p>
    <w:p>
      <w:pPr>
        <w:spacing w:after="0" w:line="334"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300" w:type="dxa"/>
            <w:vAlign w:val="bottom"/>
          </w:tcPr>
          <w:p>
            <w:pPr>
              <w:spacing w:after="0"/>
              <w:rPr>
                <w:sz w:val="17"/>
                <w:szCs w:val="17"/>
                <w:color w:val="auto"/>
              </w:rPr>
            </w:pPr>
          </w:p>
        </w:tc>
        <w:tc>
          <w:tcPr>
            <w:tcW w:w="386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47"/>
        </w:trPr>
        <w:tc>
          <w:tcPr>
            <w:tcW w:w="2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auto"/>
              </w:rPr>
              <w:t>Long-term:</w:t>
            </w:r>
          </w:p>
        </w:tc>
        <w:tc>
          <w:tcPr>
            <w:tcW w:w="3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 . . . . . . . . . . . . . .</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Other assets</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w:t>
            </w:r>
          </w:p>
        </w:tc>
        <w:tc>
          <w:tcPr>
            <w:tcW w:w="0" w:type="dxa"/>
            <w:vAlign w:val="bottom"/>
          </w:tcPr>
          <w:p>
            <w:pPr>
              <w:spacing w:after="0"/>
              <w:rPr>
                <w:sz w:val="1"/>
                <w:szCs w:val="1"/>
                <w:color w:val="auto"/>
              </w:rPr>
            </w:pPr>
          </w:p>
        </w:tc>
      </w:tr>
      <w:tr>
        <w:trPr>
          <w:trHeight w:val="230"/>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Financing . . . . . . . . . . . . . . .</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Property and equipment, net of accumulated</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457</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393</w:t>
            </w:r>
          </w:p>
        </w:tc>
        <w:tc>
          <w:tcPr>
            <w:tcW w:w="0" w:type="dxa"/>
            <w:vAlign w:val="bottom"/>
          </w:tcPr>
          <w:p>
            <w:pPr>
              <w:spacing w:after="0"/>
              <w:rPr>
                <w:sz w:val="1"/>
                <w:szCs w:val="1"/>
                <w:color w:val="auto"/>
              </w:rPr>
            </w:pPr>
          </w:p>
        </w:tc>
      </w:tr>
      <w:tr>
        <w:trPr>
          <w:trHeight w:val="250"/>
        </w:trPr>
        <w:tc>
          <w:tcPr>
            <w:tcW w:w="2400" w:type="dxa"/>
            <w:vAlign w:val="bottom"/>
            <w:vMerge w:val="restart"/>
          </w:tcPr>
          <w:p>
            <w:pPr>
              <w:jc w:val="right"/>
              <w:ind w:right="661"/>
              <w:spacing w:after="0"/>
              <w:rPr>
                <w:sz w:val="20"/>
                <w:szCs w:val="20"/>
                <w:color w:val="auto"/>
              </w:rPr>
            </w:pPr>
            <w:r>
              <w:rPr>
                <w:rFonts w:ascii="Times New Roman" w:cs="Times New Roman" w:eastAsia="Times New Roman" w:hAnsi="Times New Roman"/>
                <w:sz w:val="20"/>
                <w:szCs w:val="20"/>
                <w:color w:val="auto"/>
              </w:rPr>
              <w:t>Total lease assets</w:t>
            </w:r>
          </w:p>
        </w:tc>
        <w:tc>
          <w:tcPr>
            <w:tcW w:w="300" w:type="dxa"/>
            <w:vAlign w:val="bottom"/>
          </w:tcPr>
          <w:p>
            <w:pPr>
              <w:spacing w:after="0"/>
              <w:rPr>
                <w:sz w:val="21"/>
                <w:szCs w:val="21"/>
                <w:color w:val="auto"/>
              </w:rPr>
            </w:pPr>
          </w:p>
        </w:tc>
        <w:tc>
          <w:tcPr>
            <w:tcW w:w="38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depreciation and depletion</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400" w:type="dxa"/>
            <w:vAlign w:val="bottom"/>
            <w:vMerge w:val="continue"/>
          </w:tcPr>
          <w:p>
            <w:pPr>
              <w:jc w:val="right"/>
              <w:spacing w:after="0" w:line="177" w:lineRule="exact"/>
              <w:rPr>
                <w:sz w:val="20"/>
                <w:szCs w:val="20"/>
                <w:color w:val="auto"/>
              </w:rPr>
            </w:pPr>
            <w:r>
              <w:rPr>
                <w:rFonts w:ascii="Times New Roman" w:cs="Times New Roman" w:eastAsia="Times New Roman" w:hAnsi="Times New Roman"/>
                <w:sz w:val="20"/>
                <w:szCs w:val="20"/>
                <w:color w:val="auto"/>
              </w:rPr>
              <w:t>. . . . . . .</w:t>
            </w:r>
          </w:p>
        </w:tc>
        <w:tc>
          <w:tcPr>
            <w:tcW w:w="3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1,453</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w:t>
            </w:r>
          </w:p>
        </w:tc>
        <w:tc>
          <w:tcPr>
            <w:tcW w:w="0" w:type="dxa"/>
            <w:vAlign w:val="bottom"/>
          </w:tcPr>
          <w:p>
            <w:pPr>
              <w:spacing w:after="0"/>
              <w:rPr>
                <w:sz w:val="1"/>
                <w:szCs w:val="1"/>
                <w:color w:val="auto"/>
              </w:rPr>
            </w:pPr>
          </w:p>
        </w:tc>
      </w:tr>
      <w:tr>
        <w:trPr>
          <w:trHeight w:val="507"/>
        </w:trPr>
        <w:tc>
          <w:tcPr>
            <w:tcW w:w="2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3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auto"/>
              </w:rPr>
              <w:t>Current:</w:t>
            </w:r>
          </w:p>
        </w:tc>
        <w:tc>
          <w:tcPr>
            <w:tcW w:w="4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20"/>
                <w:szCs w:val="20"/>
                <w:color w:val="auto"/>
              </w:rPr>
              <w:t>Accrued liabilities</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54"/>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 . . . . . . . . . . . . . .</w:t>
            </w:r>
          </w:p>
        </w:tc>
        <w:tc>
          <w:tcPr>
            <w:tcW w:w="4160" w:type="dxa"/>
            <w:vAlign w:val="bottom"/>
            <w:gridSpan w:val="2"/>
            <w:vMerge w:val="continue"/>
          </w:tcPr>
          <w:p>
            <w:pPr>
              <w:spacing w:after="0"/>
              <w:rPr>
                <w:sz w:val="22"/>
                <w:szCs w:val="22"/>
                <w:color w:val="auto"/>
              </w:rPr>
            </w:pPr>
          </w:p>
        </w:tc>
        <w:tc>
          <w:tcPr>
            <w:tcW w:w="60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60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Financing . . . . . . . . . . . . . . .</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53"/>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auto"/>
              </w:rPr>
              <w:t>Long-term:</w:t>
            </w:r>
          </w:p>
        </w:tc>
        <w:tc>
          <w:tcPr>
            <w:tcW w:w="4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20"/>
                <w:szCs w:val="20"/>
                <w:color w:val="auto"/>
              </w:rPr>
              <w:t>Other liabilities</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878</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452</w:t>
            </w:r>
          </w:p>
        </w:tc>
        <w:tc>
          <w:tcPr>
            <w:tcW w:w="0" w:type="dxa"/>
            <w:vAlign w:val="bottom"/>
          </w:tcPr>
          <w:p>
            <w:pPr>
              <w:spacing w:after="0"/>
              <w:rPr>
                <w:sz w:val="1"/>
                <w:szCs w:val="1"/>
                <w:color w:val="auto"/>
              </w:rPr>
            </w:pPr>
          </w:p>
        </w:tc>
      </w:tr>
      <w:tr>
        <w:trPr>
          <w:trHeight w:val="254"/>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 . . . . . . . . . . . . . .</w:t>
            </w:r>
          </w:p>
        </w:tc>
        <w:tc>
          <w:tcPr>
            <w:tcW w:w="4160" w:type="dxa"/>
            <w:vAlign w:val="bottom"/>
            <w:gridSpan w:val="2"/>
            <w:vMerge w:val="continue"/>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Financing . . . . . . . . . . . . . . .</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Long-term debt, less current portion</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374</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321</w:t>
            </w:r>
          </w:p>
        </w:tc>
        <w:tc>
          <w:tcPr>
            <w:tcW w:w="0" w:type="dxa"/>
            <w:vAlign w:val="bottom"/>
          </w:tcPr>
          <w:p>
            <w:pPr>
              <w:spacing w:after="0"/>
              <w:rPr>
                <w:sz w:val="1"/>
                <w:szCs w:val="1"/>
                <w:color w:val="auto"/>
              </w:rPr>
            </w:pPr>
          </w:p>
        </w:tc>
      </w:tr>
      <w:tr>
        <w:trPr>
          <w:trHeight w:val="254"/>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.Totalleaseliabilities</w:t>
            </w:r>
          </w:p>
        </w:tc>
        <w:tc>
          <w:tcPr>
            <w:tcW w:w="3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1,487</w:t>
            </w:r>
          </w:p>
        </w:tc>
        <w:tc>
          <w:tcPr>
            <w:tcW w:w="300" w:type="dxa"/>
            <w:vAlign w:val="bottom"/>
          </w:tcPr>
          <w:p>
            <w:pPr>
              <w:spacing w:after="0"/>
              <w:rPr>
                <w:sz w:val="22"/>
                <w:szCs w:val="22"/>
                <w:color w:val="auto"/>
              </w:rPr>
            </w:pPr>
          </w:p>
        </w:tc>
        <w:tc>
          <w:tcPr>
            <w:tcW w:w="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892</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Operating lease expense was $264 million, $189 million and $183 million during 2024, 2023 and 2022, respectively, and is included in operating and selling, general and administrative expenses in our Consolidated Statements of Operations. Financing lease expense was $73 million, $58 million and $55 million during 2024, 2023 and 2022, respectively, and is included in depreciation, depletion and amortization expense and interest expense, net in our Consolidated Statements of Operations.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Minimum contractual obligations for our leases (undiscounted) as of December 31, 2024 are as follows (in millions):</w:t>
      </w:r>
    </w:p>
    <w:p>
      <w:pPr>
        <w:spacing w:after="0" w:line="274"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440" w:type="dxa"/>
            <w:vAlign w:val="bottom"/>
          </w:tcPr>
          <w:p>
            <w:pPr>
              <w:spacing w:after="0"/>
              <w:rPr>
                <w:sz w:val="17"/>
                <w:szCs w:val="17"/>
                <w:color w:val="auto"/>
              </w:rPr>
            </w:pPr>
          </w:p>
        </w:tc>
        <w:tc>
          <w:tcPr>
            <w:tcW w:w="1480" w:type="dxa"/>
            <w:vAlign w:val="bottom"/>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Financing</w:t>
            </w:r>
          </w:p>
        </w:tc>
      </w:tr>
      <w:tr>
        <w:trPr>
          <w:trHeight w:val="275"/>
        </w:trPr>
        <w:tc>
          <w:tcPr>
            <w:tcW w:w="54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6"/>
              </w:rPr>
              <w:t>2025 . . . . . . . . . . . . . . . . . . . . . . . . . . . . . . . . . . . . . . . . . . . . . . .</w:t>
            </w:r>
          </w:p>
        </w:tc>
        <w:tc>
          <w:tcPr>
            <w:tcW w:w="20" w:type="dxa"/>
            <w:vAlign w:val="bottom"/>
          </w:tcPr>
          <w:p>
            <w:pPr>
              <w:spacing w:after="0"/>
              <w:rPr>
                <w:sz w:val="23"/>
                <w:szCs w:val="23"/>
                <w:color w:val="auto"/>
              </w:rPr>
            </w:pPr>
          </w:p>
        </w:tc>
        <w:tc>
          <w:tcPr>
            <w:tcW w:w="42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420" w:type="dxa"/>
            <w:vAlign w:val="bottom"/>
          </w:tcPr>
          <w:p>
            <w:pPr>
              <w:spacing w:after="0"/>
              <w:rPr>
                <w:sz w:val="23"/>
                <w:szCs w:val="23"/>
                <w:color w:val="auto"/>
              </w:rPr>
            </w:pPr>
          </w:p>
        </w:tc>
        <w:tc>
          <w:tcPr>
            <w:tcW w:w="440" w:type="dxa"/>
            <w:vAlign w:val="bottom"/>
            <w:tcBorders>
              <w:top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69"/>
        </w:trPr>
        <w:tc>
          <w:tcPr>
            <w:tcW w:w="54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6"/>
              </w:rPr>
              <w:t>2026 . . . . . . . . . . . . . . . . . . . . . . . . . . . . . . . . . . . . . . . . . . . . . . .</w:t>
            </w: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69"/>
        </w:trPr>
        <w:tc>
          <w:tcPr>
            <w:tcW w:w="54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6"/>
              </w:rPr>
              <w:t>2027 . . . . . . . . . . . . . . . . . . . . . . . . . . . . . . . . . . . . . . . . . . . . . . .</w:t>
            </w: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69"/>
        </w:trPr>
        <w:tc>
          <w:tcPr>
            <w:tcW w:w="54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6"/>
              </w:rPr>
              <w:t>2028 . . . . . . . . . . . . . . . . . . . . . . . . . . . . . . . . . . . . . . . . . . . . . . .</w:t>
            </w: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32"/>
        </w:trPr>
        <w:tc>
          <w:tcPr>
            <w:tcW w:w="54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6"/>
              </w:rPr>
              <w:t>2029 . . . . . . . . . . . . . . . . . . . . . . . . . . . . . . . . . . . . . . . . . . . . . . .</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88"/>
        </w:trPr>
        <w:tc>
          <w:tcPr>
            <w:tcW w:w="548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color w:val="auto"/>
                <w:w w:val="96"/>
              </w:rPr>
              <w:t>Thereafter. . . . . . . . . . . . . . . . . . . . . . . . . . . . . . . . . . . . . . . . . . .</w:t>
            </w:r>
          </w:p>
        </w:tc>
        <w:tc>
          <w:tcPr>
            <w:tcW w:w="4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475</w:t>
            </w:r>
          </w:p>
        </w:tc>
        <w:tc>
          <w:tcPr>
            <w:tcW w:w="4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w:t>
            </w:r>
          </w:p>
        </w:tc>
      </w:tr>
      <w:tr>
        <w:trPr>
          <w:trHeight w:val="239"/>
        </w:trPr>
        <w:tc>
          <w:tcPr>
            <w:tcW w:w="548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color w:val="auto"/>
              </w:rPr>
              <w:t>. . . . . . . . . . . . . . . . . . . . .Totalundiscountedleasepayments</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1,296</w:t>
            </w:r>
          </w:p>
        </w:tc>
        <w:tc>
          <w:tcPr>
            <w:tcW w:w="420" w:type="dxa"/>
            <w:vAlign w:val="bottom"/>
          </w:tcPr>
          <w:p>
            <w:pPr>
              <w:spacing w:after="0"/>
              <w:rPr>
                <w:sz w:val="20"/>
                <w:szCs w:val="20"/>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w:t>
            </w:r>
          </w:p>
        </w:tc>
      </w:tr>
      <w:tr>
        <w:trPr>
          <w:trHeight w:val="288"/>
        </w:trPr>
        <w:tc>
          <w:tcPr>
            <w:tcW w:w="548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color w:val="auto"/>
                <w:w w:val="97"/>
              </w:rPr>
              <w:t>Less: interest . . . . . . . . . . . . . . . . . . . . . . . . . . . . . . . . . . . . . . . .</w:t>
            </w:r>
          </w:p>
        </w:tc>
        <w:tc>
          <w:tcPr>
            <w:tcW w:w="420" w:type="dxa"/>
            <w:vAlign w:val="bottom"/>
          </w:tcPr>
          <w:p>
            <w:pPr>
              <w:spacing w:after="0"/>
              <w:rPr>
                <w:sz w:val="24"/>
                <w:szCs w:val="24"/>
                <w:color w:val="auto"/>
              </w:rPr>
            </w:pPr>
          </w:p>
        </w:tc>
        <w:tc>
          <w:tcPr>
            <w:tcW w:w="190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(256)</w:t>
            </w:r>
          </w:p>
        </w:tc>
        <w:tc>
          <w:tcPr>
            <w:tcW w:w="4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r>
      <w:tr>
        <w:trPr>
          <w:trHeight w:val="270"/>
        </w:trPr>
        <w:tc>
          <w:tcPr>
            <w:tcW w:w="54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7"/>
              </w:rPr>
              <w:t>Discounted lease liabilities . . . . . . . . . . . . . . . . . . . . . . . . . . . . .</w:t>
            </w:r>
          </w:p>
        </w:tc>
        <w:tc>
          <w:tcPr>
            <w:tcW w:w="20" w:type="dxa"/>
            <w:vAlign w:val="bottom"/>
            <w:tcBorders>
              <w:bottom w:val="single" w:sz="8" w:color="auto"/>
            </w:tcBorders>
          </w:tcPr>
          <w:p>
            <w:pPr>
              <w:spacing w:after="0"/>
              <w:rPr>
                <w:sz w:val="23"/>
                <w:szCs w:val="23"/>
                <w:color w:val="auto"/>
              </w:rPr>
            </w:pPr>
          </w:p>
        </w:tc>
        <w:tc>
          <w:tcPr>
            <w:tcW w:w="42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1,040</w:t>
            </w:r>
          </w:p>
        </w:tc>
        <w:tc>
          <w:tcPr>
            <w:tcW w:w="420" w:type="dxa"/>
            <w:vAlign w:val="bottom"/>
          </w:tcPr>
          <w:p>
            <w:pPr>
              <w:spacing w:after="0"/>
              <w:rPr>
                <w:sz w:val="23"/>
                <w:szCs w:val="23"/>
                <w:color w:val="auto"/>
              </w:rPr>
            </w:pPr>
          </w:p>
        </w:tc>
        <w:tc>
          <w:tcPr>
            <w:tcW w:w="4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447</w:t>
            </w:r>
          </w:p>
        </w:tc>
      </w:tr>
    </w:tbl>
    <w:p>
      <w:pPr>
        <w:spacing w:after="0" w:line="255"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As of December 31, 2024, we entered into operating leases, primarily for real estate that have not yet commenced and therefore are not reflected in the table above, with future lease payments of $73 million. These leases commence through 2025 and have lease terms up to 16 years.</w:t>
      </w:r>
    </w:p>
    <w:p>
      <w:pPr>
        <w:spacing w:after="0" w:line="186"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19"/>
          <w:szCs w:val="19"/>
          <w:color w:val="auto"/>
        </w:rPr>
        <w:t>Cash paid during 2024 for our operating and financing leases was $103 million and $90 million, respectively. Cash paid during 2023 for our operating and financing leases was $ 77 million and $60 million, respectively. During 2024, right - of-use assets obtained in exchange for lease obligations for our operating and financing leases were $74 million and</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ectPr>
          <w:pgSz w:w="13320" w:h="16920" w:orient="portrait"/>
          <w:cols w:equalWidth="0" w:num="1">
            <w:col w:w="10440"/>
          </w:cols>
          <w:pgMar w:left="1440" w:top="1440" w:right="1440" w:bottom="1440" w:gutter="0" w:footer="0" w:header="0"/>
          <w:type w:val="continuous"/>
        </w:sectPr>
      </w:pPr>
    </w:p>
    <w:bookmarkStart w:id="184" w:name="page185"/>
    <w:bookmarkEnd w:id="184"/>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spacing w:after="0" w:line="278" w:lineRule="auto"/>
        <w:rPr>
          <w:sz w:val="20"/>
          <w:szCs w:val="20"/>
          <w:color w:val="auto"/>
        </w:rPr>
      </w:pPr>
      <w:r>
        <w:rPr>
          <w:rFonts w:ascii="Times New Roman" w:cs="Times New Roman" w:eastAsia="Times New Roman" w:hAnsi="Times New Roman"/>
          <w:sz w:val="20"/>
          <w:szCs w:val="20"/>
          <w:color w:val="auto"/>
        </w:rPr>
        <w:t>$118 million, respectively. During 2023, right-of-use assets obtained in exchange for lease obligations for our operating and financing leases were $62 million and $121 million, respectively.</w:t>
      </w:r>
    </w:p>
    <w:p>
      <w:pPr>
        <w:spacing w:after="0" w:line="167"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As of December 31, 2024, the weighted average remaining lease terms of our operating and financing leases were approximately 12 years and 11 years, respectively. The weighted average discount rates used to determine the lease liabilities as of December 31, 2024 for our operating and financing leases were approximately 4.3% and 4.6%, respectively.</w:t>
      </w:r>
    </w:p>
    <w:p>
      <w:pPr>
        <w:spacing w:after="0" w:line="226" w:lineRule="exact"/>
        <w:rPr>
          <w:sz w:val="20"/>
          <w:szCs w:val="20"/>
          <w:color w:val="auto"/>
        </w:rPr>
      </w:pPr>
    </w:p>
    <w:p>
      <w:pPr>
        <w:ind w:left="720" w:hanging="353"/>
        <w:spacing w:after="0"/>
        <w:tabs>
          <w:tab w:leader="none" w:pos="720"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w:t>
      </w:r>
    </w:p>
    <w:p>
      <w:pPr>
        <w:spacing w:after="0" w:line="2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income tax expense consisted of the following for the year ended December 31 (in millions):</w:t>
      </w:r>
    </w:p>
    <w:p>
      <w:pPr>
        <w:spacing w:after="0" w:line="262"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6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Current:</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9"/>
        </w:trPr>
        <w:tc>
          <w:tcPr>
            <w:tcW w:w="66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Federal . . . . . . . . . . . .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w:t>
            </w:r>
          </w:p>
        </w:tc>
        <w:tc>
          <w:tcPr>
            <w:tcW w:w="400" w:type="dxa"/>
            <w:vAlign w:val="bottom"/>
            <w:gridSpan w:val="3"/>
          </w:tcPr>
          <w:p>
            <w:pPr>
              <w:jc w:val="right"/>
              <w:ind w:right="1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0" w:type="dxa"/>
            <w:vAlign w:val="bottom"/>
          </w:tcPr>
          <w:p>
            <w:pPr>
              <w:spacing w:after="0"/>
              <w:rPr>
                <w:sz w:val="1"/>
                <w:szCs w:val="1"/>
                <w:color w:val="auto"/>
              </w:rPr>
            </w:pPr>
          </w:p>
        </w:tc>
      </w:tr>
      <w:tr>
        <w:trPr>
          <w:trHeight w:val="23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State . . . . . . .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0" w:type="dxa"/>
            <w:vAlign w:val="bottom"/>
          </w:tcPr>
          <w:p>
            <w:pPr>
              <w:spacing w:after="0"/>
              <w:rPr>
                <w:sz w:val="1"/>
                <w:szCs w:val="1"/>
                <w:color w:val="auto"/>
              </w:rPr>
            </w:pPr>
          </w:p>
        </w:tc>
      </w:tr>
      <w:tr>
        <w:trPr>
          <w:trHeight w:val="25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Foreign . . . . . . . . . . . . . . . . . . . . . . . . . .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20"/>
        </w:trPr>
        <w:tc>
          <w:tcPr>
            <w:tcW w:w="6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662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629</w:t>
            </w:r>
          </w:p>
        </w:tc>
        <w:tc>
          <w:tcPr>
            <w:tcW w:w="0" w:type="dxa"/>
            <w:vAlign w:val="bottom"/>
          </w:tcPr>
          <w:p>
            <w:pPr>
              <w:spacing w:after="0"/>
              <w:rPr>
                <w:sz w:val="1"/>
                <w:szCs w:val="1"/>
                <w:color w:val="auto"/>
              </w:rPr>
            </w:pPr>
          </w:p>
        </w:tc>
      </w:tr>
      <w:tr>
        <w:trPr>
          <w:trHeight w:val="199"/>
        </w:trPr>
        <w:tc>
          <w:tcPr>
            <w:tcW w:w="66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Federal . . . . .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3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State . . . . . . .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5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Foreign . . . . . . . . . . . . . . . . . . . . . . . . . .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20"/>
        </w:trPr>
        <w:tc>
          <w:tcPr>
            <w:tcW w:w="6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30"/>
        </w:trPr>
        <w:tc>
          <w:tcPr>
            <w:tcW w:w="6680" w:type="dxa"/>
            <w:vAlign w:val="bottom"/>
            <w:vMerge w:val="continue"/>
          </w:tcPr>
          <w:p>
            <w:pPr>
              <w:jc w:val="right"/>
              <w:ind w:right="2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713</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745</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678</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U.S. federal statutory income tax rate is reconciled to the effective income tax rate for the year ended</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December 31 as follows:</w:t>
      </w:r>
    </w:p>
    <w:p>
      <w:pPr>
        <w:spacing w:after="0" w:line="231"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Income tax expense at U.S. federal statutory rate</w:t>
            </w:r>
          </w:p>
        </w:tc>
        <w:tc>
          <w:tcPr>
            <w:tcW w:w="7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7"/>
                <w:szCs w:val="17"/>
                <w:color w:val="auto"/>
              </w:rPr>
            </w:pPr>
          </w:p>
        </w:tc>
        <w:tc>
          <w:tcPr>
            <w:tcW w:w="7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7"/>
                <w:szCs w:val="17"/>
                <w:color w:val="auto"/>
              </w:rPr>
            </w:pPr>
          </w:p>
        </w:tc>
        <w:tc>
          <w:tcPr>
            <w:tcW w:w="7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r>
        <w:trPr>
          <w:trHeight w:val="199"/>
        </w:trPr>
        <w:tc>
          <w:tcPr>
            <w:tcW w:w="6420" w:type="dxa"/>
            <w:vAlign w:val="bottom"/>
            <w:gridSpan w:val="2"/>
            <w:vMerge w:val="continue"/>
          </w:tcPr>
          <w:p>
            <w:pPr>
              <w:jc w:val="right"/>
              <w:ind w:right="240"/>
              <w:spacing w:after="0" w:line="176" w:lineRule="exact"/>
              <w:rPr>
                <w:sz w:val="20"/>
                <w:szCs w:val="20"/>
                <w:color w:val="auto"/>
              </w:rPr>
            </w:pPr>
            <w:r>
              <w:rPr>
                <w:rFonts w:ascii="Times New Roman" w:cs="Times New Roman" w:eastAsia="Times New Roman" w:hAnsi="Times New Roman"/>
                <w:sz w:val="20"/>
                <w:szCs w:val="20"/>
                <w:color w:val="auto"/>
              </w:rPr>
              <w:t>. . . . . . . . . . . . . . . . . . . . . . . .</w:t>
            </w:r>
          </w:p>
        </w:tc>
        <w:tc>
          <w:tcPr>
            <w:tcW w:w="7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21.00</w:t>
            </w:r>
          </w:p>
        </w:tc>
        <w:tc>
          <w:tcPr>
            <w:tcW w:w="4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21.00</w:t>
            </w:r>
          </w:p>
        </w:tc>
        <w:tc>
          <w:tcPr>
            <w:tcW w:w="4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21.00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9"/>
              </w:rPr>
              <w:t>State and local income taxes, net of federal income tax benefit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Adoption of new accounting standard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4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Federal tax credits . . . . . . . . . . . . . . . . . . . . . . . . . . . . . . . . . . . . . . . . . . . . . . . . .</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(6.63)</w:t>
            </w:r>
          </w:p>
        </w:tc>
        <w:tc>
          <w:tcPr>
            <w:tcW w:w="2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(3.23)</w:t>
            </w:r>
          </w:p>
        </w:tc>
        <w:tc>
          <w:tcPr>
            <w:tcW w:w="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(2.81)</w:t>
            </w:r>
          </w:p>
        </w:tc>
        <w:tc>
          <w:tcPr>
            <w:tcW w:w="0" w:type="dxa"/>
            <w:vAlign w:val="bottom"/>
          </w:tcPr>
          <w:p>
            <w:pPr>
              <w:spacing w:after="0"/>
              <w:rPr>
                <w:sz w:val="1"/>
                <w:szCs w:val="1"/>
                <w:color w:val="auto"/>
              </w:rPr>
            </w:pPr>
          </w:p>
        </w:tc>
      </w:tr>
      <w:tr>
        <w:trPr>
          <w:trHeight w:val="230"/>
        </w:trPr>
        <w:tc>
          <w:tcPr>
            <w:tcW w:w="64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Taxing authority audit settlements and other tax adjustments . . . . . . . . . . . . . .</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(0.95)</w:t>
            </w:r>
          </w:p>
        </w:tc>
        <w:tc>
          <w:tcPr>
            <w:tcW w:w="2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(0.02)</w:t>
            </w: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Tax impact of equity-based compensation transactions . . . . . . . . . . . . . . . . . . .</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(0.61)</w:t>
            </w:r>
          </w:p>
        </w:tc>
        <w:tc>
          <w:tcPr>
            <w:tcW w:w="2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(0.35)</w:t>
            </w:r>
          </w:p>
        </w:tc>
        <w:tc>
          <w:tcPr>
            <w:tcW w:w="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(0.45)</w:t>
            </w:r>
          </w:p>
        </w:tc>
        <w:tc>
          <w:tcPr>
            <w:tcW w:w="0" w:type="dxa"/>
            <w:vAlign w:val="bottom"/>
          </w:tcPr>
          <w:p>
            <w:pPr>
              <w:spacing w:after="0"/>
              <w:rPr>
                <w:sz w:val="1"/>
                <w:szCs w:val="1"/>
                <w:color w:val="auto"/>
              </w:rPr>
            </w:pPr>
          </w:p>
        </w:tc>
      </w:tr>
      <w:tr>
        <w:trPr>
          <w:trHeight w:val="230"/>
        </w:trPr>
        <w:tc>
          <w:tcPr>
            <w:tcW w:w="64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Tax impact of impairments . . . . . . . . .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0.42</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Tax rate differential on foreign income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0.29</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0.21</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4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5"/>
              </w:rPr>
              <w:t>Other . . . . . . . . . . . . . . . . . . . . . . . . . . . . . . . . . . . . . . . . . . . . . . . . . . . . . . . . . . . .</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0.80</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00" w:type="dxa"/>
            <w:vAlign w:val="bottom"/>
          </w:tcPr>
          <w:p>
            <w:pPr>
              <w:jc w:val="right"/>
              <w:ind w:right="120"/>
              <w:spacing w:after="0" w:line="221" w:lineRule="exact"/>
              <w:rPr>
                <w:sz w:val="20"/>
                <w:szCs w:val="20"/>
                <w:color w:val="auto"/>
              </w:rPr>
            </w:pPr>
            <w:r>
              <w:rPr>
                <w:rFonts w:ascii="Times New Roman" w:cs="Times New Roman" w:eastAsia="Times New Roman" w:hAnsi="Times New Roman"/>
                <w:sz w:val="20"/>
                <w:szCs w:val="20"/>
                <w:color w:val="auto"/>
              </w:rPr>
              <w:t>Effective income tax rate . . . . . . . . . . . . . . . . . . . . . . . . . . . . . . . . . . . . . . . . .</w:t>
            </w:r>
          </w:p>
        </w:tc>
        <w:tc>
          <w:tcPr>
            <w:tcW w:w="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20.62</w:t>
            </w:r>
          </w:p>
        </w:tc>
        <w:tc>
          <w:tcPr>
            <w:tcW w:w="420" w:type="dxa"/>
            <w:vAlign w:val="bottom"/>
          </w:tcPr>
          <w:p>
            <w:pPr>
              <w:jc w:val="right"/>
              <w:ind w:right="140"/>
              <w:spacing w:after="0" w:line="221" w:lineRule="exact"/>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24.66</w:t>
            </w:r>
          </w:p>
        </w:tc>
        <w:tc>
          <w:tcPr>
            <w:tcW w:w="400" w:type="dxa"/>
            <w:vAlign w:val="bottom"/>
          </w:tcPr>
          <w:p>
            <w:pPr>
              <w:jc w:val="right"/>
              <w:ind w:right="120"/>
              <w:spacing w:after="0" w:line="221" w:lineRule="exact"/>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23.24</w:t>
            </w:r>
          </w:p>
        </w:tc>
        <w:tc>
          <w:tcPr>
            <w:tcW w:w="1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The comparability of our income tax expense for the reported periods has been primarily affected by (i) federal tax credits; (ii) variations in our income before income taxes; (iii) impacts on adopting Accounting Standards Updates (“ASU”) 2023-02 and (iv) the tax implications of impairments.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3320" w:h="16920" w:orient="portrait"/>
          <w:cols w:equalWidth="0" w:num="1">
            <w:col w:w="10440"/>
          </w:cols>
          <w:pgMar w:left="1440" w:top="1440" w:right="1440" w:bottom="1440" w:gutter="0" w:footer="0" w:header="0"/>
          <w:type w:val="continuous"/>
        </w:sectPr>
      </w:pPr>
    </w:p>
    <w:bookmarkStart w:id="185" w:name="page186"/>
    <w:bookmarkEnd w:id="185"/>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For financial reporting purposes, income before income taxes by source for the year ended December 31 was as follows (in millions):</w:t>
      </w:r>
    </w:p>
    <w:p>
      <w:pPr>
        <w:spacing w:after="0" w:line="187" w:lineRule="exact"/>
        <w:rPr>
          <w:sz w:val="20"/>
          <w:szCs w:val="20"/>
          <w:color w:val="auto"/>
        </w:rPr>
      </w:pPr>
    </w:p>
    <w:tbl>
      <w:tblPr>
        <w:tblLayout w:type="fixed"/>
        <w:tblInd w:w="360" w:type="dxa"/>
        <w:tblCellMar>
          <w:top w:w="0" w:type="dxa"/>
          <w:left w:w="0" w:type="dxa"/>
          <w:bottom w:w="0" w:type="dxa"/>
          <w:right w:w="0" w:type="dxa"/>
        </w:tblCellMar>
      </w:tblPr>
      <w:tr>
        <w:trPr>
          <w:trHeight w:val="205"/>
        </w:trPr>
        <w:tc>
          <w:tcPr>
            <w:tcW w:w="6540" w:type="dxa"/>
            <w:vAlign w:val="bottom"/>
            <w:vMerge w:val="restart"/>
          </w:tcPr>
          <w:p>
            <w:pPr>
              <w:jc w:val="right"/>
              <w:ind w:right="5660"/>
              <w:spacing w:after="0"/>
              <w:rPr>
                <w:sz w:val="20"/>
                <w:szCs w:val="20"/>
                <w:color w:val="auto"/>
              </w:rPr>
            </w:pPr>
            <w:r>
              <w:rPr>
                <w:rFonts w:ascii="Times New Roman" w:cs="Times New Roman" w:eastAsia="Times New Roman" w:hAnsi="Times New Roman"/>
                <w:sz w:val="20"/>
                <w:szCs w:val="20"/>
                <w:color w:val="auto"/>
                <w:w w:val="99"/>
              </w:rPr>
              <w:t>Domestic</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1"/>
        </w:trPr>
        <w:tc>
          <w:tcPr>
            <w:tcW w:w="6540" w:type="dxa"/>
            <w:vAlign w:val="bottom"/>
            <w:vMerge w:val="continue"/>
          </w:tcPr>
          <w:p>
            <w:pPr>
              <w:jc w:val="right"/>
              <w:ind w:right="1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w:t>
            </w:r>
          </w:p>
        </w:tc>
        <w:tc>
          <w:tcPr>
            <w:tcW w:w="2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3,325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2,878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2,779</w:t>
            </w:r>
          </w:p>
        </w:tc>
        <w:tc>
          <w:tcPr>
            <w:tcW w:w="0" w:type="dxa"/>
            <w:vAlign w:val="bottom"/>
          </w:tcPr>
          <w:p>
            <w:pPr>
              <w:spacing w:after="0"/>
              <w:rPr>
                <w:sz w:val="1"/>
                <w:szCs w:val="1"/>
                <w:color w:val="auto"/>
              </w:rPr>
            </w:pPr>
          </w:p>
        </w:tc>
      </w:tr>
      <w:tr>
        <w:trPr>
          <w:trHeight w:val="251"/>
        </w:trPr>
        <w:tc>
          <w:tcPr>
            <w:tcW w:w="65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5"/>
              </w:rPr>
              <w:t>Foreign . . . . . . . . . . . . . . . . . . . . . . . . . . . .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0" w:type="dxa"/>
            <w:vAlign w:val="bottom"/>
          </w:tcPr>
          <w:p>
            <w:pPr>
              <w:spacing w:after="0"/>
              <w:rPr>
                <w:sz w:val="1"/>
                <w:szCs w:val="1"/>
                <w:color w:val="auto"/>
              </w:rPr>
            </w:pPr>
          </w:p>
        </w:tc>
      </w:tr>
      <w:tr>
        <w:trPr>
          <w:trHeight w:val="231"/>
        </w:trPr>
        <w:tc>
          <w:tcPr>
            <w:tcW w:w="6540" w:type="dxa"/>
            <w:vAlign w:val="bottom"/>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rPr>
              <w:t>. . . . . . . . . . . . . . . . . . . . . . . . . . . . . . . . . . . . . . .Incomebeforeincometaxes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3,458</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3,021</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2,918</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Renewable Natural Gas — </w:t>
      </w:r>
      <w:r>
        <w:rPr>
          <w:rFonts w:ascii="Times New Roman" w:cs="Times New Roman" w:eastAsia="Times New Roman" w:hAnsi="Times New Roman"/>
          <w:sz w:val="20"/>
          <w:szCs w:val="20"/>
          <w:color w:val="auto"/>
        </w:rPr>
        <w:t>Through our subsidiaries, including our WM Renewable Energy segment, we have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invested in building landfill gas-to-energy facilities in the U.S. and Canada that produce renewable electricity and RNG. We expect our new RNG facilities to qualify for federal tax credits and to realize those credits through 2027 under Sections 48 and 45Z of the Internal Revenue Code. We completed construction of five RNG facilities in 2024 and one RNG facility in 2023, resulting in a reduction to our income tax expense of $137 million and $8 million, respectively for investment tax credits under Section 48.</w:t>
      </w:r>
    </w:p>
    <w:p>
      <w:pPr>
        <w:spacing w:after="0" w:line="200"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Low-Income Housing — </w:t>
      </w:r>
      <w:r>
        <w:rPr>
          <w:rFonts w:ascii="Times New Roman" w:cs="Times New Roman" w:eastAsia="Times New Roman" w:hAnsi="Times New Roman"/>
          <w:sz w:val="20"/>
          <w:szCs w:val="20"/>
          <w:color w:val="auto"/>
        </w:rPr>
        <w:t>We have significant financial interests in entities established to invest in and manage low-income housing properties. In October 2024, we acquired an additional noncontrolling interest in a limited liability company established to invest in and manage low-income housing properties. Total consideration for this investment is expected to be $426 million, comprised of a $316 million note payable, an initial cash payment of $33 million and $77 million of interest payments expected to be paid over the life of the investment. At the time of the investment, we increased our investments in unconsolidated entities in our Consolidated Balance Sheet by $349 million, representing the principal balance of the note and the initial cash payment. We support the operations of these entities in exchange for a pro - rata share of the tax credits they generate. The low-income housing investments qualify for federal tax credits that we expect to realize through 2036 under Section 42 or Section 45D of the Internal Revenue Code.</w:t>
      </w:r>
    </w:p>
    <w:p>
      <w:pPr>
        <w:spacing w:after="0" w:line="205"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As a result of adopting ASU 2023-02, we amortize our investments in these entities using the proportional amortization method. Under the proportional amortization method, the equity investment is amortized in proportion to the income tax credits and other income tax benefits received. The amortization expense and the income tax credits are required to be presented on a net basis in income tax expense on the Consolidated Statements of Operations. Prior to fiscal year 2024, we accounted for our investments in these entities using the equity method of accounting, recognizing our share of each entity’s results of operations and other reductions in the value of our investments in equity in net income (losses) of unconsolidated entities, within our Consolidated Statements of Operations.</w:t>
      </w:r>
    </w:p>
    <w:p>
      <w:pPr>
        <w:spacing w:after="0" w:line="199"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During the year ended December 31, 2024, we recognized additional income tax expense of $78 million, related to amortization under ASU 2023-02. For the years ended December 31, 2023 and 2022, we recognized net losses of $66 million and $65 million, respectively, and a reduction in our income tax expense of $104 million, $108 million and $99 million in 2024, 2023 and 2022, respectively, primarily due to federal tax credits realized from these investments as well as the tax benefits from the pre-tax losses realized. In addition, during the years ended December 31, 2024, 2023 and 2022, we recognized interest expense of $24 million, $15 million and $14 million, respectively, associated with our investments in low-income housing properties. See Note 18 for additional information related to these unconsolidated variable interest entities.</w:t>
      </w:r>
    </w:p>
    <w:p>
      <w:pPr>
        <w:spacing w:after="0" w:line="202"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Tax Implications of Impairments — </w:t>
      </w:r>
      <w:r>
        <w:rPr>
          <w:rFonts w:ascii="Times New Roman" w:cs="Times New Roman" w:eastAsia="Times New Roman" w:hAnsi="Times New Roman"/>
          <w:sz w:val="20"/>
          <w:szCs w:val="20"/>
          <w:color w:val="auto"/>
        </w:rPr>
        <w:t>During the years ended December 31, 2024 and 2023, we recognized additional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income tax expense of $14 million and $50 million, respectively, due to non-cash impairment charges that were not deductible for tax purposes in the year of impairment. The non-cash impairment charge recognized during 2022 was deductible for tax purposes. See Note 11 for more information related to our impairment charges.</w:t>
      </w:r>
    </w:p>
    <w:p>
      <w:pPr>
        <w:spacing w:after="0" w:line="191" w:lineRule="exact"/>
        <w:rPr>
          <w:sz w:val="20"/>
          <w:szCs w:val="20"/>
          <w:color w:val="auto"/>
        </w:rPr>
      </w:pPr>
    </w:p>
    <w:p>
      <w:pPr>
        <w:jc w:val="both"/>
        <w:ind w:left="360" w:right="360" w:firstLine="360"/>
        <w:spacing w:after="0" w:line="305" w:lineRule="auto"/>
        <w:rPr>
          <w:sz w:val="20"/>
          <w:szCs w:val="20"/>
          <w:color w:val="auto"/>
        </w:rPr>
      </w:pPr>
      <w:r>
        <w:rPr>
          <w:rFonts w:ascii="Times New Roman" w:cs="Times New Roman" w:eastAsia="Times New Roman" w:hAnsi="Times New Roman"/>
          <w:sz w:val="19"/>
          <w:szCs w:val="19"/>
          <w:i w:val="1"/>
          <w:iCs w:val="1"/>
          <w:color w:val="auto"/>
        </w:rPr>
        <w:t xml:space="preserve">Tax Audits — </w:t>
      </w:r>
      <w:r>
        <w:rPr>
          <w:rFonts w:ascii="Times New Roman" w:cs="Times New Roman" w:eastAsia="Times New Roman" w:hAnsi="Times New Roman"/>
          <w:sz w:val="19"/>
          <w:szCs w:val="19"/>
          <w:color w:val="auto"/>
        </w:rPr>
        <w:t>We participate in the IRS’s Compliance Assurance Process, which means we work with the IRS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throughout the year towards resolving any material issues prior to the filing of our annual tax return. Any unresolved issues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3320" w:h="16920" w:orient="portrait"/>
          <w:cols w:equalWidth="0" w:num="1">
            <w:col w:w="10440"/>
          </w:cols>
          <w:pgMar w:left="1440" w:top="1440" w:right="1440" w:bottom="1440" w:gutter="0" w:footer="0" w:header="0"/>
          <w:type w:val="continuous"/>
        </w:sectPr>
      </w:pPr>
    </w:p>
    <w:bookmarkStart w:id="186" w:name="page187"/>
    <w:bookmarkEnd w:id="186"/>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spacing w:after="0" w:line="247" w:lineRule="auto"/>
        <w:rPr>
          <w:sz w:val="20"/>
          <w:szCs w:val="20"/>
          <w:color w:val="auto"/>
        </w:rPr>
      </w:pPr>
      <w:r>
        <w:rPr>
          <w:rFonts w:ascii="Times New Roman" w:cs="Times New Roman" w:eastAsia="Times New Roman" w:hAnsi="Times New Roman"/>
          <w:sz w:val="20"/>
          <w:szCs w:val="20"/>
          <w:color w:val="auto"/>
        </w:rPr>
        <w:t>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In the fourth quarter of 2024, the Company filed a claim for refund of the entire amount deposited with the IRS. We expect to litigate any denial of the claim for refund. As of December 31, 2024 and 2023, the IRS deposit, net of reserve for uncertain tax positions, was classified as a component of other long-term assets in the Company’s Consolidated Balance Sheets.</w:t>
      </w:r>
    </w:p>
    <w:p>
      <w:pPr>
        <w:spacing w:after="0" w:line="200"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In addition, we are in the examination phase of IRS audits for the 2023 and 2024 tax years and expect the audits to be completed within the next 15 months. We are also currently undergoing audits by the Canada Revenue Agency for the 2021 tax year and various state and local jurisdictions for tax years that date back to 2014.</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Deferred Tax Assets (Liabilities)</w:t>
      </w:r>
    </w:p>
    <w:p>
      <w:pPr>
        <w:spacing w:after="0" w:line="2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components of net deferred tax liabilities as of December 31 are as follows (in millions):</w:t>
      </w:r>
    </w:p>
    <w:p>
      <w:pPr>
        <w:spacing w:after="0" w:line="259"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7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5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Net operating loss, capital loss and tax credit carry-forwards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440" w:type="dxa"/>
            <w:vAlign w:val="bottom"/>
            <w:gridSpan w:val="3"/>
          </w:tcPr>
          <w:p>
            <w:pPr>
              <w:jc w:val="right"/>
              <w:ind w:right="35"/>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Landfill and environmental remediation liabilities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Operating lease liabilities. . . . . . . . . . . . . . . . . . . . . . . . . . . . . . . . . . . . . . . . . . . . . . . . . . .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5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Miscellaneous and other reserves, net. . . . . . . . . . .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7580" w:type="dxa"/>
            <w:vAlign w:val="bottom"/>
          </w:tcPr>
          <w:p>
            <w:pPr>
              <w:jc w:val="right"/>
              <w:ind w:right="240"/>
              <w:spacing w:after="0" w:line="201" w:lineRule="exact"/>
              <w:rPr>
                <w:sz w:val="20"/>
                <w:szCs w:val="20"/>
                <w:color w:val="auto"/>
              </w:rPr>
            </w:pPr>
            <w:r>
              <w:rPr>
                <w:rFonts w:ascii="Times New Roman" w:cs="Times New Roman" w:eastAsia="Times New Roman" w:hAnsi="Times New Roman"/>
                <w:sz w:val="20"/>
                <w:szCs w:val="20"/>
                <w:color w:val="auto"/>
              </w:rPr>
              <w:t>. . . . . . . . . . . . . . . . . . . . . . . . . . . . . . . . . . . . . . . . . . . . . . . . . . .Totaldeferredtaxassets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855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603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6"/>
              </w:rPr>
              <w:t>Valuation allowance . . . . . . . . . . . . . . . . . . . . . . . . . . . . . . . . . . . . . . . . . . . . . . . . . . . . . . . . .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(181)</w:t>
            </w: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9"/>
              </w:rPr>
              <w:t>Property and equipment . . .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Goodwill and other intangibles . . . . . . . . . . . . . . . . . . . . . . . . . . . . . . . . . . . . . . . . . . . . . .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(1,046)</w:t>
            </w:r>
          </w:p>
        </w:tc>
        <w:tc>
          <w:tcPr>
            <w:tcW w:w="0" w:type="dxa"/>
            <w:vAlign w:val="bottom"/>
          </w:tcPr>
          <w:p>
            <w:pPr>
              <w:spacing w:after="0"/>
              <w:rPr>
                <w:sz w:val="1"/>
                <w:szCs w:val="1"/>
                <w:color w:val="auto"/>
              </w:rPr>
            </w:pPr>
          </w:p>
        </w:tc>
      </w:tr>
      <w:tr>
        <w:trPr>
          <w:trHeight w:val="250"/>
        </w:trPr>
        <w:tc>
          <w:tcPr>
            <w:tcW w:w="75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Operating lease right-of-use assets . . . . . . . . . . . . . . . . . . . . . . . . . . . . . . . . . . . . . . . . . . .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230"/>
        </w:trPr>
        <w:tc>
          <w:tcPr>
            <w:tcW w:w="7580" w:type="dxa"/>
            <w:vAlign w:val="bottom"/>
          </w:tcPr>
          <w:p>
            <w:pPr>
              <w:jc w:val="right"/>
              <w:ind w:right="24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 . . . . .Netdeferredtaxliabilities</w:t>
            </w: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(2,810)</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(1,826)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These net deferred tax liabilities are included as a component of other long-term assets, accrued liabilities and deferred income taxes in our Consolidated Balance Sheets. As of December 31, 2024, we had $123 million of international net operating loss carry-forwards with expiration dates through 2041 and $2.0 billion of state net operating loss carry-forwards with expiration dates through 2044. We also had $106 million of federal and foreign interest expense carry-forwards that do not expire, $40 million of foreign tax credit carry-forwards with expiration dates through 2033 and $6 million of state tax credit carry-forwards with expiration dates through 2034.</w:t>
      </w:r>
    </w:p>
    <w:p>
      <w:pPr>
        <w:spacing w:after="0" w:line="200"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20"/>
          <w:szCs w:val="20"/>
          <w:color w:val="auto"/>
        </w:rPr>
        <w:t>We have established valuation allowances for uncertainties in realizing the benefit of certain tax loss and credit carry - forwards and other deferred tax assets. While we expect to realize the deferred tax assets, net of the valuation allowances, changes in estimates of future taxable income or in tax laws may alter this expectation.</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ectPr>
          <w:pgSz w:w="13320" w:h="16920" w:orient="portrait"/>
          <w:cols w:equalWidth="0" w:num="1">
            <w:col w:w="10440"/>
          </w:cols>
          <w:pgMar w:left="1440" w:top="1440" w:right="1440" w:bottom="1440" w:gutter="0" w:footer="0" w:header="0"/>
          <w:type w:val="continuous"/>
        </w:sectPr>
      </w:pPr>
    </w:p>
    <w:bookmarkStart w:id="187" w:name="page188"/>
    <w:bookmarkEnd w:id="187"/>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Liabilities for Uncertain Tax Positions</w:t>
      </w:r>
    </w:p>
    <w:p>
      <w:pPr>
        <w:spacing w:after="0" w:line="240"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A reconciliation of the beginning and ending amount of gross unrecognized tax benefits, including accrued interest, is as follows (in millions):</w:t>
      </w:r>
    </w:p>
    <w:p>
      <w:pPr>
        <w:spacing w:after="0" w:line="191"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6780" w:type="dxa"/>
            <w:vAlign w:val="bottom"/>
            <w:vMerge w:val="restart"/>
          </w:tcPr>
          <w:p>
            <w:pPr>
              <w:jc w:val="right"/>
              <w:ind w:right="4780"/>
              <w:spacing w:after="0"/>
              <w:rPr>
                <w:sz w:val="20"/>
                <w:szCs w:val="20"/>
                <w:color w:val="auto"/>
              </w:rPr>
            </w:pPr>
            <w:r>
              <w:rPr>
                <w:rFonts w:ascii="Times New Roman" w:cs="Times New Roman" w:eastAsia="Times New Roman" w:hAnsi="Times New Roman"/>
                <w:sz w:val="20"/>
                <w:szCs w:val="20"/>
                <w:color w:val="auto"/>
                <w:w w:val="98"/>
              </w:rPr>
              <w:t>Balance as of January 1</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80" w:type="dxa"/>
            <w:vAlign w:val="bottom"/>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w:t>
            </w:r>
          </w:p>
        </w:tc>
        <w:tc>
          <w:tcPr>
            <w:tcW w:w="2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66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64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Additions based on tax positions related to the current year . . . . . . . . . . . . . . . .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Accrued interest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Acquisitions . . . . . . . . . . . . . . . . . . . . . . . . . . . . . . . . . . . . . . . . . . . . . . . . . . . . . .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7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Settlements . .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67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Lapse of statute of limitations . . . . . . . . . . . . . . . . . . . . . . . . . . . . . . . . . . . . . . . .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30"/>
        </w:trPr>
        <w:tc>
          <w:tcPr>
            <w:tcW w:w="678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.BalanceasofDecember31</w:t>
            </w: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43</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66</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20"/>
          <w:szCs w:val="20"/>
          <w:color w:val="auto"/>
        </w:rPr>
        <w:t>These liabilities are included as a component of other long-term liabilities or as an offset to other long-term assets in our Consolidated Balance Sheets because the Company does not anticipate that settlement of the liabilities will require payment of cash within the next 12 months. As of December 31, 2024, we had $36 million of net unrecognized tax benefits that, if recognized in future periods, would impact our effective income tax rate.</w:t>
      </w:r>
    </w:p>
    <w:p>
      <w:pPr>
        <w:spacing w:after="0" w:line="191"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20"/>
          <w:szCs w:val="20"/>
          <w:color w:val="auto"/>
        </w:rPr>
        <w:t>We recognize interest expense related to unrecognized tax benefits in our income tax expense, which was not material for the reported periods. We did not have any material accrued liabilities or expense for penalties related to unrecognized tax benefits for the reported periods.</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9. Employee Benefit Plans</w:t>
      </w:r>
    </w:p>
    <w:p>
      <w:pPr>
        <w:spacing w:after="0" w:line="244" w:lineRule="exact"/>
        <w:rPr>
          <w:sz w:val="20"/>
          <w:szCs w:val="20"/>
          <w:color w:val="auto"/>
        </w:rPr>
      </w:pPr>
    </w:p>
    <w:p>
      <w:pPr>
        <w:jc w:val="both"/>
        <w:ind w:left="360" w:right="360" w:firstLine="360"/>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Defined Contribution Plans — </w:t>
      </w:r>
      <w:r>
        <w:rPr>
          <w:rFonts w:ascii="Times New Roman" w:cs="Times New Roman" w:eastAsia="Times New Roman" w:hAnsi="Times New Roman"/>
          <w:sz w:val="19"/>
          <w:szCs w:val="19"/>
          <w:color w:val="auto"/>
        </w:rPr>
        <w:t>The Company sponsors a 401(k) retirement savings plan that covers employees, except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those working subject to collective bargaining agreements that do not provide for coverage under the plan. U.S. employees who are not subject to such collective bargaining agreements are generally eligible to participate in the plan following a 90-day waiting period after hire and may contribute as much as 50% of their eligible annual compensation and 80% of their annual incentive plan bonus, subject to annual contribution limitations established by the IRS. Under the 401(k) retirement savings plan, for non-union employees, we match 100% of employee contributions on the first 3% of their eligible annual compensation and 50% of employee contributions on the next 3% of their eligible annual compensation, resulting in a maximum match of 4.5% of eligible annual compensation. Non-union employees are automatically enrolled in the plan at a 3% contribution rate upon eligibility. Both employee and Company contributions are in cash and vest immediately. In connection with our acquisition of Stericycle in November 2024, we acquired a domestic defined contribution plan with attributes similar to our existing Waste Management 401(k) retirement savings plan.</w:t>
      </w:r>
    </w:p>
    <w:p>
      <w:pPr>
        <w:spacing w:after="0" w:line="197"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Certain U.S. employees who are subject to collective bargaining agreements may participate in the 401(k) retirement savings plan under terms specified in their collective bargaining agreement. Certain employees outside the U.S., including those in Canada and across Europe, participate in defined contribution plans maintained by the Company in compliance with laws of the appropriate jurisdiction. Charges to operating and selling, general and administrative expenses for our defined contribution plans totaled $125 million, $118 million and $112 million for the years ended December 31, 2024, 2023 and 2022, respectively.</w:t>
      </w:r>
    </w:p>
    <w:p>
      <w:pPr>
        <w:spacing w:after="0" w:line="200" w:lineRule="exact"/>
        <w:rPr>
          <w:sz w:val="20"/>
          <w:szCs w:val="20"/>
          <w:color w:val="auto"/>
        </w:rPr>
      </w:pPr>
    </w:p>
    <w:p>
      <w:pPr>
        <w:jc w:val="both"/>
        <w:ind w:left="360" w:right="360" w:firstLine="360"/>
        <w:spacing w:after="0" w:line="265" w:lineRule="auto"/>
        <w:rPr>
          <w:sz w:val="20"/>
          <w:szCs w:val="20"/>
          <w:color w:val="auto"/>
        </w:rPr>
      </w:pPr>
      <w:r>
        <w:rPr>
          <w:rFonts w:ascii="Times New Roman" w:cs="Times New Roman" w:eastAsia="Times New Roman" w:hAnsi="Times New Roman"/>
          <w:sz w:val="19"/>
          <w:szCs w:val="19"/>
          <w:i w:val="1"/>
          <w:iCs w:val="1"/>
          <w:color w:val="auto"/>
        </w:rPr>
        <w:t xml:space="preserve">Defined Benefit Plans (other than multiemployer defined benefit pension plans discussed below) — </w:t>
      </w:r>
      <w:r>
        <w:rPr>
          <w:rFonts w:ascii="Times New Roman" w:cs="Times New Roman" w:eastAsia="Times New Roman" w:hAnsi="Times New Roman"/>
          <w:sz w:val="19"/>
          <w:szCs w:val="19"/>
          <w:color w:val="auto"/>
        </w:rPr>
        <w:t>WM Holdings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sponsors a defined benefit plan for certain employees who are subject to collective bargaining agreements that provide for participation in this plan. Further, certain of our Canadian subsidiaries sponsor defined benefit plans that are frozen to new participants. As of December 31, 2024, the combined benefit obligation of these pension plans was $115 million supported by $117 million of combined plan assets, resulting in an aggregate plan asset for these plans of $2 million. As of</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ectPr>
          <w:pgSz w:w="13320" w:h="16920" w:orient="portrait"/>
          <w:cols w:equalWidth="0" w:num="1">
            <w:col w:w="10440"/>
          </w:cols>
          <w:pgMar w:left="1440" w:top="1440" w:right="1440" w:bottom="1440" w:gutter="0" w:footer="0" w:header="0"/>
          <w:type w:val="continuous"/>
        </w:sectPr>
      </w:pPr>
    </w:p>
    <w:bookmarkStart w:id="188" w:name="page189"/>
    <w:bookmarkEnd w:id="188"/>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spacing w:after="0" w:line="278" w:lineRule="auto"/>
        <w:rPr>
          <w:sz w:val="20"/>
          <w:szCs w:val="20"/>
          <w:color w:val="auto"/>
        </w:rPr>
      </w:pPr>
      <w:r>
        <w:rPr>
          <w:rFonts w:ascii="Times New Roman" w:cs="Times New Roman" w:eastAsia="Times New Roman" w:hAnsi="Times New Roman"/>
          <w:sz w:val="20"/>
          <w:szCs w:val="20"/>
          <w:color w:val="auto"/>
        </w:rPr>
        <w:t>December 31, 2023, the combined benefit obligation of these pension plans was $119 million supported by $118 million of combined plan assets, resulting in an aggregate unfunded benefit obligation for these plans of $1 million.</w:t>
      </w:r>
    </w:p>
    <w:p>
      <w:pPr>
        <w:spacing w:after="0" w:line="167"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20"/>
          <w:szCs w:val="20"/>
          <w:color w:val="auto"/>
        </w:rPr>
        <w:t>In addition, WM Holdings and certain of its subsidiaries provided post-retirement health care and other benefits to eligible retirees. In conjunction with our acquisition of WM Holdings in July 1998, we limited participation in these plans to participating retirees as of December 31, 1998. The unfunded benefit obligation for these plans was $7 million and $7 million as of December 31, 2024 and 2023, respectively.</w:t>
      </w:r>
    </w:p>
    <w:p>
      <w:pPr>
        <w:spacing w:after="0" w:line="191"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Our assets and accrued benefit liabilities for our defined benefit pension and other post-retirement plans are included as components of long-term other assets, accrued liabilities and long-term other liabilities in our Consolidated Balance Sheets.</w:t>
      </w:r>
    </w:p>
    <w:p>
      <w:pPr>
        <w:spacing w:after="0" w:line="186"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Multiemployer Defined Benefit Pension Plans — </w:t>
      </w:r>
      <w:r>
        <w:rPr>
          <w:rFonts w:ascii="Times New Roman" w:cs="Times New Roman" w:eastAsia="Times New Roman" w:hAnsi="Times New Roman"/>
          <w:sz w:val="20"/>
          <w:szCs w:val="20"/>
          <w:color w:val="auto"/>
        </w:rPr>
        <w:t>We are a participating employer in a number of trustee-managed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multiemployer defined benefit pension plans (“Multiemployer Pension Plans”) for employees who are covered by collective bargaining agreements. The risks of participating in these Multiemployer Pension Plans are different from single-employer plans in that (i) assets contributed to the Multiemployer Pension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any of our Multiemployer Pension Plans, we may be required to pay those plans a withdrawal amount based on the underfunded status of the plan. The following table outlines our participation in Multiemployer Pension Plans considered to be individually significant (dollars in millions):</w:t>
      </w:r>
    </w:p>
    <w:p>
      <w:pPr>
        <w:spacing w:after="0" w:line="23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EIN/</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Pension Protection Act</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of Collective</w:t>
            </w:r>
          </w:p>
        </w:tc>
        <w:tc>
          <w:tcPr>
            <w:tcW w:w="0" w:type="dxa"/>
            <w:vAlign w:val="bottom"/>
          </w:tcPr>
          <w:p>
            <w:pPr>
              <w:spacing w:after="0"/>
              <w:rPr>
                <w:sz w:val="1"/>
                <w:szCs w:val="1"/>
                <w:color w:val="auto"/>
              </w:rPr>
            </w:pPr>
          </w:p>
        </w:tc>
      </w:tr>
      <w:tr>
        <w:trPr>
          <w:trHeight w:val="178"/>
        </w:trPr>
        <w:tc>
          <w:tcPr>
            <w:tcW w:w="2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Pension Plan</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Reported Status(a)</w:t>
            </w:r>
          </w:p>
        </w:tc>
        <w:tc>
          <w:tcPr>
            <w:tcW w:w="140" w:type="dxa"/>
            <w:vAlign w:val="bottom"/>
          </w:tcPr>
          <w:p>
            <w:pPr>
              <w:spacing w:after="0"/>
              <w:rPr>
                <w:sz w:val="15"/>
                <w:szCs w:val="15"/>
                <w:color w:val="auto"/>
              </w:rPr>
            </w:pPr>
          </w:p>
        </w:tc>
        <w:tc>
          <w:tcPr>
            <w:tcW w:w="1040" w:type="dxa"/>
            <w:vAlign w:val="bottom"/>
            <w:gridSpan w:val="4"/>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w w:val="97"/>
              </w:rPr>
              <w:t>FIP/RP</w:t>
            </w:r>
          </w:p>
        </w:tc>
        <w:tc>
          <w:tcPr>
            <w:tcW w:w="500" w:type="dxa"/>
            <w:vAlign w:val="bottom"/>
          </w:tcPr>
          <w:p>
            <w:pPr>
              <w:spacing w:after="0"/>
              <w:rPr>
                <w:sz w:val="15"/>
                <w:szCs w:val="15"/>
                <w:color w:val="auto"/>
              </w:rPr>
            </w:pP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Contributions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Bargaining</w:t>
            </w:r>
          </w:p>
        </w:tc>
        <w:tc>
          <w:tcPr>
            <w:tcW w:w="0" w:type="dxa"/>
            <w:vAlign w:val="bottom"/>
          </w:tcPr>
          <w:p>
            <w:pPr>
              <w:spacing w:after="0"/>
              <w:rPr>
                <w:sz w:val="1"/>
                <w:szCs w:val="1"/>
                <w:color w:val="auto"/>
              </w:rPr>
            </w:pPr>
          </w:p>
        </w:tc>
      </w:tr>
      <w:tr>
        <w:trPr>
          <w:trHeight w:val="152"/>
        </w:trPr>
        <w:tc>
          <w:tcPr>
            <w:tcW w:w="2800" w:type="dxa"/>
            <w:vAlign w:val="bottom"/>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Pension Fund</w:t>
            </w:r>
          </w:p>
        </w:tc>
        <w:tc>
          <w:tcPr>
            <w:tcW w:w="140" w:type="dxa"/>
            <w:vAlign w:val="bottom"/>
          </w:tcPr>
          <w:p>
            <w:pPr>
              <w:spacing w:after="0"/>
              <w:rPr>
                <w:sz w:val="13"/>
                <w:szCs w:val="13"/>
                <w:color w:val="auto"/>
              </w:rPr>
            </w:pPr>
          </w:p>
        </w:tc>
        <w:tc>
          <w:tcPr>
            <w:tcW w:w="1020" w:type="dxa"/>
            <w:vAlign w:val="bottom"/>
            <w:gridSpan w:val="2"/>
          </w:tcPr>
          <w:p>
            <w:pPr>
              <w:jc w:val="center"/>
              <w:ind w:right="140"/>
              <w:spacing w:after="0" w:line="152"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660" w:type="dxa"/>
            <w:vAlign w:val="bottom"/>
            <w:tcBorders>
              <w:top w:val="single" w:sz="8" w:color="auto"/>
            </w:tcBorders>
          </w:tcPr>
          <w:p>
            <w:pPr>
              <w:jc w:val="right"/>
              <w:ind w:right="110"/>
              <w:spacing w:after="0" w:line="152" w:lineRule="exact"/>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top w:val="single" w:sz="8" w:color="auto"/>
            </w:tcBorders>
            <w:gridSpan w:val="2"/>
          </w:tcPr>
          <w:p>
            <w:pPr>
              <w:jc w:val="right"/>
              <w:ind w:right="110"/>
              <w:spacing w:after="0" w:line="15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3"/>
                <w:szCs w:val="13"/>
                <w:color w:val="auto"/>
              </w:rPr>
            </w:pPr>
          </w:p>
        </w:tc>
        <w:tc>
          <w:tcPr>
            <w:tcW w:w="940" w:type="dxa"/>
            <w:vAlign w:val="bottom"/>
            <w:gridSpan w:val="3"/>
          </w:tcPr>
          <w:p>
            <w:pPr>
              <w:jc w:val="center"/>
              <w:ind w:right="70"/>
              <w:spacing w:after="0" w:line="152" w:lineRule="exact"/>
              <w:rPr>
                <w:sz w:val="20"/>
                <w:szCs w:val="20"/>
                <w:color w:val="auto"/>
              </w:rPr>
            </w:pPr>
            <w:r>
              <w:rPr>
                <w:rFonts w:ascii="Times New Roman" w:cs="Times New Roman" w:eastAsia="Times New Roman" w:hAnsi="Times New Roman"/>
                <w:sz w:val="14"/>
                <w:szCs w:val="14"/>
                <w:b w:val="1"/>
                <w:bCs w:val="1"/>
                <w:color w:val="auto"/>
                <w:w w:val="97"/>
              </w:rPr>
              <w:t>Status(b)(c)</w:t>
            </w: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90"/>
              <w:spacing w:after="0" w:line="15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90"/>
              <w:spacing w:after="0" w:line="15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90"/>
              <w:spacing w:after="0" w:line="15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3"/>
                <w:szCs w:val="13"/>
                <w:color w:val="auto"/>
              </w:rPr>
            </w:pPr>
          </w:p>
        </w:tc>
        <w:tc>
          <w:tcPr>
            <w:tcW w:w="9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rPr>
              <w:t>Agreement(s)</w:t>
            </w:r>
          </w:p>
        </w:tc>
        <w:tc>
          <w:tcPr>
            <w:tcW w:w="0" w:type="dxa"/>
            <w:vAlign w:val="bottom"/>
          </w:tcPr>
          <w:p>
            <w:pPr>
              <w:spacing w:after="0"/>
              <w:rPr>
                <w:sz w:val="1"/>
                <w:szCs w:val="1"/>
                <w:color w:val="auto"/>
              </w:rPr>
            </w:pPr>
          </w:p>
        </w:tc>
      </w:tr>
      <w:tr>
        <w:trPr>
          <w:trHeight w:val="137"/>
        </w:trPr>
        <w:tc>
          <w:tcPr>
            <w:tcW w:w="2800" w:type="dxa"/>
            <w:vAlign w:val="bottom"/>
            <w:tcBorders>
              <w:top w:val="single" w:sz="8" w:color="auto"/>
            </w:tcBorders>
          </w:tcPr>
          <w:p>
            <w:pPr>
              <w:spacing w:after="0" w:line="137" w:lineRule="exact"/>
              <w:rPr>
                <w:sz w:val="20"/>
                <w:szCs w:val="20"/>
                <w:color w:val="auto"/>
              </w:rPr>
            </w:pPr>
            <w:r>
              <w:rPr>
                <w:rFonts w:ascii="Times New Roman" w:cs="Times New Roman" w:eastAsia="Times New Roman" w:hAnsi="Times New Roman"/>
                <w:sz w:val="14"/>
                <w:szCs w:val="14"/>
                <w:color w:val="auto"/>
              </w:rPr>
              <w:t>Automotive Industries Pension Plan . . . . . . . . .</w:t>
            </w:r>
          </w:p>
        </w:tc>
        <w:tc>
          <w:tcPr>
            <w:tcW w:w="140" w:type="dxa"/>
            <w:vAlign w:val="bottom"/>
          </w:tcPr>
          <w:p>
            <w:pPr>
              <w:spacing w:after="0"/>
              <w:rPr>
                <w:sz w:val="11"/>
                <w:szCs w:val="11"/>
                <w:color w:val="auto"/>
              </w:rPr>
            </w:pPr>
          </w:p>
        </w:tc>
        <w:tc>
          <w:tcPr>
            <w:tcW w:w="880" w:type="dxa"/>
            <w:vAlign w:val="bottom"/>
            <w:tcBorders>
              <w:top w:val="single" w:sz="8" w:color="auto"/>
            </w:tcBorders>
          </w:tcPr>
          <w:p>
            <w:pPr>
              <w:spacing w:after="0" w:line="137" w:lineRule="exact"/>
              <w:rPr>
                <w:sz w:val="20"/>
                <w:szCs w:val="20"/>
                <w:color w:val="auto"/>
              </w:rPr>
            </w:pPr>
            <w:r>
              <w:rPr>
                <w:rFonts w:ascii="Times New Roman" w:cs="Times New Roman" w:eastAsia="Times New Roman" w:hAnsi="Times New Roman"/>
                <w:sz w:val="14"/>
                <w:szCs w:val="14"/>
                <w:color w:val="auto"/>
              </w:rPr>
              <w:t>EIN: 94-</w:t>
            </w:r>
          </w:p>
        </w:tc>
        <w:tc>
          <w:tcPr>
            <w:tcW w:w="140" w:type="dxa"/>
            <w:vAlign w:val="bottom"/>
          </w:tcPr>
          <w:p>
            <w:pPr>
              <w:spacing w:after="0"/>
              <w:rPr>
                <w:sz w:val="11"/>
                <w:szCs w:val="11"/>
                <w:color w:val="auto"/>
              </w:rPr>
            </w:pPr>
          </w:p>
        </w:tc>
        <w:tc>
          <w:tcPr>
            <w:tcW w:w="66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rPr>
              <w:t>Critical and</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rPr>
              <w:t>Critical and</w:t>
            </w:r>
          </w:p>
        </w:tc>
        <w:tc>
          <w:tcPr>
            <w:tcW w:w="140" w:type="dxa"/>
            <w:vAlign w:val="bottom"/>
          </w:tcPr>
          <w:p>
            <w:pPr>
              <w:spacing w:after="0"/>
              <w:rPr>
                <w:sz w:val="11"/>
                <w:szCs w:val="11"/>
                <w:color w:val="auto"/>
              </w:rPr>
            </w:pPr>
          </w:p>
        </w:tc>
        <w:tc>
          <w:tcPr>
            <w:tcW w:w="78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rPr>
              <w:t>Implemented</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1"/>
                <w:szCs w:val="11"/>
                <w:color w:val="auto"/>
              </w:rPr>
            </w:pPr>
          </w:p>
        </w:tc>
        <w:tc>
          <w:tcPr>
            <w:tcW w:w="96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rPr>
              <w:t>6/30/2025</w:t>
            </w:r>
          </w:p>
        </w:tc>
        <w:tc>
          <w:tcPr>
            <w:tcW w:w="0" w:type="dxa"/>
            <w:vAlign w:val="bottom"/>
          </w:tcPr>
          <w:p>
            <w:pPr>
              <w:spacing w:after="0"/>
              <w:rPr>
                <w:sz w:val="1"/>
                <w:szCs w:val="1"/>
                <w:color w:val="auto"/>
              </w:rPr>
            </w:pPr>
          </w:p>
        </w:tc>
      </w:tr>
      <w:tr>
        <w:trPr>
          <w:trHeight w:val="161"/>
        </w:trPr>
        <w:tc>
          <w:tcPr>
            <w:tcW w:w="2800" w:type="dxa"/>
            <w:vAlign w:val="bottom"/>
          </w:tcPr>
          <w:p>
            <w:pPr>
              <w:spacing w:after="0"/>
              <w:rPr>
                <w:sz w:val="13"/>
                <w:szCs w:val="13"/>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1133245;</w:t>
            </w: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Declining</w:t>
            </w:r>
          </w:p>
        </w:tc>
        <w:tc>
          <w:tcPr>
            <w:tcW w:w="1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Declining</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 Number:</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Not</w:t>
            </w:r>
          </w:p>
        </w:tc>
        <w:tc>
          <w:tcPr>
            <w:tcW w:w="140" w:type="dxa"/>
            <w:vAlign w:val="bottom"/>
          </w:tcPr>
          <w:p>
            <w:pPr>
              <w:spacing w:after="0"/>
              <w:rPr>
                <w:sz w:val="14"/>
                <w:szCs w:val="14"/>
                <w:color w:val="auto"/>
              </w:rPr>
            </w:pPr>
          </w:p>
        </w:tc>
        <w:tc>
          <w:tcPr>
            <w:tcW w:w="1040" w:type="dxa"/>
            <w:vAlign w:val="bottom"/>
            <w:gridSpan w:val="4"/>
            <w:vMerge w:val="restart"/>
          </w:tcPr>
          <w:p>
            <w:pPr>
              <w:jc w:val="center"/>
              <w:ind w:right="185"/>
              <w:spacing w:after="0"/>
              <w:rPr>
                <w:sz w:val="20"/>
                <w:szCs w:val="20"/>
                <w:color w:val="auto"/>
              </w:rPr>
            </w:pPr>
            <w:r>
              <w:rPr>
                <w:rFonts w:ascii="Times New Roman" w:cs="Times New Roman" w:eastAsia="Times New Roman" w:hAnsi="Times New Roman"/>
                <w:sz w:val="14"/>
                <w:szCs w:val="14"/>
                <w:color w:val="auto"/>
                <w:w w:val="97"/>
              </w:rPr>
              <w:t>Implemented</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Various dates</w:t>
            </w:r>
          </w:p>
        </w:tc>
        <w:tc>
          <w:tcPr>
            <w:tcW w:w="0" w:type="dxa"/>
            <w:vAlign w:val="bottom"/>
          </w:tcPr>
          <w:p>
            <w:pPr>
              <w:spacing w:after="0"/>
              <w:rPr>
                <w:sz w:val="1"/>
                <w:szCs w:val="1"/>
                <w:color w:val="auto"/>
              </w:rPr>
            </w:pPr>
          </w:p>
        </w:tc>
      </w:tr>
      <w:tr>
        <w:trPr>
          <w:trHeight w:val="160"/>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Midwest Operating Engineers Pension Trust</w:t>
            </w:r>
          </w:p>
        </w:tc>
        <w:tc>
          <w:tcPr>
            <w:tcW w:w="14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EIN: 36-</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Not</w:t>
            </w:r>
          </w:p>
        </w:tc>
        <w:tc>
          <w:tcPr>
            <w:tcW w:w="1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4"/>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Fund . . . . . . . . . . . . . . . . . . . . . . . . . . . . . .</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6140097;</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Endangered</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Endangered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through</w:t>
            </w:r>
          </w:p>
        </w:tc>
        <w:tc>
          <w:tcPr>
            <w:tcW w:w="0" w:type="dxa"/>
            <w:vAlign w:val="bottom"/>
          </w:tcPr>
          <w:p>
            <w:pPr>
              <w:spacing w:after="0"/>
              <w:rPr>
                <w:sz w:val="1"/>
                <w:szCs w:val="1"/>
                <w:color w:val="auto"/>
              </w:rPr>
            </w:pPr>
          </w:p>
        </w:tc>
      </w:tr>
      <w:tr>
        <w:trPr>
          <w:trHeight w:val="161"/>
        </w:trPr>
        <w:tc>
          <w:tcPr>
            <w:tcW w:w="2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 Number:</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 Critical</w:t>
            </w:r>
          </w:p>
        </w:tc>
        <w:tc>
          <w:tcPr>
            <w:tcW w:w="1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 Critical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color w:val="auto"/>
              </w:rPr>
              <w:t>9/30/2026</w:t>
            </w:r>
          </w:p>
        </w:tc>
        <w:tc>
          <w:tcPr>
            <w:tcW w:w="0" w:type="dxa"/>
            <w:vAlign w:val="bottom"/>
          </w:tcPr>
          <w:p>
            <w:pPr>
              <w:spacing w:after="0"/>
              <w:rPr>
                <w:sz w:val="1"/>
                <w:szCs w:val="1"/>
                <w:color w:val="auto"/>
              </w:rPr>
            </w:pPr>
          </w:p>
        </w:tc>
      </w:tr>
      <w:tr>
        <w:trPr>
          <w:trHeight w:val="161"/>
        </w:trPr>
        <w:tc>
          <w:tcPr>
            <w:tcW w:w="2800" w:type="dxa"/>
            <w:vAlign w:val="bottom"/>
          </w:tcPr>
          <w:p>
            <w:pPr>
              <w:spacing w:after="0"/>
              <w:rPr>
                <w:sz w:val="13"/>
                <w:szCs w:val="13"/>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as of</w:t>
            </w:r>
          </w:p>
        </w:tc>
        <w:tc>
          <w:tcPr>
            <w:tcW w:w="1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as of</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3/31/2024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3/31/2023</w:t>
            </w:r>
          </w:p>
        </w:tc>
        <w:tc>
          <w:tcPr>
            <w:tcW w:w="140" w:type="dxa"/>
            <w:vAlign w:val="bottom"/>
          </w:tcPr>
          <w:p>
            <w:pPr>
              <w:spacing w:after="0"/>
              <w:rPr>
                <w:sz w:val="14"/>
                <w:szCs w:val="14"/>
                <w:color w:val="auto"/>
              </w:rPr>
            </w:pPr>
          </w:p>
        </w:tc>
        <w:tc>
          <w:tcPr>
            <w:tcW w:w="1040" w:type="dxa"/>
            <w:vAlign w:val="bottom"/>
            <w:gridSpan w:val="4"/>
            <w:vMerge w:val="restart"/>
          </w:tcPr>
          <w:p>
            <w:pPr>
              <w:jc w:val="center"/>
              <w:ind w:right="185"/>
              <w:spacing w:after="0"/>
              <w:rPr>
                <w:sz w:val="20"/>
                <w:szCs w:val="20"/>
                <w:color w:val="auto"/>
              </w:rPr>
            </w:pPr>
            <w:r>
              <w:rPr>
                <w:rFonts w:ascii="Times New Roman" w:cs="Times New Roman" w:eastAsia="Times New Roman" w:hAnsi="Times New Roman"/>
                <w:sz w:val="14"/>
                <w:szCs w:val="14"/>
                <w:color w:val="auto"/>
                <w:w w:val="97"/>
              </w:rPr>
              <w:t>Implemented</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Various dates</w:t>
            </w:r>
          </w:p>
        </w:tc>
        <w:tc>
          <w:tcPr>
            <w:tcW w:w="0" w:type="dxa"/>
            <w:vAlign w:val="bottom"/>
          </w:tcPr>
          <w:p>
            <w:pPr>
              <w:spacing w:after="0"/>
              <w:rPr>
                <w:sz w:val="1"/>
                <w:szCs w:val="1"/>
                <w:color w:val="auto"/>
              </w:rPr>
            </w:pPr>
          </w:p>
        </w:tc>
      </w:tr>
      <w:tr>
        <w:trPr>
          <w:trHeight w:val="161"/>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Suburban Teamsters of Northern Illinois Pension</w:t>
            </w:r>
          </w:p>
        </w:tc>
        <w:tc>
          <w:tcPr>
            <w:tcW w:w="14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EIN: 36-</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Not</w:t>
            </w:r>
          </w:p>
        </w:tc>
        <w:tc>
          <w:tcPr>
            <w:tcW w:w="1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Not</w:t>
            </w:r>
          </w:p>
        </w:tc>
        <w:tc>
          <w:tcPr>
            <w:tcW w:w="140" w:type="dxa"/>
            <w:vAlign w:val="bottom"/>
          </w:tcPr>
          <w:p>
            <w:pPr>
              <w:spacing w:after="0"/>
              <w:rPr>
                <w:sz w:val="13"/>
                <w:szCs w:val="13"/>
                <w:color w:val="auto"/>
              </w:rPr>
            </w:pPr>
          </w:p>
        </w:tc>
        <w:tc>
          <w:tcPr>
            <w:tcW w:w="1040" w:type="dxa"/>
            <w:vAlign w:val="bottom"/>
            <w:gridSpan w:val="4"/>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Plan (d) . . . . . . . . . . . . . . . . . . . . . . . . . . . .</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6155778;</w:t>
            </w: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Endangered</w:t>
            </w:r>
          </w:p>
        </w:tc>
        <w:tc>
          <w:tcPr>
            <w:tcW w:w="1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Endangered</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through</w:t>
            </w:r>
          </w:p>
        </w:tc>
        <w:tc>
          <w:tcPr>
            <w:tcW w:w="0" w:type="dxa"/>
            <w:vAlign w:val="bottom"/>
          </w:tcPr>
          <w:p>
            <w:pPr>
              <w:spacing w:after="0"/>
              <w:rPr>
                <w:sz w:val="1"/>
                <w:szCs w:val="1"/>
                <w:color w:val="auto"/>
              </w:rPr>
            </w:pPr>
          </w:p>
        </w:tc>
      </w:tr>
      <w:tr>
        <w:trPr>
          <w:trHeight w:val="161"/>
        </w:trPr>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 Number:</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 Critical</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 Critical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color w:val="auto"/>
              </w:rPr>
              <w:t>3/31/2028</w:t>
            </w: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Western Conference of Teamsters Pension Plan .</w:t>
            </w:r>
          </w:p>
        </w:tc>
        <w:tc>
          <w:tcPr>
            <w:tcW w:w="14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EIN: 91-</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Not</w:t>
            </w:r>
          </w:p>
        </w:tc>
        <w:tc>
          <w:tcPr>
            <w:tcW w:w="1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Not</w:t>
            </w:r>
          </w:p>
        </w:tc>
        <w:tc>
          <w:tcPr>
            <w:tcW w:w="140" w:type="dxa"/>
            <w:vAlign w:val="bottom"/>
          </w:tcPr>
          <w:p>
            <w:pPr>
              <w:spacing w:after="0"/>
              <w:rPr>
                <w:sz w:val="13"/>
                <w:szCs w:val="13"/>
                <w:color w:val="auto"/>
              </w:rPr>
            </w:pPr>
          </w:p>
        </w:tc>
        <w:tc>
          <w:tcPr>
            <w:tcW w:w="1040" w:type="dxa"/>
            <w:vAlign w:val="bottom"/>
            <w:gridSpan w:val="4"/>
          </w:tcPr>
          <w:p>
            <w:pPr>
              <w:jc w:val="center"/>
              <w:ind w:right="185"/>
              <w:spacing w:after="0"/>
              <w:rPr>
                <w:sz w:val="20"/>
                <w:szCs w:val="20"/>
                <w:color w:val="auto"/>
              </w:rPr>
            </w:pPr>
            <w:r>
              <w:rPr>
                <w:rFonts w:ascii="Times New Roman" w:cs="Times New Roman" w:eastAsia="Times New Roman" w:hAnsi="Times New Roman"/>
                <w:sz w:val="14"/>
                <w:szCs w:val="14"/>
                <w:color w:val="auto"/>
                <w:w w:val="95"/>
              </w:rPr>
              <w:t>Not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Various dates</w:t>
            </w: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6145047;</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Endangered</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Endangered</w:t>
            </w:r>
          </w:p>
        </w:tc>
        <w:tc>
          <w:tcPr>
            <w:tcW w:w="140" w:type="dxa"/>
            <w:vAlign w:val="bottom"/>
          </w:tcPr>
          <w:p>
            <w:pPr>
              <w:spacing w:after="0"/>
              <w:rPr>
                <w:sz w:val="14"/>
                <w:szCs w:val="14"/>
                <w:color w:val="auto"/>
              </w:rPr>
            </w:pPr>
          </w:p>
        </w:tc>
        <w:tc>
          <w:tcPr>
            <w:tcW w:w="1040" w:type="dxa"/>
            <w:vAlign w:val="bottom"/>
            <w:gridSpan w:val="4"/>
          </w:tcPr>
          <w:p>
            <w:pPr>
              <w:jc w:val="center"/>
              <w:ind w:right="185"/>
              <w:spacing w:after="0"/>
              <w:rPr>
                <w:sz w:val="20"/>
                <w:szCs w:val="20"/>
                <w:color w:val="auto"/>
              </w:rPr>
            </w:pPr>
            <w:r>
              <w:rPr>
                <w:rFonts w:ascii="Times New Roman" w:cs="Times New Roman" w:eastAsia="Times New Roman" w:hAnsi="Times New Roman"/>
                <w:sz w:val="14"/>
                <w:szCs w:val="14"/>
                <w:color w:val="auto"/>
                <w:w w:val="97"/>
              </w:rPr>
              <w:t>Applicable</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through</w:t>
            </w:r>
          </w:p>
        </w:tc>
        <w:tc>
          <w:tcPr>
            <w:tcW w:w="0" w:type="dxa"/>
            <w:vAlign w:val="bottom"/>
          </w:tcPr>
          <w:p>
            <w:pPr>
              <w:spacing w:after="0"/>
              <w:rPr>
                <w:sz w:val="1"/>
                <w:szCs w:val="1"/>
                <w:color w:val="auto"/>
              </w:rPr>
            </w:pPr>
          </w:p>
        </w:tc>
      </w:tr>
      <w:tr>
        <w:trPr>
          <w:trHeight w:val="161"/>
        </w:trPr>
        <w:tc>
          <w:tcPr>
            <w:tcW w:w="2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 Number:</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 Critical</w:t>
            </w:r>
          </w:p>
        </w:tc>
        <w:tc>
          <w:tcPr>
            <w:tcW w:w="1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 Critical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4"/>
                <w:szCs w:val="14"/>
                <w:color w:val="auto"/>
              </w:rPr>
              <w:t>12/31/2029</w:t>
            </w: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Red and</w:t>
            </w:r>
          </w:p>
        </w:tc>
        <w:tc>
          <w:tcPr>
            <w:tcW w:w="16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Red and</w:t>
            </w:r>
          </w:p>
        </w:tc>
        <w:tc>
          <w:tcPr>
            <w:tcW w:w="140" w:type="dxa"/>
            <w:vAlign w:val="bottom"/>
          </w:tcPr>
          <w:p>
            <w:pPr>
              <w:spacing w:after="0"/>
              <w:rPr>
                <w:sz w:val="14"/>
                <w:szCs w:val="14"/>
                <w:color w:val="auto"/>
              </w:rPr>
            </w:pPr>
          </w:p>
        </w:tc>
        <w:tc>
          <w:tcPr>
            <w:tcW w:w="1040" w:type="dxa"/>
            <w:vAlign w:val="bottom"/>
            <w:gridSpan w:val="4"/>
            <w:vMerge w:val="restart"/>
          </w:tcPr>
          <w:p>
            <w:pPr>
              <w:jc w:val="center"/>
              <w:ind w:right="185"/>
              <w:spacing w:after="0"/>
              <w:rPr>
                <w:sz w:val="20"/>
                <w:szCs w:val="20"/>
                <w:color w:val="auto"/>
              </w:rPr>
            </w:pPr>
            <w:r>
              <w:rPr>
                <w:rFonts w:ascii="Times New Roman" w:cs="Times New Roman" w:eastAsia="Times New Roman" w:hAnsi="Times New Roman"/>
                <w:sz w:val="14"/>
                <w:szCs w:val="14"/>
                <w:color w:val="auto"/>
                <w:w w:val="97"/>
              </w:rPr>
              <w:t>Implemented</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Various dates</w:t>
            </w:r>
          </w:p>
        </w:tc>
        <w:tc>
          <w:tcPr>
            <w:tcW w:w="0" w:type="dxa"/>
            <w:vAlign w:val="bottom"/>
          </w:tcPr>
          <w:p>
            <w:pPr>
              <w:spacing w:after="0"/>
              <w:rPr>
                <w:sz w:val="1"/>
                <w:szCs w:val="1"/>
                <w:color w:val="auto"/>
              </w:rPr>
            </w:pPr>
          </w:p>
        </w:tc>
      </w:tr>
      <w:tr>
        <w:trPr>
          <w:trHeight w:val="161"/>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w w:val="99"/>
              </w:rPr>
              <w:t>Pension Plan Private Sanitation Union, Local 813</w:t>
            </w:r>
          </w:p>
        </w:tc>
        <w:tc>
          <w:tcPr>
            <w:tcW w:w="14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EIN: 13-</w:t>
            </w:r>
          </w:p>
        </w:tc>
        <w:tc>
          <w:tcPr>
            <w:tcW w:w="6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4"/>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IBT . . . . . . . . . . . . . . . . . . . . . . . . . . . . . . .</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1975659;</w:t>
            </w: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Critical</w:t>
            </w:r>
          </w:p>
        </w:tc>
        <w:tc>
          <w:tcPr>
            <w:tcW w:w="1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Critical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 Number:</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80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Contributions to other Multiemployer Pension</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8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Plans . . . . . . . . . . . . . . . . . . . . . . . . . . . . . .</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8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Total contributions to Multiemployer Pension</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Plans (e) . . . . . . . . . . . . . . . . . . . . . . . . . . . .</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gridSpan w:val="3"/>
          </w:tcPr>
          <w:p>
            <w:pPr>
              <w:spacing w:after="0"/>
              <w:rPr>
                <w:sz w:val="16"/>
                <w:szCs w:val="16"/>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6"/>
                <w:szCs w:val="16"/>
                <w:color w:val="auto"/>
              </w:rPr>
            </w:pPr>
          </w:p>
        </w:tc>
        <w:tc>
          <w:tcPr>
            <w:tcW w:w="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tcPr>
          <w:p>
            <w:pPr>
              <w:spacing w:after="0"/>
              <w:rPr>
                <w:sz w:val="16"/>
                <w:szCs w:val="16"/>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106680</wp:posOffset>
                </wp:positionV>
                <wp:extent cx="1541145" cy="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8.4pt" to="139.65pt,8.4pt" o:allowincell="f" strokecolor="#000000" strokeweight="1.0199pt"/>
            </w:pict>
          </mc:Fallback>
        </mc:AlternateContent>
      </w:r>
    </w:p>
    <w:p>
      <w:pPr>
        <w:spacing w:after="0" w:line="190" w:lineRule="exact"/>
        <w:rPr>
          <w:sz w:val="20"/>
          <w:szCs w:val="20"/>
          <w:color w:val="auto"/>
        </w:rPr>
      </w:pPr>
    </w:p>
    <w:p>
      <w:pPr>
        <w:jc w:val="both"/>
        <w:ind w:left="720" w:right="360" w:hanging="353"/>
        <w:spacing w:after="0" w:line="266" w:lineRule="auto"/>
        <w:tabs>
          <w:tab w:leader="none" w:pos="72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noted in the table above, the most recent Pension Protection Act zone status available in 2024 and 2023 is for the plan’s year-end as of December 31, 2023 and 2022, respectively. The zone status is based on information that we received from the plan and is certified by the plan’s actuary. As defined in the Pension Protection Act of 2006, among other factors, plans reported as critical are generally less than 65% funded and plans reported as endangered are generally less than 80% funded. Under the Multiemployer Pension Reform Act of 2014, a plan is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p>
      <w:pPr>
        <w:sectPr>
          <w:pgSz w:w="13320" w:h="16920" w:orient="portrait"/>
          <w:cols w:equalWidth="0" w:num="1">
            <w:col w:w="10440"/>
          </w:cols>
          <w:pgMar w:left="1440" w:top="1440" w:right="1440" w:bottom="1440" w:gutter="0" w:footer="0" w:header="0"/>
          <w:type w:val="continuous"/>
        </w:sectPr>
      </w:pPr>
    </w:p>
    <w:bookmarkStart w:id="189" w:name="page190"/>
    <w:bookmarkEnd w:id="189"/>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720" w:right="360"/>
        <w:spacing w:after="0" w:line="278" w:lineRule="auto"/>
        <w:rPr>
          <w:sz w:val="20"/>
          <w:szCs w:val="20"/>
          <w:color w:val="auto"/>
        </w:rPr>
      </w:pPr>
      <w:r>
        <w:rPr>
          <w:rFonts w:ascii="Times New Roman" w:cs="Times New Roman" w:eastAsia="Times New Roman" w:hAnsi="Times New Roman"/>
          <w:sz w:val="20"/>
          <w:szCs w:val="20"/>
          <w:color w:val="auto"/>
        </w:rPr>
        <w:t>generally in critical and declining status if it (i) is certified to be in critical status pursuant to the Pension Protection Act of 2006 and (ii) is projected to be insolvent within the next 15 years or, in certain circumstances, 20 years.</w:t>
      </w:r>
    </w:p>
    <w:p>
      <w:pPr>
        <w:spacing w:after="0" w:line="47" w:lineRule="exact"/>
        <w:rPr>
          <w:sz w:val="20"/>
          <w:szCs w:val="20"/>
          <w:color w:val="auto"/>
        </w:rPr>
      </w:pPr>
    </w:p>
    <w:p>
      <w:pPr>
        <w:ind w:left="720" w:right="360" w:hanging="353"/>
        <w:spacing w:after="0" w:line="278" w:lineRule="auto"/>
        <w:tabs>
          <w:tab w:leader="none" w:pos="72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“FIP/RP Status” column indicates plans for which a Funding Improvement Plan (“FIP”) or a Rehabilitation Plan (“RP”) has been implemented.</w:t>
      </w:r>
    </w:p>
    <w:p>
      <w:pPr>
        <w:spacing w:after="0" w:line="47" w:lineRule="exact"/>
        <w:rPr>
          <w:rFonts w:ascii="Times New Roman" w:cs="Times New Roman" w:eastAsia="Times New Roman" w:hAnsi="Times New Roman"/>
          <w:sz w:val="20"/>
          <w:szCs w:val="20"/>
          <w:color w:val="auto"/>
        </w:rPr>
      </w:pPr>
    </w:p>
    <w:p>
      <w:pPr>
        <w:jc w:val="both"/>
        <w:ind w:left="720" w:right="360" w:hanging="353"/>
        <w:spacing w:after="0" w:line="252" w:lineRule="auto"/>
        <w:tabs>
          <w:tab w:leader="none" w:pos="72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Multiemployer Pension Plan that has been certified as endangered, seriously endangered or critical may begin to levy a statutory surcharge on contribution rates. Once authorized, the surcharge is at the rate of 5% for the first 12 months and 10% for any periods thereafter. Contributing employers, however, may eliminate the surcharge by entering into a collective bargaining agreement that meets the requirements of the applicable FIP or RP.</w:t>
      </w:r>
    </w:p>
    <w:p>
      <w:pPr>
        <w:spacing w:after="0" w:line="73" w:lineRule="exact"/>
        <w:rPr>
          <w:rFonts w:ascii="Times New Roman" w:cs="Times New Roman" w:eastAsia="Times New Roman" w:hAnsi="Times New Roman"/>
          <w:sz w:val="20"/>
          <w:szCs w:val="20"/>
          <w:color w:val="auto"/>
        </w:rPr>
      </w:pPr>
    </w:p>
    <w:p>
      <w:pPr>
        <w:jc w:val="both"/>
        <w:ind w:left="720" w:right="360" w:hanging="352"/>
        <w:spacing w:after="0" w:line="259" w:lineRule="auto"/>
        <w:tabs>
          <w:tab w:leader="none" w:pos="72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Multiemployer Pension Plans considered to be individually significant, the Company was listed in the Form 5500 of the Suburban Teamsters of Northern Illinois Pension Plan as providing more than 5% of the total contributions for plan years ending December 31, 2024 and 2023.</w:t>
      </w:r>
    </w:p>
    <w:p>
      <w:pPr>
        <w:spacing w:after="0" w:line="66" w:lineRule="exact"/>
        <w:rPr>
          <w:rFonts w:ascii="Times New Roman" w:cs="Times New Roman" w:eastAsia="Times New Roman" w:hAnsi="Times New Roman"/>
          <w:sz w:val="20"/>
          <w:szCs w:val="20"/>
          <w:color w:val="auto"/>
        </w:rPr>
      </w:pPr>
    </w:p>
    <w:p>
      <w:pPr>
        <w:ind w:left="720" w:hanging="353"/>
        <w:spacing w:after="0"/>
        <w:tabs>
          <w:tab w:leader="none" w:pos="72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contributions to Multiemployer Pension Plans exclude contributions related to withdrawal liabilities, if any.</w:t>
      </w:r>
    </w:p>
    <w:p>
      <w:pPr>
        <w:spacing w:after="0" w:line="239"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Our portion of the projected benefit obligation, plan assets and unfunded liability for the Multiemployer Pension Plans is not material to our financial position. However, the failure of participating employers to remain solvent could affect our portion of the plans’ unfunded liability. Specific benefit levels provided by union pension plans are not negotiated with or known by the employer contributors.</w:t>
      </w:r>
    </w:p>
    <w:p>
      <w:pPr>
        <w:spacing w:after="0" w:line="193"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In connection with our ongoing renegotiations of various collective bargaining agreements, we may discuss and negotiate for the complete or partial withdrawal from one or more of these pension plans. Further, business events, such as the discontinuation or nonrenewal of a customer contract, the decertification of a union, or relocation, reduction or discontinuance of certain operations, which result in the decline of Company contributions to a Multiemployer Pension Plan could trigger a partial or complete withdrawal. In the event of a withdrawal, we may incur expenses associated with our obligations for unfunded vested benefits at the time of the withdrawal. Refer to Note 10 for additional information related to our obligations to Multiemployer Pension Plans.</w:t>
      </w:r>
    </w:p>
    <w:p>
      <w:pPr>
        <w:spacing w:after="0" w:line="201"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Multiemployer Plan Benefits Other Than Pensions — </w:t>
      </w:r>
      <w:r>
        <w:rPr>
          <w:rFonts w:ascii="Times New Roman" w:cs="Times New Roman" w:eastAsia="Times New Roman" w:hAnsi="Times New Roman"/>
          <w:sz w:val="20"/>
          <w:szCs w:val="20"/>
          <w:color w:val="auto"/>
        </w:rPr>
        <w:t>During the years ended December 31, 2024, 2023 and 2022,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made contributions of $62 million, $56 million and $49 million, respectively, to multiemployer health and welfare plans that also provide other post-retirement employee benefits. Funding of benefit payments for plan participants are made at negotiated rates in the respective collective bargaining agreements as costs are incurred.</w:t>
      </w: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10. Commitments and Contingencies</w:t>
      </w:r>
    </w:p>
    <w:p>
      <w:pPr>
        <w:spacing w:after="0" w:line="243" w:lineRule="exact"/>
        <w:rPr>
          <w:sz w:val="20"/>
          <w:szCs w:val="20"/>
          <w:color w:val="auto"/>
        </w:rPr>
      </w:pPr>
    </w:p>
    <w:p>
      <w:pPr>
        <w:jc w:val="both"/>
        <w:ind w:left="360" w:right="360" w:firstLine="360"/>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Financial Instruments — </w:t>
      </w:r>
      <w:r>
        <w:rPr>
          <w:rFonts w:ascii="Times New Roman" w:cs="Times New Roman" w:eastAsia="Times New Roman" w:hAnsi="Times New Roman"/>
          <w:sz w:val="19"/>
          <w:szCs w:val="19"/>
          <w:color w:val="auto"/>
        </w:rPr>
        <w:t>We have obtained letters of credit, surety bonds and insurance policies and have established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trust funds and issued financial guarantees to support tax-exempt bonds, contracts, performance of landfill final capping, closure and post- closure requirements, environmental remediation and other obligations. Letters of credit generally are supported by our $3.5 billion revolving credit facility and other credit lines established for that purpose. These facilities are discussed further in Note 6. Surety bonds and insurance policies are supported by (i) a diverse group of third - party surety and insurance companies; (ii) an entity in which we have a noncontrolling financial interest or (iii) a wholly-owned insurance captive, the sole business of which is to issue surety bonds and/or insurance policies on our behalf.</w:t>
      </w:r>
    </w:p>
    <w:p>
      <w:pPr>
        <w:spacing w:after="0" w:line="187"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 effective sources of financial assurance.</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116</w:t>
      </w:r>
    </w:p>
    <w:p>
      <w:pPr>
        <w:sectPr>
          <w:pgSz w:w="13320" w:h="16920" w:orient="portrait"/>
          <w:cols w:equalWidth="0" w:num="1">
            <w:col w:w="10440"/>
          </w:cols>
          <w:pgMar w:left="1440" w:top="1440" w:right="1440" w:bottom="1440" w:gutter="0" w:footer="0" w:header="0"/>
          <w:type w:val="continuous"/>
        </w:sectPr>
      </w:pPr>
    </w:p>
    <w:bookmarkStart w:id="190" w:name="page191"/>
    <w:bookmarkEnd w:id="190"/>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Insurance — </w:t>
      </w:r>
      <w:r>
        <w:rPr>
          <w:rFonts w:ascii="Times New Roman" w:cs="Times New Roman" w:eastAsia="Times New Roman" w:hAnsi="Times New Roman"/>
          <w:sz w:val="20"/>
          <w:szCs w:val="20"/>
          <w:color w:val="auto"/>
        </w:rPr>
        <w:t>We carry insurance coverage for protection of our assets and operations from certain risks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and any amounts that exceed our insured limits. Our exposure could increase if our insurers are unable to meet their commitments on a timely basis.</w:t>
      </w:r>
    </w:p>
    <w:p>
      <w:pPr>
        <w:spacing w:after="0" w:line="200"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We have retained a significant portion of the risks related to our general liability, automobile liability and workers’ compensation claims programs. “General liability” refers to the self-insured portion of specific third - party claims made against us that may be covered under our commercial general liability insurance policy. For our self - 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 Our receivable balance associated with insurance claims was $111 million and $127 million as of December 31, 2024 and 2023 respectively. The changes to our insurance reserves for the year ended December 31 are summarized below (in millions):</w:t>
      </w:r>
    </w:p>
    <w:p>
      <w:pPr>
        <w:spacing w:after="0" w:line="226"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7680" w:type="dxa"/>
            <w:vAlign w:val="bottom"/>
            <w:vMerge w:val="restart"/>
          </w:tcPr>
          <w:p>
            <w:pPr>
              <w:jc w:val="right"/>
              <w:ind w:right="5680"/>
              <w:spacing w:after="0"/>
              <w:rPr>
                <w:sz w:val="20"/>
                <w:szCs w:val="20"/>
                <w:color w:val="auto"/>
              </w:rPr>
            </w:pPr>
            <w:r>
              <w:rPr>
                <w:rFonts w:ascii="Times New Roman" w:cs="Times New Roman" w:eastAsia="Times New Roman" w:hAnsi="Times New Roman"/>
                <w:sz w:val="20"/>
                <w:szCs w:val="20"/>
                <w:color w:val="auto"/>
                <w:w w:val="98"/>
              </w:rPr>
              <w:t>Balance as of January 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2024(a)</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2"/>
        </w:trPr>
        <w:tc>
          <w:tcPr>
            <w:tcW w:w="7680" w:type="dxa"/>
            <w:vAlign w:val="bottom"/>
            <w:vMerge w:val="continue"/>
          </w:tcPr>
          <w:p>
            <w:pPr>
              <w:jc w:val="right"/>
              <w:ind w:right="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712</w:t>
            </w:r>
          </w:p>
        </w:tc>
        <w:tc>
          <w:tcPr>
            <w:tcW w:w="24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729</w:t>
            </w:r>
          </w:p>
        </w:tc>
        <w:tc>
          <w:tcPr>
            <w:tcW w:w="0" w:type="dxa"/>
            <w:vAlign w:val="bottom"/>
          </w:tcPr>
          <w:p>
            <w:pPr>
              <w:spacing w:after="0"/>
              <w:rPr>
                <w:sz w:val="1"/>
                <w:szCs w:val="1"/>
                <w:color w:val="auto"/>
              </w:rPr>
            </w:pPr>
          </w:p>
        </w:tc>
      </w:tr>
      <w:tr>
        <w:trPr>
          <w:trHeight w:val="230"/>
        </w:trPr>
        <w:tc>
          <w:tcPr>
            <w:tcW w:w="76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Self-insurance expense . . . . . . . . . . . . . . . . . . . . . . . . . . . . . . . . . . . . . . . . . . . . . . . . . . . . . . . .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0" w:type="dxa"/>
            <w:vAlign w:val="bottom"/>
          </w:tcPr>
          <w:p>
            <w:pPr>
              <w:spacing w:after="0"/>
              <w:rPr>
                <w:sz w:val="1"/>
                <w:szCs w:val="1"/>
                <w:color w:val="auto"/>
              </w:rPr>
            </w:pPr>
          </w:p>
        </w:tc>
      </w:tr>
      <w:tr>
        <w:trPr>
          <w:trHeight w:val="232"/>
        </w:trPr>
        <w:tc>
          <w:tcPr>
            <w:tcW w:w="76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Cash paid and other . . . . . . . . . . . . . . . . . . . . . . . . . . . . . . . . . . . . . . . . . . . . . . . . . . . . . . . . . .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w:t>
            </w:r>
          </w:p>
        </w:tc>
        <w:tc>
          <w:tcPr>
            <w:tcW w:w="0" w:type="dxa"/>
            <w:vAlign w:val="bottom"/>
          </w:tcPr>
          <w:p>
            <w:pPr>
              <w:spacing w:after="0"/>
              <w:rPr>
                <w:sz w:val="1"/>
                <w:szCs w:val="1"/>
                <w:color w:val="auto"/>
              </w:rPr>
            </w:pPr>
          </w:p>
        </w:tc>
      </w:tr>
      <w:tr>
        <w:trPr>
          <w:trHeight w:val="250"/>
        </w:trPr>
        <w:tc>
          <w:tcPr>
            <w:tcW w:w="76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Assumed liabilities from acquisitions . . . . . . . . . . . . . . . . . . . . . . . . . . . . . . . . . . . . . . . . . . . . .</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7680" w:type="dxa"/>
            <w:vAlign w:val="bottom"/>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 . . . . . . . . . .BalanceasofDecember31</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798</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712</w:t>
            </w:r>
          </w:p>
        </w:tc>
        <w:tc>
          <w:tcPr>
            <w:tcW w:w="0" w:type="dxa"/>
            <w:vAlign w:val="bottom"/>
          </w:tcPr>
          <w:p>
            <w:pPr>
              <w:spacing w:after="0"/>
              <w:rPr>
                <w:sz w:val="1"/>
                <w:szCs w:val="1"/>
                <w:color w:val="auto"/>
              </w:rPr>
            </w:pPr>
          </w:p>
        </w:tc>
      </w:tr>
      <w:tr>
        <w:trPr>
          <w:trHeight w:val="202"/>
        </w:trPr>
        <w:tc>
          <w:tcPr>
            <w:tcW w:w="7680" w:type="dxa"/>
            <w:vAlign w:val="bottom"/>
          </w:tcPr>
          <w:p>
            <w:pPr>
              <w:jc w:val="right"/>
              <w:ind w:right="60"/>
              <w:spacing w:after="0" w:line="203" w:lineRule="exact"/>
              <w:rPr>
                <w:sz w:val="20"/>
                <w:szCs w:val="20"/>
                <w:color w:val="auto"/>
              </w:rPr>
            </w:pPr>
            <w:r>
              <w:rPr>
                <w:rFonts w:ascii="Times New Roman" w:cs="Times New Roman" w:eastAsia="Times New Roman" w:hAnsi="Times New Roman"/>
                <w:sz w:val="20"/>
                <w:szCs w:val="20"/>
                <w:color w:val="auto"/>
              </w:rPr>
              <w:t>. . . . . . . . . . . . . . . . . . . . . . . . . . . . . . . . . . . . . . . . . . . . . . .CurrentportionasofDecember31</w:t>
            </w:r>
          </w:p>
        </w:tc>
        <w:tc>
          <w:tcPr>
            <w:tcW w:w="160" w:type="dxa"/>
            <w:vAlign w:val="bottom"/>
            <w:gridSpan w:val="2"/>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211</w:t>
            </w:r>
          </w:p>
        </w:tc>
        <w:tc>
          <w:tcPr>
            <w:tcW w:w="24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175</w:t>
            </w:r>
          </w:p>
        </w:tc>
        <w:tc>
          <w:tcPr>
            <w:tcW w:w="0" w:type="dxa"/>
            <w:vAlign w:val="bottom"/>
          </w:tcPr>
          <w:p>
            <w:pPr>
              <w:spacing w:after="0"/>
              <w:rPr>
                <w:sz w:val="1"/>
                <w:szCs w:val="1"/>
                <w:color w:val="auto"/>
              </w:rPr>
            </w:pPr>
          </w:p>
        </w:tc>
      </w:tr>
      <w:tr>
        <w:trPr>
          <w:trHeight w:val="267"/>
        </w:trPr>
        <w:tc>
          <w:tcPr>
            <w:tcW w:w="76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Long-term portion as of December 31 . . . . . . . . . . . . . . . . . . . . . . . . . . . . . . . . . . . . . . . . . . . .</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95885</wp:posOffset>
                </wp:positionV>
                <wp:extent cx="1541145" cy="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7.55pt" to="139.65pt,7.55pt" o:allowincell="f" strokecolor="#000000" strokeweight="1.0199pt"/>
            </w:pict>
          </mc:Fallback>
        </mc:AlternateContent>
      </w:r>
    </w:p>
    <w:p>
      <w:pPr>
        <w:spacing w:after="0" w:line="173" w:lineRule="exact"/>
        <w:rPr>
          <w:sz w:val="20"/>
          <w:szCs w:val="20"/>
          <w:color w:val="auto"/>
        </w:rPr>
      </w:pPr>
    </w:p>
    <w:p>
      <w:pPr>
        <w:ind w:left="720" w:right="360" w:hanging="353"/>
        <w:spacing w:after="0" w:line="278" w:lineRule="auto"/>
        <w:tabs>
          <w:tab w:leader="none" w:pos="72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current estimates, we anticipate that most of our insurance reserves will be settled in cash over the next six years.</w:t>
      </w:r>
    </w:p>
    <w:p>
      <w:pPr>
        <w:spacing w:after="0" w:line="48"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We do not expect the impact of any known casualty, property, environmental or other contingency to have a material impact on our financial condition, results of operations or cash flows.</w:t>
      </w:r>
    </w:p>
    <w:p>
      <w:pPr>
        <w:spacing w:after="0" w:line="167"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Unconditional Purchase Obligations </w:t>
      </w:r>
      <w:r>
        <w:rPr>
          <w:rFonts w:ascii="Times New Roman" w:cs="Times New Roman" w:eastAsia="Times New Roman" w:hAnsi="Times New Roman"/>
          <w:sz w:val="20"/>
          <w:szCs w:val="20"/>
          <w:color w:val="auto"/>
        </w:rPr>
        <w:t>— Our unconditional purchase obligations are generally established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ordinary course of our business and are structured in a manner that provides us with access to important resources at competitive, market-driven rates and consist primarily of the following:</w:t>
      </w:r>
    </w:p>
    <w:p>
      <w:pPr>
        <w:spacing w:after="0" w:line="80" w:lineRule="exact"/>
        <w:rPr>
          <w:sz w:val="20"/>
          <w:szCs w:val="20"/>
          <w:color w:val="auto"/>
        </w:rPr>
      </w:pPr>
    </w:p>
    <w:p>
      <w:pPr>
        <w:jc w:val="both"/>
        <w:ind w:left="1080" w:right="360" w:hanging="353"/>
        <w:spacing w:after="0" w:line="249" w:lineRule="auto"/>
        <w:tabs>
          <w:tab w:leader="none" w:pos="1080" w:val="left"/>
        </w:tabs>
        <w:numPr>
          <w:ilvl w:val="0"/>
          <w:numId w:val="13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Disposal — </w:t>
      </w:r>
      <w:r>
        <w:rPr>
          <w:rFonts w:ascii="Times New Roman" w:cs="Times New Roman" w:eastAsia="Times New Roman" w:hAnsi="Times New Roman"/>
          <w:sz w:val="20"/>
          <w:szCs w:val="20"/>
          <w:color w:val="auto"/>
        </w:rPr>
        <w:t>We have several agreements expiring at various dates through 2052 that require us to dispose of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minimum number of tons at third-party disposal facilities. Under these put-or-pay agreements, we are required to pay for the agreed upon minimum volumes regardless of the actual number of tons placed at the facilities. We generally fulfill our minimum contractual obligations by disposing of volumes collected in the ordinary course of business at these disposal facilities.</w:t>
      </w:r>
    </w:p>
    <w:p>
      <w:pPr>
        <w:spacing w:after="0" w:line="90" w:lineRule="exact"/>
        <w:rPr>
          <w:rFonts w:ascii="Arial" w:cs="Arial" w:eastAsia="Arial" w:hAnsi="Arial"/>
          <w:sz w:val="20"/>
          <w:szCs w:val="20"/>
          <w:color w:val="auto"/>
        </w:rPr>
      </w:pPr>
    </w:p>
    <w:p>
      <w:pPr>
        <w:jc w:val="both"/>
        <w:ind w:left="1080" w:right="360" w:hanging="353"/>
        <w:spacing w:after="0" w:line="259" w:lineRule="auto"/>
        <w:tabs>
          <w:tab w:leader="none" w:pos="1080" w:val="left"/>
        </w:tabs>
        <w:numPr>
          <w:ilvl w:val="0"/>
          <w:numId w:val="13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Other — </w:t>
      </w:r>
      <w:r>
        <w:rPr>
          <w:rFonts w:ascii="Times New Roman" w:cs="Times New Roman" w:eastAsia="Times New Roman" w:hAnsi="Times New Roman"/>
          <w:sz w:val="20"/>
          <w:szCs w:val="20"/>
          <w:color w:val="auto"/>
        </w:rPr>
        <w:t>We are party to certain multi-year service agreements, including various contracts to support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WM Renewable Energy segment, such as interconnection agreements, expiring at various dates through 2046 requiring minimum annual payments.</w:t>
      </w:r>
    </w:p>
    <w:p>
      <w:pPr>
        <w:spacing w:after="0" w:line="65"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As of December 31, 2024, our estimated minimum obligations associated with unconditional purchase obligations were $274 million in 2025, $270 million in 2026, $142 million in 2027, $96 million in 2028, $68 million in 2029 and $556 million thereafter. We may also establish unconditional purchase obligations in conjunction with acquisitions or divestitures. Our future minimum obligations under these outstanding purchase agreements are generally quantity driven and, as a result, our associated financial obligations are not fixed as of December 31, 2024. For contracts that require us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ectPr>
          <w:pgSz w:w="13320" w:h="16920" w:orient="portrait"/>
          <w:cols w:equalWidth="0" w:num="1">
            <w:col w:w="10440"/>
          </w:cols>
          <w:pgMar w:left="1440" w:top="1440" w:right="1440" w:bottom="1440" w:gutter="0" w:footer="0" w:header="0"/>
          <w:type w:val="continuous"/>
        </w:sectPr>
      </w:pPr>
    </w:p>
    <w:bookmarkStart w:id="191" w:name="page192"/>
    <w:bookmarkEnd w:id="191"/>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spacing w:after="0" w:line="249" w:lineRule="auto"/>
        <w:rPr>
          <w:sz w:val="20"/>
          <w:szCs w:val="20"/>
          <w:color w:val="auto"/>
        </w:rPr>
      </w:pPr>
      <w:r>
        <w:rPr>
          <w:rFonts w:ascii="Times New Roman" w:cs="Times New Roman" w:eastAsia="Times New Roman" w:hAnsi="Times New Roman"/>
          <w:sz w:val="20"/>
          <w:szCs w:val="20"/>
          <w:color w:val="auto"/>
        </w:rPr>
        <w:t>to purchase minimum quantities of goods or services, we have estimated our future minimum obligations based on the current market values of the underlying products or services or contractually stated amounts. We currently expect the products and services provided by these agreements to continue to meet the needs of our ongoing operations. Therefore, we do not expect these established arrangements to materially impact our future financial condition, results of operations or cash flows.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Other Commitments</w:t>
      </w:r>
    </w:p>
    <w:p>
      <w:pPr>
        <w:spacing w:after="0" w:line="132" w:lineRule="exact"/>
        <w:rPr>
          <w:sz w:val="20"/>
          <w:szCs w:val="20"/>
          <w:color w:val="auto"/>
        </w:rPr>
      </w:pPr>
    </w:p>
    <w:p>
      <w:pPr>
        <w:jc w:val="both"/>
        <w:ind w:left="1080" w:right="360" w:hanging="353"/>
        <w:spacing w:after="0" w:line="244" w:lineRule="auto"/>
        <w:tabs>
          <w:tab w:leader="none" w:pos="1080" w:val="left"/>
        </w:tabs>
        <w:numPr>
          <w:ilvl w:val="0"/>
          <w:numId w:val="13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Royalties — </w:t>
      </w:r>
      <w:r>
        <w:rPr>
          <w:rFonts w:ascii="Times New Roman" w:cs="Times New Roman" w:eastAsia="Times New Roman" w:hAnsi="Times New Roman"/>
          <w:sz w:val="20"/>
          <w:szCs w:val="20"/>
          <w:color w:val="auto"/>
        </w:rPr>
        <w:t>We have various arrangements that require us to make royalty payments to third parties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prior landowners, lessors or host communities where our operations are located. Our obligations generally are based on per ton rates for waste actually received at our transfer stations or landfills. Royalty agreements that are non-cancelable and require fixed or minimum payments are included in our financing leases and other debt obligations in our Consolidated Balance Sheets as disclosed in Note 6. Additionally, our Collection and Disposal and Corporate and Other businesses earn royalties from our WM Renewable Energy segment related to the transfer of landfill gas to our WM Renewable Energy segment from our active and closed landfills. All royalties between our WM Renewable Energy segment and Collection and Disposal and Corporate and Other businesses are eliminated in consolidation.</w:t>
      </w:r>
    </w:p>
    <w:p>
      <w:pPr>
        <w:spacing w:after="0" w:line="2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 xml:space="preserve">Guarantees — </w:t>
      </w:r>
      <w:r>
        <w:rPr>
          <w:rFonts w:ascii="Times New Roman" w:cs="Times New Roman" w:eastAsia="Times New Roman" w:hAnsi="Times New Roman"/>
          <w:sz w:val="20"/>
          <w:szCs w:val="20"/>
          <w:color w:val="auto"/>
        </w:rPr>
        <w:t>We have entered into the following guarantee agreements associated with our operations:</w:t>
      </w:r>
    </w:p>
    <w:p>
      <w:pPr>
        <w:spacing w:after="0" w:line="134" w:lineRule="exact"/>
        <w:rPr>
          <w:sz w:val="20"/>
          <w:szCs w:val="20"/>
          <w:color w:val="auto"/>
        </w:rPr>
      </w:pPr>
    </w:p>
    <w:p>
      <w:pPr>
        <w:jc w:val="both"/>
        <w:ind w:left="1080" w:right="360" w:hanging="353"/>
        <w:spacing w:after="0" w:line="263" w:lineRule="auto"/>
        <w:tabs>
          <w:tab w:leader="none" w:pos="1080" w:val="left"/>
        </w:tabs>
        <w:numPr>
          <w:ilvl w:val="0"/>
          <w:numId w:val="136"/>
        </w:numPr>
        <w:rPr>
          <w:rFonts w:ascii="Arial" w:cs="Arial" w:eastAsia="Arial" w:hAnsi="Arial"/>
          <w:sz w:val="19"/>
          <w:szCs w:val="19"/>
          <w:color w:val="auto"/>
        </w:rPr>
      </w:pPr>
      <w:r>
        <w:rPr>
          <w:rFonts w:ascii="Times New Roman" w:cs="Times New Roman" w:eastAsia="Times New Roman" w:hAnsi="Times New Roman"/>
          <w:sz w:val="19"/>
          <w:szCs w:val="19"/>
          <w:color w:val="auto"/>
        </w:rPr>
        <w:t>As of December 31, 2024, WM Holdings has fully and unconditionally guaranteed all of WMI’s senior indebtedness, including its senior notes which mature through 2054, $3.5 billion revolving credit facility and certain letter of credit lines. WMI has fully and unconditionally guaranteed the senior indebtedness of WM Holdings, which matures in 2026. Performance under these guarantee agreements would be required if either party defaulted on their respective obligations. No additional liabilities have been recorded for these intercompany guarantees because all of the underlying obligations are reflected in our Consolidated Balance Sheets.</w:t>
      </w:r>
    </w:p>
    <w:p>
      <w:pPr>
        <w:spacing w:after="0" w:line="77" w:lineRule="exact"/>
        <w:rPr>
          <w:rFonts w:ascii="Arial" w:cs="Arial" w:eastAsia="Arial" w:hAnsi="Arial"/>
          <w:sz w:val="19"/>
          <w:szCs w:val="19"/>
          <w:color w:val="auto"/>
        </w:rPr>
      </w:pPr>
    </w:p>
    <w:p>
      <w:pPr>
        <w:jc w:val="both"/>
        <w:ind w:left="1080" w:right="360" w:hanging="353"/>
        <w:spacing w:after="0" w:line="247" w:lineRule="auto"/>
        <w:tabs>
          <w:tab w:leader="none" w:pos="1080" w:val="left"/>
        </w:tabs>
        <w:numPr>
          <w:ilvl w:val="0"/>
          <w:numId w:val="136"/>
        </w:numPr>
        <w:rPr>
          <w:rFonts w:ascii="Arial" w:cs="Arial" w:eastAsia="Arial" w:hAnsi="Arial"/>
          <w:sz w:val="20"/>
          <w:szCs w:val="20"/>
          <w:color w:val="auto"/>
        </w:rPr>
      </w:pPr>
      <w:r>
        <w:rPr>
          <w:rFonts w:ascii="Times New Roman" w:cs="Times New Roman" w:eastAsia="Times New Roman" w:hAnsi="Times New Roman"/>
          <w:sz w:val="20"/>
          <w:szCs w:val="20"/>
          <w:color w:val="auto"/>
        </w:rPr>
        <w:t>WMI and WM Holdings have guaranteed subsidiary debt obligations, including tax-exempt bonds, financing leases and other indebtedness. If a subsidiary fails to meet its obligations associated with its debt agreements as they come due, WMI or WM Holdings will be required to perform under the related guarantee agreement. No additional liabilities have been recorded for these intercompany guarantees because all of the underlying obligations are reflected in our Consolidated Balance Sheets. See Note 6 for information related to the balances and maturities of these debt obligations.</w:t>
      </w:r>
    </w:p>
    <w:p>
      <w:pPr>
        <w:spacing w:after="0" w:line="93" w:lineRule="exact"/>
        <w:rPr>
          <w:rFonts w:ascii="Arial" w:cs="Arial" w:eastAsia="Arial" w:hAnsi="Arial"/>
          <w:sz w:val="20"/>
          <w:szCs w:val="20"/>
          <w:color w:val="auto"/>
        </w:rPr>
      </w:pPr>
    </w:p>
    <w:p>
      <w:pPr>
        <w:jc w:val="both"/>
        <w:ind w:left="1080" w:right="360" w:hanging="353"/>
        <w:spacing w:after="0" w:line="260" w:lineRule="auto"/>
        <w:tabs>
          <w:tab w:leader="none" w:pos="1080" w:val="left"/>
        </w:tabs>
        <w:numPr>
          <w:ilvl w:val="0"/>
          <w:numId w:val="136"/>
        </w:numPr>
        <w:rPr>
          <w:rFonts w:ascii="Arial" w:cs="Arial" w:eastAsia="Arial" w:hAnsi="Arial"/>
          <w:sz w:val="19"/>
          <w:szCs w:val="19"/>
          <w:color w:val="auto"/>
        </w:rPr>
      </w:pPr>
      <w:r>
        <w:rPr>
          <w:rFonts w:ascii="Times New Roman" w:cs="Times New Roman" w:eastAsia="Times New Roman" w:hAnsi="Times New Roman"/>
          <w:sz w:val="19"/>
          <w:szCs w:val="19"/>
          <w:color w:val="auto"/>
        </w:rPr>
        <w:t>Certain of our subsidiaries have guaranteed the market or contractually-determined value of certain homeowners’ properties that are adjacent to or near certain of our landfills. These guarantee agreements extend over the life of the respective landfill. Under these agreements, we would be responsible for the difference, if any, between the sale value and the guaranteed market or contractually-determined value of the homeowners’ properties. As of December 31, 2024, we have agreements guaranteeing certain market value losses for certain properties adjacent to or near 18 of our landfills. Any liability associated with the triggering of the home value guarantee has been reflected in our Consolidated Balance Sheets. We do not believe that the remaining contingent obligations will have a material adverse effect on the Company’s business, financial condition, results of operations or cash flows.</w:t>
      </w:r>
    </w:p>
    <w:p>
      <w:pPr>
        <w:spacing w:after="0" w:line="79" w:lineRule="exact"/>
        <w:rPr>
          <w:rFonts w:ascii="Arial" w:cs="Arial" w:eastAsia="Arial" w:hAnsi="Arial"/>
          <w:sz w:val="19"/>
          <w:szCs w:val="19"/>
          <w:color w:val="auto"/>
        </w:rPr>
      </w:pPr>
    </w:p>
    <w:p>
      <w:pPr>
        <w:jc w:val="both"/>
        <w:ind w:left="1080" w:right="360" w:hanging="353"/>
        <w:spacing w:after="0" w:line="260" w:lineRule="auto"/>
        <w:tabs>
          <w:tab w:leader="none" w:pos="1080" w:val="left"/>
        </w:tabs>
        <w:numPr>
          <w:ilvl w:val="0"/>
          <w:numId w:val="136"/>
        </w:numPr>
        <w:rPr>
          <w:rFonts w:ascii="Arial" w:cs="Arial" w:eastAsia="Arial" w:hAnsi="Arial"/>
          <w:sz w:val="19"/>
          <w:szCs w:val="19"/>
          <w:color w:val="auto"/>
        </w:rPr>
      </w:pPr>
      <w:r>
        <w:rPr>
          <w:rFonts w:ascii="Times New Roman" w:cs="Times New Roman" w:eastAsia="Times New Roman" w:hAnsi="Times New Roman"/>
          <w:sz w:val="19"/>
          <w:szCs w:val="19"/>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118</w:t>
      </w:r>
    </w:p>
    <w:p>
      <w:pPr>
        <w:sectPr>
          <w:pgSz w:w="13320" w:h="16920" w:orient="portrait"/>
          <w:cols w:equalWidth="0" w:num="1">
            <w:col w:w="10440"/>
          </w:cols>
          <w:pgMar w:left="1440" w:top="1440" w:right="1440" w:bottom="1440" w:gutter="0" w:footer="0" w:header="0"/>
          <w:type w:val="continuous"/>
        </w:sectPr>
      </w:pPr>
    </w:p>
    <w:bookmarkStart w:id="192" w:name="page193"/>
    <w:bookmarkEnd w:id="192"/>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1080" w:right="360"/>
        <w:spacing w:after="0" w:line="278" w:lineRule="auto"/>
        <w:rPr>
          <w:sz w:val="20"/>
          <w:szCs w:val="20"/>
          <w:color w:val="auto"/>
        </w:rPr>
      </w:pPr>
      <w:r>
        <w:rPr>
          <w:rFonts w:ascii="Times New Roman" w:cs="Times New Roman" w:eastAsia="Times New Roman" w:hAnsi="Times New Roman"/>
          <w:sz w:val="20"/>
          <w:szCs w:val="20"/>
          <w:color w:val="auto"/>
        </w:rPr>
        <w:t>will have a material adverse effect on the Company’s business, financial condition, results of operations or cash flows.</w:t>
      </w:r>
    </w:p>
    <w:p>
      <w:pPr>
        <w:spacing w:after="0" w:line="61" w:lineRule="exact"/>
        <w:rPr>
          <w:sz w:val="20"/>
          <w:szCs w:val="20"/>
          <w:color w:val="auto"/>
        </w:rPr>
      </w:pPr>
    </w:p>
    <w:p>
      <w:pPr>
        <w:jc w:val="both"/>
        <w:ind w:left="1080" w:right="360" w:hanging="353"/>
        <w:spacing w:after="0" w:line="246" w:lineRule="auto"/>
        <w:tabs>
          <w:tab w:leader="none" w:pos="1080" w:val="left"/>
        </w:tabs>
        <w:numPr>
          <w:ilvl w:val="0"/>
          <w:numId w:val="137"/>
        </w:numPr>
        <w:rPr>
          <w:rFonts w:ascii="Arial" w:cs="Arial" w:eastAsia="Arial" w:hAnsi="Arial"/>
          <w:sz w:val="20"/>
          <w:szCs w:val="20"/>
          <w:color w:val="auto"/>
        </w:rPr>
      </w:pPr>
      <w:r>
        <w:rPr>
          <w:rFonts w:ascii="Times New Roman" w:cs="Times New Roman" w:eastAsia="Times New Roman" w:hAnsi="Times New Roman"/>
          <w:sz w:val="20"/>
          <w:szCs w:val="20"/>
          <w:color w:val="auto"/>
        </w:rPr>
        <w:t>WMI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financing leases, as appropriate.</w:t>
      </w:r>
    </w:p>
    <w:p>
      <w:pPr>
        <w:spacing w:after="0" w:line="200"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Environmental Matters — </w:t>
      </w:r>
      <w:r>
        <w:rPr>
          <w:rFonts w:ascii="Times New Roman" w:cs="Times New Roman" w:eastAsia="Times New Roman" w:hAnsi="Times New Roman"/>
          <w:sz w:val="20"/>
          <w:szCs w:val="20"/>
          <w:color w:val="auto"/>
        </w:rPr>
        <w:t>A significant portion of our operating costs and capital expenditures could be characterized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PRP investigations. The costs associated with these liabilities can include settlements, certain legal and consultant fees, as well as incremental internal and external costs directly associated with site investigation and clean-up.</w:t>
      </w:r>
    </w:p>
    <w:p>
      <w:pPr>
        <w:spacing w:after="0" w:line="202"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As of December 31, 2024, we have been notified by the government that we are a PRP in connection with 74 locations listed on EPA Superfund National Priorities List (“NPL”). Of the 74 sites at which claims have been made against us, 14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 sharing agreement. We generally expect to receive any amounts due from other participating parties at or near the time that we make the remedial expenditures. The other 60 NPL sites, which we do not own, are at various procedural stages under the Comprehensive Environmental Response, Compensation and Liability Act of 1980, as amended, known as CERCLA or Superfund.</w:t>
      </w:r>
    </w:p>
    <w:p>
      <w:pPr>
        <w:spacing w:after="0" w:line="206"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202"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19"/>
          <w:szCs w:val="19"/>
          <w:color w:val="auto"/>
        </w:rPr>
        <w:t>In 2018, both of McGinnes Industrial Maintenance Corporation (“MIMC”), a subsidiary of Waste Management of Texas, Inc., and International Paper Company (“IPC”) entered into an Administrative Order on Consent with the EPA as PRPs to develop a remedial design for the San Jacinto River Waste Pits Superfund Site in Harris County, Texas. We recorded a liability for MIMC’s estimated potential share of the EPA’s proposed remedy and related costs, although allocation of responsibility among the PRPs for the proposed remedy has not been established. MIMC and IPC have continued to work on a remedial design to support the EPA’s proposed remedy; however, in the first quarter of 2024, the EPA publicly issued a letter alleging that the remedial design had serious deficiencies. MIMC and IPC engaged with the EPA throughout the year, and in November 2024, MIMC and IPC publicly issued a proposed revised full remedial design to address the EPA’s comments. Due to increases in the estimated costs of the remedy to address the EPA’s comments, in</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119</w:t>
      </w:r>
    </w:p>
    <w:p>
      <w:pPr>
        <w:sectPr>
          <w:pgSz w:w="13320" w:h="16920" w:orient="portrait"/>
          <w:cols w:equalWidth="0" w:num="1">
            <w:col w:w="10440"/>
          </w:cols>
          <w:pgMar w:left="1440" w:top="1440" w:right="1440" w:bottom="1440" w:gutter="0" w:footer="0" w:header="0"/>
          <w:type w:val="continuous"/>
        </w:sectPr>
      </w:pPr>
    </w:p>
    <w:bookmarkStart w:id="193" w:name="page194"/>
    <w:bookmarkEnd w:id="193"/>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spacing w:after="0" w:line="249" w:lineRule="auto"/>
        <w:rPr>
          <w:sz w:val="20"/>
          <w:szCs w:val="20"/>
          <w:color w:val="auto"/>
        </w:rPr>
      </w:pPr>
      <w:r>
        <w:rPr>
          <w:rFonts w:ascii="Times New Roman" w:cs="Times New Roman" w:eastAsia="Times New Roman" w:hAnsi="Times New Roman"/>
          <w:sz w:val="20"/>
          <w:szCs w:val="20"/>
          <w:color w:val="auto"/>
        </w:rPr>
        <w:t>the fourth quarter of 2024 we recorded an additional $13 million liability for MIMC’s estimated potential share of such costs. As a result, the recorded liability as of December 31, 2024 and 2023, was approximately $97 million and $85 million, respectively. MIMC’s ultimate liability could be materially different from current estimates, including potential increases resulting from MIMC’s continued engagement with the EPA regarding a final remedial design for the site. Refer to Notes 2 and 11 for additional information regarding the measurement of certain environmental liabilities.</w:t>
      </w:r>
    </w:p>
    <w:p>
      <w:pPr>
        <w:spacing w:after="0" w:line="197"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Other than the matter discussed below involving Stericycle’s divested Domestic Environmental Solutions business, as of the date of this filing, we are not aware of any matters that are required to be disclosed pursuant to this standard.</w:t>
      </w:r>
    </w:p>
    <w:p>
      <w:pPr>
        <w:spacing w:after="0" w:line="201" w:lineRule="exact"/>
        <w:rPr>
          <w:sz w:val="20"/>
          <w:szCs w:val="20"/>
          <w:color w:val="auto"/>
        </w:rPr>
      </w:pPr>
    </w:p>
    <w:p>
      <w:pPr>
        <w:jc w:val="both"/>
        <w:ind w:left="360" w:right="360" w:firstLine="360"/>
        <w:spacing w:after="0" w:line="257" w:lineRule="auto"/>
        <w:rPr>
          <w:sz w:val="20"/>
          <w:szCs w:val="20"/>
          <w:color w:val="auto"/>
        </w:rPr>
      </w:pPr>
      <w:r>
        <w:rPr>
          <w:rFonts w:ascii="Times New Roman" w:cs="Times New Roman" w:eastAsia="Times New Roman" w:hAnsi="Times New Roman"/>
          <w:sz w:val="19"/>
          <w:szCs w:val="19"/>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93"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Litigation — </w:t>
      </w:r>
      <w:r>
        <w:rPr>
          <w:rFonts w:ascii="Times New Roman" w:cs="Times New Roman" w:eastAsia="Times New Roman" w:hAnsi="Times New Roman"/>
          <w:sz w:val="20"/>
          <w:szCs w:val="20"/>
          <w:color w:val="auto"/>
        </w:rPr>
        <w:t>We are subject to various proceedings, lawsuits, disputes and claims arising in the ordinary course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our 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202"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On November 4, 2024, the Company acquired Stericycle. At the time of the acquisition, Stericycle was subject to the following legal matters, which are now legal matters of our wholly-owned subsidiary.</w:t>
      </w:r>
    </w:p>
    <w:p>
      <w:pPr>
        <w:spacing w:after="0" w:line="168" w:lineRule="exact"/>
        <w:rPr>
          <w:sz w:val="20"/>
          <w:szCs w:val="20"/>
          <w:color w:val="auto"/>
        </w:rPr>
      </w:pPr>
    </w:p>
    <w:p>
      <w:pPr>
        <w:jc w:val="both"/>
        <w:ind w:left="720" w:right="360"/>
        <w:spacing w:after="0" w:line="245" w:lineRule="auto"/>
        <w:rPr>
          <w:sz w:val="20"/>
          <w:szCs w:val="20"/>
          <w:color w:val="auto"/>
        </w:rPr>
      </w:pPr>
      <w:r>
        <w:rPr>
          <w:rFonts w:ascii="Times New Roman" w:cs="Times New Roman" w:eastAsia="Times New Roman" w:hAnsi="Times New Roman"/>
          <w:sz w:val="20"/>
          <w:szCs w:val="20"/>
          <w:color w:val="auto"/>
        </w:rPr>
        <w:t>Stericycle entered into a deferred prosecution agreement (“DPA”) with the U.S. Department of Justice (“DOJ”) and a cease-and-desist order with the SEC in 2022 relating to Stericycle’s compliance with the U.S. Foreign Corrupt Practices Act and other anti-corruption laws with respect to now-divested operations in Latin America. The DPA and cease-and-desist order required Stericycle to engage an independent compliance monitor for two years, which Stericycle satisfied. Additionally, the DPA requires Stericycle to self-report any potential violations of the anti-corruption laws through November 2025. If Stericycle remains in compliance with the DPA during the remainder of the term, deferred charges against Stericycle will be dismissed with prejudice. We do not expect this matter to have any material adverse effect on the Company’s business, financial condition, results of operations or cash flows.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120</w:t>
      </w:r>
    </w:p>
    <w:p>
      <w:pPr>
        <w:sectPr>
          <w:pgSz w:w="13320" w:h="16920" w:orient="portrait"/>
          <w:cols w:equalWidth="0" w:num="1">
            <w:col w:w="10440"/>
          </w:cols>
          <w:pgMar w:left="1440" w:top="1440" w:right="1440" w:bottom="1440" w:gutter="0" w:footer="0" w:header="0"/>
          <w:type w:val="continuous"/>
        </w:sectPr>
      </w:pPr>
    </w:p>
    <w:bookmarkStart w:id="194" w:name="page195"/>
    <w:bookmarkEnd w:id="194"/>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720" w:right="360"/>
        <w:spacing w:after="0" w:line="244" w:lineRule="auto"/>
        <w:rPr>
          <w:sz w:val="20"/>
          <w:szCs w:val="20"/>
          <w:color w:val="auto"/>
        </w:rPr>
      </w:pPr>
      <w:r>
        <w:rPr>
          <w:rFonts w:ascii="Times New Roman" w:cs="Times New Roman" w:eastAsia="Times New Roman" w:hAnsi="Times New Roman"/>
          <w:sz w:val="20"/>
          <w:szCs w:val="20"/>
          <w:color w:val="auto"/>
        </w:rPr>
        <w:t>Stericycle has been cooperating with an investigation by the office of the U.S. Attorney for the Southern District of New York (“SDNY”) and the EPA into Stericycle’s historical compliance with federal environmental statutes, including the Resource Conservation and Recovery Act, in connection with the collection, transportation and disposal of hazardous waste by Stericycle’s Domestic Environmental Solutions business unit that was divested in 2020. Stericycle previously disclosed that it made an accrual in respect of this matter of approximately $10 million. In January 2025, the parties agreed on settlement terms for this matter, which are within Stericycle’s prior accrual. On January 17, 2025, the U.S. Attorney filed a complaint in the U.S. District Court for the SDNY, and on the same day, announced the settlement agreement with Stericycle that will resolve this matter upon court approval. The settlement will not have a material adverse effect on the Company’s business, financial condition, results of operations or cash flows.</w:t>
      </w:r>
    </w:p>
    <w:p>
      <w:pPr>
        <w:spacing w:after="0" w:line="203" w:lineRule="exact"/>
        <w:rPr>
          <w:sz w:val="20"/>
          <w:szCs w:val="20"/>
          <w:color w:val="auto"/>
        </w:rPr>
      </w:pPr>
    </w:p>
    <w:p>
      <w:pPr>
        <w:jc w:val="both"/>
        <w:ind w:left="720" w:right="360"/>
        <w:spacing w:after="0" w:line="256" w:lineRule="auto"/>
        <w:rPr>
          <w:sz w:val="20"/>
          <w:szCs w:val="20"/>
          <w:color w:val="auto"/>
        </w:rPr>
      </w:pPr>
      <w:r>
        <w:rPr>
          <w:rFonts w:ascii="Times New Roman" w:cs="Times New Roman" w:eastAsia="Times New Roman" w:hAnsi="Times New Roman"/>
          <w:sz w:val="19"/>
          <w:szCs w:val="19"/>
          <w:color w:val="auto"/>
        </w:rPr>
        <w:t>On February 11, 2020, Stericycle received an administrative subpoena from the U.S. Drug Enforcement Administration (“DEA”), which executed a search warrant at a facility in Rancho Cordova, California and an administrative inspection warrant at a facility in Indianapolis, Indiana for materials related to Stericycle’s now-divested Domestic Environmental Solutions business of collecting, transporting, and destroying controlled substances from retail customers (the “ESOL Retail Controlled Substances Business”). On that same day, agents from the California Department of Toxic Substances Control executed a separate search warrant at the Rancho Cordova facility. Since that time, the U.S. Attorney’s Office for the Eastern District of California (“USAO EDCA”) has been overseeing criminal and civil investigations of the ESOL Retail Controlled Substances Business. The USAO EDCA informed Stericycle that the investigations relate to Stericycle’s operation and sale of its ESOL Retail Controlled Substances Business that was divested in 2020 and has asserted that Stericycle and some of Stericycle’s current or former employees may have civil and criminal liability under the Controlled Substances Act and other federal statutes related to that business. Stericycle has been cooperating with the ongoing investigations, which are limited to the period of Stericycle’s historical operation and ownership of the ESOL Retail Controlled Substances Business from 2015 through 2020. While the ultimate disposition of this matter remains uncertain, we do not currently believe that it will have a material adverse effect on the Company’s business, financial condition, results of operations or cash flows.</w:t>
      </w:r>
    </w:p>
    <w:p>
      <w:pPr>
        <w:spacing w:after="0" w:line="194"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In June 2022, we and certain of our officers were named as defendants in a complaint alleging violation of the federal securities laws and seeking certification as a class action in the U.S. District Court for the Southern District of New York. A lead plaintiff has been appointed and an amended complaint was filed in January 2023. The amended complaint seeks damages on behalf of a putative class of secondary market purchasers of our senior notes with a special mandatory redemption feature issued in May 2019, asserting claims under the Securities Exchange Act based on alleged misrepresentations and omissions concerning the time for completion of our acquisition of Advanced Disposal. Our motion to dismiss is pending and we will vigorously defend against this pending suit. We believe any potential recovery by the plaintiffs, in excess of applicable deductibles, will be covered by insurance, and we do not believe that the eventual outcome of this suit will have a material adverse effect on the Company’s business, financial condition, results of operations or cash flows.</w:t>
      </w:r>
    </w:p>
    <w:p>
      <w:pPr>
        <w:spacing w:after="0" w:line="203"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WMI’s charter and bylaws provide that WMI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WMI’s Board of Directors and each of WMI’s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206" w:lineRule="exact"/>
        <w:rPr>
          <w:sz w:val="20"/>
          <w:szCs w:val="20"/>
          <w:color w:val="auto"/>
        </w:rPr>
      </w:pPr>
    </w:p>
    <w:p>
      <w:pPr>
        <w:jc w:val="both"/>
        <w:ind w:left="360" w:right="360" w:firstLine="360"/>
        <w:spacing w:after="0" w:line="304" w:lineRule="auto"/>
        <w:rPr>
          <w:sz w:val="20"/>
          <w:szCs w:val="20"/>
          <w:color w:val="auto"/>
        </w:rPr>
      </w:pPr>
      <w:r>
        <w:rPr>
          <w:rFonts w:ascii="Times New Roman" w:cs="Times New Roman" w:eastAsia="Times New Roman" w:hAnsi="Times New Roman"/>
          <w:sz w:val="19"/>
          <w:szCs w:val="19"/>
          <w:i w:val="1"/>
          <w:iCs w:val="1"/>
          <w:color w:val="auto"/>
        </w:rPr>
        <w:t xml:space="preserve">Multiemployer Defined Benefit Pension Plans — </w:t>
      </w:r>
      <w:r>
        <w:rPr>
          <w:rFonts w:ascii="Times New Roman" w:cs="Times New Roman" w:eastAsia="Times New Roman" w:hAnsi="Times New Roman"/>
          <w:sz w:val="19"/>
          <w:szCs w:val="19"/>
          <w:color w:val="auto"/>
        </w:rPr>
        <w:t>About 20% of our workforce is covered by collective bargaining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agreements with various local unions across the U.S. and Canada, and certain parts of Europe. As a result of some of these</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121</w:t>
      </w:r>
    </w:p>
    <w:p>
      <w:pPr>
        <w:sectPr>
          <w:pgSz w:w="13320" w:h="16920" w:orient="portrait"/>
          <w:cols w:equalWidth="0" w:num="1">
            <w:col w:w="10440"/>
          </w:cols>
          <w:pgMar w:left="1440" w:top="1440" w:right="1440" w:bottom="1440" w:gutter="0" w:footer="0" w:header="0"/>
          <w:type w:val="continuous"/>
        </w:sectPr>
      </w:pPr>
    </w:p>
    <w:bookmarkStart w:id="195" w:name="page196"/>
    <w:bookmarkEnd w:id="195"/>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spacing w:after="0" w:line="244" w:lineRule="auto"/>
        <w:rPr>
          <w:sz w:val="20"/>
          <w:szCs w:val="20"/>
          <w:color w:val="auto"/>
        </w:rPr>
      </w:pPr>
      <w:r>
        <w:rPr>
          <w:rFonts w:ascii="Times New Roman" w:cs="Times New Roman" w:eastAsia="Times New Roman" w:hAnsi="Times New Roman"/>
          <w:sz w:val="20"/>
          <w:szCs w:val="20"/>
          <w:color w:val="auto"/>
        </w:rPr>
        <w:t>agreements, certain of our subsidiaries are participating employers in a number of Multiemployer Pension Plans for the covered employees. Refer to Note 9 for additional information about our participation in Multiemployer Pension Plans considered individually significant.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203"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97"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Tax Matters — </w:t>
      </w:r>
      <w:r>
        <w:rPr>
          <w:rFonts w:ascii="Times New Roman" w:cs="Times New Roman" w:eastAsia="Times New Roman" w:hAnsi="Times New Roman"/>
          <w:sz w:val="20"/>
          <w:szCs w:val="20"/>
          <w:color w:val="auto"/>
        </w:rPr>
        <w:t>We maintain a liability for uncertain tax positions, the balance of which management believes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adequate. Results of audit assessments by taxing authorities are not currently expected to have a material adverse effect on our financial condition, results of operations or cash flows. We participate in the IRS’s Compliance Assurance Process, which means we work with the IRS throughout the year towards resolving any material issues prior to the filing of our annual tax return. Any unresolved issues 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In the fourth quarter of 2024, the Company filed a claim for refund of the entire amount deposited with the IRS. We expect to litigate any denial of the claim for refund. As of December 31, 2024 and 2023, the IRS deposit, net of reserve for uncertain tax positions, was classified as a component of other long-term assets in the Company’s Consolidated Balance Sheets.</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11. Asset Impairments and Unusual Items</w:t>
      </w:r>
    </w:p>
    <w:p>
      <w:pPr>
        <w:spacing w:after="0" w:line="2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(Gain) Loss from Divestitures, Asset Impairments and Unusual Items, Net</w:t>
      </w:r>
    </w:p>
    <w:p>
      <w:pPr>
        <w:spacing w:after="0" w:line="239"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major components of (gain) loss from divestitures, asset impairments and unusual items, net for the year ended December 31 (in millions):</w:t>
      </w:r>
    </w:p>
    <w:p>
      <w:pPr>
        <w:spacing w:after="0" w:line="191"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6540" w:type="dxa"/>
            <w:vAlign w:val="bottom"/>
            <w:vMerge w:val="restart"/>
          </w:tcPr>
          <w:p>
            <w:pPr>
              <w:jc w:val="right"/>
              <w:ind w:right="4280"/>
              <w:spacing w:after="0"/>
              <w:rPr>
                <w:sz w:val="20"/>
                <w:szCs w:val="20"/>
                <w:color w:val="auto"/>
              </w:rPr>
            </w:pPr>
            <w:r>
              <w:rPr>
                <w:rFonts w:ascii="Times New Roman" w:cs="Times New Roman" w:eastAsia="Times New Roman" w:hAnsi="Times New Roman"/>
                <w:sz w:val="20"/>
                <w:szCs w:val="20"/>
                <w:color w:val="auto"/>
                <w:w w:val="99"/>
              </w:rPr>
              <w:t>Gain from divestitures, net</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40" w:type="dxa"/>
            <w:vAlign w:val="bottom"/>
            <w:vMerge w:val="continue"/>
          </w:tcPr>
          <w:p>
            <w:pPr>
              <w:jc w:val="right"/>
              <w:ind w:right="1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w:t>
            </w:r>
          </w:p>
        </w:tc>
        <w:tc>
          <w:tcPr>
            <w:tcW w:w="2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Asset impairments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5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Other, net . . . . . . . . . . . . . . . . . . . . . . . . . .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82</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243</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2024, we recognized $82 million of net charges primarily consisting of (i) a $54 million charge required to increase the estimated fair value of a liability associated with the expected disposition of an investment the Company holds in a waste diversion technology business within Corporate and Other; (ii) a $14 million loss associated with the divestiture of a minority investment in a medical waste company within Corporate and Other, in connection with our acquisition of Stericycle and (iii) a $13 million charge pertaining to reserves for loss contingencies in our Corporate and Other to adjust an indirect wholly-owned subsidiary’s estimated potential share of the liability for a proposed environmental remediation plan at a closed site, as discussed in Note 10.</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122</w:t>
      </w:r>
    </w:p>
    <w:p>
      <w:pPr>
        <w:sectPr>
          <w:pgSz w:w="13320" w:h="16920" w:orient="portrait"/>
          <w:cols w:equalWidth="0" w:num="1">
            <w:col w:w="10440"/>
          </w:cols>
          <w:pgMar w:left="1440" w:top="1440" w:right="1440" w:bottom="1440" w:gutter="0" w:footer="0" w:header="0"/>
          <w:type w:val="continuous"/>
        </w:sectPr>
      </w:pPr>
    </w:p>
    <w:bookmarkStart w:id="196" w:name="page197"/>
    <w:bookmarkEnd w:id="196"/>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During the year ended December 31, 2023, we recognized $243 million of net charges primarily consisting of (i) a $168 million goodwill impairment charge within our Recycling Processing and Sales segment related to a business engaged in accelerating film and plastic wrap recycling capabilities, with $22 million attributable to noncontrolling interests. This charge was partially offset by the recognition of $46 million of income related to the reversal of a liability for contingent consideration associated with our investment in such business; (ii) $107 million of impairment charges within Corporate and Other for certain investments in waste diversion technology businesses and (iii) a $17 million charge within Corporate and Other to adjust an indirect wholly owned subsidiary’s estimated potential share of the liability for a proposed environmental remediation plan at a closed site. Refer to Notes 5 and 10 for further information.</w:t>
      </w:r>
    </w:p>
    <w:p>
      <w:pPr>
        <w:spacing w:after="0" w:line="202"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During the year ended December 31, 2022, we recognized $62 million of net charges consisting of (i) $50 million of asset impairment charges primarily related to management’s decision to close two landfills within our East Tier and (ii) a $17 million charge pertaining to reserves for loss contingencies within Corporate and Other to adjust an indirect wholly owned subsidiary’s estimated potential share of the liability for a proposed environmental remediation plan at a closed site, as discussed in Note 10. These losses were partially offset by a $5 million gain from the divestiture of a collection and disposal business in our West Tier.</w:t>
      </w:r>
    </w:p>
    <w:p>
      <w:pPr>
        <w:spacing w:after="0" w:line="200"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See Note 2 for additional information related to the accounting policy and analysis involved in identifying and calculating impairments. See Note 19 for additional information related to the impact of impairments on the results of operations of our reportable segments.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Equity in Net Income (Losses) of Unconsolidated Entities</w:t>
      </w:r>
    </w:p>
    <w:p>
      <w:pPr>
        <w:spacing w:after="0" w:line="240"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 xml:space="preserve">These financial statement impacts are largely related to our noncontrolling interests in entities established to invest in and manage low-income housing properties. In 2024, we adopted ASU 2023-02, and, as a result, beginning in 2024, the amortization of these investments is recognized as a component of income tax expense. We generate tax benefits, including tax credits, from the losses incurred from these investments. The losses more than offset by the tax benefits generated by these investments as further discussed in Note 8. Refer to Notes 8 and 18 for additional information related to these investments. Refer to </w:t>
      </w:r>
      <w:r>
        <w:rPr>
          <w:rFonts w:ascii="Times New Roman" w:cs="Times New Roman" w:eastAsia="Times New Roman" w:hAnsi="Times New Roman"/>
          <w:sz w:val="20"/>
          <w:szCs w:val="20"/>
          <w:i w:val="1"/>
          <w:iCs w:val="1"/>
          <w:color w:val="auto"/>
        </w:rPr>
        <w:t>(Gain) Loss from Divestitures, Asset Impairments and Unusual Items, Net</w:t>
      </w:r>
      <w:r>
        <w:rPr>
          <w:rFonts w:ascii="Times New Roman" w:cs="Times New Roman" w:eastAsia="Times New Roman" w:hAnsi="Times New Roman"/>
          <w:sz w:val="20"/>
          <w:szCs w:val="20"/>
          <w:color w:val="auto"/>
        </w:rPr>
        <w:t xml:space="preserve"> above for more information on the impairment of an equity method investment.</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123</w:t>
      </w:r>
    </w:p>
    <w:p>
      <w:pPr>
        <w:sectPr>
          <w:pgSz w:w="13320" w:h="16920" w:orient="portrait"/>
          <w:cols w:equalWidth="0" w:num="1">
            <w:col w:w="10440"/>
          </w:cols>
          <w:pgMar w:left="1440" w:top="1440" w:right="1440" w:bottom="1440" w:gutter="0" w:footer="0" w:header="0"/>
          <w:type w:val="continuous"/>
        </w:sectPr>
      </w:pPr>
    </w:p>
    <w:bookmarkStart w:id="197" w:name="page198"/>
    <w:bookmarkEnd w:id="197"/>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12. Accumulated Other Comprehensive Income (Loss)</w:t>
      </w:r>
    </w:p>
    <w:p>
      <w:pPr>
        <w:spacing w:after="0" w:line="244"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20"/>
          <w:szCs w:val="20"/>
          <w:color w:val="auto"/>
        </w:rPr>
        <w:t>The changes in the balances of each component of accumulated other comprehensive income (loss), net of tax, which is included as a component of WMI stockholders’ equity, are as follows (in millions, with amounts in parentheses representing decreases to accumulated other comprehensive income):</w:t>
      </w:r>
    </w:p>
    <w:p>
      <w:pPr>
        <w:spacing w:after="0" w:line="208"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w w:val="97"/>
              </w:rPr>
              <w:t>Post-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Available-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Retirement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for-Sale</w:t>
            </w:r>
          </w:p>
        </w:tc>
        <w:tc>
          <w:tcPr>
            <w:tcW w:w="20" w:type="dxa"/>
            <w:vAlign w:val="bottom"/>
          </w:tcPr>
          <w:p>
            <w:pPr>
              <w:spacing w:after="0"/>
              <w:rPr>
                <w:sz w:val="16"/>
                <w:szCs w:val="16"/>
                <w:color w:val="auto"/>
              </w:rPr>
            </w:pP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December 31, 2021</w:t>
            </w:r>
          </w:p>
        </w:tc>
        <w:tc>
          <w:tcPr>
            <w:tcW w:w="20" w:type="dxa"/>
            <w:vAlign w:val="bottom"/>
          </w:tcPr>
          <w:p>
            <w:pPr>
              <w:spacing w:after="0"/>
              <w:rPr>
                <w:sz w:val="17"/>
                <w:szCs w:val="17"/>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5"/>
              </w:rPr>
              <w:t>Instruments</w:t>
            </w: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Securities(a)</w:t>
            </w:r>
          </w:p>
        </w:tc>
        <w:tc>
          <w:tcPr>
            <w:tcW w:w="10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Obligations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1"/>
        </w:trPr>
        <w:tc>
          <w:tcPr>
            <w:tcW w:w="5000" w:type="dxa"/>
            <w:vAlign w:val="bottom"/>
            <w:vMerge w:val="continue"/>
          </w:tcPr>
          <w:p>
            <w:pPr>
              <w:jc w:val="right"/>
              <w:ind w:right="160"/>
              <w:spacing w:after="0" w:line="177" w:lineRule="exact"/>
              <w:rPr>
                <w:sz w:val="20"/>
                <w:szCs w:val="20"/>
                <w:color w:val="auto"/>
              </w:rPr>
            </w:pPr>
            <w:r>
              <w:rPr>
                <w:rFonts w:ascii="Times New Roman" w:cs="Times New Roman" w:eastAsia="Times New Roman" w:hAnsi="Times New Roman"/>
                <w:sz w:val="20"/>
                <w:szCs w:val="20"/>
                <w:color w:val="auto"/>
              </w:rPr>
              <w:t>. . . . . . . . . . . . . . . . . . . . . . . . .</w:t>
            </w: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43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rPr>
              <w:t>(29)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gridSpan w:val="2"/>
          </w:tcPr>
          <w:p>
            <w:pPr>
              <w:spacing w:after="0" w:line="201" w:lineRule="exact"/>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comprehensive income (loss) before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reclassifications, net of tax expense (benefit) of $0, $(8),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$0 and $0, respectively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(65)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29"/>
        </w:trPr>
        <w:tc>
          <w:tcPr>
            <w:tcW w:w="50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Amounts reclassified from accumulated other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comprehensive (income) loss, net of tax (expense)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benefit of $1, $0, $0 and $0, respectively . . . . . . . . . . . .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000" w:type="dxa"/>
            <w:vAlign w:val="bottom"/>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 . . .Netcurrentperiodothercomprehensiveincome(loss)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(65)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000" w:type="dxa"/>
            <w:vAlign w:val="bottom"/>
          </w:tcPr>
          <w:p>
            <w:pPr>
              <w:jc w:val="right"/>
              <w:ind w:right="160"/>
              <w:spacing w:after="0" w:line="200" w:lineRule="exact"/>
              <w:rPr>
                <w:sz w:val="20"/>
                <w:szCs w:val="20"/>
                <w:color w:val="auto"/>
              </w:rPr>
            </w:pPr>
            <w:r>
              <w:rPr>
                <w:rFonts w:ascii="Times New Roman" w:cs="Times New Roman" w:eastAsia="Times New Roman" w:hAnsi="Times New Roman"/>
                <w:sz w:val="20"/>
                <w:szCs w:val="20"/>
                <w:color w:val="auto"/>
              </w:rPr>
              <w:t>. . . . . . . . . . . . . . . . . . . . . . . . .Balance,December31,2022</w:t>
            </w:r>
          </w:p>
        </w:tc>
        <w:tc>
          <w:tcPr>
            <w:tcW w:w="14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3</w:t>
            </w:r>
          </w:p>
        </w:tc>
        <w:tc>
          <w:tcPr>
            <w:tcW w:w="140" w:type="dxa"/>
            <w:vAlign w:val="bottom"/>
          </w:tcPr>
          <w:p>
            <w:pPr>
              <w:spacing w:after="0"/>
              <w:rPr>
                <w:sz w:val="17"/>
                <w:szCs w:val="17"/>
                <w:color w:val="auto"/>
              </w:rPr>
            </w:pPr>
          </w:p>
        </w:tc>
        <w:tc>
          <w:tcPr>
            <w:tcW w:w="140" w:type="dxa"/>
            <w:vAlign w:val="bottom"/>
            <w:gridSpan w:val="2"/>
          </w:tcPr>
          <w:p>
            <w:pPr>
              <w:ind w:left="20"/>
              <w:spacing w:after="0" w:line="200" w:lineRule="exact"/>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19</w:t>
            </w:r>
          </w:p>
        </w:tc>
        <w:tc>
          <w:tcPr>
            <w:tcW w:w="140" w:type="dxa"/>
            <w:vAlign w:val="bottom"/>
          </w:tcPr>
          <w:p>
            <w:pPr>
              <w:spacing w:after="0"/>
              <w:rPr>
                <w:sz w:val="17"/>
                <w:szCs w:val="17"/>
                <w:color w:val="auto"/>
              </w:rPr>
            </w:pPr>
          </w:p>
        </w:tc>
        <w:tc>
          <w:tcPr>
            <w:tcW w:w="120" w:type="dxa"/>
            <w:vAlign w:val="bottom"/>
            <w:gridSpan w:val="2"/>
          </w:tcPr>
          <w:p>
            <w:pPr>
              <w:ind w:left="2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Pr>
          <w:p>
            <w:pPr>
              <w:spacing w:after="0"/>
              <w:rPr>
                <w:sz w:val="17"/>
                <w:szCs w:val="17"/>
                <w:color w:val="auto"/>
              </w:rPr>
            </w:pPr>
          </w:p>
        </w:tc>
        <w:tc>
          <w:tcPr>
            <w:tcW w:w="7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(94)</w:t>
            </w:r>
          </w:p>
        </w:tc>
        <w:tc>
          <w:tcPr>
            <w:tcW w:w="140" w:type="dxa"/>
            <w:vAlign w:val="bottom"/>
          </w:tcPr>
          <w:p>
            <w:pPr>
              <w:spacing w:after="0"/>
              <w:rPr>
                <w:sz w:val="17"/>
                <w:szCs w:val="17"/>
                <w:color w:val="auto"/>
              </w:rPr>
            </w:pPr>
          </w:p>
        </w:tc>
        <w:tc>
          <w:tcPr>
            <w:tcW w:w="12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3</w:t>
            </w:r>
          </w:p>
        </w:tc>
        <w:tc>
          <w:tcPr>
            <w:tcW w:w="240" w:type="dxa"/>
            <w:vAlign w:val="bottom"/>
            <w:gridSpan w:val="3"/>
          </w:tcPr>
          <w:p>
            <w:pPr>
              <w:ind w:left="14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comprehensive income (loss) before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reclassifications, net of tax expense (benefit) of $5, $(4),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$0 and $2, respectively .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Amounts reclassified from accumulated other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comprehensive (income) loss, net of tax (expense)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benefit of $(1), $0, $0 and $0, respectively . . . . . . . . . .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20"/>
        </w:trPr>
        <w:tc>
          <w:tcPr>
            <w:tcW w:w="5000" w:type="dxa"/>
            <w:vAlign w:val="bottom"/>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 . . .Netcurrentperiodothercomprehensiveincome(loss)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26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000" w:type="dxa"/>
            <w:vAlign w:val="bottom"/>
          </w:tcPr>
          <w:p>
            <w:pPr>
              <w:jc w:val="right"/>
              <w:ind w:right="160"/>
              <w:spacing w:after="0" w:line="200" w:lineRule="exact"/>
              <w:rPr>
                <w:sz w:val="20"/>
                <w:szCs w:val="20"/>
                <w:color w:val="auto"/>
              </w:rPr>
            </w:pPr>
            <w:r>
              <w:rPr>
                <w:rFonts w:ascii="Times New Roman" w:cs="Times New Roman" w:eastAsia="Times New Roman" w:hAnsi="Times New Roman"/>
                <w:sz w:val="20"/>
                <w:szCs w:val="20"/>
                <w:color w:val="auto"/>
              </w:rPr>
              <w:t>. . . . . . . . . . . . . . . . . . . . . . . . .Balance,December31,2023</w:t>
            </w:r>
          </w:p>
        </w:tc>
        <w:tc>
          <w:tcPr>
            <w:tcW w:w="20" w:type="dxa"/>
            <w:vAlign w:val="bottom"/>
          </w:tcPr>
          <w:p>
            <w:pPr>
              <w:spacing w:after="0"/>
              <w:rPr>
                <w:sz w:val="17"/>
                <w:szCs w:val="17"/>
                <w:color w:val="auto"/>
              </w:rPr>
            </w:pPr>
          </w:p>
        </w:tc>
        <w:tc>
          <w:tcPr>
            <w:tcW w:w="1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auto"/>
              </w:rPr>
              <w:t>(68)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Pr>
          <w:p>
            <w:pPr>
              <w:spacing w:after="0"/>
              <w:rPr>
                <w:sz w:val="17"/>
                <w:szCs w:val="17"/>
                <w:color w:val="auto"/>
              </w:rPr>
            </w:pPr>
          </w:p>
        </w:tc>
        <w:tc>
          <w:tcPr>
            <w:tcW w:w="5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comprehensive income (loss) before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reclassifications, net of tax expense (benefit) of $10, $3,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$0 and $0, respectively .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Amounts reclassified from accumulated other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comprehensive (income) loss, net of tax (expense)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benefit of $1, $0, $0 and $0, respectively . . . . . . . . . . . .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20"/>
        </w:trPr>
        <w:tc>
          <w:tcPr>
            <w:tcW w:w="5000" w:type="dxa"/>
            <w:vAlign w:val="bottom"/>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 . . .Netcurrentperiodothercomprehensiveincome(loss)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(111)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rPr>
              <w:t>. . . . . . . . . . . . . . . . . . . . . . . . .Balance,December31,2024</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44</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15</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(179)</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120650</wp:posOffset>
                </wp:positionV>
                <wp:extent cx="1541145"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9.5pt" to="139.65pt,9.5pt" o:allowincell="f" strokecolor="#000000" strokeweight="1.0199pt"/>
            </w:pict>
          </mc:Fallback>
        </mc:AlternateContent>
      </w:r>
    </w:p>
    <w:p>
      <w:pPr>
        <w:spacing w:after="0" w:line="213" w:lineRule="exact"/>
        <w:rPr>
          <w:sz w:val="20"/>
          <w:szCs w:val="20"/>
          <w:color w:val="auto"/>
        </w:rPr>
      </w:pPr>
    </w:p>
    <w:p>
      <w:pPr>
        <w:jc w:val="both"/>
        <w:ind w:left="720" w:right="360" w:hanging="353"/>
        <w:spacing w:after="0" w:line="305" w:lineRule="auto"/>
        <w:tabs>
          <w:tab w:leader="none" w:pos="72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2023, we recognized a $23 million unrealized loss, net of a deferred tax benefit of $8 million, associated with our investment in redeemable preferred stock due to the estimated fair value being less than the remaining carrying value.</w:t>
      </w:r>
    </w:p>
    <w:p>
      <w:pPr>
        <w:spacing w:after="0" w:line="2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13. Capital Stock, Dividends and Common Stock Repurchase Program</w:t>
      </w:r>
    </w:p>
    <w:p>
      <w:pPr>
        <w:spacing w:after="0" w:line="2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Capital Stock</w:t>
      </w:r>
    </w:p>
    <w:p>
      <w:pPr>
        <w:spacing w:after="0" w:line="239"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We have 1.5 billion shares of authorized common stock with a par value of $0.01 per common share. As of December 31, 2024, we had 401.5 million shares of common stock issued and outstanding. The Board of Directors is authorized to issue preferred stock in series, and with respect to each series, to fix its designation, relative rights (including voting, dividend, conversion, sinking fund, and redemption rights), preferences (including dividends and liquidation) and limitations. We have 10 million shares of authorized preferred stock, $0.01 par value, none of which is currently outstanding.</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124</w:t>
      </w:r>
    </w:p>
    <w:p>
      <w:pPr>
        <w:sectPr>
          <w:pgSz w:w="13320" w:h="16920" w:orient="portrait"/>
          <w:cols w:equalWidth="0" w:num="1">
            <w:col w:w="10440"/>
          </w:cols>
          <w:pgMar w:left="1440" w:top="1440" w:right="1440" w:bottom="1440" w:gutter="0" w:footer="0" w:header="0"/>
          <w:type w:val="continuous"/>
        </w:sectPr>
      </w:pPr>
    </w:p>
    <w:bookmarkStart w:id="198" w:name="page199"/>
    <w:bookmarkEnd w:id="198"/>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40"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20"/>
          <w:szCs w:val="20"/>
          <w:color w:val="auto"/>
        </w:rPr>
        <w:t>Our quarterly dividends have been declared by our Board of Directors. Cash dividends declared and paid were $1,210 million in 2024, or $3.00 per common share, $1,136 million in 2023, or $2.80 per common share, and $1,077 million in 2022, or $2.60 per common share.</w:t>
      </w:r>
    </w:p>
    <w:p>
      <w:pPr>
        <w:spacing w:after="0" w:line="188"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In December 2024, we announced that our Board of Directors expects to increase the quarterly dividend from $ 0.75 to $0.825 per share for dividends declared in 2025. However, all future dividend declarations are at the discretion of our Board of Directors and depend on various factors, including our net earnings, financial condition, cash required for future business plans, growth and acquisitions and other factors the Board of Directors may deem relevant.</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Common Stock Repurchase Program</w:t>
      </w:r>
    </w:p>
    <w:p>
      <w:pPr>
        <w:spacing w:after="0" w:line="239"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19"/>
          <w:szCs w:val="19"/>
          <w:color w:val="auto"/>
        </w:rPr>
        <w:t>The Company repurchases shares of its common stock as part of capital allocation programs authorized by our Board of Directors. Share repurchases are a part of our long-term strategy and incorporated into our overall capital allocation plan to enhance our Company’s performance, in conjunction with our other uses of capital, and to return value to stockholders in a tax-efficient manner. Share repurchases during the reported periods were completed through accelerated share repurchase (“ASR”) agreements and, to a lesser extent, open market transactions. The terms of these ASR agreements required that we deliver cash at the beginning of each ASR repurchase period. In exchange, we received a portion of the total shares expected to be repurchased based on the then-current market price of our common stock. The remaining shares repurchased over the course of each repurchase period are delivered to us once the repurchase period is complete. In the table below, shares repurchased are measured and reported based on the period shares are delivered to us, which can differ from the period cash is delivered to a repurchase agent for the value of such shares. The following is a summary of our share repurchases under our common stock repurchase program for the year ended December 31:</w:t>
      </w:r>
    </w:p>
    <w:p>
      <w:pPr>
        <w:spacing w:after="0" w:line="206"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6340" w:type="dxa"/>
            <w:vAlign w:val="bottom"/>
            <w:vMerge w:val="restart"/>
          </w:tcPr>
          <w:p>
            <w:pPr>
              <w:jc w:val="right"/>
              <w:ind w:right="3500"/>
              <w:spacing w:after="0"/>
              <w:rPr>
                <w:sz w:val="20"/>
                <w:szCs w:val="20"/>
                <w:color w:val="auto"/>
              </w:rPr>
            </w:pPr>
            <w:r>
              <w:rPr>
                <w:rFonts w:ascii="Times New Roman" w:cs="Times New Roman" w:eastAsia="Times New Roman" w:hAnsi="Times New Roman"/>
                <w:sz w:val="20"/>
                <w:szCs w:val="20"/>
                <w:color w:val="auto"/>
                <w:w w:val="99"/>
              </w:rPr>
              <w:t>Shares repurchased (in thousands)</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2024(a)</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2023(b)</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2022(c)</w:t>
            </w:r>
          </w:p>
        </w:tc>
        <w:tc>
          <w:tcPr>
            <w:tcW w:w="0" w:type="dxa"/>
            <w:vAlign w:val="bottom"/>
          </w:tcPr>
          <w:p>
            <w:pPr>
              <w:spacing w:after="0"/>
              <w:rPr>
                <w:sz w:val="1"/>
                <w:szCs w:val="1"/>
                <w:color w:val="auto"/>
              </w:rPr>
            </w:pPr>
          </w:p>
        </w:tc>
      </w:tr>
      <w:tr>
        <w:trPr>
          <w:trHeight w:val="202"/>
        </w:trPr>
        <w:tc>
          <w:tcPr>
            <w:tcW w:w="6340" w:type="dxa"/>
            <w:vAlign w:val="bottom"/>
            <w:vMerge w:val="continue"/>
          </w:tcPr>
          <w:p>
            <w:pPr>
              <w:jc w:val="right"/>
              <w:ind w:right="6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1,494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7,840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9,796</w:t>
            </w:r>
          </w:p>
        </w:tc>
        <w:tc>
          <w:tcPr>
            <w:tcW w:w="0" w:type="dxa"/>
            <w:vAlign w:val="bottom"/>
          </w:tcPr>
          <w:p>
            <w:pPr>
              <w:spacing w:after="0"/>
              <w:rPr>
                <w:sz w:val="1"/>
                <w:szCs w:val="1"/>
                <w:color w:val="auto"/>
              </w:rPr>
            </w:pPr>
          </w:p>
        </w:tc>
      </w:tr>
      <w:tr>
        <w:trPr>
          <w:trHeight w:val="232"/>
        </w:trPr>
        <w:tc>
          <w:tcPr>
            <w:tcW w:w="63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8"/>
              </w:rPr>
              <w:t>Weighted average price per share . . . . . . . . . . . . . . . . . . . . . . . . . . . . . . . . . . . .</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196.95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158.47</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160.26</w:t>
            </w:r>
          </w:p>
        </w:tc>
        <w:tc>
          <w:tcPr>
            <w:tcW w:w="0" w:type="dxa"/>
            <w:vAlign w:val="bottom"/>
          </w:tcPr>
          <w:p>
            <w:pPr>
              <w:spacing w:after="0"/>
              <w:rPr>
                <w:sz w:val="1"/>
                <w:szCs w:val="1"/>
                <w:color w:val="auto"/>
              </w:rPr>
            </w:pPr>
          </w:p>
        </w:tc>
      </w:tr>
      <w:tr>
        <w:trPr>
          <w:trHeight w:val="267"/>
        </w:trPr>
        <w:tc>
          <w:tcPr>
            <w:tcW w:w="63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6"/>
              </w:rPr>
              <w:t>Total repurchases (in millions) . . . . . . . . . . . . . . . . . . . . . . . . . . . . . . . . . . . . . . .</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95885</wp:posOffset>
                </wp:positionV>
                <wp:extent cx="1541145"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7.55pt" to="139.65pt,7.55pt" o:allowincell="f" strokecolor="#000000" strokeweight="1.0199pt"/>
            </w:pict>
          </mc:Fallback>
        </mc:AlternateContent>
      </w:r>
    </w:p>
    <w:p>
      <w:pPr>
        <w:spacing w:after="0" w:line="173" w:lineRule="exact"/>
        <w:rPr>
          <w:sz w:val="20"/>
          <w:szCs w:val="20"/>
          <w:color w:val="auto"/>
        </w:rPr>
      </w:pPr>
    </w:p>
    <w:p>
      <w:pPr>
        <w:jc w:val="both"/>
        <w:ind w:left="720" w:right="360" w:hanging="353"/>
        <w:spacing w:after="0" w:line="259" w:lineRule="auto"/>
        <w:tabs>
          <w:tab w:leader="none" w:pos="72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executed and completed one ASR agreement during 2024 to repurchase $250 million of our common stock and received 1.2 million shares in connection with this ASR agreement. In February 2024, we also received 0.2 million shares pursuant to our October 2023 ASR agreement based on a final weighted average price of $175.29.</w:t>
      </w:r>
    </w:p>
    <w:p>
      <w:pPr>
        <w:spacing w:after="0" w:line="65" w:lineRule="exact"/>
        <w:rPr>
          <w:rFonts w:ascii="Times New Roman" w:cs="Times New Roman" w:eastAsia="Times New Roman" w:hAnsi="Times New Roman"/>
          <w:sz w:val="20"/>
          <w:szCs w:val="20"/>
          <w:color w:val="auto"/>
        </w:rPr>
      </w:pPr>
    </w:p>
    <w:p>
      <w:pPr>
        <w:jc w:val="both"/>
        <w:ind w:left="720" w:right="360"/>
        <w:spacing w:after="0" w:line="25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also repurchased an additional 0.1 million shares of our common stock in open market transactions in compliance with Rule 10b5-1 and Rule 10b 18 of the Securities Exchange Act of 1934 (“Exchange Act”) for $12 million, inclusive of per-share commission.</w:t>
      </w:r>
    </w:p>
    <w:p>
      <w:pPr>
        <w:spacing w:after="0" w:line="65" w:lineRule="exact"/>
        <w:rPr>
          <w:rFonts w:ascii="Times New Roman" w:cs="Times New Roman" w:eastAsia="Times New Roman" w:hAnsi="Times New Roman"/>
          <w:sz w:val="20"/>
          <w:szCs w:val="20"/>
          <w:color w:val="auto"/>
        </w:rPr>
      </w:pPr>
    </w:p>
    <w:p>
      <w:pPr>
        <w:jc w:val="both"/>
        <w:ind w:left="720" w:right="360" w:hanging="353"/>
        <w:spacing w:after="0" w:line="247" w:lineRule="auto"/>
        <w:tabs>
          <w:tab w:leader="none" w:pos="72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executed and completed three ASR agreements during 2023 to repurchase $950 million of our common stock and received 6.0 million shares in connection with these ASR agreements. Additionally, in October 2023, we executed an ASR agreement to repurchase $300 million of our common stock. At the beginning of the repurchase period, we delivered $300 million in cash and received 1.5 million shares based on a stock price of $161.38. The ASR agreement completed in February 2024, at which time we received 0.2 million additional shares based on a final weighted average price of $175.29.</w:t>
      </w:r>
    </w:p>
    <w:p>
      <w:pPr>
        <w:spacing w:after="0" w:line="80" w:lineRule="exact"/>
        <w:rPr>
          <w:rFonts w:ascii="Times New Roman" w:cs="Times New Roman" w:eastAsia="Times New Roman" w:hAnsi="Times New Roman"/>
          <w:sz w:val="20"/>
          <w:szCs w:val="20"/>
          <w:color w:val="auto"/>
        </w:rPr>
      </w:pPr>
    </w:p>
    <w:p>
      <w:pPr>
        <w:ind w:left="720" w:right="1000"/>
        <w:spacing w:after="0" w:line="25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also repurchased an additional 0.3 million shares of our common stock in open market transactions in compliance with Rule 10b5-1 and Rule 10b 18 of the Securities Exchange Act of 1934 (“Exchange Act”) for $52 million, inclusive of per-share commissions.</w:t>
      </w:r>
    </w:p>
    <w:p>
      <w:pPr>
        <w:spacing w:after="0" w:line="65" w:lineRule="exact"/>
        <w:rPr>
          <w:rFonts w:ascii="Times New Roman" w:cs="Times New Roman" w:eastAsia="Times New Roman" w:hAnsi="Times New Roman"/>
          <w:sz w:val="20"/>
          <w:szCs w:val="20"/>
          <w:color w:val="auto"/>
        </w:rPr>
      </w:pPr>
    </w:p>
    <w:p>
      <w:pPr>
        <w:jc w:val="both"/>
        <w:ind w:left="720" w:right="460"/>
        <w:spacing w:after="0" w:line="27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IRA, which was enacted into law on August 16, 2022, imposed a nondeductible 1% excise tax on the net value of certain stock repurchases made after December 31, 2022. We reflected the applicable excise tax in treasury stock</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125</w:t>
      </w:r>
    </w:p>
    <w:p>
      <w:pPr>
        <w:sectPr>
          <w:pgSz w:w="13320" w:h="16920" w:orient="portrait"/>
          <w:cols w:equalWidth="0" w:num="1">
            <w:col w:w="10440"/>
          </w:cols>
          <w:pgMar w:left="1440" w:top="1440" w:right="1440" w:bottom="1440" w:gutter="0" w:footer="0" w:header="0"/>
          <w:type w:val="continuous"/>
        </w:sectPr>
      </w:pPr>
    </w:p>
    <w:bookmarkStart w:id="199" w:name="page200"/>
    <w:bookmarkEnd w:id="199"/>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720" w:right="440"/>
        <w:spacing w:after="0" w:line="278" w:lineRule="auto"/>
        <w:rPr>
          <w:sz w:val="20"/>
          <w:szCs w:val="20"/>
          <w:color w:val="auto"/>
        </w:rPr>
      </w:pPr>
      <w:r>
        <w:rPr>
          <w:rFonts w:ascii="Times New Roman" w:cs="Times New Roman" w:eastAsia="Times New Roman" w:hAnsi="Times New Roman"/>
          <w:sz w:val="20"/>
          <w:szCs w:val="20"/>
          <w:color w:val="auto"/>
        </w:rPr>
        <w:t>as part of the cost basis of the stock repurchased. The above discussion of our common stock repurchases in 2023 is excluding the 1% excise tax.</w:t>
      </w:r>
    </w:p>
    <w:p>
      <w:pPr>
        <w:spacing w:after="0" w:line="47" w:lineRule="exact"/>
        <w:rPr>
          <w:sz w:val="20"/>
          <w:szCs w:val="20"/>
          <w:color w:val="auto"/>
        </w:rPr>
      </w:pPr>
    </w:p>
    <w:p>
      <w:pPr>
        <w:jc w:val="both"/>
        <w:ind w:left="720" w:right="360" w:hanging="353"/>
        <w:spacing w:after="0" w:line="247" w:lineRule="auto"/>
        <w:tabs>
          <w:tab w:leader="none" w:pos="72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executed and completed four ASR agreements during 2022 to repurchase $1.417 billion of our common stock and received 8.8 million shares in connection with these ASR agreements. We also repurchased an additional 0.6 million shares of our common stock in open market transactions in compliance with Rule 10b5-1 and Rule 10b 18 of the Exchange Act for $83 million, inclusive of per-share commissions. Shares repurchased in 2022 include 0.4 million shares of our common stock for $70 million pursuant to our December 2021 ASR agreement that completed in January 2022.</w:t>
      </w:r>
    </w:p>
    <w:p>
      <w:pPr>
        <w:spacing w:after="0" w:line="80"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As a result of the Stericycle acquisition, the Company has temporarily suspended share repurchases. We expect to resume share repurchase once the Company’s leverage returns to targeted levels, which is currently projected to be about 18 months after the November 2024 acquisition of Stericycle.</w:t>
      </w:r>
    </w:p>
    <w:p>
      <w:pPr>
        <w:spacing w:after="0" w:line="2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14. Equity-Based Compensation</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240"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We have an Employee Stock Purchase Plan (“ESPP”) under which employees that have been employed for at least 30 days may purchase shares of our common stock at a discount. The plan provides for two offering periods for purchases: January through June and July through December. At the end of each offering period, enrolled employees purchase shares of our common stock at a price equal to 85% of the market value on the last day of the applicable offering period. The purchases are made at the end of an offering period with funds accumulated through payroll deductions over the course of the offering period. Subject to limitations set forth in the plan and under IRS regulations, eligible employees may elect to have up to 10% of their base pay deducted during the offering period. The total number of shares issued under the plan for the offering periods in 2024, 2023 and 2022 was approximately 408,000, 473,000 and 455,000, respectively. After the January 2025 issuance of shares associated with the July to December 2024 offering period, 1.4 million shares remain available for issuance under the ESPP.</w:t>
      </w:r>
    </w:p>
    <w:p>
      <w:pPr>
        <w:spacing w:after="0" w:line="202" w:lineRule="exact"/>
        <w:rPr>
          <w:sz w:val="20"/>
          <w:szCs w:val="20"/>
          <w:color w:val="auto"/>
        </w:rPr>
      </w:pPr>
    </w:p>
    <w:p>
      <w:pPr>
        <w:jc w:val="both"/>
        <w:ind w:left="360" w:right="360" w:firstLine="360"/>
        <w:spacing w:after="0" w:line="305" w:lineRule="auto"/>
        <w:rPr>
          <w:sz w:val="20"/>
          <w:szCs w:val="20"/>
          <w:color w:val="auto"/>
        </w:rPr>
      </w:pPr>
      <w:r>
        <w:rPr>
          <w:rFonts w:ascii="Times New Roman" w:cs="Times New Roman" w:eastAsia="Times New Roman" w:hAnsi="Times New Roman"/>
          <w:sz w:val="19"/>
          <w:szCs w:val="19"/>
          <w:color w:val="auto"/>
        </w:rPr>
        <w:t>As a result of our ESPP, annual compensation expense increased by $11 million, or $8 million net of tax expense, for 2024, $14 million, or $11 million net of tax expense, for 2023 and $13 million, or $10 million net of tax expense, for 2022.</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Employee Stock Incentive Plans</w:t>
      </w:r>
    </w:p>
    <w:p>
      <w:pPr>
        <w:spacing w:after="0" w:line="239"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In May 2023, our stockholders approved our 2023 Stock Incentive Plan (the “2023 Plan”) to replace our 2014 Stock Incentive Plan (the “2014 Plan”) . Upon approval of the 2023 Plan, no further awards could be granted under the 2014 Plan, and the 15.2 million shares of our common stock that were previously available for issuance under the 2014 Plan became available for issuance under the 2023 Plan, in addition to any shares of our common stock that were subject to outstanding awards under the 2014 Plan that subsequently cease to be subject to such awards as a result of the forfeiture, cancellation or termination. We did not request that our stockholders approve any shares in addition to the shares that roll over from the 2014 Plan for issuance pursuant to the 2023 Plan. As of December 31, 2024, approximately 13.5 million shares were available for future grants under the 2023 Plan. Our equity - based compensation awards described herein have been made pursuant to our 2023 Plan or our 2014 Plan (collectively, the “Incentive Plans”). We currently utilize treasury shares to meet the needs of our equity - based compensation programs.</w:t>
      </w:r>
    </w:p>
    <w:p>
      <w:pPr>
        <w:spacing w:after="0" w:line="201"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20"/>
          <w:szCs w:val="20"/>
          <w:color w:val="auto"/>
        </w:rPr>
        <w:t>Pursuant to the 2023 Plan, we can issue cash awards, stock options, stock appreciation rights, phantom stock and stock awards, including restricted stock, restricted stock units (“RSUs”) and performance share units (“PSUs”). The terms and conditions of equity awards granted under the Incentive Plans are determined by the Management Development and Compensation Committee of our Board of Directors.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126</w:t>
      </w:r>
    </w:p>
    <w:p>
      <w:pPr>
        <w:sectPr>
          <w:pgSz w:w="13320" w:h="16920" w:orient="portrait"/>
          <w:cols w:equalWidth="0" w:num="1">
            <w:col w:w="10440"/>
          </w:cols>
          <w:pgMar w:left="1440" w:top="1440" w:right="1440" w:bottom="1440" w:gutter="0" w:footer="0" w:header="0"/>
          <w:type w:val="continuous"/>
        </w:sectPr>
      </w:pPr>
    </w:p>
    <w:bookmarkStart w:id="200" w:name="page201"/>
    <w:bookmarkEnd w:id="200"/>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The 2024 annual stock incentive plan awards granted to the Company’s senior leadership team, which generally includes the Company’s executive officers, included a combination of PSUs and stock options. Awards granted to other eligible employees under the Incentive Plans included a combination of PSUs, RSUs and stock options in 2024. The Company also periodically grants RSUs to employees working on key initiatives, in connection with new hires and promotions and to field and corporate managers.</w:t>
      </w:r>
    </w:p>
    <w:p>
      <w:pPr>
        <w:spacing w:after="0" w:line="197" w:lineRule="exact"/>
        <w:rPr>
          <w:sz w:val="20"/>
          <w:szCs w:val="20"/>
          <w:color w:val="auto"/>
        </w:rPr>
      </w:pPr>
    </w:p>
    <w:p>
      <w:pPr>
        <w:jc w:val="both"/>
        <w:ind w:left="360" w:right="360" w:firstLine="361"/>
        <w:spacing w:after="0" w:line="244" w:lineRule="auto"/>
        <w:rPr>
          <w:sz w:val="20"/>
          <w:szCs w:val="20"/>
          <w:color w:val="auto"/>
        </w:rPr>
      </w:pPr>
      <w:r>
        <w:rPr>
          <w:rFonts w:ascii="Times New Roman" w:cs="Times New Roman" w:eastAsia="Times New Roman" w:hAnsi="Times New Roman"/>
          <w:sz w:val="20"/>
          <w:szCs w:val="20"/>
          <w:color w:val="auto"/>
        </w:rPr>
        <w:t>Upon our acquisition of Stericycle on November 4, 2024, each outstanding award of Stericycle RSUs and PSUs held by an employee of Stericycle that continued their employment with us was assumed by us and converted into new RSU awards granted pursuant to the 2023 Plan (the “Replacement RSUs”). The number of Replacement RSUs issued was calculated by multiplying the number of Stericycle RSUs and PSUs by a conversion factor of 0.289171, which represents the $62.00 per share consideration for the Stericycle acquisition divided by the average of the closing sales price of a share or our common stock for each of the five consecutive trading days before the closing. The Replacement RSUs pay out in shares of our common stock and are subject to substantially the same terms and conditions as were applicable to the corresponding Stericycle RSUs. Stericycle RSUs and PSUs held by employees who did not continue their employment with us, and all employee stock options, were cancelled and converted into a right to receive cash immediately upon closing of the acquisition.</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 xml:space="preserve">Restricted Stock Units — </w:t>
      </w:r>
      <w:r>
        <w:rPr>
          <w:rFonts w:ascii="Times New Roman" w:cs="Times New Roman" w:eastAsia="Times New Roman" w:hAnsi="Times New Roman"/>
          <w:sz w:val="20"/>
          <w:szCs w:val="20"/>
          <w:color w:val="auto"/>
        </w:rPr>
        <w:t>A summary of our RSUs is presented in the table below (units in thousands):</w:t>
      </w:r>
    </w:p>
    <w:p>
      <w:pPr>
        <w:spacing w:after="0" w:line="260"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84"/>
        </w:trPr>
        <w:tc>
          <w:tcPr>
            <w:tcW w:w="7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203"/>
        </w:trPr>
        <w:tc>
          <w:tcPr>
            <w:tcW w:w="7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Unvested as of January 1, 2024</w:t>
            </w:r>
          </w:p>
        </w:tc>
        <w:tc>
          <w:tcPr>
            <w:tcW w:w="11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Units</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1"/>
        </w:trPr>
        <w:tc>
          <w:tcPr>
            <w:tcW w:w="7120" w:type="dxa"/>
            <w:vAlign w:val="bottom"/>
            <w:gridSpan w:val="2"/>
            <w:vMerge w:val="continue"/>
          </w:tcPr>
          <w:p>
            <w:pPr>
              <w:jc w:val="right"/>
              <w:ind w:right="3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w:t>
            </w:r>
          </w:p>
        </w:tc>
        <w:tc>
          <w:tcPr>
            <w:tcW w:w="11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371</w:t>
            </w:r>
          </w:p>
        </w:tc>
        <w:tc>
          <w:tcPr>
            <w:tcW w:w="220" w:type="dxa"/>
            <w:vAlign w:val="bottom"/>
          </w:tcPr>
          <w:p>
            <w:pPr>
              <w:spacing w:after="0"/>
              <w:rPr>
                <w:sz w:val="17"/>
                <w:szCs w:val="17"/>
                <w:color w:val="auto"/>
              </w:rPr>
            </w:pPr>
          </w:p>
        </w:tc>
        <w:tc>
          <w:tcPr>
            <w:tcW w:w="18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139.37</w:t>
            </w:r>
          </w:p>
        </w:tc>
        <w:tc>
          <w:tcPr>
            <w:tcW w:w="0" w:type="dxa"/>
            <w:vAlign w:val="bottom"/>
          </w:tcPr>
          <w:p>
            <w:pPr>
              <w:spacing w:after="0"/>
              <w:rPr>
                <w:sz w:val="1"/>
                <w:szCs w:val="1"/>
                <w:color w:val="auto"/>
              </w:rPr>
            </w:pPr>
          </w:p>
        </w:tc>
      </w:tr>
      <w:tr>
        <w:trPr>
          <w:trHeight w:val="230"/>
        </w:trPr>
        <w:tc>
          <w:tcPr>
            <w:tcW w:w="7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5"/>
              </w:rPr>
              <w:t>Granted . . . . . . . . . . . . . . . . . . . . . . . . . . . . . . . . . . . . . . . . . . . . . .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209.86</w:t>
            </w:r>
          </w:p>
        </w:tc>
        <w:tc>
          <w:tcPr>
            <w:tcW w:w="0" w:type="dxa"/>
            <w:vAlign w:val="bottom"/>
          </w:tcPr>
          <w:p>
            <w:pPr>
              <w:spacing w:after="0"/>
              <w:rPr>
                <w:sz w:val="1"/>
                <w:szCs w:val="1"/>
                <w:color w:val="auto"/>
              </w:rPr>
            </w:pPr>
          </w:p>
        </w:tc>
      </w:tr>
      <w:tr>
        <w:trPr>
          <w:trHeight w:val="229"/>
        </w:trPr>
        <w:tc>
          <w:tcPr>
            <w:tcW w:w="7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5"/>
              </w:rPr>
              <w:t>Vested . . . . . . . . . . . . . . . . . . . . . . . . . . . . . . . . . . . . . . . . . . . . . . .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119.10</w:t>
            </w:r>
          </w:p>
        </w:tc>
        <w:tc>
          <w:tcPr>
            <w:tcW w:w="0" w:type="dxa"/>
            <w:vAlign w:val="bottom"/>
          </w:tcPr>
          <w:p>
            <w:pPr>
              <w:spacing w:after="0"/>
              <w:rPr>
                <w:sz w:val="1"/>
                <w:szCs w:val="1"/>
                <w:color w:val="auto"/>
              </w:rPr>
            </w:pPr>
          </w:p>
        </w:tc>
      </w:tr>
      <w:tr>
        <w:trPr>
          <w:trHeight w:val="250"/>
        </w:trPr>
        <w:tc>
          <w:tcPr>
            <w:tcW w:w="7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5"/>
              </w:rPr>
              <w:t>Forfeited . . . . . . . . . . . . . . . . . . . . . . . . . . . . . . . . . . . . . . . . . . . . . . . . . . . . . . . . . . . . . . .</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163.18</w:t>
            </w:r>
          </w:p>
        </w:tc>
        <w:tc>
          <w:tcPr>
            <w:tcW w:w="0" w:type="dxa"/>
            <w:vAlign w:val="bottom"/>
          </w:tcPr>
          <w:p>
            <w:pPr>
              <w:spacing w:after="0"/>
              <w:rPr>
                <w:sz w:val="1"/>
                <w:szCs w:val="1"/>
                <w:color w:val="auto"/>
              </w:rPr>
            </w:pPr>
          </w:p>
        </w:tc>
      </w:tr>
      <w:tr>
        <w:trPr>
          <w:trHeight w:val="230"/>
        </w:trPr>
        <w:tc>
          <w:tcPr>
            <w:tcW w:w="7100" w:type="dxa"/>
            <w:vAlign w:val="bottom"/>
          </w:tcPr>
          <w:p>
            <w:pPr>
              <w:jc w:val="right"/>
              <w:ind w:right="240"/>
              <w:spacing w:after="0" w:line="221" w:lineRule="exact"/>
              <w:rPr>
                <w:sz w:val="20"/>
                <w:szCs w:val="20"/>
                <w:color w:val="auto"/>
              </w:rPr>
            </w:pPr>
            <w:r>
              <w:rPr>
                <w:rFonts w:ascii="Times New Roman" w:cs="Times New Roman" w:eastAsia="Times New Roman" w:hAnsi="Times New Roman"/>
                <w:sz w:val="20"/>
                <w:szCs w:val="20"/>
                <w:color w:val="auto"/>
                <w:w w:val="97"/>
              </w:rPr>
              <w:t>Unvested as of December 31, 2024 . . . . . . . . . . . . . . . . . . . . . . . . . . . . . . . . . . . . . . . . .</w:t>
            </w: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472</w:t>
            </w:r>
          </w:p>
        </w:tc>
        <w:tc>
          <w:tcPr>
            <w:tcW w:w="400" w:type="dxa"/>
            <w:vAlign w:val="bottom"/>
            <w:gridSpan w:val="2"/>
          </w:tcPr>
          <w:p>
            <w:pPr>
              <w:ind w:left="22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179.25</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The total fair market value of RSUs that vested during the years ended December 31, 2024, 2023 and 2022 was $25 million, $15 million and $15 million, respectively. During the year ended December 31, 2024, we issued approximately 86,000 shares of common stock for these vested RSUs, net of approximately 36,000 units deferred or used for payment of associated taxes.</w:t>
      </w:r>
    </w:p>
    <w:p>
      <w:pPr>
        <w:spacing w:after="0" w:line="193" w:lineRule="exact"/>
        <w:rPr>
          <w:sz w:val="20"/>
          <w:szCs w:val="20"/>
          <w:color w:val="auto"/>
        </w:rPr>
      </w:pPr>
    </w:p>
    <w:p>
      <w:pPr>
        <w:jc w:val="both"/>
        <w:ind w:left="360" w:right="360" w:firstLine="360"/>
        <w:spacing w:after="0" w:line="266" w:lineRule="auto"/>
        <w:rPr>
          <w:sz w:val="20"/>
          <w:szCs w:val="20"/>
          <w:color w:val="auto"/>
        </w:rPr>
      </w:pPr>
      <w:r>
        <w:rPr>
          <w:rFonts w:ascii="Times New Roman" w:cs="Times New Roman" w:eastAsia="Times New Roman" w:hAnsi="Times New Roman"/>
          <w:sz w:val="19"/>
          <w:szCs w:val="19"/>
          <w:color w:val="auto"/>
        </w:rPr>
        <w:t>RSUs may not be voted or sold by award recipients until time-based vesting restrictions have lapsed. RSUs currently outstanding primarily provide for three-year cliff vesting and include dividend equivalents accumulated during the vesting period. Unvested units are subject to forfeiture in the event of voluntary or for-cause termination. RSUs are generally subject to pro-rata vesting upon an employee’s involuntary termination other than for cause and generally payout at the end of the three-year vesting period and become immediately vested in the event of an employee’s death or disability.</w:t>
      </w:r>
    </w:p>
    <w:p>
      <w:pPr>
        <w:spacing w:after="0" w:line="180"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Compensation expense associated with RSUs is measured based on the grant-date fair value of our common stock and is recognized on a straight-line basis over the required employment period. RSUs generally continue to vest following a qualifying retirement as if the employee had remained employed until the end of the vesting period, and compensation expense for RSUs granted to retirement eligible employees is recognized over the longer of (i) the period between grant date and the date that the recipient becomes retirement-eligible or (ii) the defined service requirement of the award. Compensation expense is only recognized for those awards that we expect to vest, which we estimate based upon an assessment of expected forfeitures.</w:t>
      </w:r>
    </w:p>
    <w:p>
      <w:pPr>
        <w:spacing w:after="0" w:line="199"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19"/>
          <w:szCs w:val="19"/>
          <w:i w:val="1"/>
          <w:iCs w:val="1"/>
          <w:color w:val="auto"/>
        </w:rPr>
        <w:t xml:space="preserve">Performance Share Units — </w:t>
      </w:r>
      <w:r>
        <w:rPr>
          <w:rFonts w:ascii="Times New Roman" w:cs="Times New Roman" w:eastAsia="Times New Roman" w:hAnsi="Times New Roman"/>
          <w:sz w:val="19"/>
          <w:szCs w:val="19"/>
          <w:color w:val="auto"/>
        </w:rPr>
        <w:t>Two types of PSUs are currently outstanding: (i) PSUs for which payout is dependent 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total shareholder return relative to the S&amp;P 500 Index (“TSR PSUs”) and (ii) PSUs for which payout is dependent on the Company’s performance against pre-established adjusted cash flow metrics (“Cash Flow PSUs”). Both types of PSUs are</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127</w:t>
      </w:r>
    </w:p>
    <w:p>
      <w:pPr>
        <w:sectPr>
          <w:pgSz w:w="13320" w:h="16920" w:orient="portrait"/>
          <w:cols w:equalWidth="0" w:num="1">
            <w:col w:w="10440"/>
          </w:cols>
          <w:pgMar w:left="1440" w:top="1440" w:right="1440" w:bottom="1440" w:gutter="0" w:footer="0" w:header="0"/>
          <w:type w:val="continuous"/>
        </w:sectPr>
      </w:pPr>
    </w:p>
    <w:bookmarkStart w:id="201" w:name="page202"/>
    <w:bookmarkEnd w:id="201"/>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spacing w:after="0" w:line="249" w:lineRule="auto"/>
        <w:rPr>
          <w:sz w:val="20"/>
          <w:szCs w:val="20"/>
          <w:color w:val="auto"/>
        </w:rPr>
      </w:pPr>
      <w:r>
        <w:rPr>
          <w:rFonts w:ascii="Times New Roman" w:cs="Times New Roman" w:eastAsia="Times New Roman" w:hAnsi="Times New Roman"/>
          <w:sz w:val="20"/>
          <w:szCs w:val="20"/>
          <w:color w:val="auto"/>
        </w:rPr>
        <w:t>payable in shares of common stock after the end of a three-year performance period, when the Company’s financial performance for the entire performance period is reported, typically in the first half of the first quarter of the succeeding year. At the end of the performance period, the number of shares awarded can range from 0% to 200% of the targeted amount, depending on the performance against the pre-established targets. A summary of our PSUs, at 100% of the targeted amount, is presented in the table below (units in thousands):</w:t>
      </w:r>
    </w:p>
    <w:p>
      <w:pPr>
        <w:spacing w:after="0" w:line="217"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84"/>
        </w:trPr>
        <w:tc>
          <w:tcPr>
            <w:tcW w:w="7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203"/>
        </w:trPr>
        <w:tc>
          <w:tcPr>
            <w:tcW w:w="7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Unvested as of January 1, 2024</w:t>
            </w:r>
          </w:p>
        </w:tc>
        <w:tc>
          <w:tcPr>
            <w:tcW w:w="11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Units</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1"/>
        </w:trPr>
        <w:tc>
          <w:tcPr>
            <w:tcW w:w="7120" w:type="dxa"/>
            <w:vAlign w:val="bottom"/>
            <w:gridSpan w:val="2"/>
            <w:vMerge w:val="continue"/>
          </w:tcPr>
          <w:p>
            <w:pPr>
              <w:jc w:val="right"/>
              <w:ind w:right="3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w:t>
            </w:r>
          </w:p>
        </w:tc>
        <w:tc>
          <w:tcPr>
            <w:tcW w:w="11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881</w:t>
            </w:r>
          </w:p>
        </w:tc>
        <w:tc>
          <w:tcPr>
            <w:tcW w:w="220" w:type="dxa"/>
            <w:vAlign w:val="bottom"/>
          </w:tcPr>
          <w:p>
            <w:pPr>
              <w:spacing w:after="0"/>
              <w:rPr>
                <w:sz w:val="17"/>
                <w:szCs w:val="17"/>
                <w:color w:val="auto"/>
              </w:rPr>
            </w:pPr>
          </w:p>
        </w:tc>
        <w:tc>
          <w:tcPr>
            <w:tcW w:w="18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150.77</w:t>
            </w:r>
          </w:p>
        </w:tc>
        <w:tc>
          <w:tcPr>
            <w:tcW w:w="0" w:type="dxa"/>
            <w:vAlign w:val="bottom"/>
          </w:tcPr>
          <w:p>
            <w:pPr>
              <w:spacing w:after="0"/>
              <w:rPr>
                <w:sz w:val="1"/>
                <w:szCs w:val="1"/>
                <w:color w:val="auto"/>
              </w:rPr>
            </w:pPr>
          </w:p>
        </w:tc>
      </w:tr>
      <w:tr>
        <w:trPr>
          <w:trHeight w:val="230"/>
        </w:trPr>
        <w:tc>
          <w:tcPr>
            <w:tcW w:w="7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5"/>
              </w:rPr>
              <w:t>Granted . . . . . . . . . . . . . . . . . . . . . . . . . . . . . . . . . . . . . . . . . . . . . .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255.98</w:t>
            </w:r>
          </w:p>
        </w:tc>
        <w:tc>
          <w:tcPr>
            <w:tcW w:w="0" w:type="dxa"/>
            <w:vAlign w:val="bottom"/>
          </w:tcPr>
          <w:p>
            <w:pPr>
              <w:spacing w:after="0"/>
              <w:rPr>
                <w:sz w:val="1"/>
                <w:szCs w:val="1"/>
                <w:color w:val="auto"/>
              </w:rPr>
            </w:pPr>
          </w:p>
        </w:tc>
      </w:tr>
      <w:tr>
        <w:trPr>
          <w:trHeight w:val="229"/>
        </w:trPr>
        <w:tc>
          <w:tcPr>
            <w:tcW w:w="7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5"/>
              </w:rPr>
              <w:t>Vested . . . . . . . . . . . . . . . . . . . . . . . . . . . . . . . . . . . . . . . . . . . . . . .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122.58</w:t>
            </w:r>
          </w:p>
        </w:tc>
        <w:tc>
          <w:tcPr>
            <w:tcW w:w="0" w:type="dxa"/>
            <w:vAlign w:val="bottom"/>
          </w:tcPr>
          <w:p>
            <w:pPr>
              <w:spacing w:after="0"/>
              <w:rPr>
                <w:sz w:val="1"/>
                <w:szCs w:val="1"/>
                <w:color w:val="auto"/>
              </w:rPr>
            </w:pPr>
          </w:p>
        </w:tc>
      </w:tr>
      <w:tr>
        <w:trPr>
          <w:trHeight w:val="250"/>
        </w:trPr>
        <w:tc>
          <w:tcPr>
            <w:tcW w:w="7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5"/>
              </w:rPr>
              <w:t>Forfeited . . . . . . . . . . . . . . . . . . . . . . . . . . . . . . . . . . . . . . . . . . . . . . . . . . . . . . . . . . . . . . .</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200.21</w:t>
            </w:r>
          </w:p>
        </w:tc>
        <w:tc>
          <w:tcPr>
            <w:tcW w:w="0" w:type="dxa"/>
            <w:vAlign w:val="bottom"/>
          </w:tcPr>
          <w:p>
            <w:pPr>
              <w:spacing w:after="0"/>
              <w:rPr>
                <w:sz w:val="1"/>
                <w:szCs w:val="1"/>
                <w:color w:val="auto"/>
              </w:rPr>
            </w:pPr>
          </w:p>
        </w:tc>
      </w:tr>
      <w:tr>
        <w:trPr>
          <w:trHeight w:val="230"/>
        </w:trPr>
        <w:tc>
          <w:tcPr>
            <w:tcW w:w="7100" w:type="dxa"/>
            <w:vAlign w:val="bottom"/>
          </w:tcPr>
          <w:p>
            <w:pPr>
              <w:jc w:val="right"/>
              <w:ind w:right="240"/>
              <w:spacing w:after="0" w:line="221" w:lineRule="exact"/>
              <w:rPr>
                <w:sz w:val="20"/>
                <w:szCs w:val="20"/>
                <w:color w:val="auto"/>
              </w:rPr>
            </w:pPr>
            <w:r>
              <w:rPr>
                <w:rFonts w:ascii="Times New Roman" w:cs="Times New Roman" w:eastAsia="Times New Roman" w:hAnsi="Times New Roman"/>
                <w:sz w:val="20"/>
                <w:szCs w:val="20"/>
                <w:color w:val="auto"/>
                <w:w w:val="97"/>
              </w:rPr>
              <w:t>Unvested as of December 31, 2024 . . . . . . . . . . . . . . . . . . . . . . . . . . . . . . . . . . . . . . . . .</w:t>
            </w: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829</w:t>
            </w:r>
          </w:p>
        </w:tc>
        <w:tc>
          <w:tcPr>
            <w:tcW w:w="400" w:type="dxa"/>
            <w:vAlign w:val="bottom"/>
            <w:gridSpan w:val="2"/>
          </w:tcPr>
          <w:p>
            <w:pPr>
              <w:ind w:left="22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195.49</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The determination of achievement of performance results and corresponding vesting of PSUs for the three-year performance period ended December 31, 2024 was performed by the Management Development and Compensation Committee of our Board of Directors in January 2025. Accordingly, vesting information for such awards is not included in the table above as of December 31, 2024. The “vested” PSUs are for the three-year performance period ended December 31, 2023, as achievement of performance results and corresponding vesting was determined in February 2024. The performance of the Company’s common stock for purposes of the TSR PSUs and the Cash Flow PSUs exceeded maximum performance criteria. Accordingly, recipients of the PSU awards received a payout of 200% of the vested TSR PSUs and 200% of the vested Cash Flow PSUs. In February 2024, approximately 617,000 PSUs vested and we issued approximately 406,000 shares of common stock for these vested PSUs, net of units deferred or used for payment of associated taxes. The shares of common stock that were issued or deferred during the years ended December 31, 2024, 2023 and 2022 for prior PSU award grants had a fair market value of $121 million, $74 million and $91 million, respectively.</w:t>
      </w:r>
    </w:p>
    <w:p>
      <w:pPr>
        <w:spacing w:after="0" w:line="205" w:lineRule="exact"/>
        <w:rPr>
          <w:sz w:val="20"/>
          <w:szCs w:val="20"/>
          <w:color w:val="auto"/>
        </w:rPr>
      </w:pPr>
    </w:p>
    <w:p>
      <w:pPr>
        <w:jc w:val="both"/>
        <w:ind w:left="360" w:right="360" w:firstLine="360"/>
        <w:spacing w:after="0" w:line="260" w:lineRule="auto"/>
        <w:rPr>
          <w:sz w:val="20"/>
          <w:szCs w:val="20"/>
          <w:color w:val="auto"/>
        </w:rPr>
      </w:pPr>
      <w:r>
        <w:rPr>
          <w:rFonts w:ascii="Times New Roman" w:cs="Times New Roman" w:eastAsia="Times New Roman" w:hAnsi="Times New Roman"/>
          <w:sz w:val="19"/>
          <w:szCs w:val="19"/>
          <w:color w:val="auto"/>
        </w:rPr>
        <w:t>PSUs have no voting rights. PSUs receive dividend equivalents that are paid out in cash based on the number of shares that vest at the end of the awards’ performance period. Subject to attainment of the performance metrics described above, PSUs are payable to an employee (or applicable beneficiary) upon death or disability as if that employee had remained employed until the end of the performance period. PSUs are generally subject to pro-rata vesting upon an employee’s involuntary termination other than for cause and are subject to forfeiture in the event of voluntary or for-cause termination. PSUs generally continue to vest following a qualifying retirement as if the employee had remained employed until the end of the performance period, and compensation expense for PSUs granted to retirement - eligible employees is accelerated over the period that the recipient becomes retirement-eligible plus a defined service requirement.</w:t>
      </w:r>
    </w:p>
    <w:p>
      <w:pPr>
        <w:spacing w:after="0" w:line="187"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Compensation expense associated with our Cash Flow PSUs is based on the grant-date fair value of our common stock.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expected forfeitures. The grant-date fair value of our TSR PSUs is based on a Monte Carlo valuation and compensation expense is recognized on a straight-line basis over the vesting period. Compensation expense is recognized for all TSR PSUs whether or not the market conditions are achieved less expected forfeitures.</w:t>
      </w:r>
    </w:p>
    <w:p>
      <w:pPr>
        <w:spacing w:after="0" w:line="199"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Deferred Units — </w:t>
      </w:r>
      <w:r>
        <w:rPr>
          <w:rFonts w:ascii="Times New Roman" w:cs="Times New Roman" w:eastAsia="Times New Roman" w:hAnsi="Times New Roman"/>
          <w:sz w:val="20"/>
          <w:szCs w:val="20"/>
          <w:color w:val="auto"/>
        </w:rPr>
        <w:t>Certain employees can elect to defer some or all of the vested RSU or PSU awards for payout six</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months after the employee leaves the Company. Deferred units are not invested, nor do they earn interest, but deferred amounts do receive dividend equivalents paid in cash during deferral at the same time and at the same rate as dividends on the Company’s common stock. Deferred amounts are paid out in shares of common stock at the end of the deferral period. As of December 31, 2024, we had approximately 183,000 vested deferred units outstanding.</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128</w:t>
      </w:r>
    </w:p>
    <w:p>
      <w:pPr>
        <w:sectPr>
          <w:pgSz w:w="13320" w:h="16920" w:orient="portrait"/>
          <w:cols w:equalWidth="0" w:num="1">
            <w:col w:w="10440"/>
          </w:cols>
          <w:pgMar w:left="1440" w:top="1440" w:right="1440" w:bottom="1440" w:gutter="0" w:footer="0" w:header="0"/>
          <w:type w:val="continuous"/>
        </w:sectPr>
      </w:pPr>
    </w:p>
    <w:bookmarkStart w:id="202" w:name="page203"/>
    <w:bookmarkEnd w:id="202"/>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Stock Options — </w:t>
      </w:r>
      <w:r>
        <w:rPr>
          <w:rFonts w:ascii="Times New Roman" w:cs="Times New Roman" w:eastAsia="Times New Roman" w:hAnsi="Times New Roman"/>
          <w:sz w:val="20"/>
          <w:szCs w:val="20"/>
          <w:color w:val="auto"/>
        </w:rPr>
        <w:t>Stock option awards vest ratably in three annual increments, beginning on the first anniversary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date of grant. The exercise price of the options is the average of the high and low market value of our common stock on the date of grant, and the options have a term of 10 years. A summary of our stock options is presented in the table below (options in thousands):</w:t>
      </w:r>
    </w:p>
    <w:p>
      <w:pPr>
        <w:spacing w:after="0" w:line="215"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204"/>
        </w:trPr>
        <w:tc>
          <w:tcPr>
            <w:tcW w:w="7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Outstanding as of January 1, 2024</w:t>
            </w:r>
          </w:p>
        </w:tc>
        <w:tc>
          <w:tcPr>
            <w:tcW w:w="11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202"/>
        </w:trPr>
        <w:tc>
          <w:tcPr>
            <w:tcW w:w="7120" w:type="dxa"/>
            <w:vAlign w:val="bottom"/>
            <w:gridSpan w:val="2"/>
            <w:vMerge w:val="continue"/>
          </w:tcPr>
          <w:p>
            <w:pPr>
              <w:jc w:val="right"/>
              <w:ind w:right="36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 . . . . .</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2,729</w:t>
            </w:r>
          </w:p>
        </w:tc>
        <w:tc>
          <w:tcPr>
            <w:tcW w:w="22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111.22</w:t>
            </w:r>
          </w:p>
        </w:tc>
        <w:tc>
          <w:tcPr>
            <w:tcW w:w="0" w:type="dxa"/>
            <w:vAlign w:val="bottom"/>
          </w:tcPr>
          <w:p>
            <w:pPr>
              <w:spacing w:after="0"/>
              <w:rPr>
                <w:sz w:val="1"/>
                <w:szCs w:val="1"/>
                <w:color w:val="auto"/>
              </w:rPr>
            </w:pPr>
          </w:p>
        </w:tc>
      </w:tr>
      <w:tr>
        <w:trPr>
          <w:trHeight w:val="230"/>
        </w:trPr>
        <w:tc>
          <w:tcPr>
            <w:tcW w:w="7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5"/>
              </w:rPr>
              <w:t>Granted . . . . . . . . . . . . . . . . . . . . . . . . . . . . . . . . . . . . . . . . . . . . . .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204.76</w:t>
            </w:r>
          </w:p>
        </w:tc>
        <w:tc>
          <w:tcPr>
            <w:tcW w:w="0" w:type="dxa"/>
            <w:vAlign w:val="bottom"/>
          </w:tcPr>
          <w:p>
            <w:pPr>
              <w:spacing w:after="0"/>
              <w:rPr>
                <w:sz w:val="1"/>
                <w:szCs w:val="1"/>
                <w:color w:val="auto"/>
              </w:rPr>
            </w:pPr>
          </w:p>
        </w:tc>
      </w:tr>
      <w:tr>
        <w:trPr>
          <w:trHeight w:val="232"/>
        </w:trPr>
        <w:tc>
          <w:tcPr>
            <w:tcW w:w="7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6"/>
              </w:rPr>
              <w:t>Exercised (a) . . . . . . . . . . . . . . . . . . . . . . . . . . . . . . . . . . . . . . . . .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98.54</w:t>
            </w:r>
          </w:p>
        </w:tc>
        <w:tc>
          <w:tcPr>
            <w:tcW w:w="0" w:type="dxa"/>
            <w:vAlign w:val="bottom"/>
          </w:tcPr>
          <w:p>
            <w:pPr>
              <w:spacing w:after="0"/>
              <w:rPr>
                <w:sz w:val="1"/>
                <w:szCs w:val="1"/>
                <w:color w:val="auto"/>
              </w:rPr>
            </w:pPr>
          </w:p>
        </w:tc>
      </w:tr>
      <w:tr>
        <w:trPr>
          <w:trHeight w:val="250"/>
        </w:trPr>
        <w:tc>
          <w:tcPr>
            <w:tcW w:w="7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6"/>
              </w:rPr>
              <w:t>Forfeited or expired . . . . . . . . . . . . . . . . . . . . . . . . . . . . . . . . . . . . . . . . . . . . . . . . . . . . . .</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149.97</w:t>
            </w:r>
          </w:p>
        </w:tc>
        <w:tc>
          <w:tcPr>
            <w:tcW w:w="0" w:type="dxa"/>
            <w:vAlign w:val="bottom"/>
          </w:tcPr>
          <w:p>
            <w:pPr>
              <w:spacing w:after="0"/>
              <w:rPr>
                <w:sz w:val="1"/>
                <w:szCs w:val="1"/>
                <w:color w:val="auto"/>
              </w:rPr>
            </w:pPr>
          </w:p>
        </w:tc>
      </w:tr>
      <w:tr>
        <w:trPr>
          <w:trHeight w:val="230"/>
        </w:trPr>
        <w:tc>
          <w:tcPr>
            <w:tcW w:w="7120" w:type="dxa"/>
            <w:vAlign w:val="bottom"/>
            <w:gridSpan w:val="2"/>
          </w:tcPr>
          <w:p>
            <w:pPr>
              <w:jc w:val="right"/>
              <w:ind w:right="36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.OutstandingasofDecember31,2024(b)</w:t>
            </w:r>
          </w:p>
        </w:tc>
        <w:tc>
          <w:tcPr>
            <w:tcW w:w="11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2,375</w:t>
            </w:r>
          </w:p>
        </w:tc>
        <w:tc>
          <w:tcPr>
            <w:tcW w:w="340" w:type="dxa"/>
            <w:vAlign w:val="bottom"/>
            <w:gridSpan w:val="2"/>
          </w:tcPr>
          <w:p>
            <w:pPr>
              <w:ind w:left="22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129.15</w:t>
            </w:r>
          </w:p>
        </w:tc>
        <w:tc>
          <w:tcPr>
            <w:tcW w:w="0" w:type="dxa"/>
            <w:vAlign w:val="bottom"/>
          </w:tcPr>
          <w:p>
            <w:pPr>
              <w:spacing w:after="0"/>
              <w:rPr>
                <w:sz w:val="1"/>
                <w:szCs w:val="1"/>
                <w:color w:val="auto"/>
              </w:rPr>
            </w:pPr>
          </w:p>
        </w:tc>
      </w:tr>
      <w:tr>
        <w:trPr>
          <w:trHeight w:val="243"/>
        </w:trPr>
        <w:tc>
          <w:tcPr>
            <w:tcW w:w="71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8"/>
              </w:rPr>
              <w:t>Exercisable as of December 31, 2024 (c) . . . . . . . . . . . . . . . . . . . . . . . . . . . . . . . . . . . .</w:t>
            </w:r>
          </w:p>
        </w:tc>
        <w:tc>
          <w:tcPr>
            <w:tcW w:w="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1,596</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106045</wp:posOffset>
                </wp:positionV>
                <wp:extent cx="1541145"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8.35pt" to="139.65pt,8.35pt" o:allowincell="f" strokecolor="#000000" strokeweight="1.02pt"/>
            </w:pict>
          </mc:Fallback>
        </mc:AlternateContent>
      </w:r>
    </w:p>
    <w:p>
      <w:pPr>
        <w:spacing w:after="0" w:line="190" w:lineRule="exact"/>
        <w:rPr>
          <w:sz w:val="20"/>
          <w:szCs w:val="20"/>
          <w:color w:val="auto"/>
        </w:rPr>
      </w:pPr>
    </w:p>
    <w:p>
      <w:pPr>
        <w:jc w:val="both"/>
        <w:ind w:left="720" w:right="360" w:hanging="353"/>
        <w:spacing w:after="0" w:line="259" w:lineRule="auto"/>
        <w:tabs>
          <w:tab w:leader="none" w:pos="72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approximately 118,000 stock options exercised pursuant to written trading plans that provided for net share settlement, resulting in the Company withholding approximately 89,000 shares of our common stock to cover the associated stock option exercise price and taxes.</w:t>
      </w:r>
    </w:p>
    <w:p>
      <w:pPr>
        <w:spacing w:after="0" w:line="65" w:lineRule="exact"/>
        <w:rPr>
          <w:rFonts w:ascii="Times New Roman" w:cs="Times New Roman" w:eastAsia="Times New Roman" w:hAnsi="Times New Roman"/>
          <w:sz w:val="20"/>
          <w:szCs w:val="20"/>
          <w:color w:val="auto"/>
        </w:rPr>
      </w:pPr>
    </w:p>
    <w:p>
      <w:pPr>
        <w:jc w:val="both"/>
        <w:ind w:left="720" w:right="360" w:hanging="353"/>
        <w:spacing w:after="0" w:line="259" w:lineRule="auto"/>
        <w:tabs>
          <w:tab w:leader="none" w:pos="72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options outstanding as of December 31, 2024 have a weighted average remaining contractual term of 5.9 years and an aggregate intrinsic value of $174 million based on the market value of our common stock on December 31, 2024.</w:t>
      </w:r>
    </w:p>
    <w:p>
      <w:pPr>
        <w:spacing w:after="0" w:line="65" w:lineRule="exact"/>
        <w:rPr>
          <w:rFonts w:ascii="Times New Roman" w:cs="Times New Roman" w:eastAsia="Times New Roman" w:hAnsi="Times New Roman"/>
          <w:sz w:val="20"/>
          <w:szCs w:val="20"/>
          <w:color w:val="auto"/>
        </w:rPr>
      </w:pPr>
    </w:p>
    <w:p>
      <w:pPr>
        <w:ind w:left="720" w:right="360" w:hanging="353"/>
        <w:spacing w:after="0" w:line="278" w:lineRule="auto"/>
        <w:tabs>
          <w:tab w:leader="none" w:pos="72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options exercisable as of December 31, 2024 have an aggregate intrinsic value of $152 million based on the market value of our common stock on December 31, 2024.</w:t>
      </w:r>
    </w:p>
    <w:p>
      <w:pPr>
        <w:spacing w:after="0" w:line="167"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During 2024, 2023 and 2022, we received cash proceeds of $53 million, $44 million and $ 44 million, respectively, from the exercise of 693,000, 597,000 and 675,000 of employee stock options. The aggregate intrinsic value of stock options exercised during 2024, 2023 and 2022 was $75 million, $44 million and $51 million, respectively.</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Stock options exercisable as of December 31, 2024 were as follows (options in thousands):</w:t>
      </w:r>
    </w:p>
    <w:p>
      <w:pPr>
        <w:spacing w:after="0" w:line="259"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5"/>
        </w:trPr>
        <w:tc>
          <w:tcPr>
            <w:tcW w:w="58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87"/>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03"/>
        </w:trPr>
        <w:tc>
          <w:tcPr>
            <w:tcW w:w="5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Range of Exercise Prices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Remaining Years</w:t>
            </w:r>
          </w:p>
        </w:tc>
      </w:tr>
      <w:tr>
        <w:trPr>
          <w:trHeight w:val="199"/>
        </w:trPr>
        <w:tc>
          <w:tcPr>
            <w:tcW w:w="5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$54.64</w:t>
            </w:r>
          </w:p>
        </w:tc>
        <w:tc>
          <w:tcPr>
            <w:tcW w:w="5360" w:type="dxa"/>
            <w:vAlign w:val="bottom"/>
          </w:tcPr>
          <w:p>
            <w:pPr>
              <w:jc w:val="right"/>
              <w:ind w:right="40"/>
              <w:spacing w:after="0" w:line="200" w:lineRule="exact"/>
              <w:rPr>
                <w:sz w:val="20"/>
                <w:szCs w:val="20"/>
                <w:color w:val="auto"/>
              </w:rPr>
            </w:pPr>
            <w:r>
              <w:rPr>
                <w:rFonts w:ascii="Times New Roman" w:cs="Times New Roman" w:eastAsia="Times New Roman" w:hAnsi="Times New Roman"/>
                <w:sz w:val="20"/>
                <w:szCs w:val="20"/>
                <w:color w:val="auto"/>
                <w:w w:val="96"/>
              </w:rPr>
              <w:t>- $85.34 . . . . . . . . . . . . . . . . . . . . . . . . . . . . . . . . . . . . . . . . . . . . . . .</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484</w:t>
            </w:r>
          </w:p>
        </w:tc>
        <w:tc>
          <w:tcPr>
            <w:tcW w:w="160" w:type="dxa"/>
            <w:vAlign w:val="bottom"/>
          </w:tcPr>
          <w:p>
            <w:pPr>
              <w:spacing w:after="0"/>
              <w:rPr>
                <w:sz w:val="17"/>
                <w:szCs w:val="17"/>
                <w:color w:val="auto"/>
              </w:rPr>
            </w:pPr>
          </w:p>
        </w:tc>
        <w:tc>
          <w:tcPr>
            <w:tcW w:w="1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70.10</w:t>
            </w:r>
          </w:p>
        </w:tc>
        <w:tc>
          <w:tcPr>
            <w:tcW w:w="160" w:type="dxa"/>
            <w:vAlign w:val="bottom"/>
          </w:tcPr>
          <w:p>
            <w:pPr>
              <w:spacing w:after="0"/>
              <w:rPr>
                <w:sz w:val="17"/>
                <w:szCs w:val="17"/>
                <w:color w:val="auto"/>
              </w:rPr>
            </w:pPr>
          </w:p>
        </w:tc>
        <w:tc>
          <w:tcPr>
            <w:tcW w:w="12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1.9</w:t>
            </w:r>
          </w:p>
        </w:tc>
      </w:t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$85.35</w:t>
            </w:r>
          </w:p>
        </w:tc>
        <w:tc>
          <w:tcPr>
            <w:tcW w:w="53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6"/>
              </w:rPr>
              <w:t>- $110.80 . . . . . . . . . . . . . . . . . . . . . . . . . . . . . . . . . . . . . . . . . . . . .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516</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0"/>
        </w:trPr>
        <w:tc>
          <w:tcPr>
            <w:tcW w:w="59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6"/>
              </w:rPr>
              <w:t>$110.81 - $204.76 . . . . . . . . . . . . . . . . . . . . . . . . . . . . . . . . . . . . . . . . . . . .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596</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136.87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30"/>
        </w:trPr>
        <w:tc>
          <w:tcPr>
            <w:tcW w:w="58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$54.64</w:t>
            </w:r>
          </w:p>
        </w:tc>
        <w:tc>
          <w:tcPr>
            <w:tcW w:w="5360" w:type="dxa"/>
            <w:vAlign w:val="bottom"/>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w w:val="98"/>
              </w:rPr>
              <w:t>. . . . . . . . . . . . . . . . . . . . . . . . . . . . . . . . . . . . . . . . . . . . . .-$204.76</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1,596</w:t>
            </w:r>
          </w:p>
        </w:tc>
        <w:tc>
          <w:tcPr>
            <w:tcW w:w="280" w:type="dxa"/>
            <w:vAlign w:val="bottom"/>
            <w:gridSpan w:val="2"/>
          </w:tcPr>
          <w:p>
            <w:pPr>
              <w:ind w:left="16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106.79</w:t>
            </w:r>
          </w:p>
        </w:tc>
        <w:tc>
          <w:tcPr>
            <w:tcW w:w="144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4.7</w:t>
            </w:r>
          </w:p>
        </w:tc>
      </w:tr>
    </w:tbl>
    <w:p>
      <w:pPr>
        <w:spacing w:after="0" w:line="210"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All unvested stock options shall become exercisable upon the award recipient’s death or disability. In the event of a recipient’s qualifying retirement, stock options shall continue to vest pursuant to the original schedule set forth in the award agreement. If the recipient is terminated by the Company without cause or voluntarily resigns, the recipient shall be entitled to exercise all stock options outstanding and exercisable within a specified time frame after such termination. All outstanding stock options, whether exercisable or not, are forfeited upon termination for cause.</w:t>
      </w:r>
    </w:p>
    <w:p>
      <w:pPr>
        <w:spacing w:after="0" w:line="198" w:lineRule="exact"/>
        <w:rPr>
          <w:sz w:val="20"/>
          <w:szCs w:val="20"/>
          <w:color w:val="auto"/>
        </w:rPr>
      </w:pPr>
    </w:p>
    <w:p>
      <w:pPr>
        <w:jc w:val="both"/>
        <w:ind w:left="360" w:right="360" w:firstLine="360"/>
        <w:spacing w:after="0" w:line="265" w:lineRule="auto"/>
        <w:rPr>
          <w:sz w:val="20"/>
          <w:szCs w:val="20"/>
          <w:color w:val="auto"/>
        </w:rPr>
      </w:pPr>
      <w:r>
        <w:rPr>
          <w:rFonts w:ascii="Times New Roman" w:cs="Times New Roman" w:eastAsia="Times New Roman" w:hAnsi="Times New Roman"/>
          <w:sz w:val="19"/>
          <w:szCs w:val="19"/>
          <w:color w:val="auto"/>
        </w:rPr>
        <w:t>We account for our employee stock options under the fair value method of accounting using a Black-Scholes valuation model to measure stock option expense at the date of grant. The weighted average grant-date fair value of stock options granted during the years ended December 31, 2024, 2023 and 2022 was $43.00, $32.82 and $26.44, respectively. The fair value of stock options at the date of grant is amortized to expense over the vesting period less expected forfeitures, except for stock options granted to retirement-eligible employees, for which expense is accelerated over the period that the</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129</w:t>
      </w:r>
    </w:p>
    <w:p>
      <w:pPr>
        <w:sectPr>
          <w:pgSz w:w="13320" w:h="16920" w:orient="portrait"/>
          <w:cols w:equalWidth="0" w:num="1">
            <w:col w:w="10440"/>
          </w:cols>
          <w:pgMar w:left="1440" w:top="1440" w:right="1440" w:bottom="1440" w:gutter="0" w:footer="0" w:header="0"/>
          <w:type w:val="continuous"/>
        </w:sectPr>
      </w:pPr>
    </w:p>
    <w:bookmarkStart w:id="203" w:name="page204"/>
    <w:bookmarkEnd w:id="203"/>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spacing w:after="0" w:line="278" w:lineRule="auto"/>
        <w:rPr>
          <w:sz w:val="20"/>
          <w:szCs w:val="20"/>
          <w:color w:val="auto"/>
        </w:rPr>
      </w:pPr>
      <w:r>
        <w:rPr>
          <w:rFonts w:ascii="Times New Roman" w:cs="Times New Roman" w:eastAsia="Times New Roman" w:hAnsi="Times New Roman"/>
          <w:sz w:val="20"/>
          <w:szCs w:val="20"/>
          <w:color w:val="auto"/>
        </w:rPr>
        <w:t>recipient becomes retirement-eligible. The following table presents the weighted average assumptions used to value employee stock options granted during the year ended December 31 under the Black-Scholes valuation model:</w:t>
      </w:r>
    </w:p>
    <w:p>
      <w:pPr>
        <w:spacing w:after="0" w:line="187"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6720" w:type="dxa"/>
            <w:vAlign w:val="bottom"/>
            <w:vMerge w:val="restart"/>
          </w:tcPr>
          <w:p>
            <w:pPr>
              <w:jc w:val="right"/>
              <w:ind w:right="5000"/>
              <w:spacing w:after="0"/>
              <w:rPr>
                <w:sz w:val="20"/>
                <w:szCs w:val="20"/>
                <w:color w:val="auto"/>
              </w:rPr>
            </w:pPr>
            <w:r>
              <w:rPr>
                <w:rFonts w:ascii="Times New Roman" w:cs="Times New Roman" w:eastAsia="Times New Roman" w:hAnsi="Times New Roman"/>
                <w:sz w:val="20"/>
                <w:szCs w:val="20"/>
                <w:color w:val="auto"/>
                <w:w w:val="98"/>
              </w:rPr>
              <w:t>Expected option life</w:t>
            </w:r>
          </w:p>
        </w:tc>
        <w:tc>
          <w:tcPr>
            <w:tcW w:w="8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7"/>
                <w:szCs w:val="17"/>
                <w:color w:val="auto"/>
              </w:rPr>
            </w:pPr>
          </w:p>
        </w:tc>
        <w:tc>
          <w:tcPr>
            <w:tcW w:w="9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720" w:type="dxa"/>
            <w:vAlign w:val="bottom"/>
            <w:vMerge w:val="continue"/>
          </w:tcPr>
          <w:p>
            <w:pPr>
              <w:jc w:val="right"/>
              <w:ind w:right="1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w:t>
            </w:r>
          </w:p>
        </w:tc>
        <w:tc>
          <w:tcPr>
            <w:tcW w:w="4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4.4</w:t>
            </w:r>
          </w:p>
        </w:tc>
        <w:tc>
          <w:tcPr>
            <w:tcW w:w="44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w w:val="94"/>
              </w:rPr>
              <w:t>years</w:t>
            </w:r>
          </w:p>
        </w:tc>
        <w:tc>
          <w:tcPr>
            <w:tcW w:w="160" w:type="dxa"/>
            <w:vAlign w:val="bottom"/>
          </w:tcPr>
          <w:p>
            <w:pPr>
              <w:spacing w:after="0"/>
              <w:rPr>
                <w:sz w:val="17"/>
                <w:szCs w:val="17"/>
                <w:color w:val="auto"/>
              </w:rPr>
            </w:pPr>
          </w:p>
        </w:tc>
        <w:tc>
          <w:tcPr>
            <w:tcW w:w="4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4.6</w:t>
            </w:r>
          </w:p>
        </w:tc>
        <w:tc>
          <w:tcPr>
            <w:tcW w:w="46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w w:val="94"/>
              </w:rPr>
              <w:t>years</w:t>
            </w:r>
          </w:p>
        </w:tc>
        <w:tc>
          <w:tcPr>
            <w:tcW w:w="160" w:type="dxa"/>
            <w:vAlign w:val="bottom"/>
          </w:tcPr>
          <w:p>
            <w:pPr>
              <w:spacing w:after="0"/>
              <w:rPr>
                <w:sz w:val="17"/>
                <w:szCs w:val="17"/>
                <w:color w:val="auto"/>
              </w:rPr>
            </w:pPr>
          </w:p>
        </w:tc>
        <w:tc>
          <w:tcPr>
            <w:tcW w:w="4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4.7</w:t>
            </w:r>
          </w:p>
        </w:tc>
        <w:tc>
          <w:tcPr>
            <w:tcW w:w="46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w w:val="94"/>
              </w:rPr>
              <w:t>years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Expected volatility. . . . . . . . . . . . . . . . . . . . . . . . . . . . . . . . . . . . . . . . . . . . . . . . . . . .</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w:t>
            </w:r>
          </w:p>
        </w:tc>
        <w:tc>
          <w:tcPr>
            <w:tcW w:w="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w:t>
            </w:r>
          </w:p>
        </w:tc>
        <w:tc>
          <w:tcPr>
            <w:tcW w:w="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Expected dividend yield . . . . . . . . . . . . . . . . . . . . . . . . . . . . . . . . . . . . . . . . . . . . . . .</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1.5 %</w:t>
            </w: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67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Risk-free interest rate . . . . . . . . . . . . . . . . . . . . . . . . . . . . . . . . . . . . . . . . . . . . . . . . .</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The Company bases its expected option life on the expected exercise and termination behavior of its optionees and an appropriate model of the Company’s future stock price. The expected volatility assumption is derived from the historical volatility of the Company’s common stock over the most recent period commensurate with the estimated expected life of the Company’s stock options, combined with other relevant factors including implied volatility in market-traded options on the Company’s stock. The expected dividend yield is the annual rate of dividends per share over the exercise price of the option as of the grant date.</w:t>
      </w:r>
    </w:p>
    <w:p>
      <w:pPr>
        <w:spacing w:after="0" w:line="200"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For the years ended December 31, 2024, 2023 and 2022, we recognized $99 million, $78 million and $71 million, respectively, of compensation expense associated with RSU, PSU and stock option awards as a component of selling, general and administrative expenses in our Consolidated Statements of Operations. Our income tax expense for the years ended December 31, 2024, 2023 and 2022 includes related income tax benefits of $18 million, $15 million and $14 million, respectively. We have not capitalized any equity-based compensation costs during the reported periods.</w:t>
      </w:r>
    </w:p>
    <w:p>
      <w:pPr>
        <w:spacing w:after="0" w:line="197"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As of December 31, 2024, we estimate that $49 million of currently unrecognized compensation expense will be recognized over a weighted average period of 1.7 years for our unvested RSU, PSU and stock option awards issued and outstanding.</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Non-Employee Director Plan</w:t>
      </w:r>
    </w:p>
    <w:p>
      <w:pPr>
        <w:spacing w:after="0" w:line="240"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Our non -employee directors receive annual grants of shares of our common stock, generally payable in two equal installments, under the Incentive Plans described above. Each non-employee director is required to hold all shares issued pursuant to a Company stock award, after the sale of shares necessary to cover applicable taxes, until retirement or other termination of service as a director of the Company.</w:t>
      </w: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15. Earnings Per Share</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Basic and diluted earnings per share were computed using the following common share data for the year ended</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December 31 (shares in millions):</w:t>
      </w:r>
    </w:p>
    <w:p>
      <w:pPr>
        <w:spacing w:after="0" w:line="232"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6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Number of common shares outstanding at end of period</w:t>
            </w:r>
          </w:p>
        </w:tc>
        <w:tc>
          <w:tcPr>
            <w:tcW w:w="78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9"/>
        </w:trPr>
        <w:tc>
          <w:tcPr>
            <w:tcW w:w="6980" w:type="dxa"/>
            <w:vAlign w:val="bottom"/>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 . . . . . . . . . . . .</w:t>
            </w:r>
          </w:p>
        </w:tc>
        <w:tc>
          <w:tcPr>
            <w:tcW w:w="7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401.5</w:t>
            </w:r>
          </w:p>
        </w:tc>
        <w:tc>
          <w:tcPr>
            <w:tcW w:w="200" w:type="dxa"/>
            <w:vAlign w:val="bottom"/>
          </w:tcPr>
          <w:p>
            <w:pPr>
              <w:spacing w:after="0"/>
              <w:rPr>
                <w:sz w:val="17"/>
                <w:szCs w:val="17"/>
                <w:color w:val="auto"/>
              </w:rPr>
            </w:pPr>
          </w:p>
        </w:tc>
        <w:tc>
          <w:tcPr>
            <w:tcW w:w="7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401.5</w:t>
            </w:r>
          </w:p>
        </w:tc>
        <w:tc>
          <w:tcPr>
            <w:tcW w:w="200" w:type="dxa"/>
            <w:vAlign w:val="bottom"/>
          </w:tcPr>
          <w:p>
            <w:pPr>
              <w:spacing w:after="0"/>
              <w:rPr>
                <w:sz w:val="17"/>
                <w:szCs w:val="17"/>
                <w:color w:val="auto"/>
              </w:rPr>
            </w:pPr>
          </w:p>
        </w:tc>
        <w:tc>
          <w:tcPr>
            <w:tcW w:w="7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407.9</w:t>
            </w:r>
          </w:p>
        </w:tc>
        <w:tc>
          <w:tcPr>
            <w:tcW w:w="0" w:type="dxa"/>
            <w:vAlign w:val="bottom"/>
          </w:tcPr>
          <w:p>
            <w:pPr>
              <w:spacing w:after="0"/>
              <w:rPr>
                <w:sz w:val="1"/>
                <w:szCs w:val="1"/>
                <w:color w:val="auto"/>
              </w:rPr>
            </w:pPr>
          </w:p>
        </w:tc>
      </w:tr>
      <w:tr>
        <w:trPr>
          <w:trHeight w:val="250"/>
        </w:trPr>
        <w:tc>
          <w:tcPr>
            <w:tcW w:w="69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Effect of using weighted average common shares outstanding . . . . . . . . . . . . . . .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01"/>
        </w:trPr>
        <w:tc>
          <w:tcPr>
            <w:tcW w:w="6980" w:type="dxa"/>
            <w:vAlign w:val="bottom"/>
          </w:tcPr>
          <w:p>
            <w:pPr>
              <w:jc w:val="right"/>
              <w:ind w:right="220"/>
              <w:spacing w:after="0" w:line="201" w:lineRule="exact"/>
              <w:rPr>
                <w:sz w:val="20"/>
                <w:szCs w:val="20"/>
                <w:color w:val="auto"/>
              </w:rPr>
            </w:pPr>
            <w:r>
              <w:rPr>
                <w:rFonts w:ascii="Times New Roman" w:cs="Times New Roman" w:eastAsia="Times New Roman" w:hAnsi="Times New Roman"/>
                <w:sz w:val="20"/>
                <w:szCs w:val="20"/>
                <w:color w:val="auto"/>
              </w:rPr>
              <w:t>. . . . . . . . . . . . . . . . . . . . . . . . . .Weightedaveragebasiccommonsharesoutstanding</w:t>
            </w:r>
          </w:p>
        </w:tc>
        <w:tc>
          <w:tcPr>
            <w:tcW w:w="7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401.5</w:t>
            </w:r>
          </w:p>
        </w:tc>
        <w:tc>
          <w:tcPr>
            <w:tcW w:w="200" w:type="dxa"/>
            <w:vAlign w:val="bottom"/>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404.9</w:t>
            </w:r>
          </w:p>
        </w:tc>
        <w:tc>
          <w:tcPr>
            <w:tcW w:w="200" w:type="dxa"/>
            <w:vAlign w:val="bottom"/>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412.8</w:t>
            </w:r>
          </w:p>
        </w:tc>
        <w:tc>
          <w:tcPr>
            <w:tcW w:w="0" w:type="dxa"/>
            <w:vAlign w:val="bottom"/>
          </w:tcPr>
          <w:p>
            <w:pPr>
              <w:spacing w:after="0"/>
              <w:rPr>
                <w:sz w:val="1"/>
                <w:szCs w:val="1"/>
                <w:color w:val="auto"/>
              </w:rPr>
            </w:pPr>
          </w:p>
        </w:tc>
      </w:tr>
      <w:tr>
        <w:trPr>
          <w:trHeight w:val="230"/>
        </w:trPr>
        <w:tc>
          <w:tcPr>
            <w:tcW w:w="6980" w:type="dxa"/>
            <w:vAlign w:val="bottom"/>
          </w:tcPr>
          <w:p>
            <w:pPr>
              <w:jc w:val="right"/>
              <w:ind w:right="660"/>
              <w:spacing w:after="0"/>
              <w:rPr>
                <w:sz w:val="20"/>
                <w:szCs w:val="20"/>
                <w:color w:val="auto"/>
              </w:rPr>
            </w:pPr>
            <w:r>
              <w:rPr>
                <w:rFonts w:ascii="Times New Roman" w:cs="Times New Roman" w:eastAsia="Times New Roman" w:hAnsi="Times New Roman"/>
                <w:sz w:val="20"/>
                <w:szCs w:val="20"/>
                <w:color w:val="auto"/>
              </w:rPr>
              <w:t>Dilutive effect of equity-based compensation awards and other contingently</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9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issuable shares  . . . . . . . . . . . . . . . . . . . . . . . . . . . . . . . . . . . . . . . . . . . . . . . . . . . .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28"/>
        </w:trPr>
        <w:tc>
          <w:tcPr>
            <w:tcW w:w="6980" w:type="dxa"/>
            <w:vAlign w:val="bottom"/>
          </w:tcPr>
          <w:p>
            <w:pPr>
              <w:jc w:val="right"/>
              <w:ind w:right="220"/>
              <w:spacing w:after="0" w:line="219" w:lineRule="exact"/>
              <w:rPr>
                <w:sz w:val="20"/>
                <w:szCs w:val="20"/>
                <w:color w:val="auto"/>
              </w:rPr>
            </w:pPr>
            <w:r>
              <w:rPr>
                <w:rFonts w:ascii="Times New Roman" w:cs="Times New Roman" w:eastAsia="Times New Roman" w:hAnsi="Times New Roman"/>
                <w:sz w:val="20"/>
                <w:szCs w:val="20"/>
                <w:color w:val="auto"/>
              </w:rPr>
              <w:t>. . . . . . . . . . . . . . . . . . . . . . . .Weightedaveragedilutedcommonsharesoutstanding</w:t>
            </w:r>
          </w:p>
        </w:tc>
        <w:tc>
          <w:tcPr>
            <w:tcW w:w="7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403.4</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406.9</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415.0</w:t>
            </w:r>
          </w:p>
        </w:tc>
        <w:tc>
          <w:tcPr>
            <w:tcW w:w="0" w:type="dxa"/>
            <w:vAlign w:val="bottom"/>
          </w:tcPr>
          <w:p>
            <w:pPr>
              <w:spacing w:after="0"/>
              <w:rPr>
                <w:sz w:val="1"/>
                <w:szCs w:val="1"/>
                <w:color w:val="auto"/>
              </w:rPr>
            </w:pPr>
          </w:p>
        </w:tc>
      </w:tr>
      <w:tr>
        <w:trPr>
          <w:trHeight w:val="212"/>
        </w:trPr>
        <w:tc>
          <w:tcPr>
            <w:tcW w:w="6980" w:type="dxa"/>
            <w:vAlign w:val="bottom"/>
          </w:tcPr>
          <w:p>
            <w:pPr>
              <w:jc w:val="right"/>
              <w:ind w:right="220"/>
              <w:spacing w:after="0" w:line="212" w:lineRule="exact"/>
              <w:rPr>
                <w:sz w:val="20"/>
                <w:szCs w:val="20"/>
                <w:color w:val="auto"/>
              </w:rPr>
            </w:pPr>
            <w:r>
              <w:rPr>
                <w:rFonts w:ascii="Times New Roman" w:cs="Times New Roman" w:eastAsia="Times New Roman" w:hAnsi="Times New Roman"/>
                <w:sz w:val="20"/>
                <w:szCs w:val="20"/>
                <w:color w:val="auto"/>
                <w:w w:val="99"/>
              </w:rPr>
              <w:t>. . . . . . . . . . . . . . . . . . . . . . . . . . . . . . . . . . . . . . . . . . . . . . .Potentiallyissuableshares</w:t>
            </w:r>
          </w:p>
        </w:tc>
        <w:tc>
          <w:tcPr>
            <w:tcW w:w="7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4.7</w:t>
            </w:r>
          </w:p>
        </w:tc>
        <w:tc>
          <w:tcPr>
            <w:tcW w:w="200" w:type="dxa"/>
            <w:vAlign w:val="bottom"/>
          </w:tcPr>
          <w:p>
            <w:pPr>
              <w:spacing w:after="0"/>
              <w:rPr>
                <w:sz w:val="18"/>
                <w:szCs w:val="18"/>
                <w:color w:val="auto"/>
              </w:rPr>
            </w:pPr>
          </w:p>
        </w:tc>
        <w:tc>
          <w:tcPr>
            <w:tcW w:w="7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5.0</w:t>
            </w:r>
          </w:p>
        </w:tc>
        <w:tc>
          <w:tcPr>
            <w:tcW w:w="200" w:type="dxa"/>
            <w:vAlign w:val="bottom"/>
          </w:tcPr>
          <w:p>
            <w:pPr>
              <w:spacing w:after="0"/>
              <w:rPr>
                <w:sz w:val="18"/>
                <w:szCs w:val="18"/>
                <w:color w:val="auto"/>
              </w:rPr>
            </w:pPr>
          </w:p>
        </w:tc>
        <w:tc>
          <w:tcPr>
            <w:tcW w:w="7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Number of anti-dilutive potentially issuable shares excluded from diluted common</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69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9"/>
              </w:rPr>
              <w:t>shares outstanding . . . . . . . . . . . . . . . . . . . . . . . . . . . . . . . . . . . . . . . . . . . . . . . . . . .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130</w:t>
      </w:r>
    </w:p>
    <w:p>
      <w:pPr>
        <w:sectPr>
          <w:pgSz w:w="13320" w:h="16920" w:orient="portrait"/>
          <w:cols w:equalWidth="0" w:num="1">
            <w:col w:w="10440"/>
          </w:cols>
          <w:pgMar w:left="1440" w:top="1440" w:right="1440" w:bottom="1440" w:gutter="0" w:footer="0" w:header="0"/>
          <w:type w:val="continuous"/>
        </w:sectPr>
      </w:pPr>
    </w:p>
    <w:bookmarkStart w:id="204" w:name="page205"/>
    <w:bookmarkEnd w:id="204"/>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Refer to the Consolidated Statements of Operations for net income attributable to Waste Management, Inc.</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16. Fair Value Measurements</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Assets and Liabilities Accounted for at Fair Value</w:t>
      </w:r>
    </w:p>
    <w:p>
      <w:pPr>
        <w:spacing w:after="0" w:line="240"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Fair value is defined as the price that would be received from selling an asset or paid to transfer a liability in an orderly transaction between market participants at the measurement date. When measuring assets and liabilities that are required to be recorded at fair value, the Company considers the principal or most advantageous market in which the Company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Level 1 — </w:t>
      </w:r>
      <w:r>
        <w:rPr>
          <w:rFonts w:ascii="Times New Roman" w:cs="Times New Roman" w:eastAsia="Times New Roman" w:hAnsi="Times New Roman"/>
          <w:sz w:val="20"/>
          <w:szCs w:val="20"/>
          <w:color w:val="auto"/>
        </w:rPr>
        <w:t>Quoted prices in active markets for identical assets or liabilities.</w:t>
      </w:r>
    </w:p>
    <w:p>
      <w:pPr>
        <w:spacing w:after="0" w:line="119" w:lineRule="exact"/>
        <w:rPr>
          <w:sz w:val="20"/>
          <w:szCs w:val="20"/>
          <w:color w:val="auto"/>
        </w:rPr>
      </w:pPr>
    </w:p>
    <w:p>
      <w:pPr>
        <w:jc w:val="both"/>
        <w:ind w:left="660" w:right="36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Level 2 — </w:t>
      </w:r>
      <w:r>
        <w:rPr>
          <w:rFonts w:ascii="Times New Roman" w:cs="Times New Roman" w:eastAsia="Times New Roman" w:hAnsi="Times New Roman"/>
          <w:sz w:val="20"/>
          <w:szCs w:val="20"/>
          <w:color w:val="auto"/>
        </w:rPr>
        <w:t>Observable inputs other than quoted prices in active markets for identical assets and liabilities, quoted prices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identical or similar assets or liabilities in inactive markets, or other inputs that are observable or can be corroborated by observable market data for substantially the full term of the assets or liabilities.</w:t>
      </w:r>
    </w:p>
    <w:p>
      <w:pPr>
        <w:spacing w:after="0" w:line="65" w:lineRule="exact"/>
        <w:rPr>
          <w:sz w:val="20"/>
          <w:szCs w:val="20"/>
          <w:color w:val="auto"/>
        </w:rPr>
      </w:pPr>
    </w:p>
    <w:p>
      <w:pPr>
        <w:jc w:val="both"/>
        <w:ind w:left="660" w:right="36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Level 3 — </w:t>
      </w:r>
      <w:r>
        <w:rPr>
          <w:rFonts w:ascii="Times New Roman" w:cs="Times New Roman" w:eastAsia="Times New Roman" w:hAnsi="Times New Roman"/>
          <w:sz w:val="20"/>
          <w:szCs w:val="20"/>
          <w:color w:val="auto"/>
        </w:rPr>
        <w:t>Inputs that are generally unobservable and typically reflect management’s estimate of assumptions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 participants would use in pricing the asset or liability.</w:t>
      </w:r>
    </w:p>
    <w:p>
      <w:pPr>
        <w:spacing w:after="0" w:line="167"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20"/>
          <w:szCs w:val="20"/>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 Our assets and liabilities that are measured at fair value on a recurring basis include the following as of December 31 (in millions):</w:t>
      </w:r>
    </w:p>
    <w:p>
      <w:pPr>
        <w:spacing w:after="0" w:line="214"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7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Quoted prices in active markets (Level 1):</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1"/>
        </w:trPr>
        <w:tc>
          <w:tcPr>
            <w:tcW w:w="75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8"/>
              </w:rPr>
              <w:t>Cash equivalents and money market funds . . . . . . . . . . . . . . . . . . . . . . . . . . . . . . . . . . . . . .</w:t>
            </w: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w:t>
            </w:r>
          </w:p>
        </w:tc>
        <w:tc>
          <w:tcPr>
            <w:tcW w:w="0" w:type="dxa"/>
            <w:vAlign w:val="bottom"/>
          </w:tcPr>
          <w:p>
            <w:pPr>
              <w:spacing w:after="0"/>
              <w:rPr>
                <w:sz w:val="1"/>
                <w:szCs w:val="1"/>
                <w:color w:val="auto"/>
              </w:rPr>
            </w:pPr>
          </w:p>
        </w:tc>
      </w:tr>
      <w:tr>
        <w:trPr>
          <w:trHeight w:val="230"/>
        </w:trPr>
        <w:tc>
          <w:tcPr>
            <w:tcW w:w="75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8"/>
              </w:rPr>
              <w:t>Equity securities . . . . . . . . .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Significant other observable inputs (Level 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5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8"/>
              </w:rPr>
              <w:t>Available-for-sale securities . . . . . . . . . . . . . . . . . . .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445</w:t>
            </w: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431</w:t>
            </w:r>
          </w:p>
        </w:tc>
        <w:tc>
          <w:tcPr>
            <w:tcW w:w="0" w:type="dxa"/>
            <w:vAlign w:val="bottom"/>
          </w:tcPr>
          <w:p>
            <w:pPr>
              <w:spacing w:after="0"/>
              <w:rPr>
                <w:sz w:val="1"/>
                <w:szCs w:val="1"/>
                <w:color w:val="auto"/>
              </w:rPr>
            </w:pPr>
          </w:p>
        </w:tc>
      </w:tr>
      <w:tr>
        <w:trPr>
          <w:trHeight w:val="229"/>
        </w:trPr>
        <w:tc>
          <w:tcPr>
            <w:tcW w:w="7500" w:type="dxa"/>
            <w:vAlign w:val="bottom"/>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 . .Totalassetsmeasuredatfairvalue</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571</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819</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Cash Equivalents and Money Market Funds</w:t>
      </w:r>
    </w:p>
    <w:p>
      <w:pPr>
        <w:spacing w:after="0" w:line="237"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20"/>
          <w:szCs w:val="20"/>
          <w:color w:val="auto"/>
        </w:rPr>
        <w:t>Cash equivalents primarily include short- term interest-bearing instruments with maturities of three months or less. We invest portions of our restricted trust funds in money market funds and we measure the fair value of these investments using quoted prices in active markets for identical assets. The fair value of our cash equivalents and money market funds approximates our cost basis in these instruments.</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Equity Securities</w:t>
      </w:r>
    </w:p>
    <w:p>
      <w:pPr>
        <w:spacing w:after="0" w:line="238"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20"/>
          <w:szCs w:val="20"/>
          <w:color w:val="auto"/>
        </w:rPr>
        <w:t>We invest portions of our restricted trust funds in equity securities and we measure the fair value of these securities using quoted prices in active markets for identical assets. Any changes in fair value of these securities related to unrealized gains and losses have been appropriately reflected as a component of other income (expense).</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131</w:t>
      </w:r>
    </w:p>
    <w:p>
      <w:pPr>
        <w:sectPr>
          <w:pgSz w:w="13320" w:h="16920" w:orient="portrait"/>
          <w:cols w:equalWidth="0" w:num="1">
            <w:col w:w="10440"/>
          </w:cols>
          <w:pgMar w:left="1440" w:top="1440" w:right="1440" w:bottom="1440" w:gutter="0" w:footer="0" w:header="0"/>
          <w:type w:val="continuous"/>
        </w:sectPr>
      </w:pPr>
    </w:p>
    <w:bookmarkStart w:id="205" w:name="page206"/>
    <w:bookmarkEnd w:id="205"/>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Available-for-Sale Securities</w:t>
      </w:r>
    </w:p>
    <w:p>
      <w:pPr>
        <w:spacing w:after="0" w:line="238"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Our available-for-sale securities include restricted trust funds and investments in unconsolidated entities as discussed in Note 18. We invest primarily in debt securities, including U.S. Treasury securities, U.S. agency securities, municipal securities and mortgage- and asset-backed securities, which generally mature over the next ten years. We measure the fair value of these securities using quoted prices for identical or similar assets in inactive markets. Any changes in fair value of these trusts related to unrealized gains and losses have been appropriately reflected as a component of accumulated other comprehensive income (loss).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Fair Value of Debt</w:t>
      </w:r>
    </w:p>
    <w:p>
      <w:pPr>
        <w:spacing w:after="0" w:line="239"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As of December 31, 2024 and 2023, the carrying value of our debt was $23.9 billion and $16.2 billion, respectively. The estimated fair value of our debt was approximately $22.9 billion and $15.6 billion as of December 31, 2024 and 2023, respectively.</w:t>
      </w:r>
    </w:p>
    <w:p>
      <w:pPr>
        <w:spacing w:after="0" w:line="186"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December 31, 2024 and 2023. These amounts have not been revalued since those dates, and current estimates of fair value could differ significantly from the amounts presented.</w:t>
      </w:r>
    </w:p>
    <w:p>
      <w:pPr>
        <w:spacing w:after="0" w:line="190"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See Note 11 for information related to our nonrecurring fair value measurements. See Note 17 for information related to the nonrecurring fair value measurement of assets and liabilities acquired in connection with our acquisition of Stericycle.</w:t>
      </w:r>
    </w:p>
    <w:p>
      <w:pPr>
        <w:spacing w:after="0" w:line="200" w:lineRule="exact"/>
        <w:rPr>
          <w:sz w:val="20"/>
          <w:szCs w:val="20"/>
          <w:color w:val="auto"/>
        </w:rPr>
      </w:pPr>
    </w:p>
    <w:p>
      <w:pPr>
        <w:spacing w:after="0" w:line="2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17. Acquisitions and Divestitures</w:t>
      </w:r>
    </w:p>
    <w:p>
      <w:pPr>
        <w:spacing w:after="0" w:line="2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Acquisitions</w:t>
      </w:r>
    </w:p>
    <w:p>
      <w:pPr>
        <w:spacing w:after="0" w:line="2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Stericycle Acquisition</w:t>
      </w:r>
    </w:p>
    <w:p>
      <w:pPr>
        <w:spacing w:after="0" w:line="237"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On June 3, 2024, we entered into an Agreement and Plan of Merger (the “Merger Agreement”) to acquire all outstanding shares of Stericycle for $62.00 per share in cash, representing a total enterprise value of approximately $7.2 billion (net of cash acquired) when including the assumption of $0.5 billion of debt and the repayment of approximately $0.8 billion of net debt. The acquisition expands our offerings in the U.S., Canada and parts of Western Europe by providing RWCS and SID services that protect people and brands, promote health and well-being and safeguard the environment. The transaction closed on November 4, 2024 and was funded using borrowings under our Term Credit Agreement, commercial paper program and available cash on hand. Shortly thereafter, we repaid all outstanding borrowings under our Term Credit Agreement with net proceeds from our November 2024 issuance of $5.2 billion of senior notes.</w:t>
      </w:r>
    </w:p>
    <w:p>
      <w:pPr>
        <w:spacing w:after="0" w:line="86"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We incurred acquisition and integration related costs of approximately $160 million, which were primarily classified as “Selling, general and administrative expenses.” The post-closing operating results of Stericycle have been included in our consolidated financial statements, within our new reportable WM Healthcare Solutions segment. Post-closing through December 31, 2024, Stericycle recognized $403 million, $244 million and $155 million of operating revenue, operating expenses and selling, general and administrative expenses, respectively, which are net of intercompany transactions and included in our Consolidated Statements of Operations.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132</w:t>
      </w:r>
    </w:p>
    <w:p>
      <w:pPr>
        <w:sectPr>
          <w:pgSz w:w="13320" w:h="16920" w:orient="portrait"/>
          <w:cols w:equalWidth="0" w:num="1">
            <w:col w:w="10440"/>
          </w:cols>
          <w:pgMar w:left="1440" w:top="1440" w:right="1440" w:bottom="1440" w:gutter="0" w:footer="0" w:header="0"/>
          <w:type w:val="continuous"/>
        </w:sectPr>
      </w:pPr>
    </w:p>
    <w:bookmarkStart w:id="206" w:name="page207"/>
    <w:bookmarkEnd w:id="206"/>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Our consolidated financial statements have not been retroactively restated to include Stericycle’s historical financial position or results of operations. The acquisition is accounted for as a business combination. In accordance with the purchase method of accounting, the purchase price paid has been allocated to the assets and liabilities acquired based upon their estimated fair values as of the acquisition date, with the excess of the purchase price over the net assets acquired recorded as goodwill. We are in the process of valuing all of the assets and liabilities acquired in the acquisition, and, until we have completed our valuation process, there may be adjustments to our estimates of fair value and resulting preliminary purchase price allocation.</w:t>
      </w:r>
    </w:p>
    <w:p>
      <w:pPr>
        <w:spacing w:after="0" w:line="81"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We used the following valuation techniques for the following significant accounts in which carrying value did not approximate fair value: (i) property and equipment were valued primarily using the cost approach with significant assumptions including replacement cost, trend indices, and normal useful lives; (ii) customer relationship assets were valued using the multi-period excess earnings method with significant assumptions including projected revenue, attrition rate, operating expense, selling and general administrative expenses, and discount rate; (iii) indefinite trade name assets were valued using the relief from royalty method with significant assumptions including revenue attributable to the trade names and royalty rates and (iv) permit assets were valued using the cost to recreate method with significant assumptions including costs required to obtain the permits and the opportunity costs if the permits were not in place on the acquisition date.</w:t>
      </w:r>
    </w:p>
    <w:p>
      <w:pPr>
        <w:spacing w:after="0" w:line="85"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The fair values for property and equipment and intangibles were based on significant inputs that are not observable in the market and thus represent a Level 3 measurement in the fair value hierarchy. The WM Notes were valued using observable market prices which represent a Level 1 measurement in the fair value hierarchy.</w:t>
      </w:r>
    </w:p>
    <w:p>
      <w:pPr>
        <w:spacing w:after="0" w:line="65"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Our estimates and assumptions are subject to change during the measurement period, not to exceed one year from the acquisition date. The areas of acquisition accounting that are not yet finalized primarily relate to (i) finalizing the review and valuation of trade names, permits, customer relationships, and certain property plant and equipment and other intangibles (including the models, key assumptions, estimates and inputs used) and assignment of remaining useful lives associated with the depreciable and amortizable assets and (ii) finalizing the review and valuation of accounts receivable, accrued expenses, contingent liabilities, deferred taxes and goodwill (including key assumptions, inputs and estimates).</w:t>
      </w:r>
    </w:p>
    <w:p>
      <w:pPr>
        <w:spacing w:after="0" w:line="80"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Goodwill of $3.6 billion was calculated as the excess of the consideration paid over the net assets recognized and represents the future economic benefits expected to arise from other assets acquired that could not be individually identified and separately recognized and from synergies of the combination. All of the goodwill was provisionally assigned to the WM Healthcare Solutions segment. We have not yet completed the assignment of goodwill to our reporting units as of December 31, 2024. Substantially all of the goodwill is not deductible for income tax purposes.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133</w:t>
      </w:r>
    </w:p>
    <w:p>
      <w:pPr>
        <w:sectPr>
          <w:pgSz w:w="13320" w:h="16920" w:orient="portrait"/>
          <w:cols w:equalWidth="0" w:num="1">
            <w:col w:w="10440"/>
          </w:cols>
          <w:pgMar w:left="1440" w:top="1440" w:right="1440" w:bottom="1440" w:gutter="0" w:footer="0" w:header="0"/>
          <w:type w:val="continuous"/>
        </w:sectPr>
      </w:pPr>
    </w:p>
    <w:bookmarkStart w:id="207" w:name="page208"/>
    <w:bookmarkEnd w:id="207"/>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shows the preliminary purchase price allocation (in millions):</w:t>
      </w:r>
    </w:p>
    <w:p>
      <w:pPr>
        <w:spacing w:after="0" w:line="345"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6980" w:type="dxa"/>
            <w:vAlign w:val="bottom"/>
            <w:vMerge w:val="restart"/>
          </w:tcPr>
          <w:p>
            <w:pPr>
              <w:jc w:val="right"/>
              <w:ind w:right="4760"/>
              <w:spacing w:after="0"/>
              <w:rPr>
                <w:sz w:val="20"/>
                <w:szCs w:val="20"/>
                <w:color w:val="auto"/>
              </w:rPr>
            </w:pPr>
            <w:r>
              <w:rPr>
                <w:rFonts w:ascii="Times New Roman" w:cs="Times New Roman" w:eastAsia="Times New Roman" w:hAnsi="Times New Roman"/>
                <w:sz w:val="20"/>
                <w:szCs w:val="20"/>
                <w:color w:val="auto"/>
                <w:w w:val="99"/>
              </w:rPr>
              <w:t>Cash and cash equivalents</w:t>
            </w:r>
          </w:p>
        </w:tc>
        <w:tc>
          <w:tcPr>
            <w:tcW w:w="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November 4, 2024</w:t>
            </w:r>
          </w:p>
        </w:tc>
        <w:tc>
          <w:tcPr>
            <w:tcW w:w="0" w:type="dxa"/>
            <w:vAlign w:val="bottom"/>
          </w:tcPr>
          <w:p>
            <w:pPr>
              <w:spacing w:after="0"/>
              <w:rPr>
                <w:sz w:val="1"/>
                <w:szCs w:val="1"/>
                <w:color w:val="auto"/>
              </w:rPr>
            </w:pPr>
          </w:p>
        </w:tc>
      </w:tr>
      <w:tr>
        <w:trPr>
          <w:trHeight w:val="199"/>
        </w:trPr>
        <w:tc>
          <w:tcPr>
            <w:tcW w:w="6980" w:type="dxa"/>
            <w:vAlign w:val="bottom"/>
            <w:vMerge w:val="continue"/>
          </w:tcPr>
          <w:p>
            <w:pPr>
              <w:jc w:val="right"/>
              <w:ind w:right="4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w:t>
            </w:r>
          </w:p>
        </w:tc>
        <w:tc>
          <w:tcPr>
            <w:tcW w:w="20" w:type="dxa"/>
            <w:vAlign w:val="bottom"/>
          </w:tcPr>
          <w:p>
            <w:pPr>
              <w:spacing w:after="0"/>
              <w:rPr>
                <w:sz w:val="17"/>
                <w:szCs w:val="17"/>
                <w:color w:val="auto"/>
              </w:rPr>
            </w:pPr>
          </w:p>
        </w:tc>
        <w:tc>
          <w:tcPr>
            <w:tcW w:w="500" w:type="dxa"/>
            <w:vAlign w:val="bottom"/>
          </w:tcPr>
          <w:p>
            <w:pPr>
              <w:jc w:val="right"/>
              <w:ind w:right="30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22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198</w:t>
            </w:r>
          </w:p>
        </w:tc>
        <w:tc>
          <w:tcPr>
            <w:tcW w:w="0" w:type="dxa"/>
            <w:vAlign w:val="bottom"/>
          </w:tcPr>
          <w:p>
            <w:pPr>
              <w:spacing w:after="0"/>
              <w:rPr>
                <w:sz w:val="1"/>
                <w:szCs w:val="1"/>
                <w:color w:val="auto"/>
              </w:rPr>
            </w:pPr>
          </w:p>
        </w:tc>
      </w:tr>
      <w:tr>
        <w:trPr>
          <w:trHeight w:val="267"/>
        </w:trPr>
        <w:tc>
          <w:tcPr>
            <w:tcW w:w="69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7"/>
              </w:rPr>
              <w:t>Accounts and other receivables (a) . . . . . . . . . . . . . . . . . . . . . . . . . . . . . . . . . . . . . .</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w:t>
            </w:r>
          </w:p>
        </w:tc>
        <w:tc>
          <w:tcPr>
            <w:tcW w:w="0" w:type="dxa"/>
            <w:vAlign w:val="bottom"/>
          </w:tcPr>
          <w:p>
            <w:pPr>
              <w:spacing w:after="0"/>
              <w:rPr>
                <w:sz w:val="1"/>
                <w:szCs w:val="1"/>
                <w:color w:val="auto"/>
              </w:rPr>
            </w:pPr>
          </w:p>
        </w:tc>
      </w:tr>
      <w:tr>
        <w:trPr>
          <w:trHeight w:val="269"/>
        </w:trPr>
        <w:tc>
          <w:tcPr>
            <w:tcW w:w="69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6"/>
              </w:rPr>
              <w:t>Parts and supplies . . . . . . . . . . . . . . . . . . . . . . . . . . . . . . . . . . . . . . . . . . . . . . . . . . . .</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69"/>
        </w:trPr>
        <w:tc>
          <w:tcPr>
            <w:tcW w:w="69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6"/>
              </w:rPr>
              <w:t>Other current assets . . . . . . . . . . . . . . . . . . . . . . . . . . . . . . . . . . . . . . . . . . . . . . . . . . .</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69"/>
        </w:trPr>
        <w:tc>
          <w:tcPr>
            <w:tcW w:w="69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6"/>
              </w:rPr>
              <w:t>Assets held for sale (b) . . . . . . . . . . . . . . . . . . . . . . . . . . . . . . . . . . . . . . . . . . . . . . . .</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0" w:type="dxa"/>
            <w:vAlign w:val="bottom"/>
          </w:tcPr>
          <w:p>
            <w:pPr>
              <w:spacing w:after="0"/>
              <w:rPr>
                <w:sz w:val="1"/>
                <w:szCs w:val="1"/>
                <w:color w:val="auto"/>
              </w:rPr>
            </w:pPr>
          </w:p>
        </w:tc>
      </w:tr>
      <w:tr>
        <w:trPr>
          <w:trHeight w:val="268"/>
        </w:trPr>
        <w:tc>
          <w:tcPr>
            <w:tcW w:w="69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7"/>
              </w:rPr>
              <w:t>Property and equipment . . . . . . . . . . . . . . . . . . . . . . . . . . . . . . . . . . . . . . . . . . . . . . .</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782</w:t>
            </w:r>
          </w:p>
        </w:tc>
        <w:tc>
          <w:tcPr>
            <w:tcW w:w="0" w:type="dxa"/>
            <w:vAlign w:val="bottom"/>
          </w:tcPr>
          <w:p>
            <w:pPr>
              <w:spacing w:after="0"/>
              <w:rPr>
                <w:sz w:val="1"/>
                <w:szCs w:val="1"/>
                <w:color w:val="auto"/>
              </w:rPr>
            </w:pPr>
          </w:p>
        </w:tc>
      </w:tr>
      <w:tr>
        <w:trPr>
          <w:trHeight w:val="269"/>
        </w:trPr>
        <w:tc>
          <w:tcPr>
            <w:tcW w:w="69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6"/>
              </w:rPr>
              <w:t>Goodwill . . . . . . . . . . . . . . . . . . . . . . . . . . . . . . . . . . . . . . . . . . . . . . . . . . . . . . . . . . .</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3,633</w:t>
            </w:r>
          </w:p>
        </w:tc>
        <w:tc>
          <w:tcPr>
            <w:tcW w:w="0" w:type="dxa"/>
            <w:vAlign w:val="bottom"/>
          </w:tcPr>
          <w:p>
            <w:pPr>
              <w:spacing w:after="0"/>
              <w:rPr>
                <w:sz w:val="1"/>
                <w:szCs w:val="1"/>
                <w:color w:val="auto"/>
              </w:rPr>
            </w:pPr>
          </w:p>
        </w:tc>
      </w:tr>
      <w:tr>
        <w:trPr>
          <w:trHeight w:val="269"/>
        </w:trPr>
        <w:tc>
          <w:tcPr>
            <w:tcW w:w="69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7"/>
              </w:rPr>
              <w:t>Other intangible assets . . . . . . . . . . . . . . . . . . . . . . . . . . . . . . . . . . . . . . . . . . . . . . . .</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3,536</w:t>
            </w:r>
          </w:p>
        </w:tc>
        <w:tc>
          <w:tcPr>
            <w:tcW w:w="0" w:type="dxa"/>
            <w:vAlign w:val="bottom"/>
          </w:tcPr>
          <w:p>
            <w:pPr>
              <w:spacing w:after="0"/>
              <w:rPr>
                <w:sz w:val="1"/>
                <w:szCs w:val="1"/>
                <w:color w:val="auto"/>
              </w:rPr>
            </w:pPr>
          </w:p>
        </w:tc>
      </w:tr>
      <w:tr>
        <w:trPr>
          <w:trHeight w:val="269"/>
        </w:trPr>
        <w:tc>
          <w:tcPr>
            <w:tcW w:w="69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6"/>
              </w:rPr>
              <w:t>Other assets . . . . . . . . . . . . . . . . . . . . . . . . . . . . . . . . . . . . . . . . . . . . . . . . . . . . . . . . .</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w:t>
            </w:r>
          </w:p>
        </w:tc>
        <w:tc>
          <w:tcPr>
            <w:tcW w:w="0" w:type="dxa"/>
            <w:vAlign w:val="bottom"/>
          </w:tcPr>
          <w:p>
            <w:pPr>
              <w:spacing w:after="0"/>
              <w:rPr>
                <w:sz w:val="1"/>
                <w:szCs w:val="1"/>
                <w:color w:val="auto"/>
              </w:rPr>
            </w:pPr>
          </w:p>
        </w:tc>
      </w:tr>
      <w:tr>
        <w:trPr>
          <w:trHeight w:val="269"/>
        </w:trPr>
        <w:tc>
          <w:tcPr>
            <w:tcW w:w="69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7"/>
              </w:rPr>
              <w:t>Accounts payable . . . . . . . . . . . . . . . . . . . . . . . . . . . . . . . . . . . . . . . . . . . . . . . . . . . .</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0" w:type="dxa"/>
            <w:vAlign w:val="bottom"/>
          </w:tcPr>
          <w:p>
            <w:pPr>
              <w:spacing w:after="0"/>
              <w:rPr>
                <w:sz w:val="1"/>
                <w:szCs w:val="1"/>
                <w:color w:val="auto"/>
              </w:rPr>
            </w:pPr>
          </w:p>
        </w:tc>
      </w:tr>
      <w:tr>
        <w:trPr>
          <w:trHeight w:val="268"/>
        </w:trPr>
        <w:tc>
          <w:tcPr>
            <w:tcW w:w="69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6"/>
              </w:rPr>
              <w:t>Accrued liabilities . . . . . . . . . . . . . . . . . . . . . . . . . . . . . . . . . . . . . . . . . . . . . . . . . . . .</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w:t>
            </w:r>
          </w:p>
        </w:tc>
        <w:tc>
          <w:tcPr>
            <w:tcW w:w="0" w:type="dxa"/>
            <w:vAlign w:val="bottom"/>
          </w:tcPr>
          <w:p>
            <w:pPr>
              <w:spacing w:after="0"/>
              <w:rPr>
                <w:sz w:val="1"/>
                <w:szCs w:val="1"/>
                <w:color w:val="auto"/>
              </w:rPr>
            </w:pPr>
          </w:p>
        </w:tc>
      </w:tr>
      <w:tr>
        <w:trPr>
          <w:trHeight w:val="269"/>
        </w:trPr>
        <w:tc>
          <w:tcPr>
            <w:tcW w:w="69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6"/>
              </w:rPr>
              <w:t>Deferred revenues . . . . . . . . . . . . . . . . . . . . . . . . . . . . . . . . . . . . . . . . . . . . . . . . . . . .</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0" w:type="dxa"/>
            <w:vAlign w:val="bottom"/>
          </w:tcPr>
          <w:p>
            <w:pPr>
              <w:spacing w:after="0"/>
              <w:rPr>
                <w:sz w:val="1"/>
                <w:szCs w:val="1"/>
                <w:color w:val="auto"/>
              </w:rPr>
            </w:pPr>
          </w:p>
        </w:tc>
      </w:tr>
      <w:tr>
        <w:trPr>
          <w:trHeight w:val="269"/>
        </w:trPr>
        <w:tc>
          <w:tcPr>
            <w:tcW w:w="69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7"/>
              </w:rPr>
              <w:t>Current portion of long-term debt . . . . . . . . . . . . . . . . . . . . . . . . . . . . . . . . . . . . . . .</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69"/>
        </w:trPr>
        <w:tc>
          <w:tcPr>
            <w:tcW w:w="69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7"/>
              </w:rPr>
              <w:t>Liabilities held for sale (b) . . . . . . . . . . . . . . . . . . . . . . . . . . . . . . . . . . . . . . . . . . . . .</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69"/>
        </w:trPr>
        <w:tc>
          <w:tcPr>
            <w:tcW w:w="69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7"/>
              </w:rPr>
              <w:t>Long-term debt, less current portion . . . . . . . . . . . . . . . . . . . . . . . . . . . . . . . . . . . . .</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w:t>
            </w:r>
          </w:p>
        </w:tc>
        <w:tc>
          <w:tcPr>
            <w:tcW w:w="0" w:type="dxa"/>
            <w:vAlign w:val="bottom"/>
          </w:tcPr>
          <w:p>
            <w:pPr>
              <w:spacing w:after="0"/>
              <w:rPr>
                <w:sz w:val="1"/>
                <w:szCs w:val="1"/>
                <w:color w:val="auto"/>
              </w:rPr>
            </w:pPr>
          </w:p>
        </w:tc>
      </w:tr>
      <w:tr>
        <w:trPr>
          <w:trHeight w:val="268"/>
        </w:trPr>
        <w:tc>
          <w:tcPr>
            <w:tcW w:w="69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7"/>
              </w:rPr>
              <w:t>Deferred income taxes . . . . . . . . . . . . . . . . . . . . . . . . . . . . . . . . . . . . . . . . . . . . . . . .</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(884)</w:t>
            </w:r>
          </w:p>
        </w:tc>
        <w:tc>
          <w:tcPr>
            <w:tcW w:w="0" w:type="dxa"/>
            <w:vAlign w:val="bottom"/>
          </w:tcPr>
          <w:p>
            <w:pPr>
              <w:spacing w:after="0"/>
              <w:rPr>
                <w:sz w:val="1"/>
                <w:szCs w:val="1"/>
                <w:color w:val="auto"/>
              </w:rPr>
            </w:pPr>
          </w:p>
        </w:tc>
      </w:tr>
      <w:tr>
        <w:trPr>
          <w:trHeight w:val="252"/>
        </w:trPr>
        <w:tc>
          <w:tcPr>
            <w:tcW w:w="69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6"/>
              </w:rPr>
              <w:t>Other liabilities . . . . . . . . . . . . . . . . . . . . . . . . . . . . . . . . . . . . . . . . . . . . . . . . . . . . . .</w:t>
            </w:r>
          </w:p>
        </w:tc>
        <w:tc>
          <w:tcPr>
            <w:tcW w:w="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(542)</w:t>
            </w:r>
          </w:p>
        </w:tc>
        <w:tc>
          <w:tcPr>
            <w:tcW w:w="0" w:type="dxa"/>
            <w:vAlign w:val="bottom"/>
          </w:tcPr>
          <w:p>
            <w:pPr>
              <w:spacing w:after="0"/>
              <w:rPr>
                <w:sz w:val="1"/>
                <w:szCs w:val="1"/>
                <w:color w:val="auto"/>
              </w:rPr>
            </w:pPr>
          </w:p>
        </w:tc>
      </w:tr>
      <w:tr>
        <w:trPr>
          <w:trHeight w:val="230"/>
        </w:trPr>
        <w:tc>
          <w:tcPr>
            <w:tcW w:w="6980" w:type="dxa"/>
            <w:vAlign w:val="bottom"/>
          </w:tcPr>
          <w:p>
            <w:pPr>
              <w:jc w:val="right"/>
              <w:ind w:right="42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.Totalpurchaseprice</w:t>
            </w: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22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6,907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106680</wp:posOffset>
                </wp:positionV>
                <wp:extent cx="1541145" cy="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14" o:spid="_x0000_s13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8.4pt" to="139.65pt,8.4pt" o:allowincell="f" strokecolor="#000000" strokeweight="1.0199pt"/>
            </w:pict>
          </mc:Fallback>
        </mc:AlternateContent>
      </w:r>
    </w:p>
    <w:p>
      <w:pPr>
        <w:spacing w:after="0" w:line="191" w:lineRule="exact"/>
        <w:rPr>
          <w:sz w:val="20"/>
          <w:szCs w:val="20"/>
          <w:color w:val="auto"/>
        </w:rPr>
      </w:pPr>
    </w:p>
    <w:p>
      <w:pPr>
        <w:ind w:left="1080" w:hanging="533"/>
        <w:spacing w:after="0"/>
        <w:tabs>
          <w:tab w:leader="none" w:pos="108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allowance for doubtful accounts of $130 million. See Note 2 for further discussion.</w:t>
      </w:r>
    </w:p>
    <w:p>
      <w:pPr>
        <w:spacing w:after="0" w:line="239" w:lineRule="exact"/>
        <w:rPr>
          <w:rFonts w:ascii="Times New Roman" w:cs="Times New Roman" w:eastAsia="Times New Roman" w:hAnsi="Times New Roman"/>
          <w:sz w:val="20"/>
          <w:szCs w:val="20"/>
          <w:color w:val="auto"/>
        </w:rPr>
      </w:pPr>
    </w:p>
    <w:p>
      <w:pPr>
        <w:ind w:left="1080" w:right="360" w:hanging="533"/>
        <w:spacing w:after="0" w:line="278" w:lineRule="auto"/>
        <w:tabs>
          <w:tab w:leader="none" w:pos="108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Stericycle’s Spain and Portugal subsidiaries. See “Assets Held for Sale” under 2024 Divestitures for additional information.</w:t>
      </w:r>
    </w:p>
    <w:p>
      <w:pPr>
        <w:spacing w:after="0" w:line="167"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The preliminary allocation of $3,536 million for other intangible assets includes $2,279 million for customer relationships with a weighted average amortization period of 15 years, $630 million for indefinite lived trade names, $319 million for indefinite lived permits, $162 million for definite lived trade names with a weighted average amortization period of 2.2 years, $141 million for ERP software with a weighted average amortization period of 4.7 years, and $5 million for developed technology with an amortization period of 17 years.</w:t>
      </w:r>
    </w:p>
    <w:p>
      <w:pPr>
        <w:spacing w:after="0" w:line="198"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20"/>
          <w:szCs w:val="20"/>
          <w:color w:val="auto"/>
        </w:rPr>
        <w:t>The unaudited pro forma financial information in the table below summarizes the combined results of operations for Waste Management and Stericycle as though the companies had been combined as of January 1, 2023. Examples of adjustments made to arrive at the pro forma amounts include, but are not limited to, the following:</w:t>
      </w:r>
    </w:p>
    <w:p>
      <w:pPr>
        <w:spacing w:after="0" w:line="188" w:lineRule="exact"/>
        <w:rPr>
          <w:sz w:val="20"/>
          <w:szCs w:val="20"/>
          <w:color w:val="auto"/>
        </w:rPr>
      </w:pPr>
    </w:p>
    <w:p>
      <w:pPr>
        <w:ind w:left="1080" w:hanging="526"/>
        <w:spacing w:after="0"/>
        <w:tabs>
          <w:tab w:leader="none" w:pos="108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expenses incurred by us and Stericycle;</w:t>
      </w:r>
    </w:p>
    <w:p>
      <w:pPr>
        <w:spacing w:after="0" w:line="27" w:lineRule="exact"/>
        <w:rPr>
          <w:rFonts w:ascii="Times New Roman" w:cs="Times New Roman" w:eastAsia="Times New Roman" w:hAnsi="Times New Roman"/>
          <w:sz w:val="20"/>
          <w:szCs w:val="20"/>
          <w:color w:val="auto"/>
        </w:rPr>
      </w:pPr>
    </w:p>
    <w:p>
      <w:pPr>
        <w:ind w:left="1080" w:hanging="526"/>
        <w:spacing w:after="0"/>
        <w:tabs>
          <w:tab w:leader="none" w:pos="108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Elimination of revenue and expenses between us and Stericycle;</w:t>
      </w:r>
    </w:p>
    <w:p>
      <w:pPr>
        <w:ind w:left="1080" w:hanging="526"/>
        <w:spacing w:after="0"/>
        <w:tabs>
          <w:tab w:leader="none" w:pos="108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depreciation and amortization expense due to step-up in fair value of the acquired assets;</w:t>
      </w:r>
    </w:p>
    <w:p>
      <w:pPr>
        <w:ind w:left="1080" w:hanging="526"/>
        <w:spacing w:after="0"/>
        <w:tabs>
          <w:tab w:leader="none" w:pos="108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expense adjustments;</w:t>
      </w:r>
    </w:p>
    <w:p>
      <w:pPr>
        <w:ind w:left="1080" w:hanging="526"/>
        <w:spacing w:after="0"/>
        <w:tabs>
          <w:tab w:leader="none" w:pos="108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Accounting policy alignment adjustments; and</w:t>
      </w:r>
    </w:p>
    <w:p>
      <w:pPr>
        <w:ind w:left="1080" w:hanging="526"/>
        <w:spacing w:after="0"/>
        <w:tabs>
          <w:tab w:leader="none" w:pos="108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 adjustments.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134</w:t>
      </w:r>
    </w:p>
    <w:p>
      <w:pPr>
        <w:sectPr>
          <w:pgSz w:w="13320" w:h="16920" w:orient="portrait"/>
          <w:cols w:equalWidth="0" w:num="1">
            <w:col w:w="10440"/>
          </w:cols>
          <w:pgMar w:left="1440" w:top="1440" w:right="1440" w:bottom="1440" w:gutter="0" w:footer="0" w:header="0"/>
          <w:type w:val="continuous"/>
        </w:sectPr>
      </w:pPr>
    </w:p>
    <w:bookmarkStart w:id="208" w:name="page209"/>
    <w:bookmarkEnd w:id="208"/>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The following unaudited pro forma financial information is for informational purposes only and is not necessarily indicative of the results of operations that would have been achieved as if the acquisition had taken place as January 1, 2023 for the year ended December 31 (in millions):</w:t>
      </w:r>
    </w:p>
    <w:p>
      <w:pPr>
        <w:spacing w:after="0" w:line="206"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7680" w:type="dxa"/>
            <w:vAlign w:val="bottom"/>
            <w:vMerge w:val="restart"/>
          </w:tcPr>
          <w:p>
            <w:pPr>
              <w:jc w:val="right"/>
              <w:ind w:right="6020"/>
              <w:spacing w:after="0"/>
              <w:rPr>
                <w:sz w:val="20"/>
                <w:szCs w:val="20"/>
                <w:color w:val="auto"/>
              </w:rPr>
            </w:pPr>
            <w:r>
              <w:rPr>
                <w:rFonts w:ascii="Times New Roman" w:cs="Times New Roman" w:eastAsia="Times New Roman" w:hAnsi="Times New Roman"/>
                <w:sz w:val="20"/>
                <w:szCs w:val="20"/>
                <w:color w:val="auto"/>
                <w:w w:val="98"/>
              </w:rPr>
              <w:t>Operating revenues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740" w:type="dxa"/>
            <w:vAlign w:val="bottom"/>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2"/>
        </w:trPr>
        <w:tc>
          <w:tcPr>
            <w:tcW w:w="7680" w:type="dxa"/>
            <w:vAlign w:val="bottom"/>
            <w:vMerge w:val="continue"/>
          </w:tcPr>
          <w:p>
            <w:pPr>
              <w:jc w:val="right"/>
              <w:ind w:right="6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w:t>
            </w:r>
          </w:p>
        </w:tc>
        <w:tc>
          <w:tcPr>
            <w:tcW w:w="160" w:type="dxa"/>
            <w:vAlign w:val="bottom"/>
          </w:tcPr>
          <w:p>
            <w:pPr>
              <w:spacing w:after="0"/>
              <w:rPr>
                <w:sz w:val="17"/>
                <w:szCs w:val="17"/>
                <w:color w:val="auto"/>
              </w:rPr>
            </w:pPr>
          </w:p>
        </w:tc>
        <w:tc>
          <w:tcPr>
            <w:tcW w:w="90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  24,258</w:t>
            </w:r>
          </w:p>
        </w:tc>
        <w:tc>
          <w:tcPr>
            <w:tcW w:w="240" w:type="dxa"/>
            <w:vAlign w:val="bottom"/>
            <w:tcBorders>
              <w:top w:val="single" w:sz="8" w:color="auto"/>
            </w:tcBorders>
          </w:tcPr>
          <w:p>
            <w:pPr>
              <w:jc w:val="right"/>
              <w:ind w:right="20"/>
              <w:spacing w:after="0" w:line="202" w:lineRule="exact"/>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23,066</w:t>
            </w:r>
          </w:p>
        </w:tc>
        <w:tc>
          <w:tcPr>
            <w:tcW w:w="0" w:type="dxa"/>
            <w:vAlign w:val="bottom"/>
          </w:tcPr>
          <w:p>
            <w:pPr>
              <w:spacing w:after="0"/>
              <w:rPr>
                <w:sz w:val="1"/>
                <w:szCs w:val="1"/>
                <w:color w:val="auto"/>
              </w:rPr>
            </w:pPr>
          </w:p>
        </w:tc>
      </w:tr>
      <w:tr>
        <w:trPr>
          <w:trHeight w:val="267"/>
        </w:trPr>
        <w:tc>
          <w:tcPr>
            <w:tcW w:w="76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8"/>
              </w:rPr>
              <w:t>Net income attributable to Waste Management, Inc. . . . . . . . . . . . . . . . . . . . . . . . . . . . . . . . . . .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2,614</w:t>
            </w: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1,843</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Other 2024 Acquisitions</w:t>
      </w:r>
    </w:p>
    <w:p>
      <w:pPr>
        <w:spacing w:after="0" w:line="237"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In addition to Stericycle, during the year ended December 31, 2024, we completed solid waste and recycling acquisitions primarily in New York, Florida, North Carolina and Arizona for total consideration of $790 million. Total consideration included $783 million in net cash paid and $7 million in non-cash consideration, primarily related to purchase price holdbacks. In addition, we paid $23 million of holdbacks, of which $16 million related to prior year acquisitions.</w:t>
      </w:r>
    </w:p>
    <w:p>
      <w:pPr>
        <w:spacing w:after="0" w:line="198"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20"/>
          <w:szCs w:val="20"/>
          <w:color w:val="auto"/>
        </w:rPr>
        <w:t>Total consideration for our other 2024 acquisitions was primarily allocated to $160 million of property and equipment, $79 million of other intangible assets and $588 million of goodwill. Other intangible assets included $63 million of customer relationships and $14 million of covenants not-to-compete.</w:t>
      </w:r>
    </w:p>
    <w:p>
      <w:pPr>
        <w:spacing w:after="0" w:line="188" w:lineRule="exact"/>
        <w:rPr>
          <w:sz w:val="20"/>
          <w:szCs w:val="20"/>
          <w:color w:val="auto"/>
        </w:rPr>
      </w:pPr>
    </w:p>
    <w:p>
      <w:pPr>
        <w:jc w:val="both"/>
        <w:ind w:left="360" w:right="360" w:firstLine="180"/>
        <w:spacing w:after="0" w:line="278" w:lineRule="auto"/>
        <w:rPr>
          <w:sz w:val="20"/>
          <w:szCs w:val="20"/>
          <w:color w:val="auto"/>
        </w:rPr>
      </w:pPr>
      <w:r>
        <w:rPr>
          <w:rFonts w:ascii="Times New Roman" w:cs="Times New Roman" w:eastAsia="Times New Roman" w:hAnsi="Times New Roman"/>
          <w:sz w:val="20"/>
          <w:szCs w:val="20"/>
          <w:color w:val="auto"/>
        </w:rPr>
        <w:t>The goodwill related to our other 2024 acquisitions was primarily a result of expected synergies from combining the acquired businesses with our existing operations a significant portion of which was tax deductible.</w:t>
      </w:r>
    </w:p>
    <w:p>
      <w:pPr>
        <w:spacing w:after="0" w:line="167" w:lineRule="exact"/>
        <w:rPr>
          <w:sz w:val="20"/>
          <w:szCs w:val="20"/>
          <w:color w:val="auto"/>
        </w:rPr>
      </w:pPr>
    </w:p>
    <w:p>
      <w:pPr>
        <w:jc w:val="both"/>
        <w:ind w:left="360" w:right="360" w:firstLine="180"/>
        <w:spacing w:after="0" w:line="259" w:lineRule="auto"/>
        <w:rPr>
          <w:sz w:val="20"/>
          <w:szCs w:val="20"/>
          <w:color w:val="auto"/>
        </w:rPr>
      </w:pPr>
      <w:r>
        <w:rPr>
          <w:rFonts w:ascii="Times New Roman" w:cs="Times New Roman" w:eastAsia="Times New Roman" w:hAnsi="Times New Roman"/>
          <w:sz w:val="20"/>
          <w:szCs w:val="20"/>
          <w:color w:val="auto"/>
        </w:rPr>
        <w:t>In 2022, we acquired a controlling interest in a business engaged in accelerating film and plastic wrap recycling capabilities that is included in our Recycling Processing and Sales segment. In the fourth quarter of 2024, we acquired the remaining minority interests in this business for $41 million.</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2023 Acquisitions</w:t>
      </w:r>
    </w:p>
    <w:p>
      <w:pPr>
        <w:spacing w:after="0" w:line="238"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During the year ended December 31, 2023, we acquired 12 businesses, primarily related to our Collection and Disposal businesses. Total consideration, net of cash acquired, for all acquisitions was $182 million, which included $157 million in net cash paid and $25 million in non-cash consideration, primarily related to purchase price holdbacks. In addition, we paid $13 million of holdbacks, of which $6 million related to prior year acquisitions.</w:t>
      </w:r>
    </w:p>
    <w:p>
      <w:pPr>
        <w:spacing w:after="0" w:line="193"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Total consideration for our 2023 acquisitions was primarily allocated to $49 million of property and equipment, $44 million of other intangible assets and $88 million of goodwill. Other intangible assets included $34 million of customer relationships and $10 million of covenants not-to-compete.</w:t>
      </w:r>
    </w:p>
    <w:p>
      <w:pPr>
        <w:spacing w:after="0" w:line="186"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The goodwill related to our 2023 acquisitions was primarily a result of expected synergies from combining the acquired businesses with our existing operations and substantially all was tax deductible.</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2022 Acquisitions</w:t>
      </w:r>
    </w:p>
    <w:p>
      <w:pPr>
        <w:spacing w:after="0" w:line="237" w:lineRule="exact"/>
        <w:rPr>
          <w:sz w:val="20"/>
          <w:szCs w:val="20"/>
          <w:color w:val="auto"/>
        </w:rPr>
      </w:pPr>
    </w:p>
    <w:p>
      <w:pPr>
        <w:jc w:val="both"/>
        <w:ind w:left="360" w:right="360" w:firstLine="360"/>
        <w:spacing w:after="0" w:line="263" w:lineRule="auto"/>
        <w:rPr>
          <w:sz w:val="20"/>
          <w:szCs w:val="20"/>
          <w:color w:val="auto"/>
        </w:rPr>
      </w:pPr>
      <w:r>
        <w:rPr>
          <w:rFonts w:ascii="Times New Roman" w:cs="Times New Roman" w:eastAsia="Times New Roman" w:hAnsi="Times New Roman"/>
          <w:sz w:val="19"/>
          <w:szCs w:val="19"/>
          <w:color w:val="auto"/>
        </w:rPr>
        <w:t>During the year ended December 31, 2022, we acquired 13 businesses, including the acquisition of a controlling interest in a business intended to allow us to deliver new recycling capabilities for our customers and provide circular solutions for film and clear plastic wrap used commercially, such as plastic stretch wrap for pallets, furniture film, grocery bags and potentially shrink wrap around food and beverage containers. Our other acquisitions in 2022 primarily related to our Collection and Disposal businesses. Total consideration, net of cash acquired, for all acquisitions was $507 million, which included $372 million in net cash paid and $135 million in non-cash consideration, primarily related to purchase</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135</w:t>
      </w:r>
    </w:p>
    <w:p>
      <w:pPr>
        <w:sectPr>
          <w:pgSz w:w="13320" w:h="16920" w:orient="portrait"/>
          <w:cols w:equalWidth="0" w:num="1">
            <w:col w:w="10440"/>
          </w:cols>
          <w:pgMar w:left="1440" w:top="1440" w:right="1440" w:bottom="1440" w:gutter="0" w:footer="0" w:header="0"/>
          <w:type w:val="continuous"/>
        </w:sectPr>
      </w:pPr>
    </w:p>
    <w:bookmarkStart w:id="209" w:name="page210"/>
    <w:bookmarkEnd w:id="209"/>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spacing w:after="0" w:line="278" w:lineRule="auto"/>
        <w:rPr>
          <w:sz w:val="20"/>
          <w:szCs w:val="20"/>
          <w:color w:val="auto"/>
        </w:rPr>
      </w:pPr>
      <w:r>
        <w:rPr>
          <w:rFonts w:ascii="Times New Roman" w:cs="Times New Roman" w:eastAsia="Times New Roman" w:hAnsi="Times New Roman"/>
          <w:sz w:val="20"/>
          <w:szCs w:val="20"/>
          <w:color w:val="auto"/>
        </w:rPr>
        <w:t>price holdbacks and the conversion of $67 million in secured convertible promissory notes receivable into equity of the acquired business. In addition, we paid $5 million of holdbacks related to prior year acquisitions.</w:t>
      </w:r>
    </w:p>
    <w:p>
      <w:pPr>
        <w:spacing w:after="0" w:line="167"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Total consideration for our 2022 acquisitions was primarily allocated to $138 million of property and equipment, $64 million of other intangible assets, $325 million of goodwill and $14 million of noncontrolling interests. Other intangible assets included $45 million of customer relationships and $19 million of covenants not-to-compete.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Divestitures</w:t>
      </w:r>
    </w:p>
    <w:p>
      <w:pPr>
        <w:spacing w:after="0" w:line="2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Assets Held for Sale</w:t>
      </w:r>
    </w:p>
    <w:p>
      <w:pPr>
        <w:spacing w:after="0" w:line="238"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20"/>
          <w:szCs w:val="20"/>
          <w:color w:val="auto"/>
        </w:rPr>
        <w:t>Upon our acquisition of Stericycle in November 2024, WM Healthcare Solutions’ Spain and Portugal subsidiaries were classified as held for sale and included within the “Assets held for sale” and “Liabilities held for sale” line items in the preliminary allocation of purchase price. We completed the sale of these assets on January 2, 2025.</w:t>
      </w:r>
    </w:p>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2024 Divestitures</w:t>
      </w:r>
    </w:p>
    <w:p>
      <w:pPr>
        <w:spacing w:after="0" w:line="237"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Proceeds from divestitures of businesses and other assets, net of cash divested, were $158 million, $78 million and $27 million in 2024, 2023 and 2022, respectively primarily the result of the sale of certain non - strategic assets.</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18. Variable Interest Entities</w:t>
      </w:r>
    </w:p>
    <w:p>
      <w:pPr>
        <w:spacing w:after="0" w:line="243"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The following is a description of our financial interests in unconsolidated and consolidated variable interest entities that we consider significant:</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Low-Income Housing Properties</w:t>
      </w:r>
    </w:p>
    <w:p>
      <w:pPr>
        <w:spacing w:after="0" w:line="240"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We do not consolidate our investments in entities established to manage low-income housing properties because we are not the primary beneficiary of these entities as we do not have the power to individually direct the activities of these entities. Our aggregate investment balance in these entities was $707 million and $ 458 million as of December 31, 2024 and 2023, respectively. The debt balance related to our investments in low-income housing properties was $670 million and $408 million as of December 31, 2024 and 2023, respectively. Additional information related to these investments is discussed in Note 8.</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Trust Funds for Final Capping, Closure, Post-Closure or Environmental Remediation Obligations</w:t>
      </w:r>
    </w:p>
    <w:p>
      <w:pPr>
        <w:spacing w:after="0" w:line="239"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Unconsolidated Variable Interest Entities — </w:t>
      </w:r>
      <w:r>
        <w:rPr>
          <w:rFonts w:ascii="Times New Roman" w:cs="Times New Roman" w:eastAsia="Times New Roman" w:hAnsi="Times New Roman"/>
          <w:sz w:val="20"/>
          <w:szCs w:val="20"/>
          <w:color w:val="auto"/>
        </w:rPr>
        <w:t>Trust funds that are established for both the benefit of the Company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$111 million and $104 million as of December 31, 2024 and 2023, respectively.</w:t>
      </w:r>
    </w:p>
    <w:p>
      <w:pPr>
        <w:spacing w:after="0" w:line="206"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Consolidated Variable Interest Entities — </w:t>
      </w:r>
      <w:r>
        <w:rPr>
          <w:rFonts w:ascii="Times New Roman" w:cs="Times New Roman" w:eastAsia="Times New Roman" w:hAnsi="Times New Roman"/>
          <w:sz w:val="20"/>
          <w:szCs w:val="20"/>
          <w:color w:val="auto"/>
        </w:rPr>
        <w:t>Trust funds for which we are the sole beneficiary are consolidated because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 are the primary beneficiary. These trust funds are recorded in restricted funds in our Consolidated Balance Sheets. Unrealized gains and losses on available-for-sale securities held by these trusts are recorded as a component of</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136</w:t>
      </w:r>
    </w:p>
    <w:p>
      <w:pPr>
        <w:sectPr>
          <w:pgSz w:w="13320" w:h="16920" w:orient="portrait"/>
          <w:cols w:equalWidth="0" w:num="1">
            <w:col w:w="10440"/>
          </w:cols>
          <w:pgMar w:left="1440" w:top="1440" w:right="1440" w:bottom="1440" w:gutter="0" w:footer="0" w:header="0"/>
          <w:type w:val="continuous"/>
        </w:sectPr>
      </w:pPr>
    </w:p>
    <w:bookmarkStart w:id="210" w:name="page211"/>
    <w:bookmarkEnd w:id="210"/>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spacing w:after="0" w:line="278" w:lineRule="auto"/>
        <w:rPr>
          <w:sz w:val="20"/>
          <w:szCs w:val="20"/>
          <w:color w:val="auto"/>
        </w:rPr>
      </w:pPr>
      <w:r>
        <w:rPr>
          <w:rFonts w:ascii="Times New Roman" w:cs="Times New Roman" w:eastAsia="Times New Roman" w:hAnsi="Times New Roman"/>
          <w:sz w:val="20"/>
          <w:szCs w:val="20"/>
          <w:color w:val="auto"/>
        </w:rPr>
        <w:t>accumulated other comprehensive income (loss). These trusts had a fair value of $128 million and $119 million as of December 31, 2024 and 2023, respectively.</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19. Segment and Related Information</w:t>
      </w:r>
    </w:p>
    <w:p>
      <w:pPr>
        <w:spacing w:after="0" w:line="243"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Our senior management evaluates, oversees and manages the financial performance of our business through five reportable segments, referred to as (i) East Tier; (ii) West Tier; (iii) Recycling Processing and Sales; (iv) WM Renewable Energy and (v) WM Healthcare Solutions. Our East and West Tiers along with Other Ancillary services that are not managed through our Tier segments, but that support our collection and disposal operations, form our “Collection and Disposal” businesses. We also provide additional services not managed through our five reportable segments, which are presented as Corporate and Other.</w:t>
      </w:r>
    </w:p>
    <w:p>
      <w:pPr>
        <w:spacing w:after="0" w:line="200"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From time to time, our operating results are significantly affected by certain transactions or events that management believes are not indicative or representative of our results. Refer to Note 11 for an explanation of certain transactions and events affecting our operating results. Reclassifications have been made to our prior period consolidated financial information to conform to the current year presentation.</w:t>
      </w:r>
    </w:p>
    <w:p>
      <w:pPr>
        <w:spacing w:after="0" w:line="1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i w:val="1"/>
          <w:iCs w:val="1"/>
          <w:color w:val="auto"/>
        </w:rPr>
        <w:t>Collection and Disposal</w:t>
      </w:r>
    </w:p>
    <w:p>
      <w:pPr>
        <w:spacing w:after="0" w:line="239"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Our Collection and Disposal businesses provide integrated environmental services, including collection, transfer, disposal and resource recovery services. We evaluate our Collection and Disposal businesses primarily through two geographic segments, East Tier and West Tier. Our East Tier primarily consists of geographic areas located in the Eastern U.S., the Great Lakes region and substantially all of Canada. Our West Tier primarily includes geographic areas located in the Western U.S., including the upper Midwest region and British Columbia, Canada. Additionally, we provide Other Ancillary services that are not managed through the Tier segments but that support our collection and disposal operations. Other Ancillary includes specialized services performed for customers that have differentiated needs. These specialized services are targeted at large industrial customers managed through our Sustainability and Environmental Solutions (“SES”) business or geographically dispersed customers managed through our Strategic Business Solutions (“WMSBS”) business. Also included within Other Ancillary are the results of non-operating entities that provide financial assurance and self-insurance support for our business, net of intercompany activity.</w:t>
      </w:r>
    </w:p>
    <w:p>
      <w:pPr>
        <w:spacing w:after="0" w:line="209"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Included within our Collection and Disposal businesses are landfills having (i) 20 third-party power generating facilities converting our landfill gas to fuel electricity generators; (ii) 16 third-party RNG facilities processing landfill gas to be sold to natural gas suppliers and (iii) six third-party projects delivering our landfill gas by pipeline to industrial customers as a direct substitute for fossil fuels in industrial processes. In return for providing our landfill gas, we receive royalties from each facility, including the benefit of a 15% royalty from our WM Renewable Energy segment based on net operating revenue generated through the sale of RNG, RINs, electricity and capacity, RECs and related environmental attributes from the 84 landfill beneficial use renewable energy projects owned by WM Renewable Energy on our active landfills, which is eliminated in consolidation.</w:t>
      </w:r>
    </w:p>
    <w:p>
      <w:pPr>
        <w:spacing w:after="0" w:line="20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Recycling Processing and Sales</w:t>
      </w:r>
    </w:p>
    <w:p>
      <w:pPr>
        <w:spacing w:after="0" w:line="239"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Our Recycling Processing and Sales segment includes the processing and sales of materials collected from residential, commercial and industrial customers. The materials are delivered to and processed at one of our many recycling facilities. Through our brokerage business, we also manage the marketing of recycling commodities that are processed in our facilities and by third parties by maintaining comprehensive service centers that continuously analyze market prices, logistics, market demands and product quality. Our Recycling Processing and Sales segment excludes the collection of recycled materials from our residential, commercial, and industrial customers which is included within our Collection and Disposal businesses.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137</w:t>
      </w:r>
    </w:p>
    <w:p>
      <w:pPr>
        <w:sectPr>
          <w:pgSz w:w="13320" w:h="16920" w:orient="portrait"/>
          <w:cols w:equalWidth="0" w:num="1">
            <w:col w:w="10440"/>
          </w:cols>
          <w:pgMar w:left="1440" w:top="1440" w:right="1440" w:bottom="1440" w:gutter="0" w:footer="0" w:header="0"/>
          <w:type w:val="continuous"/>
        </w:sectPr>
      </w:pPr>
    </w:p>
    <w:bookmarkStart w:id="211" w:name="page212"/>
    <w:bookmarkEnd w:id="211"/>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i w:val="1"/>
          <w:iCs w:val="1"/>
          <w:color w:val="auto"/>
        </w:rPr>
        <w:t>WM Renewable Energy</w:t>
      </w:r>
    </w:p>
    <w:p>
      <w:pPr>
        <w:spacing w:after="0" w:line="240"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Our WM Renewable Energy segment develops, operates and promotes projects for the beneficial use of landfill gas. Landfill gas is produced naturally as waste decomposes in a landfill. The methane component of the landfill gas is a readily available, renewable energy source that can be gathered and used beneficially as an alternative to fossil fuel. WM Renewable Energy converts landfill gas into several sources of renewable energy which include RNG, electricity and capacity, heat and/or steam. WM Renewable Energy also generates RINs under the RFS program, other credits under a variety of state programs associated with the use of RNG in our compressed natural gas fleet, and RECs associated with the production of electricity. The RINs, RECs, and other credits are sold to counterparties who are obligated under the regulatory programs and have a responsibility to procure RINs, RECs and other credits proportionate to their fossil fuel production and imports. RINs and RECs prices generally fluctuate in response to regulations enacted by the EPA or other regulatory bodies, as well as changes in supply and demand.</w:t>
      </w:r>
    </w:p>
    <w:p>
      <w:pPr>
        <w:spacing w:after="0" w:line="202" w:lineRule="exact"/>
        <w:rPr>
          <w:sz w:val="20"/>
          <w:szCs w:val="20"/>
          <w:color w:val="auto"/>
        </w:rPr>
      </w:pPr>
    </w:p>
    <w:p>
      <w:pPr>
        <w:jc w:val="both"/>
        <w:ind w:left="360" w:right="360" w:firstLine="360"/>
        <w:spacing w:after="0" w:line="257" w:lineRule="auto"/>
        <w:rPr>
          <w:sz w:val="20"/>
          <w:szCs w:val="20"/>
          <w:color w:val="auto"/>
        </w:rPr>
      </w:pPr>
      <w:r>
        <w:rPr>
          <w:rFonts w:ascii="Times New Roman" w:cs="Times New Roman" w:eastAsia="Times New Roman" w:hAnsi="Times New Roman"/>
          <w:sz w:val="19"/>
          <w:szCs w:val="19"/>
          <w:color w:val="auto"/>
        </w:rPr>
        <w:t>As of December 31, 2024, we had 102 landfill gas beneficial use projects producing commercial quantities of methane gas at owned or operated landfills. For 65 of these projects, the processed gas is used to fuel electricity generators. The electricity is then sold to public utilities, municipal utilities or power cooperatives. For 23 of these projects, the gas is used at the landfill or delivered by pipeline to industrial customers as a direct substitute for fossil fuels in industrial processes. For 11 of these projects, the landfill gas is processed to pipeline quality RNG and then sold to natural gas suppliers. Additionally, three of these projects are on third-party landfills. The revenues from these facilities are primarily generated through the sale of RNG, RINs, electricity and capacity, RECs and related environmental attributes. WM Renewable Energy is charged a 15% royalty on net operating revenue from these facilities residing on our active and closed landfills from our Collection and Disposal and Corporate and Other businesses, which is eliminated in consolidation. Additionally, WM Renewable Energy operates and maintains seven third-party landfill beneficial gas use projects in return for service revenue. Our Collection and Disposal and Corporate and Other businesses benefit from these projects as well as 52 additional third-party landfill beneficial gas use projects in the form of royalties.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i w:val="1"/>
          <w:iCs w:val="1"/>
          <w:color w:val="auto"/>
        </w:rPr>
        <w:t>WM Healthcare Solutions</w:t>
      </w:r>
    </w:p>
    <w:p>
      <w:pPr>
        <w:spacing w:after="0" w:line="240" w:lineRule="exact"/>
        <w:rPr>
          <w:sz w:val="20"/>
          <w:szCs w:val="20"/>
          <w:color w:val="auto"/>
        </w:rPr>
      </w:pPr>
    </w:p>
    <w:p>
      <w:pPr>
        <w:jc w:val="both"/>
        <w:ind w:left="360" w:right="360" w:firstLine="360"/>
        <w:spacing w:after="0" w:line="254" w:lineRule="auto"/>
        <w:rPr>
          <w:sz w:val="20"/>
          <w:szCs w:val="20"/>
          <w:color w:val="auto"/>
        </w:rPr>
      </w:pPr>
      <w:r>
        <w:rPr>
          <w:rFonts w:ascii="Times New Roman" w:cs="Times New Roman" w:eastAsia="Times New Roman" w:hAnsi="Times New Roman"/>
          <w:sz w:val="20"/>
          <w:szCs w:val="20"/>
          <w:color w:val="auto"/>
        </w:rPr>
        <w:t>Our WM Healthcare Solutions segment includes (i) RWCS, which provide compliance programs and collection, processing and disposal of regulated and specialized waste, including medical, pharmaceutical and hazardous waste and</w:t>
      </w:r>
    </w:p>
    <w:p>
      <w:pPr>
        <w:spacing w:after="0" w:line="1" w:lineRule="exact"/>
        <w:rPr>
          <w:sz w:val="20"/>
          <w:szCs w:val="20"/>
          <w:color w:val="auto"/>
        </w:rPr>
      </w:pPr>
    </w:p>
    <w:p>
      <w:pPr>
        <w:jc w:val="both"/>
        <w:ind w:left="360" w:right="360" w:firstLine="7"/>
        <w:spacing w:after="0" w:line="243" w:lineRule="auto"/>
        <w:tabs>
          <w:tab w:leader="none" w:pos="675"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SID services, which provide for the collection of personal and confidential information for secure destruction and recycling of sorted office paper. RWCS are provided to customers in the U.S., Canada, Ireland and the United Kingdom (“U.K.”). SID services are provided to customers in the U.S., Canada, Belgium, France, Germany, Ireland, Luxembourg, the Netherlands and the U.K.</w:t>
      </w:r>
    </w:p>
    <w:p>
      <w:pPr>
        <w:spacing w:after="0" w:line="201"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Our WM Healthcare Solutions customers are primarily in the following industries: enterprise healthcare (i.e., hospitals, health systems and national and corporate healthcare), practices and care providers (i.e., physician offices, surgery centers, veterinary clinics, nursing and long-term care facilities, dental clinics, clinics and urgent care, dialysis centers and home health organizations), and pharmacy labs and research centers. Our WM Healthcare Solutions businesses also provide services to airports and seaports, education institutions, funeral homes and crematories, government and military, banks and professional services, and other businesses. While the WM Healthcare Solutions businesses manage large volumes of waste and other materials, the average volume per customer site is relatively small.</w:t>
      </w:r>
    </w:p>
    <w:p>
      <w:pPr>
        <w:spacing w:after="0" w:line="199" w:lineRule="exact"/>
        <w:rPr>
          <w:sz w:val="20"/>
          <w:szCs w:val="20"/>
          <w:color w:val="auto"/>
        </w:rPr>
      </w:pPr>
    </w:p>
    <w:p>
      <w:pPr>
        <w:jc w:val="both"/>
        <w:ind w:left="360" w:right="360" w:firstLine="360"/>
        <w:spacing w:after="0" w:line="266" w:lineRule="auto"/>
        <w:rPr>
          <w:sz w:val="20"/>
          <w:szCs w:val="20"/>
          <w:color w:val="auto"/>
        </w:rPr>
      </w:pPr>
      <w:r>
        <w:rPr>
          <w:rFonts w:ascii="Times New Roman" w:cs="Times New Roman" w:eastAsia="Times New Roman" w:hAnsi="Times New Roman"/>
          <w:sz w:val="19"/>
          <w:szCs w:val="19"/>
          <w:color w:val="auto"/>
        </w:rPr>
        <w:t>Our WM Healthcare Solutions customers typically enter into a contract for the provision of services on a scheduled basis including weekly, monthly or on an as-needed basis over the contract term. Under the contract terms, the WM Healthcare Solutions businesses receive fees based on a monthly, quarterly or annual rate and/or fees based on contractual rates depending upon measures including the volume, weight or type of waste. Operating revenues are invoiced based on the terms of the underlying contract either on a regular basis, or as services are performed and are generally due within a</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138</w:t>
      </w:r>
    </w:p>
    <w:p>
      <w:pPr>
        <w:sectPr>
          <w:pgSz w:w="13320" w:h="16920" w:orient="portrait"/>
          <w:cols w:equalWidth="0" w:num="1">
            <w:col w:w="10440"/>
          </w:cols>
          <w:pgMar w:left="1440" w:top="1440" w:right="1440" w:bottom="1440" w:gutter="0" w:footer="0" w:header="0"/>
          <w:type w:val="continuous"/>
        </w:sectPr>
      </w:pPr>
    </w:p>
    <w:bookmarkStart w:id="212" w:name="page213"/>
    <w:bookmarkEnd w:id="212"/>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360" w:right="360"/>
        <w:spacing w:after="0" w:line="278" w:lineRule="auto"/>
        <w:rPr>
          <w:sz w:val="20"/>
          <w:szCs w:val="20"/>
          <w:color w:val="auto"/>
        </w:rPr>
      </w:pPr>
      <w:r>
        <w:rPr>
          <w:rFonts w:ascii="Times New Roman" w:cs="Times New Roman" w:eastAsia="Times New Roman" w:hAnsi="Times New Roman"/>
          <w:sz w:val="20"/>
          <w:szCs w:val="20"/>
          <w:color w:val="auto"/>
        </w:rPr>
        <w:t>short period of time after invoicing based upon normal terms and conditions for our business type and the geography of the services performed.</w:t>
      </w:r>
    </w:p>
    <w:p>
      <w:pPr>
        <w:spacing w:after="0" w:line="167" w:lineRule="exact"/>
        <w:rPr>
          <w:sz w:val="20"/>
          <w:szCs w:val="20"/>
          <w:color w:val="auto"/>
        </w:rPr>
      </w:pPr>
    </w:p>
    <w:p>
      <w:pPr>
        <w:jc w:val="both"/>
        <w:ind w:left="360" w:right="360" w:firstLine="360"/>
        <w:spacing w:after="0" w:line="266" w:lineRule="auto"/>
        <w:rPr>
          <w:sz w:val="20"/>
          <w:szCs w:val="20"/>
          <w:color w:val="auto"/>
        </w:rPr>
      </w:pPr>
      <w:r>
        <w:rPr>
          <w:rFonts w:ascii="Times New Roman" w:cs="Times New Roman" w:eastAsia="Times New Roman" w:hAnsi="Times New Roman"/>
          <w:sz w:val="19"/>
          <w:szCs w:val="19"/>
          <w:color w:val="auto"/>
        </w:rPr>
        <w:t>As of December 31, 2024, our WM Healthcare Solutions businesses include a global fleet of approximately 6,100 routed trucks, tractors, collection vans and small duty vehicles. Our WM Healthcare Solutions segment operates out of approximately 361 leased and owned facilities worldwide with 69 autoclaves or other alternative medical waste treatment facilities, 18 medical waste incinerator facilities, 107 SID processing facilities, and 167 transfer stations. Included within our WM Healthcare Solutions segment are 35 locations that are classified as held for sale as of December 31, 2024.</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i w:val="1"/>
          <w:iCs w:val="1"/>
          <w:color w:val="auto"/>
        </w:rPr>
        <w:t>Corporate and Other</w:t>
      </w:r>
    </w:p>
    <w:p>
      <w:pPr>
        <w:spacing w:after="0" w:line="239"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We also provide additional services that are not managed through our operating segments, which are presented in this report as Corporate and Other as they do not meet the criteria to be aggregated with other operating segments and do not meet the quantitative criteria to be separately reported. This includes the activities of our corporate office, including costs associated with our long-term incentive program, expanded service offerings and solutions (such as our investments in businesses and technologies that are designed to offer services and solutions ancillary or supplementary to our current operations) as well as our closed sites. Also, included within our Corporate and Other businesses closed sites are (i) six third-party power generating facilities converting our landfill gas to fuel electricity generators; (ii) two third - party projects delivering our landfill gas by pipeline to industrial customers as a direct substitute for fossil fuels in industrial processes and (iii) two third-party RNG facilities processing landfill gas to be sold to natural gas suppliers in return for a royalty. Additionally, Corporate and Other benefits from a 15% royalty from our WM Renewable Energy segment based on net operating revenue generated through the sale of RNG, RINs, electricity and capacity, RECs and related environmental attributes from the 15 landfill beneficial use renewable energy projects owned by WM Renewable Energy on our closed sites, which is eliminated in consolidation.</w:t>
      </w:r>
    </w:p>
    <w:p>
      <w:pPr>
        <w:spacing w:after="0" w:line="203"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Our chief operating decision maker (“CODM”) is the chief executive officer. The CODM regularly reviews financial results, operating performance, and capital expenditures of our five reportable segments. Our CODM uses income from operations for each segment predominantly in the annual budget and forecasting process and considers budget-to-actual variances on a monthly basis when making decisions about the allocation of operating and capital resources to each segment. Our CODM also uses segment income from operations to assess the performance of each segment by comparing the results of each segment with one another. Summarized financial information concerning our reportable segments as of December 31 and for the year then ended is shown in the following table (in millions):</w:t>
      </w:r>
    </w:p>
    <w:p>
      <w:pPr>
        <w:spacing w:after="0" w:line="216"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Net</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Selling,</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Depreciation,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Operating</w:t>
            </w:r>
          </w:p>
        </w:tc>
        <w:tc>
          <w:tcPr>
            <w:tcW w:w="40" w:type="dxa"/>
            <w:vAlign w:val="bottom"/>
          </w:tcPr>
          <w:p>
            <w:pPr>
              <w:spacing w:after="0"/>
              <w:rPr>
                <w:sz w:val="14"/>
                <w:szCs w:val="14"/>
                <w:color w:val="auto"/>
              </w:rPr>
            </w:pPr>
          </w:p>
        </w:tc>
        <w:tc>
          <w:tcPr>
            <w:tcW w:w="7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0" w:type="dxa"/>
            <w:vAlign w:val="bottom"/>
          </w:tcPr>
          <w:p>
            <w:pPr>
              <w:spacing w:after="0"/>
              <w:rPr>
                <w:sz w:val="14"/>
                <w:szCs w:val="14"/>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0" w:type="dxa"/>
            <w:vAlign w:val="bottom"/>
          </w:tcPr>
          <w:p>
            <w:pPr>
              <w:spacing w:after="0"/>
              <w:rPr>
                <w:sz w:val="14"/>
                <w:szCs w:val="14"/>
                <w:color w:val="auto"/>
              </w:rPr>
            </w:pP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Depletion and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from</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Expenditures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80" w:type="dxa"/>
            <w:vAlign w:val="bottom"/>
          </w:tcPr>
          <w:p>
            <w:pPr>
              <w:spacing w:after="0"/>
              <w:rPr>
                <w:sz w:val="15"/>
                <w:szCs w:val="15"/>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Revenues(b)</w:t>
            </w:r>
          </w:p>
        </w:tc>
        <w:tc>
          <w:tcPr>
            <w:tcW w:w="40" w:type="dxa"/>
            <w:vAlign w:val="bottom"/>
          </w:tcPr>
          <w:p>
            <w:pPr>
              <w:spacing w:after="0"/>
              <w:rPr>
                <w:sz w:val="15"/>
                <w:szCs w:val="15"/>
                <w:color w:val="auto"/>
              </w:rPr>
            </w:pPr>
          </w:p>
        </w:tc>
        <w:tc>
          <w:tcPr>
            <w:tcW w:w="7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Expenses</w:t>
            </w:r>
          </w:p>
        </w:tc>
        <w:tc>
          <w:tcPr>
            <w:tcW w:w="10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7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Expenses(g)</w:t>
            </w:r>
          </w:p>
        </w:tc>
        <w:tc>
          <w:tcPr>
            <w:tcW w:w="4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9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Operations(c)</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6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Collection and Disposal:</w:t>
            </w:r>
          </w:p>
        </w:tc>
        <w:tc>
          <w:tcPr>
            <w:tcW w:w="160" w:type="dxa"/>
            <w:vAlign w:val="bottom"/>
            <w:vMerge w:val="restart"/>
          </w:tcPr>
          <w:p>
            <w:pPr>
              <w:jc w:val="right"/>
              <w:ind w:right="3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8,703</w:t>
            </w:r>
          </w:p>
        </w:tc>
        <w:tc>
          <w:tcPr>
            <w:tcW w:w="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2,252</w:t>
            </w:r>
          </w:p>
        </w:tc>
        <w:tc>
          <w:tcPr>
            <w:tcW w:w="40" w:type="dxa"/>
            <w:vAlign w:val="bottom"/>
          </w:tcPr>
          <w:p>
            <w:pPr>
              <w:spacing w:after="0"/>
              <w:rPr>
                <w:sz w:val="14"/>
                <w:szCs w:val="14"/>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10,955</w:t>
            </w:r>
          </w:p>
        </w:tc>
        <w:tc>
          <w:tcPr>
            <w:tcW w:w="40" w:type="dxa"/>
            <w:vAlign w:val="bottom"/>
          </w:tcPr>
          <w:p>
            <w:pPr>
              <w:spacing w:after="0"/>
              <w:rPr>
                <w:sz w:val="14"/>
                <w:szCs w:val="14"/>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6,801</w:t>
            </w:r>
          </w:p>
        </w:tc>
        <w:tc>
          <w:tcPr>
            <w:tcW w:w="40" w:type="dxa"/>
            <w:vAlign w:val="bottom"/>
          </w:tcPr>
          <w:p>
            <w:pPr>
              <w:spacing w:after="0"/>
              <w:rPr>
                <w:sz w:val="14"/>
                <w:szCs w:val="14"/>
                <w:color w:val="auto"/>
              </w:rPr>
            </w:pP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60" w:type="dxa"/>
            <w:vAlign w:val="bottom"/>
          </w:tcPr>
          <w:p>
            <w:pPr>
              <w:spacing w:after="0"/>
              <w:rPr>
                <w:sz w:val="14"/>
                <w:szCs w:val="14"/>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4"/>
                <w:szCs w:val="14"/>
                <w:color w:val="auto"/>
              </w:rPr>
            </w:pP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2,760</w:t>
            </w:r>
          </w:p>
        </w:tc>
        <w:tc>
          <w:tcPr>
            <w:tcW w:w="40" w:type="dxa"/>
            <w:vAlign w:val="bottom"/>
          </w:tcPr>
          <w:p>
            <w:pPr>
              <w:spacing w:after="0"/>
              <w:rPr>
                <w:sz w:val="14"/>
                <w:szCs w:val="14"/>
                <w:color w:val="auto"/>
              </w:rPr>
            </w:pP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gridSpan w:val="3"/>
          </w:tcPr>
          <w:p>
            <w:pPr>
              <w:jc w:val="right"/>
              <w:ind w:right="237"/>
              <w:spacing w:after="0"/>
              <w:rPr>
                <w:sz w:val="20"/>
                <w:szCs w:val="20"/>
                <w:color w:val="auto"/>
              </w:rPr>
            </w:pPr>
            <w:r>
              <w:rPr>
                <w:rFonts w:ascii="Times New Roman" w:cs="Times New Roman" w:eastAsia="Times New Roman" w:hAnsi="Times New Roman"/>
                <w:sz w:val="14"/>
                <w:szCs w:val="14"/>
                <w:color w:val="auto"/>
              </w:rPr>
              <w:t>East Tier . . . . . . . . . . . . . . . .</w:t>
            </w:r>
          </w:p>
        </w:tc>
        <w:tc>
          <w:tcPr>
            <w:tcW w:w="540" w:type="dxa"/>
            <w:vAlign w:val="bottom"/>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gridSpan w:val="3"/>
          </w:tcPr>
          <w:p>
            <w:pPr>
              <w:jc w:val="right"/>
              <w:ind w:right="237"/>
              <w:spacing w:after="0"/>
              <w:rPr>
                <w:sz w:val="20"/>
                <w:szCs w:val="20"/>
                <w:color w:val="auto"/>
              </w:rPr>
            </w:pPr>
            <w:r>
              <w:rPr>
                <w:rFonts w:ascii="Times New Roman" w:cs="Times New Roman" w:eastAsia="Times New Roman" w:hAnsi="Times New Roman"/>
                <w:sz w:val="14"/>
                <w:szCs w:val="14"/>
                <w:color w:val="auto"/>
              </w:rPr>
              <w:t>West Tier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6,430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gridSpan w:val="3"/>
          </w:tcPr>
          <w:p>
            <w:pPr>
              <w:jc w:val="right"/>
              <w:ind w:right="237"/>
              <w:spacing w:after="0"/>
              <w:rPr>
                <w:sz w:val="20"/>
                <w:szCs w:val="20"/>
                <w:color w:val="auto"/>
              </w:rPr>
            </w:pPr>
            <w:r>
              <w:rPr>
                <w:rFonts w:ascii="Times New Roman" w:cs="Times New Roman" w:eastAsia="Times New Roman" w:hAnsi="Times New Roman"/>
                <w:sz w:val="14"/>
                <w:szCs w:val="14"/>
                <w:color w:val="auto"/>
              </w:rPr>
              <w:t>Other Ancillary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2,782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gridSpan w:val="2"/>
          </w:tcPr>
          <w:p>
            <w:pPr>
              <w:jc w:val="right"/>
              <w:ind w:right="160"/>
              <w:spacing w:after="0" w:line="138" w:lineRule="exact"/>
              <w:rPr>
                <w:sz w:val="20"/>
                <w:szCs w:val="20"/>
                <w:color w:val="auto"/>
              </w:rPr>
            </w:pPr>
            <w:r>
              <w:rPr>
                <w:rFonts w:ascii="Times New Roman" w:cs="Times New Roman" w:eastAsia="Times New Roman" w:hAnsi="Times New Roman"/>
                <w:sz w:val="12"/>
                <w:szCs w:val="12"/>
                <w:color w:val="auto"/>
              </w:rPr>
              <w:t>Collection and Disposal</w:t>
            </w:r>
            <w:r>
              <w:rPr>
                <w:rFonts w:ascii="Times New Roman" w:cs="Times New Roman" w:eastAsia="Times New Roman" w:hAnsi="Times New Roman"/>
                <w:sz w:val="15"/>
                <w:szCs w:val="15"/>
                <w:color w:val="auto"/>
                <w:vertAlign w:val="superscript"/>
              </w:rPr>
              <w:t>(e)(f)</w:t>
            </w: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19,716</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4,491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24,207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spacing w:after="0" w:line="137" w:lineRule="exact"/>
              <w:rPr>
                <w:sz w:val="20"/>
                <w:szCs w:val="20"/>
                <w:color w:val="auto"/>
              </w:rPr>
            </w:pPr>
            <w:r>
              <w:rPr>
                <w:rFonts w:ascii="Times New Roman" w:cs="Times New Roman" w:eastAsia="Times New Roman" w:hAnsi="Times New Roman"/>
                <w:sz w:val="14"/>
                <w:szCs w:val="14"/>
                <w:color w:val="auto"/>
              </w:rPr>
              <w:t>16,013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862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1,900</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5,444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2,242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gridSpan w:val="2"/>
          </w:tcPr>
          <w:p>
            <w:pPr>
              <w:spacing w:after="0" w:line="162" w:lineRule="exact"/>
              <w:rPr>
                <w:sz w:val="20"/>
                <w:szCs w:val="20"/>
                <w:color w:val="auto"/>
              </w:rPr>
            </w:pPr>
            <w:r>
              <w:rPr>
                <w:rFonts w:ascii="Times New Roman" w:cs="Times New Roman" w:eastAsia="Times New Roman" w:hAnsi="Times New Roman"/>
                <w:sz w:val="14"/>
                <w:szCs w:val="14"/>
                <w:color w:val="auto"/>
              </w:rPr>
              <w:t>Recycling Processing and Sales</w:t>
            </w:r>
            <w:r>
              <w:rPr>
                <w:rFonts w:ascii="Times New Roman" w:cs="Times New Roman" w:eastAsia="Times New Roman" w:hAnsi="Times New Roman"/>
                <w:sz w:val="18"/>
                <w:szCs w:val="18"/>
                <w:color w:val="auto"/>
                <w:vertAlign w:val="superscript"/>
              </w:rPr>
              <w:t>(e)</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gridSpan w:val="3"/>
          </w:tcPr>
          <w:p>
            <w:pPr>
              <w:jc w:val="right"/>
              <w:ind w:right="237"/>
              <w:spacing w:after="0" w:line="162" w:lineRule="exact"/>
              <w:rPr>
                <w:sz w:val="20"/>
                <w:szCs w:val="20"/>
                <w:color w:val="auto"/>
              </w:rPr>
            </w:pPr>
            <w:r>
              <w:rPr>
                <w:rFonts w:ascii="Times New Roman" w:cs="Times New Roman" w:eastAsia="Times New Roman" w:hAnsi="Times New Roman"/>
                <w:sz w:val="14"/>
                <w:szCs w:val="14"/>
                <w:color w:val="auto"/>
                <w:w w:val="99"/>
              </w:rPr>
              <w:t>WM Renewable Energy</w:t>
            </w:r>
            <w:r>
              <w:rPr>
                <w:rFonts w:ascii="Times New Roman" w:cs="Times New Roman" w:eastAsia="Times New Roman" w:hAnsi="Times New Roman"/>
                <w:sz w:val="18"/>
                <w:szCs w:val="18"/>
                <w:color w:val="auto"/>
                <w:w w:val="99"/>
                <w:vertAlign w:val="superscript"/>
              </w:rPr>
              <w:t>(f)</w:t>
            </w:r>
            <w:r>
              <w:rPr>
                <w:rFonts w:ascii="Times New Roman" w:cs="Times New Roman" w:eastAsia="Times New Roman" w:hAnsi="Times New Roman"/>
                <w:sz w:val="14"/>
                <w:szCs w:val="14"/>
                <w:color w:val="auto"/>
                <w:w w:val="99"/>
              </w:rPr>
              <w:t xml:space="preserve">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gridSpan w:val="3"/>
          </w:tcPr>
          <w:p>
            <w:pPr>
              <w:jc w:val="right"/>
              <w:ind w:right="237"/>
              <w:spacing w:after="0"/>
              <w:rPr>
                <w:sz w:val="20"/>
                <w:szCs w:val="20"/>
                <w:color w:val="auto"/>
              </w:rPr>
            </w:pPr>
            <w:r>
              <w:rPr>
                <w:rFonts w:ascii="Times New Roman" w:cs="Times New Roman" w:eastAsia="Times New Roman" w:hAnsi="Times New Roman"/>
                <w:sz w:val="14"/>
                <w:szCs w:val="14"/>
                <w:color w:val="auto"/>
                <w:w w:val="99"/>
              </w:rPr>
              <w:t>WM Healthcare Solutions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gridSpan w:val="3"/>
          </w:tcPr>
          <w:p>
            <w:pPr>
              <w:jc w:val="right"/>
              <w:ind w:right="237"/>
              <w:spacing w:after="0" w:line="176" w:lineRule="exact"/>
              <w:rPr>
                <w:sz w:val="20"/>
                <w:szCs w:val="20"/>
                <w:color w:val="auto"/>
              </w:rPr>
            </w:pPr>
            <w:r>
              <w:rPr>
                <w:rFonts w:ascii="Times New Roman" w:cs="Times New Roman" w:eastAsia="Times New Roman" w:hAnsi="Times New Roman"/>
                <w:sz w:val="14"/>
                <w:szCs w:val="14"/>
                <w:color w:val="auto"/>
              </w:rPr>
              <w:t>Corporate and Other</w:t>
            </w:r>
            <w:r>
              <w:rPr>
                <w:rFonts w:ascii="Times New Roman" w:cs="Times New Roman" w:eastAsia="Times New Roman" w:hAnsi="Times New Roman"/>
                <w:sz w:val="18"/>
                <w:szCs w:val="18"/>
                <w:color w:val="auto"/>
                <w:vertAlign w:val="superscript"/>
              </w:rPr>
              <w:t>(f)</w:t>
            </w:r>
            <w:r>
              <w:rPr>
                <w:rFonts w:ascii="Times New Roman" w:cs="Times New Roman" w:eastAsia="Times New Roman" w:hAnsi="Times New Roman"/>
                <w:sz w:val="14"/>
                <w:szCs w:val="14"/>
                <w:color w:val="auto"/>
              </w:rPr>
              <w:t xml:space="preserve">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(1,497)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40" w:type="dxa"/>
            <w:vAlign w:val="bottom"/>
            <w:gridSpan w:val="2"/>
          </w:tcPr>
          <w:p>
            <w:pPr>
              <w:jc w:val="right"/>
              <w:ind w:right="140"/>
              <w:spacing w:after="0" w:line="152" w:lineRule="exact"/>
              <w:rPr>
                <w:sz w:val="20"/>
                <w:szCs w:val="20"/>
                <w:color w:val="auto"/>
              </w:rPr>
            </w:pPr>
            <w:r>
              <w:rPr>
                <w:rFonts w:ascii="Times New Roman" w:cs="Times New Roman" w:eastAsia="Times New Roman" w:hAnsi="Times New Roman"/>
                <w:sz w:val="14"/>
                <w:szCs w:val="14"/>
                <w:color w:val="auto"/>
              </w:rPr>
              <w:t>. . . . . . . . . . . . . . . . .Total</w:t>
            </w:r>
          </w:p>
        </w:tc>
        <w:tc>
          <w:tcPr>
            <w:tcW w:w="1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22,063</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4,816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26,879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18,178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2,285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86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2,267</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4,063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3,328</w:t>
            </w: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200" w:type="dxa"/>
            <w:vAlign w:val="bottom"/>
            <w:gridSpan w:val="3"/>
          </w:tcPr>
          <w:p>
            <w:pPr>
              <w:jc w:val="right"/>
              <w:ind w:right="237"/>
              <w:spacing w:after="0"/>
              <w:rPr>
                <w:sz w:val="20"/>
                <w:szCs w:val="20"/>
                <w:color w:val="auto"/>
              </w:rPr>
            </w:pPr>
            <w:r>
              <w:rPr>
                <w:rFonts w:ascii="Times New Roman" w:cs="Times New Roman" w:eastAsia="Times New Roman" w:hAnsi="Times New Roman"/>
                <w:sz w:val="14"/>
                <w:szCs w:val="14"/>
                <w:color w:val="auto"/>
                <w:w w:val="99"/>
              </w:rPr>
              <w:t>Intercompany Elimination . . . . . .</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(4,816)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(4,795)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gridSpan w:val="3"/>
          </w:tcPr>
          <w:p>
            <w:pPr>
              <w:jc w:val="right"/>
              <w:ind w:right="237"/>
              <w:spacing w:after="0" w:line="153" w:lineRule="exact"/>
              <w:rPr>
                <w:sz w:val="20"/>
                <w:szCs w:val="20"/>
                <w:color w:val="auto"/>
              </w:rPr>
            </w:pPr>
            <w:r>
              <w:rPr>
                <w:rFonts w:ascii="Times New Roman" w:cs="Times New Roman" w:eastAsia="Times New Roman" w:hAnsi="Times New Roman"/>
                <w:sz w:val="14"/>
                <w:szCs w:val="14"/>
                <w:color w:val="auto"/>
              </w:rPr>
              <w:t>. . . . . . . . . . . . . . . . . . . . .Net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22,063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13,383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2,264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86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2,267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4,063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139</w:t>
      </w:r>
    </w:p>
    <w:p>
      <w:pPr>
        <w:sectPr>
          <w:pgSz w:w="13320" w:h="16920" w:orient="portrait"/>
          <w:cols w:equalWidth="0" w:num="1">
            <w:col w:w="10440"/>
          </w:cols>
          <w:pgMar w:left="1440" w:top="1440" w:right="1440" w:bottom="1440" w:gutter="0" w:footer="0" w:header="0"/>
          <w:type w:val="continuous"/>
        </w:sectPr>
      </w:pPr>
    </w:p>
    <w:bookmarkStart w:id="213" w:name="page214"/>
    <w:bookmarkEnd w:id="213"/>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61"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Net</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Selling,</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Depreciation,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Operating</w:t>
            </w:r>
          </w:p>
        </w:tc>
        <w:tc>
          <w:tcPr>
            <w:tcW w:w="40" w:type="dxa"/>
            <w:vAlign w:val="bottom"/>
          </w:tcPr>
          <w:p>
            <w:pPr>
              <w:spacing w:after="0"/>
              <w:rPr>
                <w:sz w:val="14"/>
                <w:szCs w:val="14"/>
                <w:color w:val="auto"/>
              </w:rPr>
            </w:pPr>
          </w:p>
        </w:tc>
        <w:tc>
          <w:tcPr>
            <w:tcW w:w="7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Depletion and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from</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Expenditures</w:t>
            </w:r>
          </w:p>
        </w:tc>
        <w:tc>
          <w:tcPr>
            <w:tcW w:w="0" w:type="dxa"/>
            <w:vAlign w:val="bottom"/>
          </w:tcPr>
          <w:p>
            <w:pPr>
              <w:spacing w:after="0"/>
              <w:rPr>
                <w:sz w:val="1"/>
                <w:szCs w:val="1"/>
                <w:color w:val="auto"/>
              </w:rPr>
            </w:pPr>
          </w:p>
        </w:tc>
      </w:tr>
      <w:tr>
        <w:trPr>
          <w:trHeight w:val="178"/>
        </w:trPr>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5"/>
                <w:szCs w:val="15"/>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Revenues(b)</w:t>
            </w:r>
          </w:p>
        </w:tc>
        <w:tc>
          <w:tcPr>
            <w:tcW w:w="40" w:type="dxa"/>
            <w:vAlign w:val="bottom"/>
          </w:tcPr>
          <w:p>
            <w:pPr>
              <w:spacing w:after="0"/>
              <w:rPr>
                <w:sz w:val="15"/>
                <w:szCs w:val="15"/>
                <w:color w:val="auto"/>
              </w:rPr>
            </w:pPr>
          </w:p>
        </w:tc>
        <w:tc>
          <w:tcPr>
            <w:tcW w:w="7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4"/>
              </w:rPr>
              <w:t>Expenses</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8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Expenses(g)</w:t>
            </w:r>
          </w:p>
        </w:tc>
        <w:tc>
          <w:tcPr>
            <w:tcW w:w="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9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Operations(c)</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(d)</w:t>
            </w:r>
          </w:p>
        </w:tc>
        <w:tc>
          <w:tcPr>
            <w:tcW w:w="0" w:type="dxa"/>
            <w:vAlign w:val="bottom"/>
          </w:tcPr>
          <w:p>
            <w:pPr>
              <w:spacing w:after="0"/>
              <w:rPr>
                <w:sz w:val="1"/>
                <w:szCs w:val="1"/>
                <w:color w:val="auto"/>
              </w:rPr>
            </w:pPr>
          </w:p>
        </w:tc>
      </w:tr>
      <w:tr>
        <w:trPr>
          <w:trHeight w:val="137"/>
        </w:trPr>
        <w:tc>
          <w:tcPr>
            <w:tcW w:w="2060" w:type="dxa"/>
            <w:vAlign w:val="bottom"/>
            <w:gridSpan w:val="2"/>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58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Collection and Disposal:</w:t>
            </w:r>
          </w:p>
        </w:tc>
        <w:tc>
          <w:tcPr>
            <w:tcW w:w="1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8,412</w:t>
            </w:r>
          </w:p>
        </w:tc>
        <w:tc>
          <w:tcPr>
            <w:tcW w:w="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40" w:type="dxa"/>
            <w:vAlign w:val="bottom"/>
          </w:tcPr>
          <w:p>
            <w:pPr>
              <w:spacing w:after="0"/>
              <w:rPr>
                <w:sz w:val="14"/>
                <w:szCs w:val="14"/>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10,533</w:t>
            </w:r>
          </w:p>
        </w:tc>
        <w:tc>
          <w:tcPr>
            <w:tcW w:w="40" w:type="dxa"/>
            <w:vAlign w:val="bottom"/>
          </w:tcPr>
          <w:p>
            <w:pPr>
              <w:spacing w:after="0"/>
              <w:rPr>
                <w:sz w:val="14"/>
                <w:szCs w:val="14"/>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6,747</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40" w:type="dxa"/>
            <w:vAlign w:val="bottom"/>
          </w:tcPr>
          <w:p>
            <w:pPr>
              <w:spacing w:after="0"/>
              <w:rPr>
                <w:sz w:val="14"/>
                <w:szCs w:val="14"/>
                <w:color w:val="auto"/>
              </w:rPr>
            </w:pP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40" w:type="dxa"/>
            <w:vAlign w:val="bottom"/>
          </w:tcPr>
          <w:p>
            <w:pPr>
              <w:spacing w:after="0"/>
              <w:rPr>
                <w:sz w:val="14"/>
                <w:szCs w:val="14"/>
                <w:color w:val="auto"/>
              </w:rPr>
            </w:pPr>
          </w:p>
        </w:tc>
        <w:tc>
          <w:tcPr>
            <w:tcW w:w="18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0" w:type="dxa"/>
            <w:vAlign w:val="bottom"/>
          </w:tcPr>
          <w:p>
            <w:pPr>
              <w:spacing w:after="0"/>
              <w:rPr>
                <w:sz w:val="1"/>
                <w:szCs w:val="1"/>
                <w:color w:val="auto"/>
              </w:rPr>
            </w:pPr>
          </w:p>
        </w:tc>
      </w:tr>
      <w:tr>
        <w:trPr>
          <w:trHeight w:val="162"/>
        </w:trPr>
        <w:tc>
          <w:tcPr>
            <w:tcW w:w="222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color w:val="auto"/>
              </w:rPr>
              <w:t>East Tier . . . . . . . . . . . . . . . .</w:t>
            </w:r>
          </w:p>
        </w:tc>
        <w:tc>
          <w:tcPr>
            <w:tcW w:w="540" w:type="dxa"/>
            <w:vAlign w:val="bottom"/>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color w:val="auto"/>
              </w:rPr>
              <w:t>West Tier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0" w:type="dxa"/>
            <w:vAlign w:val="bottom"/>
          </w:tcPr>
          <w:p>
            <w:pPr>
              <w:spacing w:after="0"/>
              <w:rPr>
                <w:sz w:val="1"/>
                <w:szCs w:val="1"/>
                <w:color w:val="auto"/>
              </w:rPr>
            </w:pPr>
          </w:p>
        </w:tc>
      </w:tr>
      <w:tr>
        <w:trPr>
          <w:trHeight w:val="176"/>
        </w:trPr>
        <w:tc>
          <w:tcPr>
            <w:tcW w:w="222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color w:val="auto"/>
              </w:rPr>
              <w:t>Other Ancillary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37"/>
        </w:trPr>
        <w:tc>
          <w:tcPr>
            <w:tcW w:w="2060" w:type="dxa"/>
            <w:vAlign w:val="bottom"/>
            <w:gridSpan w:val="2"/>
          </w:tcPr>
          <w:p>
            <w:pPr>
              <w:jc w:val="right"/>
              <w:ind w:right="160"/>
              <w:spacing w:after="0" w:line="138" w:lineRule="exact"/>
              <w:rPr>
                <w:sz w:val="20"/>
                <w:szCs w:val="20"/>
                <w:color w:val="auto"/>
              </w:rPr>
            </w:pPr>
            <w:r>
              <w:rPr>
                <w:rFonts w:ascii="Times New Roman" w:cs="Times New Roman" w:eastAsia="Times New Roman" w:hAnsi="Times New Roman"/>
                <w:sz w:val="12"/>
                <w:szCs w:val="12"/>
                <w:color w:val="auto"/>
              </w:rPr>
              <w:t>Collection and Disposal</w:t>
            </w:r>
            <w:r>
              <w:rPr>
                <w:rFonts w:ascii="Times New Roman" w:cs="Times New Roman" w:eastAsia="Times New Roman" w:hAnsi="Times New Roman"/>
                <w:sz w:val="15"/>
                <w:szCs w:val="15"/>
                <w:color w:val="auto"/>
                <w:vertAlign w:val="superscript"/>
              </w:rPr>
              <w:t>(e)(f)</w:t>
            </w: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18,865</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4,276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23,141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spacing w:after="0" w:line="137" w:lineRule="exact"/>
              <w:rPr>
                <w:sz w:val="20"/>
                <w:szCs w:val="20"/>
                <w:color w:val="auto"/>
              </w:rPr>
            </w:pPr>
            <w:r>
              <w:rPr>
                <w:rFonts w:ascii="Times New Roman" w:cs="Times New Roman" w:eastAsia="Times New Roman" w:hAnsi="Times New Roman"/>
                <w:sz w:val="14"/>
                <w:szCs w:val="14"/>
                <w:color w:val="auto"/>
              </w:rPr>
              <w:t>15,674</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834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1,812</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4,821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1,853</w:t>
            </w:r>
          </w:p>
        </w:tc>
        <w:tc>
          <w:tcPr>
            <w:tcW w:w="0" w:type="dxa"/>
            <w:vAlign w:val="bottom"/>
          </w:tcPr>
          <w:p>
            <w:pPr>
              <w:spacing w:after="0"/>
              <w:rPr>
                <w:sz w:val="1"/>
                <w:szCs w:val="1"/>
                <w:color w:val="auto"/>
              </w:rPr>
            </w:pPr>
          </w:p>
        </w:tc>
      </w:tr>
      <w:tr>
        <w:trPr>
          <w:trHeight w:val="161"/>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Recycling Processing and</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gridSpan w:val="3"/>
          </w:tcPr>
          <w:p>
            <w:pPr>
              <w:jc w:val="right"/>
              <w:ind w:right="230"/>
              <w:spacing w:after="0" w:line="162" w:lineRule="exact"/>
              <w:rPr>
                <w:sz w:val="20"/>
                <w:szCs w:val="20"/>
                <w:color w:val="auto"/>
              </w:rPr>
            </w:pPr>
            <w:r>
              <w:rPr>
                <w:rFonts w:ascii="Times New Roman" w:cs="Times New Roman" w:eastAsia="Times New Roman" w:hAnsi="Times New Roman"/>
                <w:sz w:val="14"/>
                <w:szCs w:val="14"/>
                <w:color w:val="auto"/>
              </w:rPr>
              <w:t>Sales</w:t>
            </w:r>
            <w:r>
              <w:rPr>
                <w:rFonts w:ascii="Times New Roman" w:cs="Times New Roman" w:eastAsia="Times New Roman" w:hAnsi="Times New Roman"/>
                <w:sz w:val="18"/>
                <w:szCs w:val="18"/>
                <w:color w:val="auto"/>
                <w:vertAlign w:val="superscript"/>
              </w:rPr>
              <w:t>(a)(e)</w:t>
            </w:r>
            <w:r>
              <w:rPr>
                <w:rFonts w:ascii="Times New Roman" w:cs="Times New Roman" w:eastAsia="Times New Roman" w:hAnsi="Times New Roman"/>
                <w:sz w:val="14"/>
                <w:szCs w:val="14"/>
                <w:color w:val="auto"/>
              </w:rPr>
              <w:t xml:space="preserve">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162"/>
        </w:trPr>
        <w:tc>
          <w:tcPr>
            <w:tcW w:w="2220" w:type="dxa"/>
            <w:vAlign w:val="bottom"/>
            <w:gridSpan w:val="3"/>
          </w:tcPr>
          <w:p>
            <w:pPr>
              <w:jc w:val="right"/>
              <w:ind w:right="230"/>
              <w:spacing w:after="0" w:line="162" w:lineRule="exact"/>
              <w:rPr>
                <w:sz w:val="20"/>
                <w:szCs w:val="20"/>
                <w:color w:val="auto"/>
              </w:rPr>
            </w:pPr>
            <w:r>
              <w:rPr>
                <w:rFonts w:ascii="Times New Roman" w:cs="Times New Roman" w:eastAsia="Times New Roman" w:hAnsi="Times New Roman"/>
                <w:sz w:val="14"/>
                <w:szCs w:val="14"/>
                <w:color w:val="auto"/>
              </w:rPr>
              <w:t>WM Renewable Energy</w:t>
            </w:r>
            <w:r>
              <w:rPr>
                <w:rFonts w:ascii="Times New Roman" w:cs="Times New Roman" w:eastAsia="Times New Roman" w:hAnsi="Times New Roman"/>
                <w:sz w:val="18"/>
                <w:szCs w:val="18"/>
                <w:color w:val="auto"/>
                <w:vertAlign w:val="superscript"/>
              </w:rPr>
              <w:t>(f)</w:t>
            </w:r>
            <w:r>
              <w:rPr>
                <w:rFonts w:ascii="Times New Roman" w:cs="Times New Roman" w:eastAsia="Times New Roman" w:hAnsi="Times New Roman"/>
                <w:sz w:val="14"/>
                <w:szCs w:val="14"/>
                <w:color w:val="auto"/>
              </w:rPr>
              <w:t xml:space="preserve">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176"/>
        </w:trPr>
        <w:tc>
          <w:tcPr>
            <w:tcW w:w="2220" w:type="dxa"/>
            <w:vAlign w:val="bottom"/>
            <w:gridSpan w:val="3"/>
          </w:tcPr>
          <w:p>
            <w:pPr>
              <w:jc w:val="right"/>
              <w:ind w:right="230"/>
              <w:spacing w:after="0" w:line="176" w:lineRule="exact"/>
              <w:rPr>
                <w:sz w:val="20"/>
                <w:szCs w:val="20"/>
                <w:color w:val="auto"/>
              </w:rPr>
            </w:pPr>
            <w:r>
              <w:rPr>
                <w:rFonts w:ascii="Times New Roman" w:cs="Times New Roman" w:eastAsia="Times New Roman" w:hAnsi="Times New Roman"/>
                <w:sz w:val="14"/>
                <w:szCs w:val="14"/>
                <w:color w:val="auto"/>
              </w:rPr>
              <w:t>Corporate and Other</w:t>
            </w:r>
            <w:r>
              <w:rPr>
                <w:rFonts w:ascii="Times New Roman" w:cs="Times New Roman" w:eastAsia="Times New Roman" w:hAnsi="Times New Roman"/>
                <w:sz w:val="18"/>
                <w:szCs w:val="18"/>
                <w:color w:val="auto"/>
                <w:vertAlign w:val="superscript"/>
              </w:rPr>
              <w:t>(f)</w:t>
            </w:r>
            <w:r>
              <w:rPr>
                <w:rFonts w:ascii="Times New Roman" w:cs="Times New Roman" w:eastAsia="Times New Roman" w:hAnsi="Times New Roman"/>
                <w:sz w:val="14"/>
                <w:szCs w:val="14"/>
                <w:color w:val="auto"/>
              </w:rPr>
              <w:t xml:space="preserve">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(1,281)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60"/>
        </w:trPr>
        <w:tc>
          <w:tcPr>
            <w:tcW w:w="2060" w:type="dxa"/>
            <w:vAlign w:val="bottom"/>
            <w:gridSpan w:val="2"/>
          </w:tcPr>
          <w:p>
            <w:pPr>
              <w:jc w:val="right"/>
              <w:ind w:right="140"/>
              <w:spacing w:after="0" w:line="152" w:lineRule="exact"/>
              <w:rPr>
                <w:sz w:val="20"/>
                <w:szCs w:val="20"/>
                <w:color w:val="auto"/>
              </w:rPr>
            </w:pPr>
            <w:r>
              <w:rPr>
                <w:rFonts w:ascii="Times New Roman" w:cs="Times New Roman" w:eastAsia="Times New Roman" w:hAnsi="Times New Roman"/>
                <w:sz w:val="14"/>
                <w:szCs w:val="14"/>
                <w:color w:val="auto"/>
              </w:rPr>
              <w:t>. . . . . . . . . . . . . . . . .Total</w:t>
            </w:r>
          </w:p>
        </w:tc>
        <w:tc>
          <w:tcPr>
            <w:tcW w:w="160" w:type="dxa"/>
            <w:vAlign w:val="bottom"/>
            <w:tcBorders>
              <w:top w:val="single" w:sz="8" w:color="auto"/>
              <w:bottom w:val="single" w:sz="8" w:color="auto"/>
            </w:tcBorders>
          </w:tcPr>
          <w:p>
            <w:pPr>
              <w:jc w:val="right"/>
              <w:ind w:right="10"/>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20,426</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4,613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25,039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17,204</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1,941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248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2,071</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3,575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2,838</w:t>
            </w:r>
          </w:p>
        </w:tc>
        <w:tc>
          <w:tcPr>
            <w:tcW w:w="0" w:type="dxa"/>
            <w:vAlign w:val="bottom"/>
          </w:tcPr>
          <w:p>
            <w:pPr>
              <w:spacing w:after="0"/>
              <w:rPr>
                <w:sz w:val="1"/>
                <w:szCs w:val="1"/>
                <w:color w:val="auto"/>
              </w:rPr>
            </w:pPr>
          </w:p>
        </w:tc>
      </w:tr>
      <w:tr>
        <w:trPr>
          <w:trHeight w:val="325"/>
        </w:trPr>
        <w:tc>
          <w:tcPr>
            <w:tcW w:w="222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color w:val="auto"/>
              </w:rPr>
              <w:t>Intercompany Elimination . . . . .</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(4,613)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(4,598)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220" w:type="dxa"/>
            <w:vAlign w:val="bottom"/>
            <w:gridSpan w:val="3"/>
          </w:tcPr>
          <w:p>
            <w:pPr>
              <w:jc w:val="right"/>
              <w:ind w:right="230"/>
              <w:spacing w:after="0" w:line="154" w:lineRule="exact"/>
              <w:rPr>
                <w:sz w:val="20"/>
                <w:szCs w:val="20"/>
                <w:color w:val="auto"/>
              </w:rPr>
            </w:pPr>
            <w:r>
              <w:rPr>
                <w:rFonts w:ascii="Times New Roman" w:cs="Times New Roman" w:eastAsia="Times New Roman" w:hAnsi="Times New Roman"/>
                <w:sz w:val="14"/>
                <w:szCs w:val="14"/>
                <w:color w:val="auto"/>
              </w:rPr>
              <w:t>. . . . . . . . . . . . . . . . . . . . .Net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20,426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12,606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1,926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248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2,071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3,575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8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Intercompany</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Selling,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3"/>
                <w:szCs w:val="13"/>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r>
        <w:trPr>
          <w:trHeight w:val="161"/>
        </w:trPr>
        <w:tc>
          <w:tcPr>
            <w:tcW w:w="1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Operating</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13"/>
                <w:szCs w:val="13"/>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13"/>
                <w:szCs w:val="13"/>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2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Depletion and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from</w:t>
            </w:r>
          </w:p>
        </w:tc>
        <w:tc>
          <w:tcPr>
            <w:tcW w:w="900" w:type="dxa"/>
            <w:vAlign w:val="bottom"/>
            <w:gridSpan w:val="3"/>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w w:val="99"/>
              </w:rPr>
              <w:t>Expenditures</w:t>
            </w:r>
          </w:p>
        </w:tc>
        <w:tc>
          <w:tcPr>
            <w:tcW w:w="0" w:type="dxa"/>
            <w:vAlign w:val="bottom"/>
          </w:tcPr>
          <w:p>
            <w:pPr>
              <w:spacing w:after="0"/>
              <w:rPr>
                <w:sz w:val="1"/>
                <w:szCs w:val="1"/>
                <w:color w:val="auto"/>
              </w:rPr>
            </w:pPr>
          </w:p>
        </w:tc>
      </w:tr>
      <w:tr>
        <w:trPr>
          <w:trHeight w:val="177"/>
        </w:trPr>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8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Revenues(b)</w:t>
            </w:r>
          </w:p>
        </w:tc>
        <w:tc>
          <w:tcPr>
            <w:tcW w:w="80" w:type="dxa"/>
            <w:vAlign w:val="bottom"/>
          </w:tcPr>
          <w:p>
            <w:pPr>
              <w:spacing w:after="0"/>
              <w:rPr>
                <w:sz w:val="15"/>
                <w:szCs w:val="15"/>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80" w:type="dxa"/>
            <w:vAlign w:val="bottom"/>
          </w:tcPr>
          <w:p>
            <w:pPr>
              <w:spacing w:after="0"/>
              <w:rPr>
                <w:sz w:val="15"/>
                <w:szCs w:val="15"/>
                <w:color w:val="auto"/>
              </w:rPr>
            </w:pPr>
          </w:p>
        </w:tc>
        <w:tc>
          <w:tcPr>
            <w:tcW w:w="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w w:val="97"/>
              </w:rPr>
              <w:t>Administrative</w:t>
            </w:r>
          </w:p>
        </w:tc>
        <w:tc>
          <w:tcPr>
            <w:tcW w:w="80" w:type="dxa"/>
            <w:vAlign w:val="bottom"/>
          </w:tcPr>
          <w:p>
            <w:pPr>
              <w:spacing w:after="0"/>
              <w:rPr>
                <w:sz w:val="15"/>
                <w:szCs w:val="15"/>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Expenses(g)</w:t>
            </w:r>
          </w:p>
        </w:tc>
        <w:tc>
          <w:tcPr>
            <w:tcW w:w="2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w w:val="96"/>
              </w:rPr>
              <w:t>Operations(c)</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(d)</w:t>
            </w:r>
          </w:p>
        </w:tc>
        <w:tc>
          <w:tcPr>
            <w:tcW w:w="0" w:type="dxa"/>
            <w:vAlign w:val="bottom"/>
          </w:tcPr>
          <w:p>
            <w:pPr>
              <w:spacing w:after="0"/>
              <w:rPr>
                <w:sz w:val="1"/>
                <w:szCs w:val="1"/>
                <w:color w:val="auto"/>
              </w:rPr>
            </w:pPr>
          </w:p>
        </w:tc>
      </w:tr>
      <w:tr>
        <w:trPr>
          <w:trHeight w:val="136"/>
        </w:trPr>
        <w:tc>
          <w:tcPr>
            <w:tcW w:w="2060" w:type="dxa"/>
            <w:vAlign w:val="bottom"/>
            <w:gridSpan w:val="2"/>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Collection and Disposal: . . . . . . .</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East Tier . . . . . . . . . . . . . . . .</w:t>
            </w:r>
          </w:p>
        </w:tc>
        <w:tc>
          <w:tcPr>
            <w:tcW w:w="160" w:type="dxa"/>
            <w:vAlign w:val="bottom"/>
          </w:tcPr>
          <w:p>
            <w:pPr>
              <w:jc w:val="right"/>
              <w:ind w:right="3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6,378</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40" w:type="dxa"/>
            <w:vAlign w:val="bottom"/>
          </w:tcPr>
          <w:p>
            <w:pPr>
              <w:spacing w:after="0"/>
              <w:rPr>
                <w:sz w:val="13"/>
                <w:szCs w:val="13"/>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40" w:type="dxa"/>
            <w:vAlign w:val="bottom"/>
          </w:tcPr>
          <w:p>
            <w:pPr>
              <w:spacing w:after="0"/>
              <w:rPr>
                <w:sz w:val="13"/>
                <w:szCs w:val="13"/>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22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0" w:type="dxa"/>
            <w:vAlign w:val="bottom"/>
          </w:tcPr>
          <w:p>
            <w:pPr>
              <w:spacing w:after="0"/>
              <w:rPr>
                <w:sz w:val="1"/>
                <w:szCs w:val="1"/>
                <w:color w:val="auto"/>
              </w:rPr>
            </w:pPr>
          </w:p>
        </w:tc>
      </w:tr>
      <w:tr>
        <w:trPr>
          <w:trHeight w:val="161"/>
        </w:trPr>
        <w:tc>
          <w:tcPr>
            <w:tcW w:w="2220" w:type="dxa"/>
            <w:vAlign w:val="bottom"/>
            <w:gridSpan w:val="3"/>
          </w:tcPr>
          <w:p>
            <w:pPr>
              <w:jc w:val="right"/>
              <w:ind w:right="237"/>
              <w:spacing w:after="0"/>
              <w:rPr>
                <w:sz w:val="20"/>
                <w:szCs w:val="20"/>
                <w:color w:val="auto"/>
              </w:rPr>
            </w:pPr>
            <w:r>
              <w:rPr>
                <w:rFonts w:ascii="Times New Roman" w:cs="Times New Roman" w:eastAsia="Times New Roman" w:hAnsi="Times New Roman"/>
                <w:sz w:val="14"/>
                <w:szCs w:val="14"/>
                <w:color w:val="auto"/>
              </w:rPr>
              <w:t>West Tier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0" w:type="dxa"/>
            <w:vAlign w:val="bottom"/>
          </w:tcPr>
          <w:p>
            <w:pPr>
              <w:spacing w:after="0"/>
              <w:rPr>
                <w:sz w:val="1"/>
                <w:szCs w:val="1"/>
                <w:color w:val="auto"/>
              </w:rPr>
            </w:pPr>
          </w:p>
        </w:tc>
      </w:tr>
      <w:tr>
        <w:trPr>
          <w:trHeight w:val="175"/>
        </w:trPr>
        <w:tc>
          <w:tcPr>
            <w:tcW w:w="2220" w:type="dxa"/>
            <w:vAlign w:val="bottom"/>
            <w:gridSpan w:val="3"/>
          </w:tcPr>
          <w:p>
            <w:pPr>
              <w:jc w:val="right"/>
              <w:ind w:right="237"/>
              <w:spacing w:after="0"/>
              <w:rPr>
                <w:sz w:val="20"/>
                <w:szCs w:val="20"/>
                <w:color w:val="auto"/>
              </w:rPr>
            </w:pPr>
            <w:r>
              <w:rPr>
                <w:rFonts w:ascii="Times New Roman" w:cs="Times New Roman" w:eastAsia="Times New Roman" w:hAnsi="Times New Roman"/>
                <w:sz w:val="14"/>
                <w:szCs w:val="14"/>
                <w:color w:val="auto"/>
              </w:rPr>
              <w:t>Other Ancillary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37"/>
        </w:trPr>
        <w:tc>
          <w:tcPr>
            <w:tcW w:w="2060" w:type="dxa"/>
            <w:vAlign w:val="bottom"/>
            <w:gridSpan w:val="2"/>
          </w:tcPr>
          <w:p>
            <w:pPr>
              <w:jc w:val="right"/>
              <w:ind w:right="160"/>
              <w:spacing w:after="0" w:line="138" w:lineRule="exact"/>
              <w:rPr>
                <w:sz w:val="20"/>
                <w:szCs w:val="20"/>
                <w:color w:val="auto"/>
              </w:rPr>
            </w:pPr>
            <w:r>
              <w:rPr>
                <w:rFonts w:ascii="Times New Roman" w:cs="Times New Roman" w:eastAsia="Times New Roman" w:hAnsi="Times New Roman"/>
                <w:sz w:val="12"/>
                <w:szCs w:val="12"/>
                <w:color w:val="auto"/>
              </w:rPr>
              <w:t>Collection and Disposal</w:t>
            </w:r>
            <w:r>
              <w:rPr>
                <w:rFonts w:ascii="Times New Roman" w:cs="Times New Roman" w:eastAsia="Times New Roman" w:hAnsi="Times New Roman"/>
                <w:sz w:val="15"/>
                <w:szCs w:val="15"/>
                <w:color w:val="auto"/>
                <w:vertAlign w:val="superscript"/>
              </w:rPr>
              <w:t>(e)(f)</w:t>
            </w: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17,843</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3,969</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21,812</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14,799</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793</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44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1,816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4,360</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1,762</w:t>
            </w:r>
          </w:p>
        </w:tc>
        <w:tc>
          <w:tcPr>
            <w:tcW w:w="0" w:type="dxa"/>
            <w:vAlign w:val="bottom"/>
          </w:tcPr>
          <w:p>
            <w:pPr>
              <w:spacing w:after="0"/>
              <w:rPr>
                <w:sz w:val="1"/>
                <w:szCs w:val="1"/>
                <w:color w:val="auto"/>
              </w:rPr>
            </w:pPr>
          </w:p>
        </w:tc>
      </w:tr>
      <w:tr>
        <w:trPr>
          <w:trHeight w:val="161"/>
        </w:trPr>
        <w:tc>
          <w:tcPr>
            <w:tcW w:w="206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Recycling Processing and Sales</w:t>
            </w:r>
            <w:r>
              <w:rPr>
                <w:rFonts w:ascii="Times New Roman" w:cs="Times New Roman" w:eastAsia="Times New Roman" w:hAnsi="Times New Roman"/>
                <w:sz w:val="18"/>
                <w:szCs w:val="18"/>
                <w:color w:val="auto"/>
                <w:vertAlign w:val="superscript"/>
              </w:rPr>
              <w:t>(e)</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161"/>
        </w:trPr>
        <w:tc>
          <w:tcPr>
            <w:tcW w:w="2220" w:type="dxa"/>
            <w:vAlign w:val="bottom"/>
            <w:gridSpan w:val="3"/>
          </w:tcPr>
          <w:p>
            <w:pPr>
              <w:jc w:val="right"/>
              <w:ind w:right="237"/>
              <w:spacing w:after="0" w:line="161" w:lineRule="exact"/>
              <w:rPr>
                <w:sz w:val="20"/>
                <w:szCs w:val="20"/>
                <w:color w:val="auto"/>
              </w:rPr>
            </w:pPr>
            <w:r>
              <w:rPr>
                <w:rFonts w:ascii="Times New Roman" w:cs="Times New Roman" w:eastAsia="Times New Roman" w:hAnsi="Times New Roman"/>
                <w:sz w:val="14"/>
                <w:szCs w:val="14"/>
                <w:color w:val="auto"/>
              </w:rPr>
              <w:t>WM Renewable Energy</w:t>
            </w:r>
            <w:r>
              <w:rPr>
                <w:rFonts w:ascii="Times New Roman" w:cs="Times New Roman" w:eastAsia="Times New Roman" w:hAnsi="Times New Roman"/>
                <w:sz w:val="18"/>
                <w:szCs w:val="18"/>
                <w:color w:val="auto"/>
                <w:vertAlign w:val="superscript"/>
              </w:rPr>
              <w:t>(f)</w:t>
            </w:r>
            <w:r>
              <w:rPr>
                <w:rFonts w:ascii="Times New Roman" w:cs="Times New Roman" w:eastAsia="Times New Roman" w:hAnsi="Times New Roman"/>
                <w:sz w:val="14"/>
                <w:szCs w:val="14"/>
                <w:color w:val="auto"/>
              </w:rPr>
              <w:t xml:space="preserve">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75"/>
        </w:trPr>
        <w:tc>
          <w:tcPr>
            <w:tcW w:w="2220" w:type="dxa"/>
            <w:vAlign w:val="bottom"/>
            <w:gridSpan w:val="3"/>
          </w:tcPr>
          <w:p>
            <w:pPr>
              <w:jc w:val="right"/>
              <w:ind w:right="237"/>
              <w:spacing w:after="0" w:line="176" w:lineRule="exact"/>
              <w:rPr>
                <w:sz w:val="20"/>
                <w:szCs w:val="20"/>
                <w:color w:val="auto"/>
              </w:rPr>
            </w:pPr>
            <w:r>
              <w:rPr>
                <w:rFonts w:ascii="Times New Roman" w:cs="Times New Roman" w:eastAsia="Times New Roman" w:hAnsi="Times New Roman"/>
                <w:sz w:val="14"/>
                <w:szCs w:val="14"/>
                <w:color w:val="auto"/>
              </w:rPr>
              <w:t>Corporate and Other</w:t>
            </w:r>
            <w:r>
              <w:rPr>
                <w:rFonts w:ascii="Times New Roman" w:cs="Times New Roman" w:eastAsia="Times New Roman" w:hAnsi="Times New Roman"/>
                <w:sz w:val="18"/>
                <w:szCs w:val="18"/>
                <w:color w:val="auto"/>
                <w:vertAlign w:val="superscript"/>
              </w:rPr>
              <w:t>(f)</w:t>
            </w:r>
            <w:r>
              <w:rPr>
                <w:rFonts w:ascii="Times New Roman" w:cs="Times New Roman" w:eastAsia="Times New Roman" w:hAnsi="Times New Roman"/>
                <w:sz w:val="14"/>
                <w:szCs w:val="14"/>
                <w:color w:val="auto"/>
              </w:rPr>
              <w:t xml:space="preserve">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60"/>
        </w:trPr>
        <w:tc>
          <w:tcPr>
            <w:tcW w:w="2060" w:type="dxa"/>
            <w:vAlign w:val="bottom"/>
            <w:gridSpan w:val="2"/>
          </w:tcPr>
          <w:p>
            <w:pPr>
              <w:jc w:val="right"/>
              <w:ind w:right="140"/>
              <w:spacing w:after="0" w:line="152" w:lineRule="exact"/>
              <w:rPr>
                <w:sz w:val="20"/>
                <w:szCs w:val="20"/>
                <w:color w:val="auto"/>
              </w:rPr>
            </w:pPr>
            <w:r>
              <w:rPr>
                <w:rFonts w:ascii="Times New Roman" w:cs="Times New Roman" w:eastAsia="Times New Roman" w:hAnsi="Times New Roman"/>
                <w:sz w:val="14"/>
                <w:szCs w:val="14"/>
                <w:color w:val="auto"/>
              </w:rPr>
              <w:t>. . . . . . . . . . . . . . . . .Total</w:t>
            </w:r>
          </w:p>
        </w:tc>
        <w:tc>
          <w:tcPr>
            <w:tcW w:w="1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19,698</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4,238</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23,936</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16,514</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1,956</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63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2,038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3,365</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2,809</w:t>
            </w:r>
          </w:p>
        </w:tc>
        <w:tc>
          <w:tcPr>
            <w:tcW w:w="0" w:type="dxa"/>
            <w:vAlign w:val="bottom"/>
          </w:tcPr>
          <w:p>
            <w:pPr>
              <w:spacing w:after="0"/>
              <w:rPr>
                <w:sz w:val="1"/>
                <w:szCs w:val="1"/>
                <w:color w:val="auto"/>
              </w:rPr>
            </w:pPr>
          </w:p>
        </w:tc>
      </w:tr>
      <w:tr>
        <w:trPr>
          <w:trHeight w:val="323"/>
        </w:trPr>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 . .IntercompanyElimination.</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20" w:type="dxa"/>
            <w:vAlign w:val="bottom"/>
            <w:gridSpan w:val="3"/>
          </w:tcPr>
          <w:p>
            <w:pPr>
              <w:jc w:val="right"/>
              <w:ind w:right="237"/>
              <w:spacing w:after="0" w:line="153" w:lineRule="exact"/>
              <w:rPr>
                <w:sz w:val="20"/>
                <w:szCs w:val="20"/>
                <w:color w:val="auto"/>
              </w:rPr>
            </w:pPr>
            <w:r>
              <w:rPr>
                <w:rFonts w:ascii="Times New Roman" w:cs="Times New Roman" w:eastAsia="Times New Roman" w:hAnsi="Times New Roman"/>
                <w:sz w:val="14"/>
                <w:szCs w:val="14"/>
                <w:color w:val="auto"/>
              </w:rPr>
              <w:t>. . . . . . . . . . . . . . . . . . . . .Net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19,698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12,294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1,938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63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2,038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3,365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106045</wp:posOffset>
                </wp:positionV>
                <wp:extent cx="1541145" cy="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8.35pt" to="139.65pt,8.35pt" o:allowincell="f" strokecolor="#000000" strokeweight="1.0199pt"/>
            </w:pict>
          </mc:Fallback>
        </mc:AlternateContent>
      </w:r>
    </w:p>
    <w:p>
      <w:pPr>
        <w:spacing w:after="0" w:line="190" w:lineRule="exact"/>
        <w:rPr>
          <w:sz w:val="20"/>
          <w:szCs w:val="20"/>
          <w:color w:val="auto"/>
        </w:rPr>
      </w:pPr>
    </w:p>
    <w:p>
      <w:pPr>
        <w:jc w:val="both"/>
        <w:ind w:left="720" w:right="360" w:hanging="353"/>
        <w:spacing w:after="0" w:line="252" w:lineRule="auto"/>
        <w:tabs>
          <w:tab w:leader="none" w:pos="72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year ended December 31, 2023 included within income from operations for our Recycling Processing and Sales segment is a $168 million goodwill impairment charge related to a business engaged in accelerating film and plastic wrap recycling capabilities, which was partially offset by the recognition of $46 million of income related to the reversal of a liability for contingent consideration associated with our investment in such business.</w:t>
      </w:r>
    </w:p>
    <w:p>
      <w:pPr>
        <w:spacing w:after="0" w:line="73" w:lineRule="exact"/>
        <w:rPr>
          <w:rFonts w:ascii="Times New Roman" w:cs="Times New Roman" w:eastAsia="Times New Roman" w:hAnsi="Times New Roman"/>
          <w:sz w:val="20"/>
          <w:szCs w:val="20"/>
          <w:color w:val="auto"/>
        </w:rPr>
      </w:pPr>
    </w:p>
    <w:p>
      <w:pPr>
        <w:jc w:val="both"/>
        <w:ind w:left="720" w:right="360" w:hanging="353"/>
        <w:spacing w:after="0" w:line="259" w:lineRule="auto"/>
        <w:tabs>
          <w:tab w:leader="none" w:pos="72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65" w:lineRule="exact"/>
        <w:rPr>
          <w:rFonts w:ascii="Times New Roman" w:cs="Times New Roman" w:eastAsia="Times New Roman" w:hAnsi="Times New Roman"/>
          <w:sz w:val="20"/>
          <w:szCs w:val="20"/>
          <w:color w:val="auto"/>
        </w:rPr>
      </w:pPr>
    </w:p>
    <w:p>
      <w:pPr>
        <w:ind w:left="720" w:right="360" w:hanging="353"/>
        <w:spacing w:after="0" w:line="278" w:lineRule="auto"/>
        <w:tabs>
          <w:tab w:leader="none" w:pos="72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those items included in the determination of income from operations, the accounting policies of the segments are the same as those described in Note 2.</w:t>
      </w:r>
    </w:p>
    <w:p>
      <w:pPr>
        <w:spacing w:after="0" w:line="47" w:lineRule="exact"/>
        <w:rPr>
          <w:rFonts w:ascii="Times New Roman" w:cs="Times New Roman" w:eastAsia="Times New Roman" w:hAnsi="Times New Roman"/>
          <w:sz w:val="20"/>
          <w:szCs w:val="20"/>
          <w:color w:val="auto"/>
        </w:rPr>
      </w:pPr>
    </w:p>
    <w:p>
      <w:pPr>
        <w:jc w:val="both"/>
        <w:ind w:left="720" w:right="360" w:hanging="353"/>
        <w:spacing w:after="0" w:line="258" w:lineRule="auto"/>
        <w:tabs>
          <w:tab w:leader="none" w:pos="72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non-cash items. Capital expenditures are reported in our reportable segments at the time they are recorded within the segments’ property and equipment balances and, therefore, include timing differences for amounts accrued but not yet paid.</w:t>
      </w:r>
    </w:p>
    <w:p>
      <w:pPr>
        <w:spacing w:after="0" w:line="68" w:lineRule="exact"/>
        <w:rPr>
          <w:rFonts w:ascii="Times New Roman" w:cs="Times New Roman" w:eastAsia="Times New Roman" w:hAnsi="Times New Roman"/>
          <w:sz w:val="20"/>
          <w:szCs w:val="20"/>
          <w:color w:val="auto"/>
        </w:rPr>
      </w:pPr>
    </w:p>
    <w:p>
      <w:pPr>
        <w:jc w:val="both"/>
        <w:ind w:left="720" w:right="360" w:hanging="353"/>
        <w:spacing w:after="0" w:line="258" w:lineRule="auto"/>
        <w:tabs>
          <w:tab w:leader="none" w:pos="72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fees related to the processing of recycled material we collect are included within our Collection and Disposal businesses. The amounts in income from operations for the years ended December 31, 2024, 2023 and 2022 are $100 million, $61 million and $77 million, respectively.</w:t>
      </w:r>
    </w:p>
    <w:p>
      <w:pPr>
        <w:spacing w:after="0" w:line="68" w:lineRule="exact"/>
        <w:rPr>
          <w:rFonts w:ascii="Times New Roman" w:cs="Times New Roman" w:eastAsia="Times New Roman" w:hAnsi="Times New Roman"/>
          <w:sz w:val="20"/>
          <w:szCs w:val="20"/>
          <w:color w:val="auto"/>
        </w:rPr>
      </w:pPr>
    </w:p>
    <w:p>
      <w:pPr>
        <w:jc w:val="both"/>
        <w:ind w:left="720" w:right="360" w:hanging="353"/>
        <w:spacing w:after="0" w:line="252" w:lineRule="auto"/>
        <w:tabs>
          <w:tab w:leader="none" w:pos="72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WM Renewable Energy pays a 15% intercompany royalty to our Collection and Disposal and Corporate and Other businesses for landfill gas. The total amount of royalties in gross and intercompany operating revenues for the East Tier, West Tier, and Corporate and Other and in operating expenses for WM Renewable Energy for the years ended December 31, 2024, 2023 and 2022 are $48 million, $41 million and $47 million, respectively. Prior to the fourth</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140</w:t>
      </w:r>
    </w:p>
    <w:p>
      <w:pPr>
        <w:sectPr>
          <w:pgSz w:w="13320" w:h="16920" w:orient="portrait"/>
          <w:cols w:equalWidth="0" w:num="1">
            <w:col w:w="10440"/>
          </w:cols>
          <w:pgMar w:left="1440" w:top="1440" w:right="1440" w:bottom="1440" w:gutter="0" w:footer="0" w:header="0"/>
          <w:type w:val="continuous"/>
        </w:sectPr>
      </w:pPr>
    </w:p>
    <w:bookmarkStart w:id="214" w:name="page215"/>
    <w:bookmarkEnd w:id="214"/>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quarter of 2024, amounts related to intercompany royalty payments were adjusted through income from operations.</w:t>
      </w:r>
    </w:p>
    <w:p>
      <w:pPr>
        <w:spacing w:after="0" w:line="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Prior periods have been recast to conform to current year presentation.</w:t>
      </w:r>
    </w:p>
    <w:p>
      <w:pPr>
        <w:spacing w:after="0" w:line="91" w:lineRule="exact"/>
        <w:rPr>
          <w:sz w:val="20"/>
          <w:szCs w:val="20"/>
          <w:color w:val="auto"/>
        </w:rPr>
      </w:pPr>
    </w:p>
    <w:p>
      <w:pPr>
        <w:ind w:left="720" w:right="360" w:hanging="353"/>
        <w:spacing w:after="0" w:line="278" w:lineRule="auto"/>
        <w:tabs>
          <w:tab w:leader="none" w:pos="72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net expenses include restructuring expenses, (gain) loss from divestitures, and asset impairments and unusual items, net.</w:t>
      </w:r>
    </w:p>
    <w:p>
      <w:pPr>
        <w:spacing w:after="0" w:line="47"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assets by reportable segment as of December 31 are as follows (in millions):</w:t>
      </w:r>
    </w:p>
    <w:p>
      <w:pPr>
        <w:spacing w:after="0" w:line="40"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7620" w:type="dxa"/>
            <w:vAlign w:val="bottom"/>
            <w:vMerge w:val="restart"/>
          </w:tcPr>
          <w:p>
            <w:pPr>
              <w:jc w:val="right"/>
              <w:ind w:right="5540"/>
              <w:spacing w:after="0"/>
              <w:rPr>
                <w:sz w:val="20"/>
                <w:szCs w:val="20"/>
                <w:color w:val="auto"/>
              </w:rPr>
            </w:pPr>
            <w:r>
              <w:rPr>
                <w:rFonts w:ascii="Times New Roman" w:cs="Times New Roman" w:eastAsia="Times New Roman" w:hAnsi="Times New Roman"/>
                <w:sz w:val="20"/>
                <w:szCs w:val="20"/>
                <w:color w:val="auto"/>
                <w:w w:val="99"/>
              </w:rPr>
              <w:t>Collection and Disposal:</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2"/>
        </w:trPr>
        <w:tc>
          <w:tcPr>
            <w:tcW w:w="76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8"/>
              </w:rPr>
              <w:t>East Tier . . . . . . . . . . . . . . . . . . . . . . . . . . . . . . .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15,328</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14,328</w:t>
            </w:r>
          </w:p>
        </w:tc>
        <w:tc>
          <w:tcPr>
            <w:tcW w:w="0" w:type="dxa"/>
            <w:vAlign w:val="bottom"/>
          </w:tcPr>
          <w:p>
            <w:pPr>
              <w:spacing w:after="0"/>
              <w:rPr>
                <w:sz w:val="1"/>
                <w:szCs w:val="1"/>
                <w:color w:val="auto"/>
              </w:rPr>
            </w:pPr>
          </w:p>
        </w:tc>
      </w:tr>
      <w:tr>
        <w:trPr>
          <w:trHeight w:val="232"/>
        </w:trPr>
        <w:tc>
          <w:tcPr>
            <w:tcW w:w="76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7"/>
              </w:rPr>
              <w:t>West Tier . . . . . . . . . . . . . . . . .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11,786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11,322</w:t>
            </w:r>
          </w:p>
        </w:tc>
        <w:tc>
          <w:tcPr>
            <w:tcW w:w="0" w:type="dxa"/>
            <w:vAlign w:val="bottom"/>
          </w:tcPr>
          <w:p>
            <w:pPr>
              <w:spacing w:after="0"/>
              <w:rPr>
                <w:sz w:val="1"/>
                <w:szCs w:val="1"/>
                <w:color w:val="auto"/>
              </w:rPr>
            </w:pPr>
          </w:p>
        </w:tc>
      </w:tr>
      <w:tr>
        <w:trPr>
          <w:trHeight w:val="250"/>
        </w:trPr>
        <w:tc>
          <w:tcPr>
            <w:tcW w:w="76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9"/>
              </w:rPr>
              <w:t>Other Ancillary . . . . . . . . . . . . . . . . . . . . . . . . . . . . . . .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779</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783</w:t>
            </w:r>
          </w:p>
        </w:tc>
        <w:tc>
          <w:tcPr>
            <w:tcW w:w="0" w:type="dxa"/>
            <w:vAlign w:val="bottom"/>
          </w:tcPr>
          <w:p>
            <w:pPr>
              <w:spacing w:after="0"/>
              <w:rPr>
                <w:sz w:val="1"/>
                <w:szCs w:val="1"/>
                <w:color w:val="auto"/>
              </w:rPr>
            </w:pPr>
          </w:p>
        </w:tc>
      </w:tr>
      <w:tr>
        <w:trPr>
          <w:trHeight w:val="202"/>
        </w:trPr>
        <w:tc>
          <w:tcPr>
            <w:tcW w:w="7620" w:type="dxa"/>
            <w:vAlign w:val="bottom"/>
          </w:tcPr>
          <w:p>
            <w:pPr>
              <w:jc w:val="right"/>
              <w:ind w:right="180"/>
              <w:spacing w:after="0" w:line="202" w:lineRule="exact"/>
              <w:rPr>
                <w:sz w:val="20"/>
                <w:szCs w:val="20"/>
                <w:color w:val="auto"/>
              </w:rPr>
            </w:pPr>
            <w:r>
              <w:rPr>
                <w:rFonts w:ascii="Times New Roman" w:cs="Times New Roman" w:eastAsia="Times New Roman" w:hAnsi="Times New Roman"/>
                <w:sz w:val="20"/>
                <w:szCs w:val="20"/>
                <w:color w:val="auto"/>
              </w:rPr>
              <w:t>. . . . . . . . . . . . . . . . . . . . . . . . . . . . . . . . . . . . . . . . . . . . . . . . . . . .CollectionandDisposal</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27,893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26,433</w:t>
            </w:r>
          </w:p>
        </w:tc>
        <w:tc>
          <w:tcPr>
            <w:tcW w:w="0" w:type="dxa"/>
            <w:vAlign w:val="bottom"/>
          </w:tcPr>
          <w:p>
            <w:pPr>
              <w:spacing w:after="0"/>
              <w:rPr>
                <w:sz w:val="1"/>
                <w:szCs w:val="1"/>
                <w:color w:val="auto"/>
              </w:rPr>
            </w:pPr>
          </w:p>
        </w:tc>
      </w:tr>
      <w:tr>
        <w:trPr>
          <w:trHeight w:val="232"/>
        </w:trPr>
        <w:tc>
          <w:tcPr>
            <w:tcW w:w="76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7"/>
              </w:rPr>
              <w:t>Recycling Processing and Sales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2,282</w:t>
            </w:r>
          </w:p>
        </w:tc>
        <w:tc>
          <w:tcPr>
            <w:tcW w:w="0" w:type="dxa"/>
            <w:vAlign w:val="bottom"/>
          </w:tcPr>
          <w:p>
            <w:pPr>
              <w:spacing w:after="0"/>
              <w:rPr>
                <w:sz w:val="1"/>
                <w:szCs w:val="1"/>
                <w:color w:val="auto"/>
              </w:rPr>
            </w:pPr>
          </w:p>
        </w:tc>
      </w:tr>
      <w:tr>
        <w:trPr>
          <w:trHeight w:val="230"/>
        </w:trPr>
        <w:tc>
          <w:tcPr>
            <w:tcW w:w="76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7"/>
              </w:rPr>
              <w:t>WM Renewable Energy . . . . . .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1,077</w:t>
            </w:r>
          </w:p>
        </w:tc>
        <w:tc>
          <w:tcPr>
            <w:tcW w:w="0" w:type="dxa"/>
            <w:vAlign w:val="bottom"/>
          </w:tcPr>
          <w:p>
            <w:pPr>
              <w:spacing w:after="0"/>
              <w:rPr>
                <w:sz w:val="1"/>
                <w:szCs w:val="1"/>
                <w:color w:val="auto"/>
              </w:rPr>
            </w:pPr>
          </w:p>
        </w:tc>
      </w:tr>
      <w:tr>
        <w:trPr>
          <w:trHeight w:val="232"/>
        </w:trPr>
        <w:tc>
          <w:tcPr>
            <w:tcW w:w="76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WM Healthcare Solutions . . . . .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9,406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6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7"/>
              </w:rPr>
              <w:t>Corporate and Other . . . . . . . . .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3,392</w:t>
            </w:r>
          </w:p>
        </w:tc>
        <w:tc>
          <w:tcPr>
            <w:tcW w:w="0" w:type="dxa"/>
            <w:vAlign w:val="bottom"/>
          </w:tcPr>
          <w:p>
            <w:pPr>
              <w:spacing w:after="0"/>
              <w:rPr>
                <w:sz w:val="1"/>
                <w:szCs w:val="1"/>
                <w:color w:val="auto"/>
              </w:rPr>
            </w:pPr>
          </w:p>
        </w:tc>
      </w:tr>
      <w:tr>
        <w:trPr>
          <w:trHeight w:val="251"/>
        </w:trPr>
        <w:tc>
          <w:tcPr>
            <w:tcW w:w="76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8"/>
              </w:rPr>
              <w:t>Elimination of intercompany investments and advances . . . . . . . . . . . . . . . . . . . . . . . . . . . . .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(747)</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w:t>
            </w:r>
          </w:p>
        </w:tc>
        <w:tc>
          <w:tcPr>
            <w:tcW w:w="0" w:type="dxa"/>
            <w:vAlign w:val="bottom"/>
          </w:tcPr>
          <w:p>
            <w:pPr>
              <w:spacing w:after="0"/>
              <w:rPr>
                <w:sz w:val="1"/>
                <w:szCs w:val="1"/>
                <w:color w:val="auto"/>
              </w:rPr>
            </w:pPr>
          </w:p>
        </w:tc>
      </w:tr>
      <w:tr>
        <w:trPr>
          <w:trHeight w:val="231"/>
        </w:trPr>
        <w:tc>
          <w:tcPr>
            <w:tcW w:w="7620" w:type="dxa"/>
            <w:vAlign w:val="bottom"/>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 . . . . . . . . . . . . . . . . . . . . . . . . . . . . . . . . . . .Totalassets,perConsolidatedBalanceSheet</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44,567</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32,823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141</w:t>
      </w:r>
    </w:p>
    <w:p>
      <w:pPr>
        <w:sectPr>
          <w:pgSz w:w="13320" w:h="16920" w:orient="portrait"/>
          <w:cols w:equalWidth="0" w:num="1">
            <w:col w:w="10440"/>
          </w:cols>
          <w:pgMar w:left="1440" w:top="1440" w:right="1440" w:bottom="1440" w:gutter="0" w:footer="0" w:header="0"/>
          <w:type w:val="continuous"/>
        </w:sectPr>
      </w:pPr>
    </w:p>
    <w:bookmarkStart w:id="215" w:name="page216"/>
    <w:bookmarkEnd w:id="215"/>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The mix of operating revenues from our major lines of business for the year ended December 31 are as follows (in millions):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u w:val="single" w:color="auto"/>
          <w:color w:val="auto"/>
        </w:rPr>
        <w:t>Years Ended December 31:</w:t>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2024</w:t>
      </w:r>
    </w:p>
    <w:p>
      <w:pPr>
        <w:ind w:left="360"/>
        <w:spacing w:after="0" w:line="241" w:lineRule="auto"/>
        <w:rPr>
          <w:sz w:val="20"/>
          <w:szCs w:val="20"/>
          <w:color w:val="auto"/>
        </w:rPr>
      </w:pPr>
      <w:r>
        <w:rPr>
          <w:rFonts w:ascii="Times New Roman" w:cs="Times New Roman" w:eastAsia="Times New Roman" w:hAnsi="Times New Roman"/>
          <w:sz w:val="20"/>
          <w:szCs w:val="20"/>
          <w:color w:val="auto"/>
        </w:rPr>
        <w:t>Commercial . . . . . . . . . . . . . . . . . . . . . . . . . . . . . . . . $ Industrial . . . . . . . . . . . . . . . . . . . . . . . . . . . . . . . . . . Residential . . . . . . . . . . . . . . . . . . . . . . . . . . . . . . . . .</w:t>
      </w:r>
    </w:p>
    <w:p>
      <w:pPr>
        <w:spacing w:after="0" w:line="1"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9"/>
          <w:szCs w:val="19"/>
          <w:color w:val="auto"/>
        </w:rPr>
        <w:t>Other collection . . . . . . . . . . . . . . . . . . . . . . . . . . . . .</w:t>
      </w:r>
    </w:p>
    <w:p>
      <w:pPr>
        <w:spacing w:after="0" w:line="20"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20"/>
          <w:szCs w:val="20"/>
          <w:color w:val="auto"/>
        </w:rPr>
        <w:t>Total collection . . . . . . . . . . . . . . . . . . . . . . . . . . .</w:t>
      </w:r>
    </w:p>
    <w:p>
      <w:pPr>
        <w:spacing w:after="0" w:line="3"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9"/>
          <w:szCs w:val="19"/>
          <w:color w:val="auto"/>
        </w:rPr>
        <w:t>Landfill . . . . . . . . . . . . . . . . . . . . . . . . . . . . . . . . . . .</w:t>
      </w:r>
    </w:p>
    <w:p>
      <w:pPr>
        <w:spacing w:after="0" w:line="12"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9"/>
          <w:szCs w:val="19"/>
          <w:color w:val="auto"/>
        </w:rPr>
        <w:t>Transfer . . . . . . . . . . . . . . . . . . . . . . . . . . . . . . . . . . .</w:t>
      </w:r>
    </w:p>
    <w:p>
      <w:pPr>
        <w:spacing w:after="0" w:line="20"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20"/>
          <w:szCs w:val="20"/>
          <w:color w:val="auto"/>
        </w:rPr>
        <w:t>Total Collection and Disposal . . . . . . . . . . . . . . .</w:t>
      </w:r>
    </w:p>
    <w:p>
      <w:pPr>
        <w:spacing w:after="0" w:line="4"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9"/>
          <w:szCs w:val="19"/>
          <w:color w:val="auto"/>
        </w:rPr>
        <w:t>Recycling Processing and Sales . . . . . . . . . . . . . . . .</w:t>
      </w:r>
    </w:p>
    <w:p>
      <w:pPr>
        <w:spacing w:after="0" w:line="12"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9"/>
          <w:szCs w:val="19"/>
          <w:color w:val="auto"/>
        </w:rPr>
        <w:t>WM Renewable Energy . . . . . . . . . . . . . . . . . . . . . .</w:t>
      </w:r>
    </w:p>
    <w:p>
      <w:pPr>
        <w:spacing w:after="0" w:line="13"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9"/>
          <w:szCs w:val="19"/>
          <w:color w:val="auto"/>
        </w:rPr>
        <w:t>WM Healthcare Solutions . . . . . . . . . . . . . . . . . . . . .</w:t>
      </w:r>
    </w:p>
    <w:p>
      <w:pPr>
        <w:spacing w:after="0" w:line="12"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9"/>
          <w:szCs w:val="19"/>
          <w:color w:val="auto"/>
        </w:rPr>
        <w:t>Corporate and Other . . . . . . . . . . . . . . . . . . . . . . . . .</w:t>
      </w:r>
    </w:p>
    <w:p>
      <w:pPr>
        <w:spacing w:after="0" w:line="20" w:lineRule="exact"/>
        <w:rPr>
          <w:sz w:val="20"/>
          <w:szCs w:val="20"/>
          <w:color w:val="auto"/>
        </w:rPr>
      </w:pPr>
    </w:p>
    <w:p>
      <w:pPr>
        <w:ind w:left="600"/>
        <w:spacing w:after="0"/>
        <w:tabs>
          <w:tab w:leader="none" w:pos="4840" w:val="left"/>
        </w:tabs>
        <w:rPr>
          <w:sz w:val="20"/>
          <w:szCs w:val="20"/>
          <w:color w:val="auto"/>
        </w:rPr>
      </w:pPr>
      <w:r>
        <w:rPr>
          <w:rFonts w:ascii="Times New Roman" w:cs="Times New Roman" w:eastAsia="Times New Roman" w:hAnsi="Times New Roman"/>
          <w:sz w:val="20"/>
          <w:szCs w:val="20"/>
          <w:color w:val="auto"/>
        </w:rPr>
        <w:t>Total . . . . . . . . . . . . . . . . . . . . . . . . . . . . . . . . . . .</w:t>
      </w:r>
      <w:r>
        <w:rPr>
          <w:sz w:val="20"/>
          <w:szCs w:val="20"/>
          <w:color w:val="auto"/>
        </w:rPr>
        <w:tab/>
      </w:r>
      <w:r>
        <w:rPr>
          <w:rFonts w:ascii="Times New Roman" w:cs="Times New Roman" w:eastAsia="Times New Roman" w:hAnsi="Times New Roman"/>
          <w:sz w:val="20"/>
          <w:szCs w:val="20"/>
          <w:color w:val="auto"/>
        </w:rPr>
        <w:t>$</w:t>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2023</w:t>
      </w:r>
    </w:p>
    <w:p>
      <w:pPr>
        <w:spacing w:after="0" w:line="32" w:lineRule="exact"/>
        <w:rPr>
          <w:sz w:val="20"/>
          <w:szCs w:val="20"/>
          <w:color w:val="auto"/>
        </w:rPr>
      </w:pPr>
    </w:p>
    <w:p>
      <w:pPr>
        <w:ind w:left="360"/>
        <w:spacing w:after="0" w:line="241" w:lineRule="auto"/>
        <w:rPr>
          <w:sz w:val="20"/>
          <w:szCs w:val="20"/>
          <w:color w:val="auto"/>
        </w:rPr>
      </w:pPr>
      <w:r>
        <w:rPr>
          <w:rFonts w:ascii="Times New Roman" w:cs="Times New Roman" w:eastAsia="Times New Roman" w:hAnsi="Times New Roman"/>
          <w:sz w:val="20"/>
          <w:szCs w:val="20"/>
          <w:color w:val="auto"/>
        </w:rPr>
        <w:t>Commercial . . . . . . . . . . . . . . . . . . . . . . . . . . . . . . . . $ Industrial . . . . . . . . . . . . . . . . . . . . . . . . . . . . . . . . . . Residential . . . . . . . . . . . . . . . . . . . . . . . . . . . . . . . . .</w:t>
      </w:r>
    </w:p>
    <w:p>
      <w:pPr>
        <w:spacing w:after="0" w:line="1"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9"/>
          <w:szCs w:val="19"/>
          <w:color w:val="auto"/>
        </w:rPr>
        <w:t>Other collection . . . . . . . . . . . . . . . . . . . . . . . . . . . . .</w:t>
      </w:r>
    </w:p>
    <w:p>
      <w:pPr>
        <w:spacing w:after="0" w:line="20"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20"/>
          <w:szCs w:val="20"/>
          <w:color w:val="auto"/>
        </w:rPr>
        <w:t>Total collection . . . . . . . . . . . . . . . . . . . . . . . . . . .</w:t>
      </w:r>
    </w:p>
    <w:p>
      <w:pPr>
        <w:spacing w:after="0" w:line="3"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9"/>
          <w:szCs w:val="19"/>
          <w:color w:val="auto"/>
        </w:rPr>
        <w:t>Landfill . . . . . . . . . . . . . . . . . . . . . . . . . . . . . . . . . . .</w:t>
      </w:r>
    </w:p>
    <w:p>
      <w:pPr>
        <w:spacing w:after="0" w:line="13"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9"/>
          <w:szCs w:val="19"/>
          <w:color w:val="auto"/>
        </w:rPr>
        <w:t>Transfer . . . . . . . . . . . . . . . . . . . . . . . . . . . . . . . . . . .</w:t>
      </w:r>
    </w:p>
    <w:p>
      <w:pPr>
        <w:spacing w:after="0" w:line="20"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20"/>
          <w:szCs w:val="20"/>
          <w:color w:val="auto"/>
        </w:rPr>
        <w:t>Total Collection and Disposal . . . . . . . . . . . . . . .</w:t>
      </w:r>
    </w:p>
    <w:p>
      <w:pPr>
        <w:spacing w:after="0" w:line="3"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9"/>
          <w:szCs w:val="19"/>
          <w:color w:val="auto"/>
        </w:rPr>
        <w:t>Recycling Processing and Sales . . . . . . . . . . . . . . . .</w:t>
      </w:r>
    </w:p>
    <w:p>
      <w:pPr>
        <w:spacing w:after="0" w:line="12"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9"/>
          <w:szCs w:val="19"/>
          <w:color w:val="auto"/>
        </w:rPr>
        <w:t>WM Renewable Energy . . . . . . . . . . . . . . . . . . . . . .</w:t>
      </w:r>
    </w:p>
    <w:p>
      <w:pPr>
        <w:spacing w:after="0" w:line="13"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9"/>
          <w:szCs w:val="19"/>
          <w:color w:val="auto"/>
        </w:rPr>
        <w:t>Corporate and Other . . . . . . . . . . . . . . . . . . . . . . . . .</w:t>
      </w:r>
    </w:p>
    <w:p>
      <w:pPr>
        <w:spacing w:after="0" w:line="20" w:lineRule="exact"/>
        <w:rPr>
          <w:sz w:val="20"/>
          <w:szCs w:val="20"/>
          <w:color w:val="auto"/>
        </w:rPr>
      </w:pPr>
    </w:p>
    <w:p>
      <w:pPr>
        <w:ind w:left="600"/>
        <w:spacing w:after="0"/>
        <w:tabs>
          <w:tab w:leader="none" w:pos="4840" w:val="left"/>
        </w:tabs>
        <w:rPr>
          <w:sz w:val="20"/>
          <w:szCs w:val="20"/>
          <w:color w:val="auto"/>
        </w:rPr>
      </w:pPr>
      <w:r>
        <w:rPr>
          <w:rFonts w:ascii="Times New Roman" w:cs="Times New Roman" w:eastAsia="Times New Roman" w:hAnsi="Times New Roman"/>
          <w:sz w:val="20"/>
          <w:szCs w:val="20"/>
          <w:color w:val="auto"/>
        </w:rPr>
        <w:t>Total . . . . . . . . . . . . . . . . . . . . . . . . . . . . . . . . . . .</w:t>
      </w:r>
      <w:r>
        <w:rPr>
          <w:sz w:val="20"/>
          <w:szCs w:val="20"/>
          <w:color w:val="auto"/>
        </w:rPr>
        <w:tab/>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2022</w:t>
      </w:r>
    </w:p>
    <w:p>
      <w:pPr>
        <w:spacing w:after="0" w:line="32" w:lineRule="exact"/>
        <w:rPr>
          <w:sz w:val="20"/>
          <w:szCs w:val="20"/>
          <w:color w:val="auto"/>
        </w:rPr>
      </w:pPr>
    </w:p>
    <w:p>
      <w:pPr>
        <w:ind w:left="360"/>
        <w:spacing w:after="0" w:line="241" w:lineRule="auto"/>
        <w:rPr>
          <w:sz w:val="20"/>
          <w:szCs w:val="20"/>
          <w:color w:val="auto"/>
        </w:rPr>
      </w:pPr>
      <w:r>
        <w:rPr>
          <w:rFonts w:ascii="Times New Roman" w:cs="Times New Roman" w:eastAsia="Times New Roman" w:hAnsi="Times New Roman"/>
          <w:sz w:val="20"/>
          <w:szCs w:val="20"/>
          <w:color w:val="auto"/>
        </w:rPr>
        <w:t>Commercial . . . . . . . . . . . . . . . . . . . . . . . . . . . . . . . . $ Industrial . . . . . . . . . . . . . . . . . . . . . . . . . . . . . . . . . . Residential . . . . . . . . . . . . . . . . . . . . . . . . . . . . . . . . .</w:t>
      </w:r>
    </w:p>
    <w:p>
      <w:pPr>
        <w:spacing w:after="0" w:line="1"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9"/>
          <w:szCs w:val="19"/>
          <w:color w:val="auto"/>
        </w:rPr>
        <w:t>Other collection . . . . . . . . . . . . . . . . . . . . . . . . . . . . .</w:t>
      </w:r>
    </w:p>
    <w:p>
      <w:pPr>
        <w:spacing w:after="0" w:line="20"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20"/>
          <w:szCs w:val="20"/>
          <w:color w:val="auto"/>
        </w:rPr>
        <w:t>Total collection . . . . . . . . . . . . . . . . . . . . . . . . . . .</w:t>
      </w:r>
    </w:p>
    <w:p>
      <w:pPr>
        <w:spacing w:after="0" w:line="3"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9"/>
          <w:szCs w:val="19"/>
          <w:color w:val="auto"/>
        </w:rPr>
        <w:t>Landfill . . . . . . . . . . . . . . . . . . . . . . . . . . . . . . . . . . .</w:t>
      </w:r>
    </w:p>
    <w:p>
      <w:pPr>
        <w:spacing w:after="0" w:line="12"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9"/>
          <w:szCs w:val="19"/>
          <w:color w:val="auto"/>
        </w:rPr>
        <w:t>Transfer . . . . . . . . . . . . . . . . . . . . . . . . . . . . . . . . . . .</w:t>
      </w:r>
    </w:p>
    <w:p>
      <w:pPr>
        <w:spacing w:after="0" w:line="20"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20"/>
          <w:szCs w:val="20"/>
          <w:color w:val="auto"/>
        </w:rPr>
        <w:t>Total Collection and Disposal . . . . . . . . . . . . . . .</w:t>
      </w:r>
    </w:p>
    <w:p>
      <w:pPr>
        <w:spacing w:after="0" w:line="4"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9"/>
          <w:szCs w:val="19"/>
          <w:color w:val="auto"/>
        </w:rPr>
        <w:t>Recycling Processing and Sales . . . . . . . . . . . . . . . .</w:t>
      </w:r>
    </w:p>
    <w:p>
      <w:pPr>
        <w:spacing w:after="0" w:line="12"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9"/>
          <w:szCs w:val="19"/>
          <w:color w:val="auto"/>
        </w:rPr>
        <w:t>WM Renewable Energy . . . . . . . . . . . . . . . . . . . . . .</w:t>
      </w:r>
    </w:p>
    <w:p>
      <w:pPr>
        <w:spacing w:after="0" w:line="13"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9"/>
          <w:szCs w:val="19"/>
          <w:color w:val="auto"/>
        </w:rPr>
        <w:t>Corporate and Other . . . . . . . . . . . . . . . . . . . . . . . . .</w:t>
      </w:r>
    </w:p>
    <w:p>
      <w:pPr>
        <w:spacing w:after="0" w:line="20" w:lineRule="exact"/>
        <w:rPr>
          <w:sz w:val="20"/>
          <w:szCs w:val="20"/>
          <w:color w:val="auto"/>
        </w:rPr>
      </w:pPr>
    </w:p>
    <w:p>
      <w:pPr>
        <w:ind w:left="600"/>
        <w:spacing w:after="0"/>
        <w:tabs>
          <w:tab w:leader="none" w:pos="4840" w:val="left"/>
        </w:tabs>
        <w:rPr>
          <w:sz w:val="20"/>
          <w:szCs w:val="20"/>
          <w:color w:val="auto"/>
        </w:rPr>
      </w:pPr>
      <w:r>
        <w:rPr>
          <w:rFonts w:ascii="Times New Roman" w:cs="Times New Roman" w:eastAsia="Times New Roman" w:hAnsi="Times New Roman"/>
          <w:sz w:val="20"/>
          <w:szCs w:val="20"/>
          <w:color w:val="auto"/>
        </w:rPr>
        <w:t>Total . . . . . . . . . . . . . . . . . . . . . . . . . . . . . . . . . . .</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440" w:type="dxa"/>
            <w:vAlign w:val="bottom"/>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Intercompany</w:t>
            </w:r>
          </w:p>
        </w:tc>
        <w:tc>
          <w:tcPr>
            <w:tcW w:w="3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Gross</w:t>
            </w:r>
          </w:p>
        </w:tc>
      </w:tr>
      <w:tr>
        <w:trPr>
          <w:trHeight w:val="185"/>
        </w:trPr>
        <w:tc>
          <w:tcPr>
            <w:tcW w:w="1440" w:type="dxa"/>
            <w:vAlign w:val="bottom"/>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3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Operating</w:t>
            </w:r>
          </w:p>
        </w:tc>
      </w:tr>
      <w:tr>
        <w:trPr>
          <w:trHeight w:val="204"/>
        </w:trPr>
        <w:tc>
          <w:tcPr>
            <w:tcW w:w="1440" w:type="dxa"/>
            <w:vAlign w:val="bottom"/>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Revenues(a)(b)</w:t>
            </w:r>
          </w:p>
        </w:tc>
        <w:tc>
          <w:tcPr>
            <w:tcW w:w="34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Revenues(b)</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-259080</wp:posOffset>
                </wp:positionH>
                <wp:positionV relativeFrom="paragraph">
                  <wp:posOffset>-2540</wp:posOffset>
                </wp:positionV>
                <wp:extent cx="960120" cy="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999pt,-0.1999pt" to="55.2pt,-0.1999pt" o:allowincell="f" strokecolor="#000000" strokeweight="0.48pt"/>
            </w:pict>
          </mc:Fallback>
        </mc:AlternateContent>
      </w:r>
    </w:p>
    <w:p>
      <w:pPr>
        <w:spacing w:after="0" w:line="200" w:lineRule="exact"/>
        <w:rPr>
          <w:sz w:val="20"/>
          <w:szCs w:val="20"/>
          <w:color w:val="auto"/>
        </w:rPr>
      </w:pPr>
    </w:p>
    <w:p>
      <w:pPr>
        <w:spacing w:after="0" w:line="223" w:lineRule="exact"/>
        <w:rPr>
          <w:sz w:val="20"/>
          <w:szCs w:val="20"/>
          <w:color w:val="auto"/>
        </w:rPr>
      </w:pPr>
    </w:p>
    <w:tbl>
      <w:tblPr>
        <w:tblLayout w:type="fixed"/>
        <w:tblInd w:w="500" w:type="dxa"/>
        <w:tblCellMar>
          <w:top w:w="0" w:type="dxa"/>
          <w:left w:w="0" w:type="dxa"/>
          <w:bottom w:w="0" w:type="dxa"/>
          <w:right w:w="0" w:type="dxa"/>
        </w:tblCellMar>
      </w:tblPr>
      <w:tr>
        <w:trPr>
          <w:trHeight w:val="232"/>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5,371</w:t>
            </w:r>
          </w:p>
        </w:tc>
        <w:tc>
          <w:tcPr>
            <w:tcW w:w="560" w:type="dxa"/>
            <w:vAlign w:val="bottom"/>
            <w:gridSpan w:val="2"/>
          </w:tcPr>
          <w:p>
            <w:pPr>
              <w:jc w:val="right"/>
              <w:ind w:right="375"/>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798</w:t>
            </w: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6,169</w:t>
            </w:r>
          </w:p>
        </w:tc>
      </w:tr>
      <w:tr>
        <w:trPr>
          <w:trHeight w:val="230"/>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3,089</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794</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3,883</w:t>
            </w:r>
          </w:p>
        </w:tc>
      </w:tr>
      <w:tr>
        <w:trPr>
          <w:trHeight w:val="232"/>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3,466</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3,555</w:t>
            </w:r>
          </w:p>
        </w:tc>
      </w:tr>
      <w:tr>
        <w:trPr>
          <w:trHeight w:val="250"/>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2,964</w:t>
            </w:r>
          </w:p>
        </w:tc>
        <w:tc>
          <w:tcPr>
            <w:tcW w:w="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3,194</w:t>
            </w:r>
          </w:p>
        </w:tc>
      </w:tr>
      <w:tr>
        <w:trPr>
          <w:trHeight w:val="202"/>
        </w:trPr>
        <w:tc>
          <w:tcPr>
            <w:tcW w:w="940" w:type="dxa"/>
            <w:vAlign w:val="bottom"/>
          </w:tcPr>
          <w:p>
            <w:pPr>
              <w:jc w:val="right"/>
              <w:ind w:right="300"/>
              <w:spacing w:after="0" w:line="202" w:lineRule="exact"/>
              <w:rPr>
                <w:sz w:val="20"/>
                <w:szCs w:val="20"/>
                <w:color w:val="auto"/>
              </w:rPr>
            </w:pPr>
            <w:r>
              <w:rPr>
                <w:rFonts w:ascii="Times New Roman" w:cs="Times New Roman" w:eastAsia="Times New Roman" w:hAnsi="Times New Roman"/>
                <w:sz w:val="20"/>
                <w:szCs w:val="20"/>
                <w:color w:val="auto"/>
                <w:w w:val="94"/>
              </w:rPr>
              <w:t>14,890</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1,911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16,801</w:t>
            </w:r>
          </w:p>
        </w:tc>
      </w:tr>
      <w:tr>
        <w:trPr>
          <w:trHeight w:val="230"/>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3,445</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1,513</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4,958</w:t>
            </w:r>
          </w:p>
        </w:tc>
      </w:tr>
      <w:tr>
        <w:trPr>
          <w:trHeight w:val="251"/>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1,381</w:t>
            </w:r>
          </w:p>
        </w:tc>
        <w:tc>
          <w:tcPr>
            <w:tcW w:w="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1,067</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2,448</w:t>
            </w:r>
          </w:p>
        </w:tc>
      </w:tr>
      <w:tr>
        <w:trPr>
          <w:trHeight w:val="202"/>
        </w:trPr>
        <w:tc>
          <w:tcPr>
            <w:tcW w:w="940" w:type="dxa"/>
            <w:vAlign w:val="bottom"/>
          </w:tcPr>
          <w:p>
            <w:pPr>
              <w:jc w:val="right"/>
              <w:ind w:right="300"/>
              <w:spacing w:after="0" w:line="202" w:lineRule="exact"/>
              <w:rPr>
                <w:sz w:val="20"/>
                <w:szCs w:val="20"/>
                <w:color w:val="auto"/>
              </w:rPr>
            </w:pPr>
            <w:r>
              <w:rPr>
                <w:rFonts w:ascii="Times New Roman" w:cs="Times New Roman" w:eastAsia="Times New Roman" w:hAnsi="Times New Roman"/>
                <w:sz w:val="20"/>
                <w:szCs w:val="20"/>
                <w:color w:val="auto"/>
                <w:w w:val="94"/>
              </w:rPr>
              <w:t>19,716</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4,491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24,207</w:t>
            </w:r>
          </w:p>
        </w:tc>
      </w:tr>
      <w:tr>
        <w:trPr>
          <w:trHeight w:val="230"/>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1,603</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1,890</w:t>
            </w:r>
          </w:p>
        </w:tc>
      </w:tr>
      <w:tr>
        <w:trPr>
          <w:trHeight w:val="232"/>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318</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w:t>
            </w:r>
          </w:p>
        </w:tc>
      </w:tr>
      <w:tr>
        <w:trPr>
          <w:trHeight w:val="230"/>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403</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w:t>
            </w:r>
          </w:p>
        </w:tc>
      </w:tr>
      <w:tr>
        <w:trPr>
          <w:trHeight w:val="251"/>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23</w:t>
            </w:r>
          </w:p>
        </w:tc>
        <w:tc>
          <w:tcPr>
            <w:tcW w:w="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29"/>
        </w:trPr>
        <w:tc>
          <w:tcPr>
            <w:tcW w:w="940" w:type="dxa"/>
            <w:vAlign w:val="bottom"/>
          </w:tcPr>
          <w:p>
            <w:pPr>
              <w:jc w:val="right"/>
              <w:ind w:right="300"/>
              <w:spacing w:after="0" w:line="220" w:lineRule="exact"/>
              <w:rPr>
                <w:sz w:val="20"/>
                <w:szCs w:val="20"/>
                <w:color w:val="auto"/>
              </w:rPr>
            </w:pPr>
            <w:r>
              <w:rPr>
                <w:rFonts w:ascii="Times New Roman" w:cs="Times New Roman" w:eastAsia="Times New Roman" w:hAnsi="Times New Roman"/>
                <w:sz w:val="20"/>
                <w:szCs w:val="20"/>
                <w:color w:val="auto"/>
                <w:w w:val="94"/>
              </w:rPr>
              <w:t>22,063</w:t>
            </w: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4,816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ind w:right="3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26,879</w:t>
            </w:r>
          </w:p>
        </w:tc>
      </w:tr>
      <w:tr>
        <w:trPr>
          <w:trHeight w:val="676"/>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5,109</w:t>
            </w:r>
          </w:p>
        </w:tc>
        <w:tc>
          <w:tcPr>
            <w:tcW w:w="560" w:type="dxa"/>
            <w:vAlign w:val="bottom"/>
            <w:gridSpan w:val="2"/>
          </w:tcPr>
          <w:p>
            <w:pPr>
              <w:jc w:val="right"/>
              <w:ind w:right="375"/>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w:t>
            </w: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5,801</w:t>
            </w:r>
          </w:p>
        </w:tc>
      </w:tr>
      <w:tr>
        <w:trPr>
          <w:trHeight w:val="230"/>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3,083</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753</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3,836</w:t>
            </w:r>
          </w:p>
        </w:tc>
      </w:tr>
      <w:tr>
        <w:trPr>
          <w:trHeight w:val="232"/>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3,378</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3,474</w:t>
            </w:r>
          </w:p>
        </w:tc>
      </w:tr>
      <w:tr>
        <w:trPr>
          <w:trHeight w:val="250"/>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2,786</w:t>
            </w:r>
          </w:p>
        </w:tc>
        <w:tc>
          <w:tcPr>
            <w:tcW w:w="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3,006</w:t>
            </w:r>
          </w:p>
        </w:tc>
      </w:tr>
      <w:tr>
        <w:trPr>
          <w:trHeight w:val="202"/>
        </w:trPr>
        <w:tc>
          <w:tcPr>
            <w:tcW w:w="940" w:type="dxa"/>
            <w:vAlign w:val="bottom"/>
          </w:tcPr>
          <w:p>
            <w:pPr>
              <w:jc w:val="right"/>
              <w:ind w:right="300"/>
              <w:spacing w:after="0" w:line="202" w:lineRule="exact"/>
              <w:rPr>
                <w:sz w:val="20"/>
                <w:szCs w:val="20"/>
                <w:color w:val="auto"/>
              </w:rPr>
            </w:pPr>
            <w:r>
              <w:rPr>
                <w:rFonts w:ascii="Times New Roman" w:cs="Times New Roman" w:eastAsia="Times New Roman" w:hAnsi="Times New Roman"/>
                <w:sz w:val="20"/>
                <w:szCs w:val="20"/>
                <w:color w:val="auto"/>
                <w:w w:val="94"/>
              </w:rPr>
              <w:t>14,356</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1,761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16,117</w:t>
            </w:r>
          </w:p>
        </w:tc>
      </w:tr>
      <w:tr>
        <w:trPr>
          <w:trHeight w:val="232"/>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3,252</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1,479</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4,731</w:t>
            </w:r>
          </w:p>
        </w:tc>
      </w:tr>
      <w:tr>
        <w:trPr>
          <w:trHeight w:val="250"/>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1,257</w:t>
            </w:r>
          </w:p>
        </w:tc>
        <w:tc>
          <w:tcPr>
            <w:tcW w:w="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1,036</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2,293</w:t>
            </w:r>
          </w:p>
        </w:tc>
      </w:tr>
      <w:tr>
        <w:trPr>
          <w:trHeight w:val="202"/>
        </w:trPr>
        <w:tc>
          <w:tcPr>
            <w:tcW w:w="940" w:type="dxa"/>
            <w:vAlign w:val="bottom"/>
          </w:tcPr>
          <w:p>
            <w:pPr>
              <w:jc w:val="right"/>
              <w:ind w:right="300"/>
              <w:spacing w:after="0" w:line="202" w:lineRule="exact"/>
              <w:rPr>
                <w:sz w:val="20"/>
                <w:szCs w:val="20"/>
                <w:color w:val="auto"/>
              </w:rPr>
            </w:pPr>
            <w:r>
              <w:rPr>
                <w:rFonts w:ascii="Times New Roman" w:cs="Times New Roman" w:eastAsia="Times New Roman" w:hAnsi="Times New Roman"/>
                <w:sz w:val="20"/>
                <w:szCs w:val="20"/>
                <w:color w:val="auto"/>
                <w:w w:val="94"/>
              </w:rPr>
              <w:t>18,865</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4,276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23,141</w:t>
            </w:r>
          </w:p>
        </w:tc>
      </w:tr>
      <w:tr>
        <w:trPr>
          <w:trHeight w:val="230"/>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1,264</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1,576</w:t>
            </w:r>
          </w:p>
        </w:tc>
      </w:tr>
      <w:tr>
        <w:trPr>
          <w:trHeight w:val="232"/>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273</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w:t>
            </w:r>
          </w:p>
        </w:tc>
      </w:tr>
      <w:tr>
        <w:trPr>
          <w:trHeight w:val="250"/>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24</w:t>
            </w:r>
          </w:p>
        </w:tc>
        <w:tc>
          <w:tcPr>
            <w:tcW w:w="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30"/>
        </w:trPr>
        <w:tc>
          <w:tcPr>
            <w:tcW w:w="940" w:type="dxa"/>
            <w:vAlign w:val="bottom"/>
          </w:tcPr>
          <w:p>
            <w:pPr>
              <w:jc w:val="right"/>
              <w:ind w:right="300"/>
              <w:spacing w:after="0" w:line="221" w:lineRule="exact"/>
              <w:rPr>
                <w:sz w:val="20"/>
                <w:szCs w:val="20"/>
                <w:color w:val="auto"/>
              </w:rPr>
            </w:pPr>
            <w:r>
              <w:rPr>
                <w:rFonts w:ascii="Times New Roman" w:cs="Times New Roman" w:eastAsia="Times New Roman" w:hAnsi="Times New Roman"/>
                <w:sz w:val="20"/>
                <w:szCs w:val="20"/>
                <w:color w:val="auto"/>
                <w:w w:val="94"/>
              </w:rPr>
              <w:t>20,426</w:t>
            </w:r>
          </w:p>
        </w:tc>
        <w:tc>
          <w:tcPr>
            <w:tcW w:w="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4,613</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bottom w:val="single" w:sz="8" w:color="auto"/>
            </w:tcBorders>
          </w:tcPr>
          <w:p>
            <w:pPr>
              <w:jc w:val="right"/>
              <w:ind w:right="30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25,039</w:t>
            </w:r>
          </w:p>
        </w:tc>
      </w:tr>
      <w:tr>
        <w:trPr>
          <w:trHeight w:val="676"/>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4,860</w:t>
            </w:r>
          </w:p>
        </w:tc>
        <w:tc>
          <w:tcPr>
            <w:tcW w:w="560" w:type="dxa"/>
            <w:vAlign w:val="bottom"/>
            <w:gridSpan w:val="2"/>
          </w:tcPr>
          <w:p>
            <w:pPr>
              <w:jc w:val="right"/>
              <w:ind w:right="375"/>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w:t>
            </w: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5,450</w:t>
            </w:r>
          </w:p>
        </w:tc>
      </w:tr>
      <w:tr>
        <w:trPr>
          <w:trHeight w:val="230"/>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3,025</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3,681</w:t>
            </w:r>
          </w:p>
        </w:tc>
      </w:tr>
      <w:tr>
        <w:trPr>
          <w:trHeight w:val="232"/>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3,264</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3,339</w:t>
            </w:r>
          </w:p>
        </w:tc>
      </w:tr>
      <w:tr>
        <w:trPr>
          <w:trHeight w:val="250"/>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2,466</w:t>
            </w:r>
          </w:p>
        </w:tc>
        <w:tc>
          <w:tcPr>
            <w:tcW w:w="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2,683</w:t>
            </w:r>
          </w:p>
        </w:tc>
      </w:tr>
      <w:tr>
        <w:trPr>
          <w:trHeight w:val="202"/>
        </w:trPr>
        <w:tc>
          <w:tcPr>
            <w:tcW w:w="940" w:type="dxa"/>
            <w:vAlign w:val="bottom"/>
          </w:tcPr>
          <w:p>
            <w:pPr>
              <w:jc w:val="right"/>
              <w:ind w:right="300"/>
              <w:spacing w:after="0" w:line="202" w:lineRule="exact"/>
              <w:rPr>
                <w:sz w:val="20"/>
                <w:szCs w:val="20"/>
                <w:color w:val="auto"/>
              </w:rPr>
            </w:pPr>
            <w:r>
              <w:rPr>
                <w:rFonts w:ascii="Times New Roman" w:cs="Times New Roman" w:eastAsia="Times New Roman" w:hAnsi="Times New Roman"/>
                <w:sz w:val="20"/>
                <w:szCs w:val="20"/>
                <w:color w:val="auto"/>
                <w:w w:val="94"/>
              </w:rPr>
              <w:t>13,615</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1,538</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15,153</w:t>
            </w:r>
          </w:p>
        </w:tc>
      </w:tr>
      <w:tr>
        <w:trPr>
          <w:trHeight w:val="230"/>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3,062</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1,454</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4,516</w:t>
            </w:r>
          </w:p>
        </w:tc>
      </w:tr>
      <w:tr>
        <w:trPr>
          <w:trHeight w:val="251"/>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1,166</w:t>
            </w:r>
          </w:p>
        </w:tc>
        <w:tc>
          <w:tcPr>
            <w:tcW w:w="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977</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2,143</w:t>
            </w:r>
          </w:p>
        </w:tc>
      </w:tr>
      <w:tr>
        <w:trPr>
          <w:trHeight w:val="202"/>
        </w:trPr>
        <w:tc>
          <w:tcPr>
            <w:tcW w:w="940" w:type="dxa"/>
            <w:vAlign w:val="bottom"/>
          </w:tcPr>
          <w:p>
            <w:pPr>
              <w:jc w:val="right"/>
              <w:ind w:right="300"/>
              <w:spacing w:after="0" w:line="202" w:lineRule="exact"/>
              <w:rPr>
                <w:sz w:val="20"/>
                <w:szCs w:val="20"/>
                <w:color w:val="auto"/>
              </w:rPr>
            </w:pPr>
            <w:r>
              <w:rPr>
                <w:rFonts w:ascii="Times New Roman" w:cs="Times New Roman" w:eastAsia="Times New Roman" w:hAnsi="Times New Roman"/>
                <w:sz w:val="20"/>
                <w:szCs w:val="20"/>
                <w:color w:val="auto"/>
                <w:w w:val="94"/>
              </w:rPr>
              <w:t>17,843</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3,969</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21,812</w:t>
            </w:r>
          </w:p>
        </w:tc>
      </w:tr>
      <w:tr>
        <w:trPr>
          <w:trHeight w:val="230"/>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1,516</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1,760</w:t>
            </w:r>
          </w:p>
        </w:tc>
      </w:tr>
      <w:tr>
        <w:trPr>
          <w:trHeight w:val="232"/>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312</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w:t>
            </w:r>
          </w:p>
        </w:tc>
      </w:tr>
      <w:tr>
        <w:trPr>
          <w:trHeight w:val="250"/>
        </w:trPr>
        <w:tc>
          <w:tcPr>
            <w:tcW w:w="9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27</w:t>
            </w:r>
          </w:p>
        </w:tc>
        <w:tc>
          <w:tcPr>
            <w:tcW w:w="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31"/>
        </w:trPr>
        <w:tc>
          <w:tcPr>
            <w:tcW w:w="940" w:type="dxa"/>
            <w:vAlign w:val="bottom"/>
          </w:tcPr>
          <w:p>
            <w:pPr>
              <w:jc w:val="right"/>
              <w:ind w:right="300"/>
              <w:spacing w:after="0" w:line="223" w:lineRule="exact"/>
              <w:rPr>
                <w:sz w:val="20"/>
                <w:szCs w:val="20"/>
                <w:color w:val="auto"/>
              </w:rPr>
            </w:pPr>
            <w:r>
              <w:rPr>
                <w:rFonts w:ascii="Times New Roman" w:cs="Times New Roman" w:eastAsia="Times New Roman" w:hAnsi="Times New Roman"/>
                <w:sz w:val="20"/>
                <w:szCs w:val="20"/>
                <w:color w:val="auto"/>
                <w:w w:val="94"/>
              </w:rPr>
              <w:t>19,698</w:t>
            </w:r>
          </w:p>
        </w:tc>
        <w:tc>
          <w:tcPr>
            <w:tcW w:w="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4,238</w:t>
            </w: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23,936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-259080</wp:posOffset>
                </wp:positionH>
                <wp:positionV relativeFrom="paragraph">
                  <wp:posOffset>-5537835</wp:posOffset>
                </wp:positionV>
                <wp:extent cx="960120" cy="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999pt,-436.0499pt" to="55.2pt,-436.0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-259080</wp:posOffset>
                </wp:positionH>
                <wp:positionV relativeFrom="paragraph">
                  <wp:posOffset>-5091430</wp:posOffset>
                </wp:positionV>
                <wp:extent cx="960120" cy="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999pt,-400.8999pt" to="55.2pt,-400.8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-259080</wp:posOffset>
                </wp:positionH>
                <wp:positionV relativeFrom="paragraph">
                  <wp:posOffset>-4351655</wp:posOffset>
                </wp:positionV>
                <wp:extent cx="960120" cy="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19" o:spid="_x0000_s13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999pt,-342.6499pt" to="55.2pt,-342.6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-259080</wp:posOffset>
                </wp:positionH>
                <wp:positionV relativeFrom="paragraph">
                  <wp:posOffset>-4199255</wp:posOffset>
                </wp:positionV>
                <wp:extent cx="960120" cy="0"/>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20" o:spid="_x0000_s13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999pt,-330.6499pt" to="55.2pt,-330.6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-259080</wp:posOffset>
                </wp:positionH>
                <wp:positionV relativeFrom="paragraph">
                  <wp:posOffset>-4186555</wp:posOffset>
                </wp:positionV>
                <wp:extent cx="960120" cy="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999pt,-329.6499pt" to="55.2pt,-329.6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-259080</wp:posOffset>
                </wp:positionH>
                <wp:positionV relativeFrom="paragraph">
                  <wp:posOffset>-3300095</wp:posOffset>
                </wp:positionV>
                <wp:extent cx="960120" cy="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999pt,-259.8499pt" to="55.2pt,-259.8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-259080</wp:posOffset>
                </wp:positionH>
                <wp:positionV relativeFrom="paragraph">
                  <wp:posOffset>-2853055</wp:posOffset>
                </wp:positionV>
                <wp:extent cx="960120" cy="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23" o:spid="_x0000_s13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999pt,-224.6499pt" to="55.2pt,-224.6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-259080</wp:posOffset>
                </wp:positionH>
                <wp:positionV relativeFrom="paragraph">
                  <wp:posOffset>-2260600</wp:posOffset>
                </wp:positionV>
                <wp:extent cx="960120" cy="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24" o:spid="_x0000_s13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999pt,-178pt" to="55.2pt,-178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-259080</wp:posOffset>
                </wp:positionH>
                <wp:positionV relativeFrom="paragraph">
                  <wp:posOffset>-2107565</wp:posOffset>
                </wp:positionV>
                <wp:extent cx="960120" cy="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25" o:spid="_x0000_s13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999pt,-165.9499pt" to="55.2pt,-165.9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-259080</wp:posOffset>
                </wp:positionH>
                <wp:positionV relativeFrom="paragraph">
                  <wp:posOffset>-2095500</wp:posOffset>
                </wp:positionV>
                <wp:extent cx="960120" cy="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26" o:spid="_x0000_s13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999pt,-165pt" to="55.2pt,-16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-259080</wp:posOffset>
                </wp:positionH>
                <wp:positionV relativeFrom="paragraph">
                  <wp:posOffset>-1208405</wp:posOffset>
                </wp:positionV>
                <wp:extent cx="960120" cy="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999pt,-95.1499pt" to="55.2pt,-95.1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-259080</wp:posOffset>
                </wp:positionH>
                <wp:positionV relativeFrom="paragraph">
                  <wp:posOffset>-762000</wp:posOffset>
                </wp:positionV>
                <wp:extent cx="960120" cy="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999pt,-60pt" to="55.2pt,-60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-259080</wp:posOffset>
                </wp:positionH>
                <wp:positionV relativeFrom="paragraph">
                  <wp:posOffset>-168910</wp:posOffset>
                </wp:positionV>
                <wp:extent cx="960120" cy="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29" o:spid="_x0000_s13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999pt,-13.2999pt" to="55.2pt,-13.2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-267970</wp:posOffset>
                </wp:positionH>
                <wp:positionV relativeFrom="paragraph">
                  <wp:posOffset>-2540</wp:posOffset>
                </wp:positionV>
                <wp:extent cx="969010" cy="0"/>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901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30" o:spid="_x0000_s13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999pt,-0.1999pt" to="55.2pt,-0.1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-267970</wp:posOffset>
                </wp:positionH>
                <wp:positionV relativeFrom="paragraph">
                  <wp:posOffset>-14605</wp:posOffset>
                </wp:positionV>
                <wp:extent cx="969010" cy="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901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31" o:spid="_x0000_s13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999pt,-1.1499pt" to="55.2pt,-1.1499pt" o:allowincell="f" strokecolor="#000000" strokeweight="0.48pt"/>
            </w:pict>
          </mc:Fallback>
        </mc:AlternateContent>
      </w:r>
    </w:p>
    <w:p>
      <w:pPr>
        <w:spacing w:after="0" w:line="200" w:lineRule="exact"/>
        <w:rPr>
          <w:sz w:val="20"/>
          <w:szCs w:val="20"/>
          <w:color w:val="auto"/>
        </w:rPr>
      </w:pPr>
    </w:p>
    <w:p>
      <w:pPr>
        <w:sectPr>
          <w:pgSz w:w="13320" w:h="16920" w:orient="portrait"/>
          <w:cols w:equalWidth="0" w:num="2">
            <w:col w:w="4960" w:space="300"/>
            <w:col w:w="5180"/>
          </w:cols>
          <w:pgMar w:left="1440" w:top="1440" w:right="1440" w:bottom="1440" w:gutter="0" w:footer="0" w:header="0"/>
          <w:type w:val="continuous"/>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142</w:t>
      </w:r>
    </w:p>
    <w:p>
      <w:pPr>
        <w:sectPr>
          <w:pgSz w:w="13320" w:h="16920" w:orient="portrait"/>
          <w:cols w:equalWidth="0" w:num="1">
            <w:col w:w="10440"/>
          </w:cols>
          <w:pgMar w:left="1440" w:top="1440" w:right="1440" w:bottom="1440" w:gutter="0" w:footer="0" w:header="0"/>
          <w:type w:val="continuous"/>
        </w:sectPr>
      </w:pPr>
    </w:p>
    <w:bookmarkStart w:id="216" w:name="page217"/>
    <w:bookmarkEnd w:id="216"/>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4" w:lineRule="exact"/>
        <w:rPr>
          <w:sz w:val="20"/>
          <w:szCs w:val="20"/>
          <w:color w:val="auto"/>
        </w:rPr>
      </w:pPr>
    </w:p>
    <w:p>
      <w:pPr>
        <w:jc w:val="both"/>
        <w:ind w:left="1080" w:right="360" w:hanging="353"/>
        <w:spacing w:after="0" w:line="259" w:lineRule="auto"/>
        <w:tabs>
          <w:tab w:leader="none" w:pos="108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125" w:lineRule="exact"/>
        <w:rPr>
          <w:rFonts w:ascii="Times New Roman" w:cs="Times New Roman" w:eastAsia="Times New Roman" w:hAnsi="Times New Roman"/>
          <w:sz w:val="20"/>
          <w:szCs w:val="20"/>
          <w:color w:val="auto"/>
        </w:rPr>
      </w:pPr>
    </w:p>
    <w:p>
      <w:pPr>
        <w:jc w:val="both"/>
        <w:ind w:left="1080" w:right="360" w:hanging="353"/>
        <w:spacing w:after="0" w:line="252" w:lineRule="auto"/>
        <w:tabs>
          <w:tab w:leader="none" w:pos="108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fourth quarter of 2024, the Company adjusted gross and intercompany operating revenues to reflect the 15% royalty paid by WM Renewable Energy to Collection and Disposal and Corporate and Other businesses for the purchase of landfill gas. There was no change to net operating revenues. Prior periods were recast to conform to current year presentation.</w:t>
      </w:r>
    </w:p>
    <w:p>
      <w:pPr>
        <w:spacing w:after="0" w:line="135"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33"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20"/>
          <w:szCs w:val="20"/>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31" w:lineRule="exact"/>
        <w:rPr>
          <w:sz w:val="20"/>
          <w:szCs w:val="20"/>
          <w:color w:val="auto"/>
        </w:rPr>
      </w:pPr>
    </w:p>
    <w:p>
      <w:pPr>
        <w:jc w:val="both"/>
        <w:ind w:left="360" w:right="360" w:firstLine="360"/>
        <w:spacing w:after="0" w:line="249" w:lineRule="auto"/>
        <w:rPr>
          <w:sz w:val="20"/>
          <w:szCs w:val="20"/>
          <w:color w:val="auto"/>
        </w:rPr>
      </w:pPr>
      <w:r>
        <w:rPr>
          <w:rFonts w:ascii="Times New Roman" w:cs="Times New Roman" w:eastAsia="Times New Roman" w:hAnsi="Times New Roman"/>
          <w:sz w:val="20"/>
          <w:szCs w:val="20"/>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 - up costs and other factors, such revenue can generate earnings at comparatively lower margins.</w:t>
      </w:r>
    </w:p>
    <w:p>
      <w:pPr>
        <w:spacing w:after="0" w:line="1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Net operating revenues relating to operations for the year ended December 31 are as follows (in millions):</w:t>
      </w:r>
    </w:p>
    <w:p>
      <w:pPr>
        <w:spacing w:after="0" w:line="141"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6780" w:type="dxa"/>
            <w:vAlign w:val="bottom"/>
            <w:vMerge w:val="restart"/>
          </w:tcPr>
          <w:p>
            <w:pPr>
              <w:jc w:val="right"/>
              <w:ind w:right="6360"/>
              <w:spacing w:after="0"/>
              <w:rPr>
                <w:sz w:val="20"/>
                <w:szCs w:val="20"/>
                <w:color w:val="auto"/>
              </w:rPr>
            </w:pPr>
            <w:r>
              <w:rPr>
                <w:rFonts w:ascii="Times New Roman" w:cs="Times New Roman" w:eastAsia="Times New Roman" w:hAnsi="Times New Roman"/>
                <w:sz w:val="20"/>
                <w:szCs w:val="20"/>
                <w:color w:val="auto"/>
                <w:w w:val="98"/>
              </w:rPr>
              <w:t>U.S</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2"/>
        </w:trPr>
        <w:tc>
          <w:tcPr>
            <w:tcW w:w="6780" w:type="dxa"/>
            <w:vAlign w:val="bottom"/>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 . . . . . . . . .</w:t>
            </w:r>
          </w:p>
        </w:tc>
        <w:tc>
          <w:tcPr>
            <w:tcW w:w="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21,107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19,595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18,860</w:t>
            </w:r>
          </w:p>
        </w:tc>
        <w:tc>
          <w:tcPr>
            <w:tcW w:w="0" w:type="dxa"/>
            <w:vAlign w:val="bottom"/>
          </w:tcPr>
          <w:p>
            <w:pPr>
              <w:spacing w:after="0"/>
              <w:rPr>
                <w:sz w:val="1"/>
                <w:szCs w:val="1"/>
                <w:color w:val="auto"/>
              </w:rPr>
            </w:pPr>
          </w:p>
        </w:tc>
      </w:tr>
      <w:tr>
        <w:trPr>
          <w:trHeight w:val="230"/>
        </w:trPr>
        <w:tc>
          <w:tcPr>
            <w:tcW w:w="67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Canada . . . . . . . . . . . . . .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w:t>
            </w:r>
          </w:p>
        </w:tc>
        <w:tc>
          <w:tcPr>
            <w:tcW w:w="0" w:type="dxa"/>
            <w:vAlign w:val="bottom"/>
          </w:tcPr>
          <w:p>
            <w:pPr>
              <w:spacing w:after="0"/>
              <w:rPr>
                <w:sz w:val="1"/>
                <w:szCs w:val="1"/>
                <w:color w:val="auto"/>
              </w:rPr>
            </w:pPr>
          </w:p>
        </w:tc>
      </w:tr>
      <w:tr>
        <w:trPr>
          <w:trHeight w:val="251"/>
        </w:trPr>
        <w:tc>
          <w:tcPr>
            <w:tcW w:w="67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Western Europe and other (a) (b) . . . . . . . . . . . . . . . . . . . . . . . . . . . . . . . . . . . . . . .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1"/>
        </w:trPr>
        <w:tc>
          <w:tcPr>
            <w:tcW w:w="6780" w:type="dxa"/>
            <w:vAlign w:val="bottom"/>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.Total</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22,063</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20,426</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19,698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106045</wp:posOffset>
                </wp:positionV>
                <wp:extent cx="1541145" cy="0"/>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32" o:spid="_x0000_s13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8.35pt" to="139.65pt,8.35pt" o:allowincell="f" strokecolor="#000000" strokeweight="1.0199pt"/>
            </w:pict>
          </mc:Fallback>
        </mc:AlternateContent>
      </w:r>
    </w:p>
    <w:p>
      <w:pPr>
        <w:spacing w:after="0" w:line="190" w:lineRule="exact"/>
        <w:rPr>
          <w:sz w:val="20"/>
          <w:szCs w:val="20"/>
          <w:color w:val="auto"/>
        </w:rPr>
      </w:pPr>
    </w:p>
    <w:p>
      <w:pPr>
        <w:ind w:left="1080" w:right="360" w:hanging="353"/>
        <w:spacing w:after="0" w:line="278" w:lineRule="auto"/>
        <w:tabs>
          <w:tab w:leader="none" w:pos="108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2024 primarily relates to the impact of operations from the U.K., Ireland, Belgium, France, Germany, Luxembourg, and the Netherlands as a result of the Stericycle acquisition.</w:t>
      </w:r>
    </w:p>
    <w:p>
      <w:pPr>
        <w:spacing w:after="0" w:line="147"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2023 primarily relates to an acquired smaller recycling-related operations in the Netherlands.</w:t>
      </w:r>
    </w:p>
    <w:p>
      <w:pPr>
        <w:spacing w:after="0" w:line="219" w:lineRule="exact"/>
        <w:rPr>
          <w:sz w:val="20"/>
          <w:szCs w:val="20"/>
          <w:color w:val="auto"/>
        </w:rPr>
      </w:pPr>
    </w:p>
    <w:p>
      <w:pPr>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Property and equipment, net of accumulated depreciation and depletion, relating to operations as of December 31 are as follows (in millions):</w:t>
      </w:r>
    </w:p>
    <w:p>
      <w:pPr>
        <w:spacing w:after="0" w:line="68"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7660" w:type="dxa"/>
            <w:vAlign w:val="bottom"/>
            <w:vMerge w:val="restart"/>
          </w:tcPr>
          <w:p>
            <w:pPr>
              <w:jc w:val="right"/>
              <w:ind w:right="7240"/>
              <w:spacing w:after="0"/>
              <w:rPr>
                <w:sz w:val="20"/>
                <w:szCs w:val="20"/>
                <w:color w:val="auto"/>
              </w:rPr>
            </w:pPr>
            <w:r>
              <w:rPr>
                <w:rFonts w:ascii="Times New Roman" w:cs="Times New Roman" w:eastAsia="Times New Roman" w:hAnsi="Times New Roman"/>
                <w:sz w:val="20"/>
                <w:szCs w:val="20"/>
                <w:color w:val="auto"/>
                <w:w w:val="98"/>
              </w:rPr>
              <w:t>U.S</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1"/>
        </w:trPr>
        <w:tc>
          <w:tcPr>
            <w:tcW w:w="7660" w:type="dxa"/>
            <w:vAlign w:val="bottom"/>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 . . . . . . . . . . . . . . . . . .</w:t>
            </w:r>
          </w:p>
        </w:tc>
        <w:tc>
          <w:tcPr>
            <w:tcW w:w="2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17,995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15,903</w:t>
            </w:r>
          </w:p>
        </w:tc>
        <w:tc>
          <w:tcPr>
            <w:tcW w:w="0" w:type="dxa"/>
            <w:vAlign w:val="bottom"/>
          </w:tcPr>
          <w:p>
            <w:pPr>
              <w:spacing w:after="0"/>
              <w:rPr>
                <w:sz w:val="1"/>
                <w:szCs w:val="1"/>
                <w:color w:val="auto"/>
              </w:rPr>
            </w:pPr>
          </w:p>
        </w:tc>
      </w:tr>
      <w:tr>
        <w:trPr>
          <w:trHeight w:val="229"/>
        </w:trPr>
        <w:tc>
          <w:tcPr>
            <w:tcW w:w="76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Canada . . . . . . . . . . . . . . . . . . . . . . . . . . . . . . . . . . . . . . . . . . . . . . . . . . . . . . . . . . . . . . . . . . . . .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w:t>
            </w:r>
          </w:p>
        </w:tc>
        <w:tc>
          <w:tcPr>
            <w:tcW w:w="0" w:type="dxa"/>
            <w:vAlign w:val="bottom"/>
          </w:tcPr>
          <w:p>
            <w:pPr>
              <w:spacing w:after="0"/>
              <w:rPr>
                <w:sz w:val="1"/>
                <w:szCs w:val="1"/>
                <w:color w:val="auto"/>
              </w:rPr>
            </w:pPr>
          </w:p>
        </w:tc>
      </w:tr>
      <w:tr>
        <w:trPr>
          <w:trHeight w:val="250"/>
        </w:trPr>
        <w:tc>
          <w:tcPr>
            <w:tcW w:w="76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Western Europe and other (a) (b) . . . . . . . . . . . . . . . . . . . . . . . . . . . . . . . . . . . . . . . . . . . . . . . .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30"/>
        </w:trPr>
        <w:tc>
          <w:tcPr>
            <w:tcW w:w="766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 . . . . .Total</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19,340</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16,968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106680</wp:posOffset>
                </wp:positionV>
                <wp:extent cx="1541145" cy="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33" o:spid="_x0000_s13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8.4pt" to="139.65pt,8.4pt" o:allowincell="f" strokecolor="#000000" strokeweight="1.02pt"/>
            </w:pict>
          </mc:Fallback>
        </mc:AlternateContent>
      </w:r>
    </w:p>
    <w:p>
      <w:pPr>
        <w:spacing w:after="0" w:line="191" w:lineRule="exact"/>
        <w:rPr>
          <w:sz w:val="20"/>
          <w:szCs w:val="20"/>
          <w:color w:val="auto"/>
        </w:rPr>
      </w:pPr>
    </w:p>
    <w:p>
      <w:pPr>
        <w:ind w:left="1080" w:right="360" w:hanging="353"/>
        <w:spacing w:after="0" w:line="278" w:lineRule="auto"/>
        <w:tabs>
          <w:tab w:leader="none" w:pos="108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2024 primarily relates to the impact of operations from the U.K., Ireland, Belgium, France, Germany, Luxembourg, and the Netherlands as a result of the Stericycle acquisition.</w:t>
      </w:r>
    </w:p>
    <w:p>
      <w:pPr>
        <w:spacing w:after="0" w:line="46"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2023 primarily relates to an acquired smaller recycling-related operations in the Netherlands.</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143</w:t>
      </w:r>
    </w:p>
    <w:p>
      <w:pPr>
        <w:sectPr>
          <w:pgSz w:w="13320" w:h="16920" w:orient="portrait"/>
          <w:cols w:equalWidth="0" w:num="1">
            <w:col w:w="10440"/>
          </w:cols>
          <w:pgMar w:left="1440" w:top="1440" w:right="1440" w:bottom="1440" w:gutter="0" w:footer="0" w:header="0"/>
          <w:type w:val="continuous"/>
        </w:sectPr>
      </w:pPr>
    </w:p>
    <w:bookmarkStart w:id="217" w:name="page218"/>
    <w:bookmarkEnd w:id="217"/>
    <w:p>
      <w:pPr>
        <w:spacing w:after="0" w:line="200" w:lineRule="exact"/>
        <w:rPr>
          <w:sz w:val="20"/>
          <w:szCs w:val="20"/>
          <w:color w:val="auto"/>
        </w:rPr>
      </w:pPr>
    </w:p>
    <w:p>
      <w:pPr>
        <w:spacing w:after="0" w:line="253" w:lineRule="exact"/>
        <w:rPr>
          <w:sz w:val="20"/>
          <w:szCs w:val="20"/>
          <w:color w:val="auto"/>
        </w:rPr>
      </w:pPr>
    </w:p>
    <w:p>
      <w:pPr>
        <w:ind w:left="360"/>
        <w:spacing w:after="0"/>
        <w:tabs>
          <w:tab w:leader="none" w:pos="130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i w:val="1"/>
          <w:iCs w:val="1"/>
          <w:color w:val="auto"/>
        </w:rPr>
        <w:t>Changes in and Disagreements with Accountants on Accounting and Financial Disclosure.</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ind w:left="360"/>
        <w:spacing w:after="0"/>
        <w:tabs>
          <w:tab w:leader="none" w:pos="130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i w:val="1"/>
          <w:iCs w:val="1"/>
          <w:color w:val="auto"/>
        </w:rPr>
        <w:t>Controls and Procedures.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Effectiveness of Disclosure Controls and Procedures</w:t>
      </w:r>
    </w:p>
    <w:p>
      <w:pPr>
        <w:spacing w:after="0" w:line="244" w:lineRule="exact"/>
        <w:rPr>
          <w:sz w:val="20"/>
          <w:szCs w:val="20"/>
          <w:color w:val="auto"/>
        </w:rPr>
      </w:pPr>
    </w:p>
    <w:p>
      <w:pPr>
        <w:jc w:val="both"/>
        <w:ind w:left="360" w:right="360" w:firstLine="360"/>
        <w:spacing w:after="0" w:line="244" w:lineRule="auto"/>
        <w:rPr>
          <w:sz w:val="20"/>
          <w:szCs w:val="20"/>
          <w:color w:val="auto"/>
        </w:rPr>
      </w:pPr>
      <w:r>
        <w:rPr>
          <w:rFonts w:ascii="Times New Roman" w:cs="Times New Roman" w:eastAsia="Times New Roman" w:hAnsi="Times New Roman"/>
          <w:sz w:val="20"/>
          <w:szCs w:val="20"/>
          <w:color w:val="auto"/>
        </w:rPr>
        <w:t>Our management, with the participation of our principal executive and financial officers, has evaluated the effectiveness of our disclosure controls and procedures (as defined in Rules 13a-15(e) and 15d-15(e) of the Securities Exchange Act of 1934, as amended)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December 31, 2024 (the end of the period covered by this Annual Report on Form 10 - K) at a reasonable assurance level.</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43" w:lineRule="exact"/>
        <w:rPr>
          <w:sz w:val="20"/>
          <w:szCs w:val="20"/>
          <w:color w:val="auto"/>
        </w:rPr>
      </w:pPr>
    </w:p>
    <w:p>
      <w:pPr>
        <w:jc w:val="both"/>
        <w:ind w:left="360" w:right="360" w:firstLine="360"/>
        <w:spacing w:after="0" w:line="245" w:lineRule="auto"/>
        <w:rPr>
          <w:sz w:val="20"/>
          <w:szCs w:val="20"/>
          <w:color w:val="auto"/>
        </w:rPr>
      </w:pPr>
      <w:r>
        <w:rPr>
          <w:rFonts w:ascii="Times New Roman" w:cs="Times New Roman" w:eastAsia="Times New Roman" w:hAnsi="Times New Roman"/>
          <w:sz w:val="20"/>
          <w:szCs w:val="20"/>
          <w:color w:val="auto"/>
        </w:rPr>
        <w:t>Management of the Company, including the principal executive and financial officers, is responsible for establishing and maintaining adequate internal control over financial reporting, as defined in Rules 13a - 15(f) and 15d - 15(f) of the Securities Exchange Act of 1934, as amended. Our management conducted an evaluation of the effectiveness of our internal control over financial reporting based on the 2013 framework in Internal Control—Integrated Framework issued by the Committee of Sponsoring Organizations of the Treadway Commission (the COSO criteria). Our internal controls are designed to provide reasonable assurance as to the reliability of our financial reporting and the preparation of the consolidated financial statements for external purposes in accordance with accounting principles generally accepted in the United States and includes those policies and procedures that:</w:t>
      </w:r>
    </w:p>
    <w:p>
      <w:pPr>
        <w:spacing w:after="0" w:line="202" w:lineRule="exact"/>
        <w:rPr>
          <w:sz w:val="20"/>
          <w:szCs w:val="20"/>
          <w:color w:val="auto"/>
        </w:rPr>
      </w:pPr>
    </w:p>
    <w:p>
      <w:pPr>
        <w:ind w:left="1080" w:right="360" w:hanging="353"/>
        <w:spacing w:after="0" w:line="278" w:lineRule="auto"/>
        <w:tabs>
          <w:tab w:leader="none" w:pos="108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the assets of the Company;</w:t>
      </w:r>
    </w:p>
    <w:p>
      <w:pPr>
        <w:spacing w:after="0" w:line="168" w:lineRule="exact"/>
        <w:rPr>
          <w:rFonts w:ascii="Times New Roman" w:cs="Times New Roman" w:eastAsia="Times New Roman" w:hAnsi="Times New Roman"/>
          <w:sz w:val="20"/>
          <w:szCs w:val="20"/>
          <w:color w:val="auto"/>
        </w:rPr>
      </w:pPr>
    </w:p>
    <w:p>
      <w:pPr>
        <w:jc w:val="both"/>
        <w:ind w:left="1080" w:right="360" w:hanging="353"/>
        <w:spacing w:after="0" w:line="252" w:lineRule="auto"/>
        <w:tabs>
          <w:tab w:leader="none" w:pos="108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93" w:lineRule="exact"/>
        <w:rPr>
          <w:rFonts w:ascii="Times New Roman" w:cs="Times New Roman" w:eastAsia="Times New Roman" w:hAnsi="Times New Roman"/>
          <w:sz w:val="20"/>
          <w:szCs w:val="20"/>
          <w:color w:val="auto"/>
        </w:rPr>
      </w:pPr>
    </w:p>
    <w:p>
      <w:pPr>
        <w:ind w:left="1080" w:right="360" w:hanging="352"/>
        <w:spacing w:after="0" w:line="278" w:lineRule="auto"/>
        <w:tabs>
          <w:tab w:leader="none" w:pos="108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19"/>
          <w:szCs w:val="19"/>
          <w:color w:val="auto"/>
        </w:rPr>
        <w:t>Management of the Company assessed the effectiveness of our internal control over financial reporting as of December 31, 2024 based on the 2013 framework in Internal Control—Integrated Framework issued by the Committee of Sponsoring Organizations of the Treadway Commission (the COSO criteria). Based on this assessment, management has concluded that our internal control over financial reporting was effective as of December 31, 2024. On November 4, 2024 we consummated our acquisition of Stericycle, Inc. (“Stericycle”). As permitted by the SEC rules and regulations, management's assessment did not include the internal controls of the acquired operations of Stericycle, which are included in our consolidated financial statements as of December 31, 2024 and for the period from the acquisition date through December 31, 2024. In accordance with our integration efforts, we plan to incorporate the acquired operations of Stericycle into our internal control over financial reporting program within the time period provided by applicable SEC rules and</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144</w:t>
      </w:r>
    </w:p>
    <w:p>
      <w:pPr>
        <w:sectPr>
          <w:pgSz w:w="13320" w:h="16920" w:orient="portrait"/>
          <w:cols w:equalWidth="0" w:num="1">
            <w:col w:w="10440"/>
          </w:cols>
          <w:pgMar w:left="1440" w:top="1440" w:right="1440" w:bottom="1440" w:gutter="0" w:footer="0" w:header="0"/>
          <w:type w:val="continuous"/>
        </w:sectPr>
      </w:pPr>
    </w:p>
    <w:bookmarkStart w:id="218" w:name="page219"/>
    <w:bookmarkEnd w:id="218"/>
    <w:p>
      <w:pPr>
        <w:spacing w:after="0" w:line="200" w:lineRule="exact"/>
        <w:rPr>
          <w:sz w:val="20"/>
          <w:szCs w:val="20"/>
          <w:color w:val="auto"/>
        </w:rPr>
      </w:pPr>
    </w:p>
    <w:p>
      <w:pPr>
        <w:spacing w:after="0" w:line="257" w:lineRule="exact"/>
        <w:rPr>
          <w:sz w:val="20"/>
          <w:szCs w:val="20"/>
          <w:color w:val="auto"/>
        </w:rPr>
      </w:pPr>
    </w:p>
    <w:p>
      <w:pPr>
        <w:jc w:val="both"/>
        <w:ind w:left="360" w:right="360"/>
        <w:spacing w:after="0" w:line="259" w:lineRule="auto"/>
        <w:rPr>
          <w:sz w:val="20"/>
          <w:szCs w:val="20"/>
          <w:color w:val="auto"/>
        </w:rPr>
      </w:pPr>
      <w:r>
        <w:rPr>
          <w:rFonts w:ascii="Times New Roman" w:cs="Times New Roman" w:eastAsia="Times New Roman" w:hAnsi="Times New Roman"/>
          <w:sz w:val="20"/>
          <w:szCs w:val="20"/>
          <w:color w:val="auto"/>
        </w:rPr>
        <w:t>regulations. The assets, excluding goodwill, of the acquired operations of Stericycle constituted approximately 13.0% of total assets as of December 31, 2024. Operating results of the acquired operations of Stericycle comprised approximately 1.8% of consolidated operating revenues for the year ended December 31, 2024.</w:t>
      </w:r>
    </w:p>
    <w:p>
      <w:pPr>
        <w:spacing w:after="0" w:line="186"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has been audited by Ernst &amp; Young LLP, the independent registered public accounting firm that audited our consolidated financial statements, as stated in their report, which is included in Item 8 of this Annual Report on Form 10-K.</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44"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20"/>
          <w:szCs w:val="20"/>
          <w:color w:val="auto"/>
        </w:rPr>
        <w:t>Management, together with our CEO and CFO, evaluated the changes in our internal control over financial reporting during the quarter ended December 31, 2024. We determined that there were no changes in our internal control over financial reporting during the quarter ended December 31, 2024 that have materially affected, or are reasonably likely to materially affect, our internal control over financial reporting.</w:t>
      </w:r>
    </w:p>
    <w:p>
      <w:pPr>
        <w:spacing w:after="0" w:line="180" w:lineRule="exact"/>
        <w:rPr>
          <w:sz w:val="20"/>
          <w:szCs w:val="20"/>
          <w:color w:val="auto"/>
        </w:rPr>
      </w:pPr>
    </w:p>
    <w:p>
      <w:pPr>
        <w:ind w:left="3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20"/>
          <w:szCs w:val="20"/>
          <w:b w:val="1"/>
          <w:bCs w:val="1"/>
          <w:i w:val="1"/>
          <w:iCs w:val="1"/>
          <w:color w:val="auto"/>
        </w:rPr>
        <w:t>Other Information.</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Securities Trading Plans of Directors and Executive Officers</w:t>
      </w:r>
    </w:p>
    <w:p>
      <w:pPr>
        <w:spacing w:after="0" w:line="243" w:lineRule="exact"/>
        <w:rPr>
          <w:sz w:val="20"/>
          <w:szCs w:val="20"/>
          <w:color w:val="auto"/>
        </w:rPr>
      </w:pPr>
    </w:p>
    <w:p>
      <w:pPr>
        <w:jc w:val="both"/>
        <w:ind w:left="360" w:right="360" w:firstLine="360"/>
        <w:spacing w:after="0" w:line="261" w:lineRule="auto"/>
        <w:rPr>
          <w:sz w:val="20"/>
          <w:szCs w:val="20"/>
          <w:color w:val="auto"/>
        </w:rPr>
      </w:pPr>
      <w:r>
        <w:rPr>
          <w:rFonts w:ascii="Times New Roman" w:cs="Times New Roman" w:eastAsia="Times New Roman" w:hAnsi="Times New Roman"/>
          <w:sz w:val="19"/>
          <w:szCs w:val="19"/>
          <w:color w:val="auto"/>
        </w:rPr>
        <w:t>On November 5, 2024, James C. Fish, Jr., President, Chief Executive Officer and member of our Board of Directors, adopted a stock trading plan (the “Fish Trading Plan”). The Fish Trading Plan went into effect on the date of adoption and was not intended to satisfy the affirmative defense of Rule 10b5 -1(c) under the Exchange Act. The Fish Trading Plan provided for the exercise of 44,125 vested stock options upon our common stock reaching a specified market price on or before December 6, 2024. The options were automatically exercised pursuant to such terms, and the Company withheld shares of common stock necessary to cover tax requirements and the exercise price of such options. All remaining shares of common stock resulting from the option exercise after the net share settlement process were delivered to Mr. Fish.</w:t>
      </w:r>
    </w:p>
    <w:p>
      <w:pPr>
        <w:spacing w:after="0" w:line="188" w:lineRule="exact"/>
        <w:rPr>
          <w:sz w:val="20"/>
          <w:szCs w:val="20"/>
          <w:color w:val="auto"/>
        </w:rPr>
      </w:pPr>
    </w:p>
    <w:p>
      <w:pPr>
        <w:jc w:val="both"/>
        <w:ind w:left="360" w:right="360" w:firstLine="360"/>
        <w:spacing w:after="0" w:line="243" w:lineRule="auto"/>
        <w:rPr>
          <w:sz w:val="20"/>
          <w:szCs w:val="20"/>
          <w:color w:val="auto"/>
        </w:rPr>
      </w:pPr>
      <w:r>
        <w:rPr>
          <w:rFonts w:ascii="Times New Roman" w:cs="Times New Roman" w:eastAsia="Times New Roman" w:hAnsi="Times New Roman"/>
          <w:sz w:val="20"/>
          <w:szCs w:val="20"/>
          <w:color w:val="auto"/>
        </w:rPr>
        <w:t>On November 5, 2024, Mr. Fish adopted a stock trading plan (the “Second Fish Trading Plan”) intended to satisfy the affirmative defense of Rule 10b5-1(c) under the Exchange Act. The Second Fish Trading Plan will commence two business days following the filing of this Annual Report on Form 10-K, and will automatically terminate on the earlier of February 3, 2026 and the completion of all of the contemplated transactions set forth therein. The Second Fish Trading Plan provides for the potential sale of all net after-tax shares of our common stock received from the payout of performance share unit (“PSU”) equity compensation awards for the performance period ended December 31, 2024, upon our common stock reaching specified market prices. Mr. Fish received a target grant of 47,620 PSU awards with a performance period ended December 31, 2024; the number of shares to be paid out to Mr. Fish on account of these PSU awards can range from zero to 200% of the initial target grant. As a result, the number of shares of common stock to potentially be sold pursuant to the Second Fish Trading Plan will be determined in the first quarter of 2025 based on certification by the Management Development and Compensation Committee of the Board of Directors of the Company’s achievement relative to applicable performance measures for the underlying PSU awards.</w:t>
      </w:r>
    </w:p>
    <w:p>
      <w:pPr>
        <w:spacing w:after="0" w:line="206" w:lineRule="exact"/>
        <w:rPr>
          <w:sz w:val="20"/>
          <w:szCs w:val="20"/>
          <w:color w:val="auto"/>
        </w:rPr>
      </w:pPr>
    </w:p>
    <w:p>
      <w:pPr>
        <w:jc w:val="both"/>
        <w:ind w:left="360" w:right="360" w:firstLine="360"/>
        <w:spacing w:after="0" w:line="255" w:lineRule="auto"/>
        <w:rPr>
          <w:sz w:val="20"/>
          <w:szCs w:val="20"/>
          <w:color w:val="auto"/>
        </w:rPr>
      </w:pPr>
      <w:r>
        <w:rPr>
          <w:rFonts w:ascii="Times New Roman" w:cs="Times New Roman" w:eastAsia="Times New Roman" w:hAnsi="Times New Roman"/>
          <w:sz w:val="19"/>
          <w:szCs w:val="19"/>
          <w:color w:val="auto"/>
        </w:rPr>
        <w:t>On November 5, 2024, Michael J. Watson, Senior Vice President and Chief Customer Officer, adopted a stock trading plan (the “Watson Trading Plan”) intended to satisfy the affirmative defense of Rule 10b5-1(c) under the Exchange Act. The Watson Trading Plan will commence two business days following the filing of this Annual Report on Form 10-K and will automatically terminate on the earlier of February 12, 2026 and the completion of all of the contemplated transactions set forth therein. The Watson Trading Plan provides for (i) the sale of 3,000 shares of our common stock; (ii) the potential cashless exercise of 11,594 stock options, pursuant to which shares of common stock will be sold to cover option costs, tax obligations, commissions and fees, and Mr. Watson will then continue to hold all remaining shares of common stock resulting from the option exercise after the settlement; (iii) the potential sale of 50% of net after-tax shares of our common stock received from the vesting on March 1, 2025 of 5,102 restricted share unit (“RSU”) equity compensation awards and</w:t>
      </w:r>
    </w:p>
    <w:p>
      <w:pPr>
        <w:spacing w:after="0" w:line="8" w:lineRule="exact"/>
        <w:rPr>
          <w:sz w:val="20"/>
          <w:szCs w:val="20"/>
          <w:color w:val="auto"/>
        </w:rPr>
      </w:pPr>
    </w:p>
    <w:p>
      <w:pPr>
        <w:jc w:val="both"/>
        <w:ind w:left="360" w:right="360" w:firstLine="6"/>
        <w:spacing w:after="0" w:line="243" w:lineRule="auto"/>
        <w:tabs>
          <w:tab w:leader="none" w:pos="729"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sale of 50% of net after-tax shares of our common stock received from the payout of PSU equity compensation awards for the performance period ended December 31, 2024. Each of the contemplated transactions will occur upon our common stock reaching specified market prices. Mr. Watson received a target grant of 5,986 PSU awards with a performance period ended December 31, 2024; the number of shares to be paid out to Mr. Watson on account of</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145</w:t>
      </w:r>
    </w:p>
    <w:p>
      <w:pPr>
        <w:sectPr>
          <w:pgSz w:w="13320" w:h="16920" w:orient="portrait"/>
          <w:cols w:equalWidth="0" w:num="1">
            <w:col w:w="10440"/>
          </w:cols>
          <w:pgMar w:left="1440" w:top="1440" w:right="1440" w:bottom="1440" w:gutter="0" w:footer="0" w:header="0"/>
          <w:type w:val="continuous"/>
        </w:sectPr>
      </w:pPr>
    </w:p>
    <w:bookmarkStart w:id="219" w:name="page220"/>
    <w:bookmarkEnd w:id="219"/>
    <w:p>
      <w:pPr>
        <w:spacing w:after="0" w:line="200" w:lineRule="exact"/>
        <w:rPr>
          <w:sz w:val="20"/>
          <w:szCs w:val="20"/>
          <w:color w:val="auto"/>
        </w:rPr>
      </w:pPr>
    </w:p>
    <w:p>
      <w:pPr>
        <w:spacing w:after="0" w:line="257" w:lineRule="exact"/>
        <w:rPr>
          <w:sz w:val="20"/>
          <w:szCs w:val="20"/>
          <w:color w:val="auto"/>
        </w:rPr>
      </w:pPr>
    </w:p>
    <w:p>
      <w:pPr>
        <w:jc w:val="both"/>
        <w:ind w:left="360" w:right="360"/>
        <w:spacing w:after="0" w:line="259" w:lineRule="auto"/>
        <w:rPr>
          <w:sz w:val="20"/>
          <w:szCs w:val="20"/>
          <w:color w:val="auto"/>
        </w:rPr>
      </w:pPr>
      <w:r>
        <w:rPr>
          <w:rFonts w:ascii="Times New Roman" w:cs="Times New Roman" w:eastAsia="Times New Roman" w:hAnsi="Times New Roman"/>
          <w:sz w:val="20"/>
          <w:szCs w:val="20"/>
          <w:color w:val="auto"/>
        </w:rPr>
        <w:t>these PSU awards can range from zero to 200% of the initial target grant. As a result, as described above in connection with the Second Fish Trading Plan, the number of shares of common stock to potentially be sold pursuant to the Watson Trading Plan will be determined in the first quarter of 2025.</w:t>
      </w:r>
    </w:p>
    <w:p>
      <w:pPr>
        <w:spacing w:after="0" w:line="186" w:lineRule="exact"/>
        <w:rPr>
          <w:sz w:val="20"/>
          <w:szCs w:val="20"/>
          <w:color w:val="auto"/>
        </w:rPr>
      </w:pPr>
    </w:p>
    <w:p>
      <w:pPr>
        <w:jc w:val="both"/>
        <w:ind w:left="360" w:right="360" w:firstLine="360"/>
        <w:spacing w:after="0" w:line="261" w:lineRule="auto"/>
        <w:rPr>
          <w:sz w:val="20"/>
          <w:szCs w:val="20"/>
          <w:color w:val="auto"/>
        </w:rPr>
      </w:pPr>
      <w:r>
        <w:rPr>
          <w:rFonts w:ascii="Times New Roman" w:cs="Times New Roman" w:eastAsia="Times New Roman" w:hAnsi="Times New Roman"/>
          <w:sz w:val="19"/>
          <w:szCs w:val="19"/>
          <w:color w:val="auto"/>
        </w:rPr>
        <w:t>On November 8, 2024, Mr. Charles C. Boettcher, Executive Vice President and Chief Legal Officer, adopted a stock trading plan (the “Boettcher Trading Plan”). The Boettcher Trading Plan went into effect on the date of adoption and was not intended to satisfy the affirmative defense of Rule 10b5-1(c) under the Exchange Act. The Boettcher Trading Plan provided for the exercise of 7,500 vested stock options upon our common stock reaching a specified market price on or before December 6, 2024. The options were automatically exercised pursuant to such terms, and the Company withheld shares of common stock necessary to cover tax requirements and the exercise price of such options. All remaining shares of common stock resulting from the option exercise after the net share settlement process were delivered to Mr. Boettcher.</w:t>
      </w:r>
    </w:p>
    <w:p>
      <w:pPr>
        <w:spacing w:after="0" w:line="188"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On November 26, 2024, Mr. Fish adopted a stock trading plan (the “Third Fish Trading Plan”). The Third Fish Trading Plan went into effect on the date of adoption and was not intended to satisfy the affirmative defense of Rule 10b5 1(c) under the Exchange Act. The Third Fish Trading Plan provided for the exercise of 19,805 vested stock options upon our common stock reaching a specified market price on or before December 6, 2024. The options were automatically exercised pursuant to such terms, and the Company withheld shares of common stock necessary to cover tax requirements and the exercise price of such options. All remaining shares of common stock resulting from the option exercise after the net share settlement process were delivered to Mr. Fish.</w:t>
      </w:r>
    </w:p>
    <w:p>
      <w:pPr>
        <w:spacing w:after="0" w:line="199" w:lineRule="exact"/>
        <w:rPr>
          <w:sz w:val="20"/>
          <w:szCs w:val="20"/>
          <w:color w:val="auto"/>
        </w:rPr>
      </w:pPr>
    </w:p>
    <w:p>
      <w:pPr>
        <w:jc w:val="both"/>
        <w:ind w:left="360" w:right="360" w:firstLine="360"/>
        <w:spacing w:after="0" w:line="246" w:lineRule="auto"/>
        <w:rPr>
          <w:sz w:val="20"/>
          <w:szCs w:val="20"/>
          <w:color w:val="auto"/>
        </w:rPr>
      </w:pPr>
      <w:r>
        <w:rPr>
          <w:rFonts w:ascii="Times New Roman" w:cs="Times New Roman" w:eastAsia="Times New Roman" w:hAnsi="Times New Roman"/>
          <w:sz w:val="20"/>
          <w:szCs w:val="20"/>
          <w:color w:val="auto"/>
        </w:rPr>
        <w:t>On November 26, 2024, Mr. Boettcher, adopted a stock trading plan (the “Second Boettcher Trading Plan”). The Second Boettcher Trading Plan went into effect on the date of adoption and was not intended to satisfy the affirmative defense of Rule 10b5-1(c) under the Exchange Act. The Second Boettcher Trading Plan provided for the exercise of 8,458 vested stock options upon our common stock reaching a specified market price on or before December 4, 2024. The options were automatically exercised pursuant to such terms, and the Company withheld shares of common stock necessary to cover tax requirements and the exercise price of such options. All remaining shares of common stock resulting from the option exercise after the net share settlement process were delivered to Mr. Boettcher.</w:t>
      </w:r>
    </w:p>
    <w:p>
      <w:pPr>
        <w:spacing w:after="0" w:line="201" w:lineRule="exact"/>
        <w:rPr>
          <w:sz w:val="20"/>
          <w:szCs w:val="20"/>
          <w:color w:val="auto"/>
        </w:rPr>
      </w:pPr>
    </w:p>
    <w:p>
      <w:pPr>
        <w:jc w:val="both"/>
        <w:ind w:left="360" w:right="360" w:firstLine="360"/>
        <w:spacing w:after="0" w:line="260" w:lineRule="auto"/>
        <w:rPr>
          <w:sz w:val="20"/>
          <w:szCs w:val="20"/>
          <w:color w:val="auto"/>
        </w:rPr>
      </w:pPr>
      <w:r>
        <w:rPr>
          <w:rFonts w:ascii="Times New Roman" w:cs="Times New Roman" w:eastAsia="Times New Roman" w:hAnsi="Times New Roman"/>
          <w:sz w:val="19"/>
          <w:szCs w:val="19"/>
          <w:color w:val="auto"/>
        </w:rPr>
        <w:t>On December 4, 2024, John J. Morris, Jr., Executive Vice President and Chief Operating Officer, adopted a stock trading plan (the “Morris Trading Plan”) intended to satisfy the affirmative defense of Rule 10b5 -1(c) under the Exchange Act. The Morris Trading Plan will commence on March 7, 2025 and will automatically terminate on the earlier of March 6, 2026 and the completion of all of the contemplated transactions set forth therein. The Morris Trading Plan provides for</w:t>
      </w:r>
    </w:p>
    <w:p>
      <w:pPr>
        <w:spacing w:after="0" w:line="1" w:lineRule="exact"/>
        <w:rPr>
          <w:sz w:val="20"/>
          <w:szCs w:val="20"/>
          <w:color w:val="auto"/>
        </w:rPr>
      </w:pPr>
    </w:p>
    <w:p>
      <w:pPr>
        <w:jc w:val="both"/>
        <w:ind w:left="360" w:right="360" w:firstLine="7"/>
        <w:spacing w:after="0" w:line="241" w:lineRule="auto"/>
        <w:tabs>
          <w:tab w:leader="none" w:pos="599"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sale of all net after-tax shares of our common stock received from the vesting on March 1, 2025 of 10,204 RSU equity compensation awards and (ii) the potential sale of all net after-tax shares of our common stock received from the payout of PSU equity compensation awards for the performance period ended December 31, 2024. Each of the contemplated transactions will occur upon our common stock reaching specified market prices. Mr. Morris received a target grant of 14,150 PSU awards with a performance period ended December 31, 2024; the number of shares to be paid out to Mr. Morris on account of these PSU awards can range from zero to 200% of the initial target grant. As a result, as described above in connection with the Second Fish Trading Plan, the number of shares of common stock to potentially be sold pursuant to the Morris Trading Plan will be determined in the first quarter of 2025.</w:t>
      </w:r>
    </w:p>
    <w:p>
      <w:pPr>
        <w:spacing w:after="0" w:line="200" w:lineRule="exact"/>
        <w:rPr>
          <w:sz w:val="20"/>
          <w:szCs w:val="20"/>
          <w:color w:val="auto"/>
        </w:rPr>
      </w:pPr>
    </w:p>
    <w:p>
      <w:pPr>
        <w:spacing w:after="0" w:line="352" w:lineRule="exact"/>
        <w:rPr>
          <w:sz w:val="20"/>
          <w:szCs w:val="20"/>
          <w:color w:val="auto"/>
        </w:rPr>
      </w:pPr>
    </w:p>
    <w:p>
      <w:pPr>
        <w:ind w:left="360"/>
        <w:spacing w:after="0"/>
        <w:tabs>
          <w:tab w:leader="none" w:pos="130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i w:val="1"/>
          <w:iCs w:val="1"/>
          <w:color w:val="auto"/>
        </w:rPr>
        <w:t>Disclosure Regarding Foreign Jurisdictions that Prevent Inspections</w:t>
      </w:r>
      <w:r>
        <w:rPr>
          <w:rFonts w:ascii="Times New Roman" w:cs="Times New Roman" w:eastAsia="Times New Roman" w:hAnsi="Times New Roman"/>
          <w:sz w:val="19"/>
          <w:szCs w:val="19"/>
          <w:b w:val="1"/>
          <w:bCs w:val="1"/>
          <w:color w:val="auto"/>
        </w:rPr>
        <w:t>.</w:t>
      </w:r>
    </w:p>
    <w:p>
      <w:pPr>
        <w:spacing w:after="0" w:line="1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0" w:lineRule="exact"/>
        <w:rPr>
          <w:sz w:val="20"/>
          <w:szCs w:val="20"/>
          <w:color w:val="auto"/>
        </w:rPr>
      </w:pPr>
    </w:p>
    <w:p>
      <w:pPr>
        <w:ind w:left="36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20"/>
          <w:szCs w:val="20"/>
          <w:b w:val="1"/>
          <w:bCs w:val="1"/>
          <w:i w:val="1"/>
          <w:iCs w:val="1"/>
          <w:color w:val="auto"/>
        </w:rPr>
        <w:t>Directors, Executive Officers and Corporate Governance.</w:t>
      </w:r>
    </w:p>
    <w:p>
      <w:pPr>
        <w:spacing w:after="0" w:line="243"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19"/>
          <w:szCs w:val="19"/>
          <w:color w:val="auto"/>
        </w:rPr>
        <w:t>We have adopted a code of ethics that applies to our CEO, CFO and Chief Accounting Officer, as well as other officers, directors and employees of the Company. The code of ethics, entitled “Code of Conduct,” is available on - line at investors.wm.com in the tab “ESG — Corporate Governance” (investors.wm.com/esg-practices/governance). We intend</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146</w:t>
      </w:r>
    </w:p>
    <w:p>
      <w:pPr>
        <w:sectPr>
          <w:pgSz w:w="13320" w:h="16920" w:orient="portrait"/>
          <w:cols w:equalWidth="0" w:num="1">
            <w:col w:w="10440"/>
          </w:cols>
          <w:pgMar w:left="1440" w:top="1440" w:right="1440" w:bottom="1440" w:gutter="0" w:footer="0" w:header="0"/>
          <w:type w:val="continuous"/>
        </w:sectPr>
      </w:pPr>
    </w:p>
    <w:bookmarkStart w:id="220" w:name="page221"/>
    <w:bookmarkEnd w:id="220"/>
    <w:p>
      <w:pPr>
        <w:spacing w:after="0" w:line="200" w:lineRule="exact"/>
        <w:rPr>
          <w:sz w:val="20"/>
          <w:szCs w:val="20"/>
          <w:color w:val="auto"/>
        </w:rPr>
      </w:pPr>
    </w:p>
    <w:p>
      <w:pPr>
        <w:spacing w:after="0" w:line="257" w:lineRule="exact"/>
        <w:rPr>
          <w:sz w:val="20"/>
          <w:szCs w:val="20"/>
          <w:color w:val="auto"/>
        </w:rPr>
      </w:pPr>
    </w:p>
    <w:p>
      <w:pPr>
        <w:jc w:val="both"/>
        <w:ind w:left="360" w:right="360"/>
        <w:spacing w:after="0" w:line="278" w:lineRule="auto"/>
        <w:rPr>
          <w:sz w:val="20"/>
          <w:szCs w:val="20"/>
          <w:color w:val="auto"/>
        </w:rPr>
      </w:pPr>
      <w:r>
        <w:rPr>
          <w:rFonts w:ascii="Times New Roman" w:cs="Times New Roman" w:eastAsia="Times New Roman" w:hAnsi="Times New Roman"/>
          <w:sz w:val="20"/>
          <w:szCs w:val="20"/>
          <w:color w:val="auto"/>
        </w:rPr>
        <w:t>to post any amendments to the Code of Conduct that apply to our officers and directors, and any required disclosure of waivers from the Code of Conduct, to the “ESG – Corporate Governance” tab at investors.wm.com.</w:t>
      </w:r>
    </w:p>
    <w:p>
      <w:pPr>
        <w:spacing w:after="0" w:line="167" w:lineRule="exact"/>
        <w:rPr>
          <w:sz w:val="20"/>
          <w:szCs w:val="20"/>
          <w:color w:val="auto"/>
        </w:rPr>
      </w:pPr>
    </w:p>
    <w:p>
      <w:pPr>
        <w:jc w:val="both"/>
        <w:ind w:left="360" w:right="360" w:firstLine="360"/>
        <w:spacing w:after="0" w:line="247" w:lineRule="auto"/>
        <w:rPr>
          <w:sz w:val="20"/>
          <w:szCs w:val="20"/>
          <w:color w:val="auto"/>
        </w:rPr>
      </w:pPr>
      <w:r>
        <w:rPr>
          <w:rFonts w:ascii="Times New Roman" w:cs="Times New Roman" w:eastAsia="Times New Roman" w:hAnsi="Times New Roman"/>
          <w:sz w:val="20"/>
          <w:szCs w:val="20"/>
          <w:color w:val="auto"/>
        </w:rPr>
        <w:t>We have adopted an Insider Trading Policy governing the purchase, sale and other disposition of Company securities by directors, officers, employees, contractors and consultants providing services to the Company, as well as by the Company itself, that we believe is reasonably designed to promote compliance with insider trading laws, rules and regulations and New York Stock Exchange listing standards. The foregoing summary of the Insider Trading Policy does not purport to be complete and is qualified in its entirety by reference to the full text of the Insider Trading Policy filed as Exhibit 19.1 to this Annual Report.</w:t>
      </w:r>
    </w:p>
    <w:p>
      <w:pPr>
        <w:spacing w:after="0" w:line="200"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20"/>
          <w:szCs w:val="20"/>
          <w:color w:val="auto"/>
        </w:rPr>
        <w:t>All other information required by this Item will be included in the Company’s definitive proxy statement for its 2025 Annual Meeting of Stockholders (the “2025 Proxy Statement”) to be filed with SEC within 120 days of the end of our fiscal year and is incorporated herein by reference.</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 xml:space="preserve">Item 11.  </w:t>
      </w:r>
      <w:r>
        <w:rPr>
          <w:rFonts w:ascii="Times New Roman" w:cs="Times New Roman" w:eastAsia="Times New Roman" w:hAnsi="Times New Roman"/>
          <w:sz w:val="20"/>
          <w:szCs w:val="20"/>
          <w:b w:val="1"/>
          <w:bCs w:val="1"/>
          <w:i w:val="1"/>
          <w:iCs w:val="1"/>
          <w:color w:val="auto"/>
        </w:rPr>
        <w:t>Executive Compensation.</w:t>
      </w:r>
    </w:p>
    <w:p>
      <w:pPr>
        <w:spacing w:after="0" w:line="243"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2025 Proxy Statement and is incorporated herein by reference.</w:t>
      </w:r>
    </w:p>
    <w:p>
      <w:pPr>
        <w:spacing w:after="0" w:line="1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 xml:space="preserve">Item 12.  </w:t>
      </w:r>
      <w:r>
        <w:rPr>
          <w:rFonts w:ascii="Times New Roman" w:cs="Times New Roman" w:eastAsia="Times New Roman" w:hAnsi="Times New Roman"/>
          <w:sz w:val="20"/>
          <w:szCs w:val="20"/>
          <w:b w:val="1"/>
          <w:bCs w:val="1"/>
          <w:i w:val="1"/>
          <w:iCs w:val="1"/>
          <w:color w:val="auto"/>
        </w:rPr>
        <w:t>Security Ownership of Certain Beneficial Owners and Management and Related Stockholder Matters.</w:t>
      </w:r>
    </w:p>
    <w:p>
      <w:pPr>
        <w:spacing w:after="0" w:line="244"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2025 Proxy Statement and is incorporated herein by reference.</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 xml:space="preserve">Item 13.  </w:t>
      </w:r>
      <w:r>
        <w:rPr>
          <w:rFonts w:ascii="Times New Roman" w:cs="Times New Roman" w:eastAsia="Times New Roman" w:hAnsi="Times New Roman"/>
          <w:sz w:val="20"/>
          <w:szCs w:val="20"/>
          <w:b w:val="1"/>
          <w:bCs w:val="1"/>
          <w:i w:val="1"/>
          <w:iCs w:val="1"/>
          <w:color w:val="auto"/>
        </w:rPr>
        <w:t>Certain Relationships and Related Transactions, and Director Independence.</w:t>
      </w:r>
    </w:p>
    <w:p>
      <w:pPr>
        <w:spacing w:after="0" w:line="243"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2025 Proxy Statement and is incorporated herein by reference.</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 xml:space="preserve">Item 14.  </w:t>
      </w:r>
      <w:r>
        <w:rPr>
          <w:rFonts w:ascii="Times New Roman" w:cs="Times New Roman" w:eastAsia="Times New Roman" w:hAnsi="Times New Roman"/>
          <w:sz w:val="20"/>
          <w:szCs w:val="20"/>
          <w:b w:val="1"/>
          <w:bCs w:val="1"/>
          <w:i w:val="1"/>
          <w:iCs w:val="1"/>
          <w:color w:val="auto"/>
        </w:rPr>
        <w:t>Principal Accounting Fees and Services.</w:t>
      </w:r>
    </w:p>
    <w:p>
      <w:pPr>
        <w:spacing w:after="0" w:line="243"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2025 Proxy Statement and is incorporated herein by reference.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 xml:space="preserve">Item 15. </w:t>
      </w:r>
      <w:r>
        <w:rPr>
          <w:rFonts w:ascii="Times New Roman" w:cs="Times New Roman" w:eastAsia="Times New Roman" w:hAnsi="Times New Roman"/>
          <w:sz w:val="20"/>
          <w:szCs w:val="20"/>
          <w:b w:val="1"/>
          <w:bCs w:val="1"/>
          <w:i w:val="1"/>
          <w:iCs w:val="1"/>
          <w:color w:val="auto"/>
        </w:rPr>
        <w:t>Exhibits, Financial Statement Schedules.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 (1) Consolidated Financial Statements:</w:t>
      </w:r>
    </w:p>
    <w:p>
      <w:pPr>
        <w:spacing w:after="0" w:line="2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Reports of Independent Registered Public Accounting Firm</w:t>
      </w:r>
    </w:p>
    <w:p>
      <w:pPr>
        <w:spacing w:after="0" w:line="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Consolidated Balance Sheets as of December 31, 2024 and 2023</w:t>
      </w:r>
    </w:p>
    <w:p>
      <w:pPr>
        <w:ind w:left="720" w:right="1060"/>
        <w:spacing w:after="0" w:line="242" w:lineRule="auto"/>
        <w:rPr>
          <w:sz w:val="20"/>
          <w:szCs w:val="20"/>
          <w:color w:val="auto"/>
        </w:rPr>
      </w:pPr>
      <w:r>
        <w:rPr>
          <w:rFonts w:ascii="Times New Roman" w:cs="Times New Roman" w:eastAsia="Times New Roman" w:hAnsi="Times New Roman"/>
          <w:sz w:val="20"/>
          <w:szCs w:val="20"/>
          <w:color w:val="auto"/>
        </w:rPr>
        <w:t>Consolidated Statements of Operations for the years ended December 31, 2024, 2023 and 2022 Consolidated Statements of Comprehensive Income for the years ended December 31, 2024, 2023 and 2022 Consolidated Statements of Cash Flows for the years ended December 31, 2024, 2023 and 2022 Consolidated Statements of Changes in Equity for the years ended December 31, 2024, 2023 and 2022 Notes to Consolidated Financial Statements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 (2) Consolidated Financial Statement Schedules:</w:t>
      </w:r>
    </w:p>
    <w:p>
      <w:pPr>
        <w:spacing w:after="0" w:line="240" w:lineRule="exact"/>
        <w:rPr>
          <w:sz w:val="20"/>
          <w:szCs w:val="20"/>
          <w:color w:val="auto"/>
        </w:rPr>
      </w:pPr>
    </w:p>
    <w:p>
      <w:pPr>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All schedules have been omitted because the required information is not significant or is included in the financial statements or notes thereto, or is not applicable.</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147</w:t>
      </w:r>
    </w:p>
    <w:p>
      <w:pPr>
        <w:sectPr>
          <w:pgSz w:w="13320" w:h="16920" w:orient="portrait"/>
          <w:cols w:equalWidth="0" w:num="1">
            <w:col w:w="10440"/>
          </w:cols>
          <w:pgMar w:left="1440" w:top="1440" w:right="1440" w:bottom="1440" w:gutter="0" w:footer="0" w:header="0"/>
          <w:type w:val="continuous"/>
        </w:sectPr>
      </w:pPr>
    </w:p>
    <w:bookmarkStart w:id="221" w:name="page222"/>
    <w:bookmarkEnd w:id="221"/>
    <w:p>
      <w:pPr>
        <w:spacing w:after="0" w:line="200" w:lineRule="exact"/>
        <w:rPr>
          <w:sz w:val="20"/>
          <w:szCs w:val="20"/>
          <w:color w:val="auto"/>
        </w:rPr>
      </w:pP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 (3) Exhibits:</w:t>
      </w:r>
    </w:p>
    <w:p>
      <w:pPr>
        <w:spacing w:after="0" w:line="240" w:lineRule="exact"/>
        <w:rPr>
          <w:sz w:val="20"/>
          <w:szCs w:val="20"/>
          <w:color w:val="auto"/>
        </w:rPr>
      </w:pPr>
    </w:p>
    <w:tbl>
      <w:tblPr>
        <w:tblLayout w:type="fixed"/>
        <w:tblInd w:w="360" w:type="dxa"/>
        <w:tblCellMar>
          <w:top w:w="0" w:type="dxa"/>
          <w:left w:w="0" w:type="dxa"/>
          <w:bottom w:w="0" w:type="dxa"/>
          <w:right w:w="0" w:type="dxa"/>
        </w:tblCellMar>
      </w:tblPr>
      <w:tr>
        <w:trPr>
          <w:trHeight w:val="205"/>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7"/>
              </w:rPr>
              <w:t>Exhibit No.</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8360" w:type="dxa"/>
            <w:vAlign w:val="bottom"/>
            <w:tcBorders>
              <w:bottom w:val="single" w:sz="8" w:color="auto"/>
            </w:tcBorders>
          </w:tcPr>
          <w:p>
            <w:pPr>
              <w:ind w:left="37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99"/>
        </w:trPr>
        <w:tc>
          <w:tcPr>
            <w:tcW w:w="780" w:type="dxa"/>
            <w:vAlign w:val="bottom"/>
          </w:tcPr>
          <w:p>
            <w:pPr>
              <w:spacing w:after="0" w:line="199" w:lineRule="exact"/>
              <w:rPr>
                <w:sz w:val="20"/>
                <w:szCs w:val="20"/>
                <w:color w:val="auto"/>
              </w:rPr>
            </w:pPr>
            <w:r>
              <w:rPr>
                <w:rFonts w:ascii="Times New Roman" w:cs="Times New Roman" w:eastAsia="Times New Roman" w:hAnsi="Times New Roman"/>
                <w:sz w:val="20"/>
                <w:szCs w:val="20"/>
                <w:color w:val="auto"/>
              </w:rPr>
              <w:t>3.1</w:t>
            </w:r>
          </w:p>
        </w:tc>
        <w:tc>
          <w:tcPr>
            <w:tcW w:w="580" w:type="dxa"/>
            <w:vAlign w:val="bottom"/>
            <w:vMerge w:val="continue"/>
          </w:tcPr>
          <w:p>
            <w:pPr>
              <w:spacing w:after="0"/>
              <w:rPr>
                <w:sz w:val="17"/>
                <w:szCs w:val="17"/>
                <w:color w:val="auto"/>
              </w:rPr>
            </w:pPr>
          </w:p>
        </w:tc>
        <w:tc>
          <w:tcPr>
            <w:tcW w:w="8360" w:type="dxa"/>
            <w:vAlign w:val="bottom"/>
          </w:tcPr>
          <w:p>
            <w:pPr>
              <w:spacing w:after="0" w:line="199" w:lineRule="exact"/>
              <w:rPr>
                <w:sz w:val="20"/>
                <w:szCs w:val="20"/>
                <w:color w:val="auto"/>
              </w:rPr>
            </w:pPr>
            <w:r>
              <w:rPr>
                <w:rFonts w:ascii="Times New Roman" w:cs="Times New Roman" w:eastAsia="Times New Roman" w:hAnsi="Times New Roman"/>
                <w:sz w:val="20"/>
                <w:szCs w:val="20"/>
                <w:color w:val="auto"/>
              </w:rPr>
              <w:t>Fourth Restated Certificate of Incorporation of Waste Management, Inc. [incorporated by reference to</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Exhibit 3.2 to Form 8-K dated May 14, 2024].</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Amended and Restated By-laws of Waste Management, Inc. [incorporated by reference to Exhibit 3.2</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to Form 8 - K dated November 6, 2023].</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Specimen Stock Certificate [incorporated by reference to Exhibit 4.1 to Form 10 - K for the year ended</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December 31, 1998].</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Third Restated Certificate of Incorporation of Waste Management Holdings, Inc. [incorporated by</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reference to Exhibit 4.2 to Form 10 - K for the year ended December 31, 2014].</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Amended and Restated By-laws of Waste Management Holdings, Inc. [incorporated by reference to</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Exhibit 4.3 to Form 10-Q for the quarter ended June 30, 2014].</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Indenture for Subordinated Debt Securities dated February 1, 1997, among the Registrant and The Bank</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of New York Mellon Trust Company, N.A. (the current successor to Texas Commerce Bank National</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w w:val="99"/>
              </w:rPr>
              <w:t>Association), as trustee [incorporated by reference to Exhibit 4.1 to Form 8 - K dated February 7, 1997].</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4.5</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Indenture for Senior Debt Securities dated September 10, 1997, among the Registrant and The Bank of</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New York Mellon Trust Company, N.A. (the current successor to Texas Commerce Bank National</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Association), as trustee [incorporated by reference to Exhibit 4.1 to Form 8 - K dated September 10,</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894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1997].</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4.6*</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Description of Waste Management, Inc.’s Common Stock.</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4.7*</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Schedule of Officers’ Certificates delivered pursuant to Section 301 of the Indenture dated</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September 10, 1997 establishing the terms and form of Waste Management, Inc.’s Senior Notes. Waste</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Management and its subsidiaries are parties to debt instruments that have not been filed with the SEC</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under which the total amount of securities authorized under any single instrument does not exceed 10%</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of the total assets of Waste Management and its subsidiaries on a consolidated basis. Pursuant to</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paragraph 4(iii)(A) of Item 601(b) of Regulation S-K, Waste Management agrees to furnish a copy of</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such instruments to the SEC upon request.</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4.8*</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Officers’ Certificate delivered pursuant to Section 301 of the Indenture dated September 10, 1997</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establishing the terms and form of the 4.500% Senior Notes due 2028.</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4.9*</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Officers’ Certificate delivered pursuant to Section 301 of the Indenture dated September 10, 1997</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establishing the terms and form of the 4.650% Senior Notes due 2030.</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4.10*</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Officers’ Certificate delivered pursuant to Section 301 of the Indenture dated September 10, 1997</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establishing the terms and form of the 4.800% Senior Notes due 2032.</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4.11*</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Officers’ Certificate delivered pursuant to Section 301 of the Indenture dated September 10, 1997</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establishing the terms and form of the 4.950% Senior Notes due 2035.</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4.12*</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Officers’ Certificate delivered pursuant to Section 301 of the Indenture dated September 10, 1997</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establishing the terms and form of the 5.350% Senior Notes due 2054.</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4.13*</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Guarantee Agreement by Waste Management Holdings, Inc. in favor of The Bank of New York Mellon</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Trust Company, N.A., as Trustee for the holders of the 4.500% Senior Notes due 2028.</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4.14*</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Guarantee Agreement by Waste Management Holdings, Inc. in favor of The Bank of New York Mellon</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Trust Company, N.A., as Trustee for the holders of the 4.650% Senior Notes due 2030.</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4.15*</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Guarantee Agreement by Waste Management Holdings, Inc. in favor of The Bank of New York Mellon</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Trust Company, N.A., as Trustee for the holders of the 4.800% Senior Notes due 2032.</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4.16*</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Guarantee Agreement by Waste Management Holdings, Inc. in favor of The Bank of New York Mellon</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Trust Company, N.A., as Trustee for the holders of the 4.950% Senior Notes due 2035.</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4.17*</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Guarantee Agreement by Waste Management Holdings, Inc. in favor of The Bank of New York Mellon</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Trust Company, N.A., as Trustee for the holders of the 5.350% Senior Notes due 2054.</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4.18</w:t>
            </w:r>
          </w:p>
        </w:tc>
        <w:tc>
          <w:tcPr>
            <w:tcW w:w="8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Registration Rights Agreement by and among Waste Management, Inc., Waste Management Holdings,</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w w:val="99"/>
              </w:rPr>
              <w:t>Inc., Barclays Capital Inc., Deutsche Bank Securities Inc. and Goldman Sachs &amp; Co. LLC in connection</w:t>
            </w:r>
          </w:p>
        </w:tc>
        <w:tc>
          <w:tcPr>
            <w:tcW w:w="0" w:type="dxa"/>
            <w:vAlign w:val="bottom"/>
          </w:tcPr>
          <w:p>
            <w:pPr>
              <w:spacing w:after="0"/>
              <w:rPr>
                <w:sz w:val="1"/>
                <w:szCs w:val="1"/>
                <w:color w:val="auto"/>
              </w:rPr>
            </w:pPr>
          </w:p>
        </w:tc>
      </w:tr>
    </w:tbl>
    <w:p>
      <w:pPr>
        <w:ind w:left="1720" w:right="680"/>
        <w:spacing w:after="0" w:line="249" w:lineRule="auto"/>
        <w:rPr>
          <w:sz w:val="20"/>
          <w:szCs w:val="20"/>
          <w:color w:val="auto"/>
        </w:rPr>
      </w:pPr>
      <w:r>
        <w:rPr>
          <w:rFonts w:ascii="Times New Roman" w:cs="Times New Roman" w:eastAsia="Times New Roman" w:hAnsi="Times New Roman"/>
          <w:sz w:val="20"/>
          <w:szCs w:val="20"/>
          <w:color w:val="auto"/>
        </w:rPr>
        <w:t>with the 3.875% Senior Notes due 2029 [incorporated by reference to Exhibit 4.5 to Form 8-K dated November 8, 2024].</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148</w:t>
      </w:r>
    </w:p>
    <w:p>
      <w:pPr>
        <w:sectPr>
          <w:pgSz w:w="13320" w:h="16920" w:orient="portrait"/>
          <w:cols w:equalWidth="0" w:num="1">
            <w:col w:w="10440"/>
          </w:cols>
          <w:pgMar w:left="1440" w:top="1440" w:right="1440" w:bottom="1440" w:gutter="0" w:footer="0" w:header="0"/>
          <w:type w:val="continuous"/>
        </w:sectPr>
      </w:pPr>
    </w:p>
    <w:bookmarkStart w:id="222" w:name="page223"/>
    <w:bookmarkEnd w:id="222"/>
    <w:p>
      <w:pPr>
        <w:spacing w:after="0" w:line="200" w:lineRule="exact"/>
        <w:rPr>
          <w:sz w:val="20"/>
          <w:szCs w:val="20"/>
          <w:color w:val="auto"/>
        </w:rPr>
      </w:pPr>
    </w:p>
    <w:p>
      <w:pPr>
        <w:spacing w:after="0" w:line="257" w:lineRule="exact"/>
        <w:rPr>
          <w:sz w:val="20"/>
          <w:szCs w:val="20"/>
          <w:color w:val="auto"/>
        </w:rPr>
      </w:pPr>
    </w:p>
    <w:p>
      <w:pPr>
        <w:ind w:left="1360" w:right="760" w:hanging="1356"/>
        <w:spacing w:after="0" w:line="249" w:lineRule="auto"/>
        <w:tabs>
          <w:tab w:leader="none" w:pos="1340" w:val="left"/>
        </w:tabs>
        <w:rPr>
          <w:sz w:val="20"/>
          <w:szCs w:val="20"/>
          <w:color w:val="auto"/>
        </w:rPr>
      </w:pPr>
      <w:r>
        <w:rPr>
          <w:rFonts w:ascii="Times New Roman" w:cs="Times New Roman" w:eastAsia="Times New Roman" w:hAnsi="Times New Roman"/>
          <w:sz w:val="20"/>
          <w:szCs w:val="20"/>
          <w:color w:val="auto"/>
        </w:rPr>
        <w:t>4.19</w:t>
      </w:r>
      <w:r>
        <w:rPr>
          <w:sz w:val="20"/>
          <w:szCs w:val="20"/>
          <w:color w:val="auto"/>
        </w:rPr>
        <w:tab/>
      </w:r>
      <w:r>
        <w:rPr>
          <w:rFonts w:ascii="Times New Roman" w:cs="Times New Roman" w:eastAsia="Times New Roman" w:hAnsi="Times New Roman"/>
          <w:sz w:val="20"/>
          <w:szCs w:val="20"/>
          <w:color w:val="auto"/>
        </w:rPr>
        <w:t>— Officers’ Certificate delivered pursuant to Section 301 of the Indenture dated September 10, 1997 establishing the terms and form of the 3.875% Senior Notes due 2029 [incorporated by reference to Exhibit 4.2 to Form 8-K dated November 8, 2024].</w:t>
      </w:r>
    </w:p>
    <w:p>
      <w:pPr>
        <w:spacing w:after="0" w:line="2" w:lineRule="exact"/>
        <w:rPr>
          <w:sz w:val="20"/>
          <w:szCs w:val="20"/>
          <w:color w:val="auto"/>
        </w:rPr>
      </w:pPr>
    </w:p>
    <w:p>
      <w:pPr>
        <w:jc w:val="both"/>
        <w:ind w:left="1360" w:right="420" w:hanging="1356"/>
        <w:spacing w:after="0"/>
        <w:tabs>
          <w:tab w:leader="none" w:pos="1340" w:val="left"/>
        </w:tabs>
        <w:rPr>
          <w:sz w:val="20"/>
          <w:szCs w:val="20"/>
          <w:color w:val="auto"/>
        </w:rPr>
      </w:pPr>
      <w:r>
        <w:rPr>
          <w:rFonts w:ascii="Times New Roman" w:cs="Times New Roman" w:eastAsia="Times New Roman" w:hAnsi="Times New Roman"/>
          <w:sz w:val="20"/>
          <w:szCs w:val="20"/>
          <w:color w:val="auto"/>
        </w:rPr>
        <w:t>4.20</w:t>
      </w:r>
      <w:r>
        <w:rPr>
          <w:sz w:val="20"/>
          <w:szCs w:val="20"/>
          <w:color w:val="auto"/>
        </w:rPr>
        <w:tab/>
      </w:r>
      <w:r>
        <w:rPr>
          <w:rFonts w:ascii="Times New Roman" w:cs="Times New Roman" w:eastAsia="Times New Roman" w:hAnsi="Times New Roman"/>
          <w:sz w:val="20"/>
          <w:szCs w:val="20"/>
          <w:color w:val="auto"/>
        </w:rPr>
        <w:t>— Guarantee Agreement by Waste Management Holdings, Inc. in favor of The Bank of New York Mellon Trust Company, N.A., as Trustee for the holders of the 3.875% Senior Notes due 2029 [incorporated by reference to Exhibit 4.4 to Form 8-K dated November 8, 2024].</w:t>
      </w:r>
    </w:p>
    <w:p>
      <w:pPr>
        <w:ind w:left="360"/>
        <w:spacing w:after="0"/>
        <w:tabs>
          <w:tab w:leader="none" w:pos="1340" w:val="left"/>
          <w:tab w:leader="none" w:pos="170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2023 Stock Incentive Plan [incorporated by reference to Exhibit 10.1 to Form 8 - K dated May 9, 2023].</w:t>
      </w:r>
    </w:p>
    <w:p>
      <w:pPr>
        <w:ind w:left="360"/>
        <w:spacing w:after="0"/>
        <w:tabs>
          <w:tab w:leader="none" w:pos="1340" w:val="left"/>
          <w:tab w:leader="none" w:pos="170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2014 Stock Incentive Plan [incorporated by reference to Exhibit 10.1 to Form 8 - K dated May 13, 2014].</w:t>
      </w:r>
    </w:p>
    <w:p>
      <w:pPr>
        <w:ind w:left="1360" w:right="480" w:hanging="1356"/>
        <w:spacing w:after="0"/>
        <w:tabs>
          <w:tab w:leader="none" w:pos="134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20"/>
          <w:szCs w:val="20"/>
          <w:color w:val="auto"/>
        </w:rPr>
        <w:t>— First Amendment to 2014 Stock Incentive Plan [incorporated by reference to Exhibit 10.2 to Form 8-K dated May 12, 2020].</w:t>
      </w:r>
    </w:p>
    <w:p>
      <w:pPr>
        <w:spacing w:after="0" w:line="1" w:lineRule="exact"/>
        <w:rPr>
          <w:sz w:val="20"/>
          <w:szCs w:val="20"/>
          <w:color w:val="auto"/>
        </w:rPr>
      </w:pPr>
    </w:p>
    <w:p>
      <w:pPr>
        <w:ind w:left="1360" w:right="1100" w:hanging="1356"/>
        <w:spacing w:after="0" w:line="239" w:lineRule="auto"/>
        <w:tabs>
          <w:tab w:leader="none" w:pos="134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 Second Amendment to 2014 Stock Incentive Plan [incorporated by reference to Exhibit 10.3 to Form 10-Q for the quarter ended June 30, 2022].</w:t>
      </w:r>
    </w:p>
    <w:p>
      <w:pPr>
        <w:spacing w:after="0" w:line="2" w:lineRule="exact"/>
        <w:rPr>
          <w:sz w:val="20"/>
          <w:szCs w:val="20"/>
          <w:color w:val="auto"/>
        </w:rPr>
      </w:pPr>
    </w:p>
    <w:p>
      <w:pPr>
        <w:ind w:left="1360" w:right="940" w:hanging="1356"/>
        <w:spacing w:after="0" w:line="239" w:lineRule="auto"/>
        <w:tabs>
          <w:tab w:leader="none" w:pos="134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20"/>
          <w:szCs w:val="20"/>
          <w:color w:val="auto"/>
        </w:rPr>
        <w:t>— 2005 Annual Incentive Plan [incorporated by reference to Appendix D to the Proxy Statement on Schedule 14A filed April 8, 2004].</w:t>
      </w:r>
    </w:p>
    <w:p>
      <w:pPr>
        <w:spacing w:after="0" w:line="2" w:lineRule="exact"/>
        <w:rPr>
          <w:sz w:val="20"/>
          <w:szCs w:val="20"/>
          <w:color w:val="auto"/>
        </w:rPr>
      </w:pPr>
    </w:p>
    <w:p>
      <w:pPr>
        <w:ind w:left="360"/>
        <w:spacing w:after="0"/>
        <w:tabs>
          <w:tab w:leader="none" w:pos="1340" w:val="left"/>
          <w:tab w:leader="none" w:pos="170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20"/>
          <w:szCs w:val="20"/>
          <w:color w:val="auto"/>
        </w:rPr>
        <w:t>—</w:t>
        <w:tab/>
        <w:t>Waste Management, Inc. Employee Stock Purchase Plan (As Amended and Restated effective May 12,</w:t>
      </w:r>
    </w:p>
    <w:p>
      <w:pPr>
        <w:ind w:left="1720"/>
        <w:spacing w:after="0"/>
        <w:rPr>
          <w:sz w:val="20"/>
          <w:szCs w:val="20"/>
          <w:color w:val="auto"/>
        </w:rPr>
      </w:pPr>
      <w:r>
        <w:rPr>
          <w:rFonts w:ascii="Times New Roman" w:cs="Times New Roman" w:eastAsia="Times New Roman" w:hAnsi="Times New Roman"/>
          <w:sz w:val="20"/>
          <w:szCs w:val="20"/>
          <w:color w:val="auto"/>
        </w:rPr>
        <w:t>2020) [incorporated by reference to Exhibit 10.1 to Form 8 - K dated May 12, 2020].</w:t>
      </w:r>
    </w:p>
    <w:p>
      <w:pPr>
        <w:jc w:val="center"/>
        <w:ind w:left="360" w:right="840"/>
        <w:spacing w:after="0" w:line="239" w:lineRule="auto"/>
        <w:rPr>
          <w:sz w:val="20"/>
          <w:szCs w:val="20"/>
          <w:color w:val="auto"/>
        </w:rPr>
      </w:pPr>
      <w:r>
        <w:rPr>
          <w:rFonts w:ascii="Times New Roman" w:cs="Times New Roman" w:eastAsia="Times New Roman" w:hAnsi="Times New Roman"/>
          <w:sz w:val="20"/>
          <w:szCs w:val="20"/>
          <w:color w:val="auto"/>
        </w:rPr>
        <w:t>10.7†     —  First Amendment to the Waste Management, Inc. Employee Stock Purchase Plan [incorporated by reference to Exhibit 10.8 to Form 10-K for the year ended December 31, 2023].</w:t>
      </w:r>
    </w:p>
    <w:p>
      <w:pPr>
        <w:spacing w:after="0" w:line="1" w:lineRule="exact"/>
        <w:rPr>
          <w:sz w:val="20"/>
          <w:szCs w:val="20"/>
          <w:color w:val="auto"/>
        </w:rPr>
      </w:pPr>
    </w:p>
    <w:p>
      <w:pPr>
        <w:ind w:left="360"/>
        <w:spacing w:after="0"/>
        <w:tabs>
          <w:tab w:leader="none" w:pos="1340" w:val="left"/>
          <w:tab w:leader="none" w:pos="170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Waste Management, Inc. 409A Deferral Savings Plan as Amended and Restated effective January 1,</w:t>
      </w:r>
    </w:p>
    <w:p>
      <w:pPr>
        <w:ind w:left="1720"/>
        <w:spacing w:after="0"/>
        <w:rPr>
          <w:sz w:val="20"/>
          <w:szCs w:val="20"/>
          <w:color w:val="auto"/>
        </w:rPr>
      </w:pPr>
      <w:r>
        <w:rPr>
          <w:rFonts w:ascii="Times New Roman" w:cs="Times New Roman" w:eastAsia="Times New Roman" w:hAnsi="Times New Roman"/>
          <w:sz w:val="20"/>
          <w:szCs w:val="20"/>
          <w:color w:val="auto"/>
        </w:rPr>
        <w:t>2014 [incorporated by reference to Exhibit 10.2 to Form 10 - Q for the quarter ended March 31, 2014].</w:t>
      </w:r>
    </w:p>
    <w:p>
      <w:pPr>
        <w:ind w:left="1360" w:right="380" w:hanging="1356"/>
        <w:spacing w:after="0"/>
        <w:tabs>
          <w:tab w:leader="none" w:pos="134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20"/>
          <w:szCs w:val="20"/>
          <w:color w:val="auto"/>
        </w:rPr>
        <w:t>— $3.5 Billion Seventh Amended and Restated Revolving Credit Agreement dated as of May 8, 2024 by and among Waste Management, Inc., Waste Management of Canada Corporation, WM Quebec Inc. and Waste Management Holdings, Inc., certain banks party thereto, and Bank of America, N.A., as administrative agent [incorporated by reference to Exhibit 10.1 to Form 8-K dated May 8, 2024].</w:t>
      </w:r>
    </w:p>
    <w:p>
      <w:pPr>
        <w:ind w:left="1360" w:right="1140" w:hanging="1356"/>
        <w:spacing w:after="0" w:line="239" w:lineRule="auto"/>
        <w:tabs>
          <w:tab w:leader="none" w:pos="134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color w:val="auto"/>
        </w:rPr>
        <w:t>— Amendment No. 1 to Seventh Amended and Restated Revolving Credit Agreement dated as of November 22, 2024.</w:t>
      </w:r>
    </w:p>
    <w:p>
      <w:pPr>
        <w:spacing w:after="0" w:line="2" w:lineRule="exact"/>
        <w:rPr>
          <w:sz w:val="20"/>
          <w:szCs w:val="20"/>
          <w:color w:val="auto"/>
        </w:rPr>
      </w:pPr>
    </w:p>
    <w:p>
      <w:pPr>
        <w:ind w:left="1360" w:right="580" w:hanging="1356"/>
        <w:spacing w:after="0" w:line="239" w:lineRule="auto"/>
        <w:tabs>
          <w:tab w:leader="none" w:pos="134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auto"/>
        </w:rPr>
        <w:t>— Commercial Paper Dealer Agreement, substantially in the form as executed with each of Mizuho Securities USA LLC, BofA Securities, Inc., J.P. Morgan Securities LLC, MUFG Securities Americas Inc., Wells Fargo Securities, LLC, RBC Capital Markets, LLC, Siebert Williams Shank &amp; Co., LLC, and Barclays Capital Inc. as Dealer [incorporated by reference to Exhibit 10.11 to Form 10 - K for the year ended December 31, 2016].</w:t>
      </w:r>
    </w:p>
    <w:p>
      <w:pPr>
        <w:spacing w:after="0" w:line="5" w:lineRule="exact"/>
        <w:rPr>
          <w:sz w:val="20"/>
          <w:szCs w:val="20"/>
          <w:color w:val="auto"/>
        </w:rPr>
      </w:pPr>
    </w:p>
    <w:p>
      <w:pPr>
        <w:ind w:left="1360" w:right="660" w:hanging="1356"/>
        <w:spacing w:after="0"/>
        <w:tabs>
          <w:tab w:leader="none" w:pos="134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color w:val="auto"/>
        </w:rPr>
        <w:t>— Commercial Paper Issuing and Paying Agent Agreement between Waste Management, Inc. and U.S. Bank Trust Company, National Association dated October 28, 2022. [incorporated by reference to Exhibit 10.11 to Form 10-K for the year ended December 31, 2022].</w:t>
      </w:r>
    </w:p>
    <w:p>
      <w:pPr>
        <w:ind w:left="1360" w:right="680" w:hanging="1356"/>
        <w:spacing w:after="0"/>
        <w:tabs>
          <w:tab w:leader="none" w:pos="134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color w:val="auto"/>
        </w:rPr>
        <w:t>— First Amended and Restated Employment Agreement between USA Waste-Management Resources, LLC and James C. Fish, Jr. dated December 22, 2017 [incorporated by reference to Exhibit 10.2 to Form 8-K dated December 22, 2017].</w:t>
      </w:r>
    </w:p>
    <w:p>
      <w:pPr>
        <w:ind w:left="1360" w:right="780" w:hanging="1356"/>
        <w:spacing w:after="0"/>
        <w:tabs>
          <w:tab w:leader="none" w:pos="134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color w:val="auto"/>
        </w:rPr>
        <w:t>— Compensation Relinquishment Agreement between USA Waste-Management Resources, LLC and James C. Fish, Jr. [incorporated by reference to Exhibit 10.14 to Form 10-K for the year ended December 31, 2023].</w:t>
      </w:r>
    </w:p>
    <w:p>
      <w:pPr>
        <w:ind w:left="1360" w:right="380" w:hanging="1356"/>
        <w:spacing w:after="0"/>
        <w:tabs>
          <w:tab w:leader="none" w:pos="134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color w:val="auto"/>
        </w:rPr>
        <w:t>— First Amendment to Compensation Relinquishment Agreement between USA Waste-Management Resources, LLC and James C. Fish, Jr. [incorporated by reference to Exhibit 10.15 to Form 10-K for the year ended December 31, 2023].</w:t>
      </w:r>
    </w:p>
    <w:p>
      <w:pPr>
        <w:ind w:left="1360" w:right="540" w:hanging="1356"/>
        <w:spacing w:after="0"/>
        <w:tabs>
          <w:tab w:leader="none" w:pos="134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color w:val="auto"/>
        </w:rPr>
        <w:t>— Employment Agreement between USA Waste-Management Resources, LLC and Devina A. Rankin dated December 22, 2017 [incorporated by reference to Exhibit 10.3 to Form 8-K dated December 22, 2017].</w:t>
      </w:r>
    </w:p>
    <w:p>
      <w:pPr>
        <w:ind w:left="1360" w:right="380" w:hanging="1356"/>
        <w:spacing w:after="0"/>
        <w:tabs>
          <w:tab w:leader="none" w:pos="134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auto"/>
        </w:rPr>
        <w:t>— First Amended and Restated Employment Agreement between USA Waste-Management Resources, LLC and John J. Morris, Jr. [incorporated by reference to Exhibit 10.4 to Form 8-K dated December 22, 2017].</w:t>
      </w:r>
    </w:p>
    <w:p>
      <w:pPr>
        <w:jc w:val="both"/>
        <w:ind w:left="1360" w:right="500" w:hanging="1356"/>
        <w:spacing w:after="0"/>
        <w:tabs>
          <w:tab w:leader="none" w:pos="134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color w:val="auto"/>
        </w:rPr>
        <w:t>— Employment Agreement between USA Waste-Management Resources, LLC and Charles C. Boettcher dated December 22, 2017 [incorporated by reference to Exhibit 10.23 to Form 10-K for the year ended December 31, 2017].</w:t>
      </w:r>
    </w:p>
    <w:p>
      <w:pPr>
        <w:ind w:left="1360" w:right="1340" w:hanging="1356"/>
        <w:spacing w:after="0" w:line="249" w:lineRule="auto"/>
        <w:tabs>
          <w:tab w:leader="none" w:pos="134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color w:val="auto"/>
        </w:rPr>
        <w:t>— Form of Director and Executive Officer Indemnity Agreement [incorporated by reference to Exhibit 10.43 to Form 10 - K for the year ended December 31, 2012].</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149</w:t>
      </w:r>
    </w:p>
    <w:p>
      <w:pPr>
        <w:sectPr>
          <w:pgSz w:w="13320" w:h="16920" w:orient="portrait"/>
          <w:cols w:equalWidth="0" w:num="1">
            <w:col w:w="10440"/>
          </w:cols>
          <w:pgMar w:left="1440" w:top="1440" w:right="1440" w:bottom="1440" w:gutter="0" w:footer="0" w:header="0"/>
          <w:type w:val="continuous"/>
        </w:sectPr>
      </w:pPr>
    </w:p>
    <w:bookmarkStart w:id="223" w:name="page224"/>
    <w:bookmarkEnd w:id="223"/>
    <w:p>
      <w:pPr>
        <w:spacing w:after="0" w:line="200" w:lineRule="exact"/>
        <w:rPr>
          <w:sz w:val="20"/>
          <w:szCs w:val="20"/>
          <w:color w:val="auto"/>
        </w:rPr>
      </w:pPr>
    </w:p>
    <w:p>
      <w:pPr>
        <w:spacing w:after="0" w:line="257"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8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Waste Management Holdings, Inc. Executive Severance Plan [incorporated by reference to Exhibit 10.1</w:t>
            </w:r>
          </w:p>
        </w:tc>
      </w:tr>
      <w:tr>
        <w:trPr>
          <w:trHeight w:val="229"/>
        </w:trPr>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to Form 8-K dated December 22, 2017].</w:t>
            </w: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8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Form of 2021 Long Term Incentive Compensation Award Agreement for Senior Leadership Team</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[incorporated by reference to Exhibit 10.1 to Form 8-K dated February 23, 2021].</w:t>
            </w: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8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Form of 2021 Long Term Incentive Compensation RSU Award Agreement [incorporated by reference</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to Exhibit 10.19 to Form 10-K for the year ended December 31, 2021].</w:t>
            </w: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8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Form of 2022 Long Term Incentive Compensation Award Agreement for Senior Leadership Team</w:t>
            </w:r>
          </w:p>
        </w:tc>
      </w:tr>
      <w:tr>
        <w:trPr>
          <w:trHeight w:val="229"/>
        </w:trPr>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[incorporated by reference to Exhibit 10.1 to Form 8-K dated March 1, 2022].</w:t>
            </w: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10.24†</w:t>
            </w:r>
          </w:p>
        </w:tc>
        <w:tc>
          <w:tcPr>
            <w:tcW w:w="8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Form of 2022 Long Term Incentive Compensation RSU Award Agreement [incorporated by reference</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to Exhibit 10.2 to Form 8-K dated March 1, 2022].</w:t>
            </w: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10.25†</w:t>
            </w:r>
          </w:p>
        </w:tc>
        <w:tc>
          <w:tcPr>
            <w:tcW w:w="8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Form of 2023 Long Term Incentive Compensation Award Agreement for Senior Leadership Team</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[incorporated by reference to Exhibit 10.1 to Form 8-K dated March 7, 2023].</w:t>
            </w: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10.26†</w:t>
            </w:r>
          </w:p>
        </w:tc>
        <w:tc>
          <w:tcPr>
            <w:tcW w:w="8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Form of 2024 Long Term Incentive Compensation Award Agreement for Senior Leadership Team</w:t>
            </w:r>
          </w:p>
        </w:tc>
      </w:tr>
      <w:tr>
        <w:trPr>
          <w:trHeight w:val="229"/>
        </w:trPr>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[incorporated by reference to Exhibit 10.1 to Form 8-K dated March 1, 2024].</w:t>
            </w: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10.27†</w:t>
            </w:r>
          </w:p>
        </w:tc>
        <w:tc>
          <w:tcPr>
            <w:tcW w:w="8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Form of 2024 Executive Officer Annual Incentive Award Agreement for Senior Leadership Team</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[incorporated by reference to Exhibit 10.2 to Form 8-K dated March 1, 2024].</w:t>
            </w: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10.28†</w:t>
            </w:r>
          </w:p>
        </w:tc>
        <w:tc>
          <w:tcPr>
            <w:tcW w:w="8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Form of 2024 Long Term Incentive Compensation Award Agreement for Leadership Tier (Chief</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Accounting Officer) [incorporated by reference to Exhibit 10.3 to Form 10-Q for the quarter ended</w:t>
            </w:r>
          </w:p>
        </w:tc>
      </w:tr>
      <w:tr>
        <w:trPr>
          <w:trHeight w:val="229"/>
        </w:trPr>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March 31, 2024].</w:t>
            </w: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10.29†</w:t>
            </w:r>
          </w:p>
        </w:tc>
        <w:tc>
          <w:tcPr>
            <w:tcW w:w="8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Form of 2024 Long Term Incentive Compensation Award Agreement RSU Award (U.S.)(Three-Year</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Step Vest) [incorporated by reference to Exhibit 10.2 to Form 10-Q for the quarter ended September 30,</w:t>
            </w:r>
          </w:p>
        </w:tc>
      </w:tr>
      <w:tr>
        <w:trPr>
          <w:trHeight w:val="229"/>
        </w:trPr>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2024].</w:t>
            </w: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Insider Trading Policy.</w:t>
            </w: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8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Subsidiaries of the Registrant.</w:t>
            </w: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22.1*</w:t>
            </w:r>
          </w:p>
        </w:tc>
        <w:tc>
          <w:tcPr>
            <w:tcW w:w="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Guarantor Subsidiary.</w:t>
            </w: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8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Consent of Independent Registered Public Accounting Firm.</w:t>
            </w: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8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Certification Pursuant to Rules 13a - 14(a) and 15d - 14(a) under the Securities Exchange Act of 1934 of</w:t>
            </w:r>
          </w:p>
        </w:tc>
      </w:tr>
      <w:tr>
        <w:trPr>
          <w:trHeight w:val="229"/>
        </w:trPr>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James C. Fish, Jr., President and Chief Executive Officer.</w:t>
            </w: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8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Certification Pursuant to Rules 13a - 14(a) and 15d - 14(a) under the Securities Exchange Act of 1934 of</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Devina A. Rankin, Executive Vice President and Chief Financial Officer.</w:t>
            </w: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8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Certification Pursuant to 18 U.S.C. §1350 of James C. Fish, Jr., President and Chief Executive Officer.</w:t>
            </w: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8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Certification Pursuant to 18 U.S.C. §1350 of Devina A. Rankin, Executive Vice President and Chief</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Financial Officer.</w:t>
            </w:r>
          </w:p>
        </w:tc>
      </w:tr>
      <w:tr>
        <w:trPr>
          <w:trHeight w:val="26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95*</w:t>
            </w:r>
          </w:p>
        </w:tc>
        <w:tc>
          <w:tcPr>
            <w:tcW w:w="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Mine Safety Disclosures.</w:t>
            </w:r>
          </w:p>
        </w:tc>
      </w:tr>
    </w:tbl>
    <w:p>
      <w:pPr>
        <w:ind w:left="1720" w:right="460" w:hanging="1353"/>
        <w:spacing w:after="0" w:line="243" w:lineRule="auto"/>
        <w:tabs>
          <w:tab w:leader="none" w:pos="1353"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Waste Management, Inc. Clawback Policy [incorporated by refence to Exhibit 97 to Form 10-K for the year ended December 31, 2023].</w:t>
      </w:r>
    </w:p>
    <w:p>
      <w:pPr>
        <w:ind w:left="360"/>
        <w:spacing w:after="0"/>
        <w:tabs>
          <w:tab w:leader="none" w:pos="1340" w:val="left"/>
          <w:tab w:leader="none" w:pos="1700" w:val="left"/>
        </w:tabs>
        <w:rPr>
          <w:sz w:val="20"/>
          <w:szCs w:val="20"/>
          <w:color w:val="auto"/>
        </w:rPr>
      </w:pPr>
      <w:r>
        <w:rPr>
          <w:rFonts w:ascii="Times New Roman" w:cs="Times New Roman" w:eastAsia="Times New Roman" w:hAnsi="Times New Roman"/>
          <w:sz w:val="20"/>
          <w:szCs w:val="20"/>
          <w:color w:val="auto"/>
        </w:rPr>
        <w:t>101.INS*</w:t>
        <w:tab/>
        <w:t>—</w:t>
        <w:tab/>
        <w:t>Inline XBRL Instance.</w:t>
      </w:r>
    </w:p>
    <w:p>
      <w:pPr>
        <w:ind w:left="360"/>
        <w:spacing w:after="0"/>
        <w:tabs>
          <w:tab w:leader="none" w:pos="1700" w:val="left"/>
        </w:tabs>
        <w:rPr>
          <w:sz w:val="20"/>
          <w:szCs w:val="20"/>
          <w:color w:val="auto"/>
        </w:rPr>
      </w:pPr>
      <w:r>
        <w:rPr>
          <w:rFonts w:ascii="Times New Roman" w:cs="Times New Roman" w:eastAsia="Times New Roman" w:hAnsi="Times New Roman"/>
          <w:sz w:val="20"/>
          <w:szCs w:val="20"/>
          <w:color w:val="auto"/>
        </w:rPr>
        <w:t>101.SCH*  —</w:t>
        <w:tab/>
        <w:t>Inline XBRL Taxonomy Extension Schema.</w:t>
      </w:r>
    </w:p>
    <w:p>
      <w:pPr>
        <w:ind w:left="360"/>
        <w:spacing w:after="0"/>
        <w:tabs>
          <w:tab w:leader="none" w:pos="1700" w:val="left"/>
        </w:tabs>
        <w:rPr>
          <w:sz w:val="20"/>
          <w:szCs w:val="20"/>
          <w:color w:val="auto"/>
        </w:rPr>
      </w:pPr>
      <w:r>
        <w:rPr>
          <w:rFonts w:ascii="Times New Roman" w:cs="Times New Roman" w:eastAsia="Times New Roman" w:hAnsi="Times New Roman"/>
          <w:sz w:val="20"/>
          <w:szCs w:val="20"/>
          <w:color w:val="auto"/>
        </w:rPr>
        <w:t>101.CAL*  —</w:t>
        <w:tab/>
        <w:t>Inline XBRL Taxonomy Extension Calculation.</w:t>
      </w:r>
    </w:p>
    <w:p>
      <w:pPr>
        <w:ind w:left="360"/>
        <w:spacing w:after="0"/>
        <w:tabs>
          <w:tab w:leader="none" w:pos="1700" w:val="left"/>
        </w:tabs>
        <w:rPr>
          <w:sz w:val="20"/>
          <w:szCs w:val="20"/>
          <w:color w:val="auto"/>
        </w:rPr>
      </w:pPr>
      <w:r>
        <w:rPr>
          <w:rFonts w:ascii="Times New Roman" w:cs="Times New Roman" w:eastAsia="Times New Roman" w:hAnsi="Times New Roman"/>
          <w:sz w:val="20"/>
          <w:szCs w:val="20"/>
          <w:color w:val="auto"/>
        </w:rPr>
        <w:t>101.LAB*  —</w:t>
        <w:tab/>
        <w:t>Inline XBRL Taxonomy Extension Labels.</w:t>
      </w:r>
    </w:p>
    <w:p>
      <w:pPr>
        <w:ind w:left="360"/>
        <w:spacing w:after="0"/>
        <w:tabs>
          <w:tab w:leader="none" w:pos="1340" w:val="left"/>
          <w:tab w:leader="none" w:pos="1700" w:val="left"/>
        </w:tabs>
        <w:rPr>
          <w:sz w:val="20"/>
          <w:szCs w:val="20"/>
          <w:color w:val="auto"/>
        </w:rPr>
      </w:pPr>
      <w:r>
        <w:rPr>
          <w:rFonts w:ascii="Times New Roman" w:cs="Times New Roman" w:eastAsia="Times New Roman" w:hAnsi="Times New Roman"/>
          <w:sz w:val="20"/>
          <w:szCs w:val="20"/>
          <w:color w:val="auto"/>
        </w:rPr>
        <w:t>101.PRE*</w:t>
        <w:tab/>
        <w:t>—</w:t>
      </w:r>
      <w:r>
        <w:rPr>
          <w:sz w:val="20"/>
          <w:szCs w:val="20"/>
          <w:color w:val="auto"/>
        </w:rPr>
        <w:tab/>
      </w:r>
      <w:r>
        <w:rPr>
          <w:rFonts w:ascii="Times New Roman" w:cs="Times New Roman" w:eastAsia="Times New Roman" w:hAnsi="Times New Roman"/>
          <w:sz w:val="19"/>
          <w:szCs w:val="19"/>
          <w:color w:val="auto"/>
        </w:rPr>
        <w:t>Inline XBRL Taxonomy Extension Presentation.</w:t>
      </w:r>
    </w:p>
    <w:p>
      <w:pPr>
        <w:ind w:left="360"/>
        <w:spacing w:after="0"/>
        <w:tabs>
          <w:tab w:leader="none" w:pos="1340" w:val="left"/>
          <w:tab w:leader="none" w:pos="1700" w:val="left"/>
        </w:tabs>
        <w:rPr>
          <w:sz w:val="20"/>
          <w:szCs w:val="20"/>
          <w:color w:val="auto"/>
        </w:rPr>
      </w:pPr>
      <w:r>
        <w:rPr>
          <w:rFonts w:ascii="Times New Roman" w:cs="Times New Roman" w:eastAsia="Times New Roman" w:hAnsi="Times New Roman"/>
          <w:sz w:val="20"/>
          <w:szCs w:val="20"/>
          <w:color w:val="auto"/>
        </w:rPr>
        <w:t>101.DEF*</w:t>
        <w:tab/>
        <w:t>—</w:t>
        <w:tab/>
        <w:t>Inline XBRL Taxonomy Extension Definition.</w:t>
      </w:r>
    </w:p>
    <w:p>
      <w:pPr>
        <w:ind w:left="360"/>
        <w:spacing w:after="0"/>
        <w:tabs>
          <w:tab w:leader="none" w:pos="1340" w:val="left"/>
          <w:tab w:leader="none" w:pos="170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w:t>
        <w:tab/>
        <w:t>Cover Page Interactive Data File (formatted as Inline XBRL and contained in Exhibit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101600</wp:posOffset>
                </wp:positionV>
                <wp:extent cx="1541145" cy="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14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34" o:spid="_x0000_s13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8pt" to="139.65pt,8pt" o:allowincell="f" strokecolor="#000000" strokeweight="1.02pt"/>
            </w:pict>
          </mc:Fallback>
        </mc:AlternateContent>
      </w:r>
    </w:p>
    <w:p>
      <w:pPr>
        <w:spacing w:after="0" w:line="182" w:lineRule="exact"/>
        <w:rPr>
          <w:sz w:val="20"/>
          <w:szCs w:val="20"/>
          <w:color w:val="auto"/>
        </w:rPr>
      </w:pPr>
    </w:p>
    <w:p>
      <w:pPr>
        <w:ind w:left="720" w:hanging="353"/>
        <w:spacing w:after="0"/>
        <w:tabs>
          <w:tab w:leader="none" w:pos="72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8" w:lineRule="exact"/>
        <w:rPr>
          <w:rFonts w:ascii="Times New Roman" w:cs="Times New Roman" w:eastAsia="Times New Roman" w:hAnsi="Times New Roman"/>
          <w:sz w:val="20"/>
          <w:szCs w:val="20"/>
          <w:color w:val="auto"/>
        </w:rPr>
      </w:pPr>
    </w:p>
    <w:p>
      <w:pPr>
        <w:ind w:left="720" w:hanging="353"/>
        <w:spacing w:after="0"/>
        <w:tabs>
          <w:tab w:leader="none" w:pos="72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herewith.</w:t>
      </w:r>
    </w:p>
    <w:p>
      <w:pPr>
        <w:ind w:left="720" w:hanging="353"/>
        <w:spacing w:after="0"/>
        <w:tabs>
          <w:tab w:leader="none" w:pos="72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Denotes management contract or compensatory plan or arrangement.</w:t>
      </w:r>
    </w:p>
    <w:p>
      <w:pPr>
        <w:spacing w:after="0" w:line="2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 xml:space="preserve">Item 16.  </w:t>
      </w:r>
      <w:r>
        <w:rPr>
          <w:rFonts w:ascii="Times New Roman" w:cs="Times New Roman" w:eastAsia="Times New Roman" w:hAnsi="Times New Roman"/>
          <w:sz w:val="20"/>
          <w:szCs w:val="20"/>
          <w:b w:val="1"/>
          <w:bCs w:val="1"/>
          <w:i w:val="1"/>
          <w:iCs w:val="1"/>
          <w:color w:val="auto"/>
        </w:rPr>
        <w:t>Form 10-K Summary.</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150</w:t>
      </w:r>
    </w:p>
    <w:p>
      <w:pPr>
        <w:sectPr>
          <w:pgSz w:w="13320" w:h="16920" w:orient="portrait"/>
          <w:cols w:equalWidth="0" w:num="1">
            <w:col w:w="10440"/>
          </w:cols>
          <w:pgMar w:left="1440" w:top="1440" w:right="1440" w:bottom="1440" w:gutter="0" w:footer="0" w:header="0"/>
          <w:type w:val="continuous"/>
        </w:sectPr>
      </w:pPr>
    </w:p>
    <w:bookmarkStart w:id="224" w:name="page225"/>
    <w:bookmarkEnd w:id="224"/>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4" w:lineRule="exact"/>
        <w:rPr>
          <w:sz w:val="20"/>
          <w:szCs w:val="20"/>
          <w:color w:val="auto"/>
        </w:rPr>
      </w:pPr>
    </w:p>
    <w:p>
      <w:pPr>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8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color w:val="auto"/>
        </w:rPr>
        <w:t>WASTE MANAGEMENT, INC.</w:t>
      </w:r>
    </w:p>
    <w:p>
      <w:pPr>
        <w:spacing w:after="0" w:line="230" w:lineRule="exact"/>
        <w:rPr>
          <w:sz w:val="20"/>
          <w:szCs w:val="20"/>
          <w:color w:val="auto"/>
        </w:rPr>
      </w:pPr>
    </w:p>
    <w:tbl>
      <w:tblPr>
        <w:tblLayout w:type="fixed"/>
        <w:tblInd w:w="5320" w:type="dxa"/>
        <w:tblCellMar>
          <w:top w:w="0" w:type="dxa"/>
          <w:left w:w="0" w:type="dxa"/>
          <w:bottom w:w="0" w:type="dxa"/>
          <w:right w:w="0" w:type="dxa"/>
        </w:tblCellMar>
      </w:tblPr>
      <w:tr>
        <w:trPr>
          <w:trHeight w:val="25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JAMES C. FISH, JR.</w:t>
            </w:r>
          </w:p>
        </w:tc>
      </w:tr>
      <w:tr>
        <w:trPr>
          <w:trHeight w:val="203"/>
        </w:trPr>
        <w:tc>
          <w:tcPr>
            <w:tcW w:w="360" w:type="dxa"/>
            <w:vAlign w:val="bottom"/>
          </w:tcPr>
          <w:p>
            <w:pPr>
              <w:spacing w:after="0"/>
              <w:rPr>
                <w:sz w:val="17"/>
                <w:szCs w:val="17"/>
                <w:color w:val="auto"/>
              </w:rPr>
            </w:pPr>
          </w:p>
        </w:tc>
        <w:tc>
          <w:tcPr>
            <w:tcW w:w="440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color w:val="auto"/>
              </w:rPr>
              <w:t>James C. Fish, Jr.</w:t>
            </w:r>
          </w:p>
        </w:tc>
      </w:tr>
      <w:tr>
        <w:trPr>
          <w:trHeight w:val="265"/>
        </w:trPr>
        <w:tc>
          <w:tcPr>
            <w:tcW w:w="360" w:type="dxa"/>
            <w:vAlign w:val="bottom"/>
          </w:tcPr>
          <w:p>
            <w:pPr>
              <w:spacing w:after="0"/>
              <w:rPr>
                <w:sz w:val="23"/>
                <w:szCs w:val="23"/>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President, Chief Executive Officer and Director</w:t>
            </w:r>
          </w:p>
        </w:tc>
      </w:tr>
    </w:tbl>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Date: February 19, 2025</w:t>
      </w:r>
    </w:p>
    <w:p>
      <w:pPr>
        <w:spacing w:after="0" w:line="240" w:lineRule="exact"/>
        <w:rPr>
          <w:sz w:val="20"/>
          <w:szCs w:val="20"/>
          <w:color w:val="auto"/>
        </w:rPr>
      </w:pPr>
    </w:p>
    <w:p>
      <w:pPr>
        <w:jc w:val="both"/>
        <w:ind w:left="360" w:right="360" w:firstLine="36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87"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4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jc w:val="center"/>
              <w:ind w:right="821"/>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320" w:type="dxa"/>
            <w:vAlign w:val="bottom"/>
          </w:tcPr>
          <w:p>
            <w:pPr>
              <w:spacing w:after="0"/>
              <w:rPr>
                <w:sz w:val="17"/>
                <w:szCs w:val="17"/>
                <w:color w:val="auto"/>
              </w:rPr>
            </w:pP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32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Date</w:t>
            </w:r>
          </w:p>
        </w:tc>
      </w:tr>
      <w:tr>
        <w:trPr>
          <w:trHeight w:val="450"/>
        </w:trPr>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w:t>
            </w:r>
          </w:p>
        </w:tc>
        <w:tc>
          <w:tcPr>
            <w:tcW w:w="2420" w:type="dxa"/>
            <w:vAlign w:val="bottom"/>
            <w:tcBorders>
              <w:bottom w:val="single" w:sz="8" w:color="auto"/>
            </w:tcBorders>
          </w:tcPr>
          <w:p>
            <w:pPr>
              <w:jc w:val="center"/>
              <w:ind w:right="461"/>
              <w:spacing w:after="0"/>
              <w:rPr>
                <w:sz w:val="20"/>
                <w:szCs w:val="20"/>
                <w:color w:val="auto"/>
              </w:rPr>
            </w:pPr>
            <w:r>
              <w:rPr>
                <w:rFonts w:ascii="Times New Roman" w:cs="Times New Roman" w:eastAsia="Times New Roman" w:hAnsi="Times New Roman"/>
                <w:sz w:val="20"/>
                <w:szCs w:val="20"/>
                <w:color w:val="auto"/>
                <w:w w:val="99"/>
              </w:rPr>
              <w:t>JAMES C. FISH, JR.</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President, Chief Executive Officer and 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19, 2025</w:t>
            </w:r>
          </w:p>
        </w:tc>
      </w:tr>
      <w:tr>
        <w:trPr>
          <w:trHeight w:val="256"/>
        </w:trPr>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20" w:type="dxa"/>
            <w:vAlign w:val="bottom"/>
          </w:tcPr>
          <w:p>
            <w:pPr>
              <w:jc w:val="center"/>
              <w:ind w:right="801"/>
              <w:spacing w:after="0"/>
              <w:rPr>
                <w:sz w:val="20"/>
                <w:szCs w:val="20"/>
                <w:color w:val="auto"/>
              </w:rPr>
            </w:pPr>
            <w:r>
              <w:rPr>
                <w:rFonts w:ascii="Times New Roman" w:cs="Times New Roman" w:eastAsia="Times New Roman" w:hAnsi="Times New Roman"/>
                <w:sz w:val="20"/>
                <w:szCs w:val="20"/>
                <w:color w:val="auto"/>
                <w:w w:val="99"/>
              </w:rPr>
              <w:t>James C. Fish, Jr.</w:t>
            </w:r>
          </w:p>
        </w:tc>
        <w:tc>
          <w:tcPr>
            <w:tcW w:w="320" w:type="dxa"/>
            <w:vAlign w:val="bottom"/>
          </w:tcPr>
          <w:p>
            <w:pPr>
              <w:spacing w:after="0"/>
              <w:rPr>
                <w:sz w:val="22"/>
                <w:szCs w:val="22"/>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3"/>
        </w:trPr>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w:t>
            </w:r>
          </w:p>
        </w:tc>
        <w:tc>
          <w:tcPr>
            <w:tcW w:w="2420" w:type="dxa"/>
            <w:vAlign w:val="bottom"/>
            <w:tcBorders>
              <w:bottom w:val="single" w:sz="8" w:color="auto"/>
            </w:tcBorders>
          </w:tcPr>
          <w:p>
            <w:pPr>
              <w:jc w:val="center"/>
              <w:ind w:right="481"/>
              <w:spacing w:after="0"/>
              <w:rPr>
                <w:sz w:val="20"/>
                <w:szCs w:val="20"/>
                <w:color w:val="auto"/>
              </w:rPr>
            </w:pPr>
            <w:r>
              <w:rPr>
                <w:rFonts w:ascii="Times New Roman" w:cs="Times New Roman" w:eastAsia="Times New Roman" w:hAnsi="Times New Roman"/>
                <w:sz w:val="20"/>
                <w:szCs w:val="20"/>
                <w:color w:val="auto"/>
              </w:rPr>
              <w:t>DEVINA A. RANKIN</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Executive Vice President and</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19, 2025</w:t>
            </w:r>
          </w:p>
        </w:tc>
      </w:tr>
      <w:tr>
        <w:trPr>
          <w:trHeight w:val="201"/>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20" w:type="dxa"/>
            <w:vAlign w:val="bottom"/>
          </w:tcPr>
          <w:p>
            <w:pPr>
              <w:jc w:val="center"/>
              <w:ind w:right="801"/>
              <w:spacing w:after="0" w:line="201" w:lineRule="exact"/>
              <w:rPr>
                <w:sz w:val="20"/>
                <w:szCs w:val="20"/>
                <w:color w:val="auto"/>
              </w:rPr>
            </w:pPr>
            <w:r>
              <w:rPr>
                <w:rFonts w:ascii="Times New Roman" w:cs="Times New Roman" w:eastAsia="Times New Roman" w:hAnsi="Times New Roman"/>
                <w:sz w:val="20"/>
                <w:szCs w:val="20"/>
                <w:color w:val="auto"/>
                <w:w w:val="99"/>
              </w:rPr>
              <w:t>Devina A. Rankin</w:t>
            </w:r>
          </w:p>
        </w:tc>
        <w:tc>
          <w:tcPr>
            <w:tcW w:w="320" w:type="dxa"/>
            <w:vAlign w:val="bottom"/>
          </w:tcPr>
          <w:p>
            <w:pPr>
              <w:spacing w:after="0"/>
              <w:rPr>
                <w:sz w:val="17"/>
                <w:szCs w:val="17"/>
                <w:color w:val="auto"/>
              </w:rPr>
            </w:pPr>
          </w:p>
        </w:tc>
        <w:tc>
          <w:tcPr>
            <w:tcW w:w="410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w w:val="99"/>
              </w:rPr>
              <w:t>Chief Financial Officer</w:t>
            </w: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67"/>
        </w:trPr>
        <w:tc>
          <w:tcPr>
            <w:tcW w:w="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(Principal Financial Officer)</w:t>
            </w:r>
          </w:p>
        </w:tc>
        <w:tc>
          <w:tcPr>
            <w:tcW w:w="32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443"/>
        </w:trPr>
        <w:tc>
          <w:tcPr>
            <w:tcW w:w="4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jc w:val="center"/>
              <w:ind w:right="341"/>
              <w:spacing w:after="0"/>
              <w:rPr>
                <w:sz w:val="20"/>
                <w:szCs w:val="20"/>
                <w:color w:val="auto"/>
              </w:rPr>
            </w:pPr>
            <w:r>
              <w:rPr>
                <w:rFonts w:ascii="Times New Roman" w:cs="Times New Roman" w:eastAsia="Times New Roman" w:hAnsi="Times New Roman"/>
                <w:sz w:val="20"/>
                <w:szCs w:val="20"/>
                <w:color w:val="auto"/>
              </w:rPr>
              <w:t>/s/  JOHN CARROLL</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Vice President and Chief Accounting Officer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19, 2025</w:t>
            </w:r>
          </w:p>
        </w:tc>
      </w:tr>
      <w:tr>
        <w:trPr>
          <w:trHeight w:val="256"/>
        </w:trPr>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20" w:type="dxa"/>
            <w:vAlign w:val="bottom"/>
          </w:tcPr>
          <w:p>
            <w:pPr>
              <w:jc w:val="center"/>
              <w:ind w:right="801"/>
              <w:spacing w:after="0"/>
              <w:rPr>
                <w:sz w:val="20"/>
                <w:szCs w:val="20"/>
                <w:color w:val="auto"/>
              </w:rPr>
            </w:pPr>
            <w:r>
              <w:rPr>
                <w:rFonts w:ascii="Times New Roman" w:cs="Times New Roman" w:eastAsia="Times New Roman" w:hAnsi="Times New Roman"/>
                <w:sz w:val="20"/>
                <w:szCs w:val="20"/>
                <w:color w:val="auto"/>
              </w:rPr>
              <w:t>John Carroll</w:t>
            </w:r>
          </w:p>
        </w:tc>
        <w:tc>
          <w:tcPr>
            <w:tcW w:w="320" w:type="dxa"/>
            <w:vAlign w:val="bottom"/>
          </w:tcPr>
          <w:p>
            <w:pPr>
              <w:spacing w:after="0"/>
              <w:rPr>
                <w:sz w:val="22"/>
                <w:szCs w:val="22"/>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Accounting Officer)</w:t>
            </w: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3"/>
        </w:trPr>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rPr>
              <w:t>/s/</w:t>
            </w:r>
          </w:p>
        </w:tc>
        <w:tc>
          <w:tcPr>
            <w:tcW w:w="2420" w:type="dxa"/>
            <w:vAlign w:val="bottom"/>
            <w:tcBorders>
              <w:bottom w:val="single" w:sz="8" w:color="auto"/>
            </w:tcBorders>
          </w:tcPr>
          <w:p>
            <w:pPr>
              <w:jc w:val="center"/>
              <w:ind w:right="481"/>
              <w:spacing w:after="0"/>
              <w:rPr>
                <w:sz w:val="20"/>
                <w:szCs w:val="20"/>
                <w:color w:val="auto"/>
              </w:rPr>
            </w:pPr>
            <w:r>
              <w:rPr>
                <w:rFonts w:ascii="Times New Roman" w:cs="Times New Roman" w:eastAsia="Times New Roman" w:hAnsi="Times New Roman"/>
                <w:sz w:val="20"/>
                <w:szCs w:val="20"/>
                <w:color w:val="auto"/>
              </w:rPr>
              <w:t>THOMAS L. BENÉ</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19, 2025</w:t>
            </w:r>
          </w:p>
        </w:tc>
      </w:tr>
      <w:tr>
        <w:trPr>
          <w:trHeight w:val="256"/>
        </w:trPr>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20" w:type="dxa"/>
            <w:vAlign w:val="bottom"/>
          </w:tcPr>
          <w:p>
            <w:pPr>
              <w:jc w:val="center"/>
              <w:ind w:right="801"/>
              <w:spacing w:after="0"/>
              <w:rPr>
                <w:sz w:val="20"/>
                <w:szCs w:val="20"/>
                <w:color w:val="auto"/>
              </w:rPr>
            </w:pPr>
            <w:r>
              <w:rPr>
                <w:rFonts w:ascii="Times New Roman" w:cs="Times New Roman" w:eastAsia="Times New Roman" w:hAnsi="Times New Roman"/>
                <w:sz w:val="20"/>
                <w:szCs w:val="20"/>
                <w:color w:val="auto"/>
                <w:w w:val="99"/>
              </w:rPr>
              <w:t>Thomas L. Bené</w:t>
            </w:r>
          </w:p>
        </w:tc>
        <w:tc>
          <w:tcPr>
            <w:tcW w:w="3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w w:val="94"/>
              </w:rPr>
              <w:t>/s/</w:t>
            </w:r>
          </w:p>
        </w:tc>
        <w:tc>
          <w:tcPr>
            <w:tcW w:w="2420" w:type="dxa"/>
            <w:vAlign w:val="bottom"/>
            <w:tcBorders>
              <w:bottom w:val="single" w:sz="8" w:color="auto"/>
            </w:tcBorders>
          </w:tcPr>
          <w:p>
            <w:pPr>
              <w:jc w:val="center"/>
              <w:ind w:right="461"/>
              <w:spacing w:after="0"/>
              <w:rPr>
                <w:sz w:val="20"/>
                <w:szCs w:val="20"/>
                <w:color w:val="auto"/>
              </w:rPr>
            </w:pPr>
            <w:r>
              <w:rPr>
                <w:rFonts w:ascii="Times New Roman" w:cs="Times New Roman" w:eastAsia="Times New Roman" w:hAnsi="Times New Roman"/>
                <w:sz w:val="20"/>
                <w:szCs w:val="20"/>
                <w:color w:val="auto"/>
              </w:rPr>
              <w:t>BRUCE E. CHINN</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19, 2025</w:t>
            </w:r>
          </w:p>
        </w:tc>
      </w:tr>
      <w:tr>
        <w:trPr>
          <w:trHeight w:val="256"/>
        </w:trPr>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20" w:type="dxa"/>
            <w:vAlign w:val="bottom"/>
          </w:tcPr>
          <w:p>
            <w:pPr>
              <w:jc w:val="center"/>
              <w:ind w:right="801"/>
              <w:spacing w:after="0"/>
              <w:rPr>
                <w:sz w:val="20"/>
                <w:szCs w:val="20"/>
                <w:color w:val="auto"/>
              </w:rPr>
            </w:pPr>
            <w:r>
              <w:rPr>
                <w:rFonts w:ascii="Times New Roman" w:cs="Times New Roman" w:eastAsia="Times New Roman" w:hAnsi="Times New Roman"/>
                <w:sz w:val="20"/>
                <w:szCs w:val="20"/>
                <w:color w:val="auto"/>
              </w:rPr>
              <w:t>Bruce E. Chinn</w:t>
            </w:r>
          </w:p>
        </w:tc>
        <w:tc>
          <w:tcPr>
            <w:tcW w:w="3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3"/>
        </w:trPr>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/s/</w:t>
            </w:r>
          </w:p>
        </w:tc>
        <w:tc>
          <w:tcPr>
            <w:tcW w:w="2420" w:type="dxa"/>
            <w:vAlign w:val="bottom"/>
            <w:tcBorders>
              <w:bottom w:val="single" w:sz="8" w:color="auto"/>
            </w:tcBorders>
          </w:tcPr>
          <w:p>
            <w:pPr>
              <w:jc w:val="center"/>
              <w:ind w:right="461"/>
              <w:spacing w:after="0"/>
              <w:rPr>
                <w:sz w:val="20"/>
                <w:szCs w:val="20"/>
                <w:color w:val="auto"/>
              </w:rPr>
            </w:pPr>
            <w:r>
              <w:rPr>
                <w:rFonts w:ascii="Times New Roman" w:cs="Times New Roman" w:eastAsia="Times New Roman" w:hAnsi="Times New Roman"/>
                <w:sz w:val="20"/>
                <w:szCs w:val="20"/>
                <w:color w:val="auto"/>
              </w:rPr>
              <w:t>ANDRÉS R. GLUSKI</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19, 2025</w:t>
            </w:r>
          </w:p>
        </w:tc>
      </w:tr>
      <w:tr>
        <w:trPr>
          <w:trHeight w:val="256"/>
        </w:trPr>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20" w:type="dxa"/>
            <w:vAlign w:val="bottom"/>
          </w:tcPr>
          <w:p>
            <w:pPr>
              <w:jc w:val="center"/>
              <w:ind w:right="801"/>
              <w:spacing w:after="0"/>
              <w:rPr>
                <w:sz w:val="20"/>
                <w:szCs w:val="20"/>
                <w:color w:val="auto"/>
              </w:rPr>
            </w:pPr>
            <w:r>
              <w:rPr>
                <w:rFonts w:ascii="Times New Roman" w:cs="Times New Roman" w:eastAsia="Times New Roman" w:hAnsi="Times New Roman"/>
                <w:sz w:val="20"/>
                <w:szCs w:val="20"/>
                <w:color w:val="auto"/>
              </w:rPr>
              <w:t>Andrés R. Gluski</w:t>
            </w:r>
          </w:p>
        </w:tc>
        <w:tc>
          <w:tcPr>
            <w:tcW w:w="3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3"/>
        </w:trPr>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/s/</w:t>
            </w:r>
          </w:p>
        </w:tc>
        <w:tc>
          <w:tcPr>
            <w:tcW w:w="2420" w:type="dxa"/>
            <w:vAlign w:val="bottom"/>
            <w:tcBorders>
              <w:bottom w:val="single" w:sz="8" w:color="auto"/>
            </w:tcBorders>
          </w:tcPr>
          <w:p>
            <w:pPr>
              <w:jc w:val="center"/>
              <w:ind w:right="461"/>
              <w:spacing w:after="0"/>
              <w:rPr>
                <w:sz w:val="20"/>
                <w:szCs w:val="20"/>
                <w:color w:val="auto"/>
              </w:rPr>
            </w:pPr>
            <w:r>
              <w:rPr>
                <w:rFonts w:ascii="Times New Roman" w:cs="Times New Roman" w:eastAsia="Times New Roman" w:hAnsi="Times New Roman"/>
                <w:sz w:val="20"/>
                <w:szCs w:val="20"/>
                <w:color w:val="auto"/>
              </w:rPr>
              <w:t>VICTORIA M. HOLT</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19, 2025</w:t>
            </w:r>
          </w:p>
        </w:tc>
      </w:tr>
      <w:tr>
        <w:trPr>
          <w:trHeight w:val="256"/>
        </w:trPr>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20" w:type="dxa"/>
            <w:vAlign w:val="bottom"/>
          </w:tcPr>
          <w:p>
            <w:pPr>
              <w:jc w:val="center"/>
              <w:ind w:right="821"/>
              <w:spacing w:after="0"/>
              <w:rPr>
                <w:sz w:val="20"/>
                <w:szCs w:val="20"/>
                <w:color w:val="auto"/>
              </w:rPr>
            </w:pPr>
            <w:r>
              <w:rPr>
                <w:rFonts w:ascii="Times New Roman" w:cs="Times New Roman" w:eastAsia="Times New Roman" w:hAnsi="Times New Roman"/>
                <w:sz w:val="20"/>
                <w:szCs w:val="20"/>
                <w:color w:val="auto"/>
              </w:rPr>
              <w:t>Victoria M. Holt</w:t>
            </w:r>
          </w:p>
        </w:tc>
        <w:tc>
          <w:tcPr>
            <w:tcW w:w="3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5"/>
        </w:trPr>
        <w:tc>
          <w:tcPr>
            <w:tcW w:w="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/s/</w:t>
            </w:r>
          </w:p>
        </w:tc>
        <w:tc>
          <w:tcPr>
            <w:tcW w:w="2880" w:type="dxa"/>
            <w:vAlign w:val="bottom"/>
            <w:tcBorders>
              <w:bottom w:val="single" w:sz="8" w:color="auto"/>
            </w:tcBorders>
            <w:gridSpan w:val="2"/>
          </w:tcPr>
          <w:p>
            <w:pPr>
              <w:jc w:val="center"/>
              <w:ind w:right="1"/>
              <w:spacing w:after="0"/>
              <w:rPr>
                <w:sz w:val="20"/>
                <w:szCs w:val="20"/>
                <w:color w:val="auto"/>
              </w:rPr>
            </w:pPr>
            <w:r>
              <w:rPr>
                <w:rFonts w:ascii="Times New Roman" w:cs="Times New Roman" w:eastAsia="Times New Roman" w:hAnsi="Times New Roman"/>
                <w:sz w:val="20"/>
                <w:szCs w:val="20"/>
                <w:color w:val="auto"/>
                <w:w w:val="99"/>
              </w:rPr>
              <w:t>KATHLEEN M. MAZZARELLA</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Chair of the Board and 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19, 2025</w:t>
            </w:r>
          </w:p>
        </w:tc>
      </w:tr>
      <w:tr>
        <w:trPr>
          <w:trHeight w:val="256"/>
        </w:trPr>
        <w:tc>
          <w:tcPr>
            <w:tcW w:w="460" w:type="dxa"/>
            <w:vAlign w:val="bottom"/>
          </w:tcPr>
          <w:p>
            <w:pPr>
              <w:spacing w:after="0"/>
              <w:rPr>
                <w:sz w:val="22"/>
                <w:szCs w:val="22"/>
                <w:color w:val="auto"/>
              </w:rPr>
            </w:pPr>
          </w:p>
        </w:tc>
        <w:tc>
          <w:tcPr>
            <w:tcW w:w="2880" w:type="dxa"/>
            <w:vAlign w:val="bottom"/>
            <w:gridSpan w:val="2"/>
          </w:tcPr>
          <w:p>
            <w:pPr>
              <w:jc w:val="center"/>
              <w:ind w:right="361"/>
              <w:spacing w:after="0"/>
              <w:rPr>
                <w:sz w:val="20"/>
                <w:szCs w:val="20"/>
                <w:color w:val="auto"/>
              </w:rPr>
            </w:pPr>
            <w:r>
              <w:rPr>
                <w:rFonts w:ascii="Times New Roman" w:cs="Times New Roman" w:eastAsia="Times New Roman" w:hAnsi="Times New Roman"/>
                <w:sz w:val="20"/>
                <w:szCs w:val="20"/>
                <w:color w:val="auto"/>
              </w:rPr>
              <w:t>Kathleen M. Mazzarella</w:t>
            </w:r>
          </w:p>
        </w:tc>
        <w:tc>
          <w:tcPr>
            <w:tcW w:w="3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3"/>
        </w:trPr>
        <w:tc>
          <w:tcPr>
            <w:tcW w:w="4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jc w:val="center"/>
              <w:ind w:right="341"/>
              <w:spacing w:after="0"/>
              <w:rPr>
                <w:sz w:val="20"/>
                <w:szCs w:val="20"/>
                <w:color w:val="auto"/>
              </w:rPr>
            </w:pPr>
            <w:r>
              <w:rPr>
                <w:rFonts w:ascii="Times New Roman" w:cs="Times New Roman" w:eastAsia="Times New Roman" w:hAnsi="Times New Roman"/>
                <w:sz w:val="20"/>
                <w:szCs w:val="20"/>
                <w:color w:val="auto"/>
              </w:rPr>
              <w:t>/s/  SEAN E. MENKE</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19, 2025</w:t>
            </w:r>
          </w:p>
        </w:tc>
      </w:tr>
      <w:tr>
        <w:trPr>
          <w:trHeight w:val="256"/>
        </w:trPr>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20" w:type="dxa"/>
            <w:vAlign w:val="bottom"/>
          </w:tcPr>
          <w:p>
            <w:pPr>
              <w:jc w:val="center"/>
              <w:ind w:right="821"/>
              <w:spacing w:after="0"/>
              <w:rPr>
                <w:sz w:val="20"/>
                <w:szCs w:val="20"/>
                <w:color w:val="auto"/>
              </w:rPr>
            </w:pPr>
            <w:r>
              <w:rPr>
                <w:rFonts w:ascii="Times New Roman" w:cs="Times New Roman" w:eastAsia="Times New Roman" w:hAnsi="Times New Roman"/>
                <w:sz w:val="20"/>
                <w:szCs w:val="20"/>
                <w:color w:val="auto"/>
              </w:rPr>
              <w:t>Sean E. Menke</w:t>
            </w:r>
          </w:p>
        </w:tc>
        <w:tc>
          <w:tcPr>
            <w:tcW w:w="3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3"/>
        </w:trPr>
        <w:tc>
          <w:tcPr>
            <w:tcW w:w="3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/s/  WILLIAM B. PLUMMER</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19, 2025</w:t>
            </w:r>
          </w:p>
        </w:tc>
      </w:tr>
      <w:tr>
        <w:trPr>
          <w:trHeight w:val="256"/>
        </w:trPr>
        <w:tc>
          <w:tcPr>
            <w:tcW w:w="460" w:type="dxa"/>
            <w:vAlign w:val="bottom"/>
          </w:tcPr>
          <w:p>
            <w:pPr>
              <w:spacing w:after="0"/>
              <w:rPr>
                <w:sz w:val="22"/>
                <w:szCs w:val="22"/>
                <w:color w:val="auto"/>
              </w:rPr>
            </w:pPr>
          </w:p>
        </w:tc>
        <w:tc>
          <w:tcPr>
            <w:tcW w:w="2880" w:type="dxa"/>
            <w:vAlign w:val="bottom"/>
            <w:gridSpan w:val="2"/>
          </w:tcPr>
          <w:p>
            <w:pPr>
              <w:jc w:val="center"/>
              <w:ind w:right="341"/>
              <w:spacing w:after="0"/>
              <w:rPr>
                <w:sz w:val="20"/>
                <w:szCs w:val="20"/>
                <w:color w:val="auto"/>
              </w:rPr>
            </w:pPr>
            <w:r>
              <w:rPr>
                <w:rFonts w:ascii="Times New Roman" w:cs="Times New Roman" w:eastAsia="Times New Roman" w:hAnsi="Times New Roman"/>
                <w:sz w:val="20"/>
                <w:szCs w:val="20"/>
                <w:color w:val="auto"/>
              </w:rPr>
              <w:t>William B. Plummer</w:t>
            </w:r>
          </w:p>
        </w:tc>
        <w:tc>
          <w:tcPr>
            <w:tcW w:w="3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23"/>
        </w:trPr>
        <w:tc>
          <w:tcPr>
            <w:tcW w:w="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/s/</w:t>
            </w:r>
          </w:p>
        </w:tc>
        <w:tc>
          <w:tcPr>
            <w:tcW w:w="2880" w:type="dxa"/>
            <w:vAlign w:val="bottom"/>
            <w:tcBorders>
              <w:bottom w:val="single" w:sz="8" w:color="auto"/>
            </w:tcBorders>
            <w:gridSpan w:val="2"/>
          </w:tcPr>
          <w:p>
            <w:pPr>
              <w:jc w:val="center"/>
              <w:ind w:right="21"/>
              <w:spacing w:after="0"/>
              <w:rPr>
                <w:sz w:val="20"/>
                <w:szCs w:val="20"/>
                <w:color w:val="auto"/>
              </w:rPr>
            </w:pPr>
            <w:r>
              <w:rPr>
                <w:rFonts w:ascii="Times New Roman" w:cs="Times New Roman" w:eastAsia="Times New Roman" w:hAnsi="Times New Roman"/>
                <w:sz w:val="20"/>
                <w:szCs w:val="20"/>
                <w:color w:val="auto"/>
              </w:rPr>
              <w:t>MARYROSE T. SYLVESTER</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19, 2025</w:t>
            </w:r>
          </w:p>
        </w:tc>
      </w:tr>
      <w:tr>
        <w:trPr>
          <w:trHeight w:val="256"/>
        </w:trPr>
        <w:tc>
          <w:tcPr>
            <w:tcW w:w="460" w:type="dxa"/>
            <w:vAlign w:val="bottom"/>
          </w:tcPr>
          <w:p>
            <w:pPr>
              <w:spacing w:after="0"/>
              <w:rPr>
                <w:sz w:val="22"/>
                <w:szCs w:val="22"/>
                <w:color w:val="auto"/>
              </w:rPr>
            </w:pPr>
          </w:p>
        </w:tc>
        <w:tc>
          <w:tcPr>
            <w:tcW w:w="2880" w:type="dxa"/>
            <w:vAlign w:val="bottom"/>
            <w:gridSpan w:val="2"/>
          </w:tcPr>
          <w:p>
            <w:pPr>
              <w:jc w:val="center"/>
              <w:ind w:right="361"/>
              <w:spacing w:after="0"/>
              <w:rPr>
                <w:sz w:val="20"/>
                <w:szCs w:val="20"/>
                <w:color w:val="auto"/>
              </w:rPr>
            </w:pPr>
            <w:r>
              <w:rPr>
                <w:rFonts w:ascii="Times New Roman" w:cs="Times New Roman" w:eastAsia="Times New Roman" w:hAnsi="Times New Roman"/>
                <w:sz w:val="20"/>
                <w:szCs w:val="20"/>
                <w:color w:val="auto"/>
                <w:w w:val="99"/>
              </w:rPr>
              <w:t>Maryrose T. Sylvester</w:t>
            </w:r>
          </w:p>
        </w:tc>
        <w:tc>
          <w:tcPr>
            <w:tcW w:w="3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r>
    </w:tbl>
    <w:p>
      <w:pPr>
        <w:spacing w:after="0" w:line="200" w:lineRule="exact"/>
        <w:rPr>
          <w:sz w:val="20"/>
          <w:szCs w:val="20"/>
          <w:color w:val="auto"/>
        </w:rPr>
      </w:pPr>
    </w:p>
    <w:p>
      <w:pPr>
        <w:sectPr>
          <w:pgSz w:w="13320" w:h="16920" w:orient="portrait"/>
          <w:cols w:equalWidth="0" w:num="1">
            <w:col w:w="104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151</w:t>
      </w:r>
    </w:p>
    <w:p>
      <w:pPr>
        <w:sectPr>
          <w:pgSz w:w="13320" w:h="16920" w:orient="portrait"/>
          <w:cols w:equalWidth="0" w:num="1">
            <w:col w:w="10440"/>
          </w:cols>
          <w:pgMar w:left="1440" w:top="1440" w:right="1440" w:bottom="1440" w:gutter="0" w:footer="0" w:header="0"/>
          <w:type w:val="continuous"/>
        </w:sectPr>
      </w:pPr>
    </w:p>
    <w:bookmarkStart w:id="225" w:name="page226"/>
    <w:bookmarkEnd w:id="225"/>
    <w:p>
      <w:pPr>
        <w:jc w:val="center"/>
        <w:spacing w:after="0"/>
        <w:rPr>
          <w:sz w:val="20"/>
          <w:szCs w:val="20"/>
          <w:color w:val="auto"/>
        </w:rPr>
      </w:pPr>
    </w:p>
    <w:p>
      <w:pPr>
        <w:sectPr>
          <w:pgSz w:w="13320" w:h="16920" w:orient="portrait"/>
          <w:cols w:equalWidth="1" w:num="1" w:space="0"/>
          <w:pgMar w:left="1440" w:top="1440" w:right="1440" w:bottom="875" w:gutter="0" w:footer="0" w:header="0"/>
        </w:sectPr>
      </w:pPr>
    </w:p>
    <w:bookmarkStart w:id="226" w:name="page227"/>
    <w:bookmarkEnd w:id="2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1320800</wp:posOffset>
            </wp:positionH>
            <wp:positionV relativeFrom="page">
              <wp:posOffset>1243330</wp:posOffset>
            </wp:positionV>
            <wp:extent cx="5791200" cy="2806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181">
                      <a:extLst>
                        <a:ext uri="{28A0092B-C50C-407E-A947-70E740481C1C}"/>
                      </a:extLst>
                    </a:blip>
                    <a:srcRect/>
                    <a:stretch>
                      <a:fillRect/>
                    </a:stretch>
                  </pic:blipFill>
                  <pic:spPr bwMode="auto">
                    <a:xfrm>
                      <a:off x="0" y="0"/>
                      <a:ext cx="5791200" cy="280670"/>
                    </a:xfrm>
                    <a:prstGeom prst="rect">
                      <a:avLst/>
                    </a:prstGeom>
                    <a:noFill/>
                  </pic:spPr>
                </pic:pic>
              </a:graphicData>
            </a:graphic>
          </wp:anchor>
        </w:drawing>
      </w:r>
    </w:p>
    <w:p>
      <w:pPr>
        <w:spacing w:after="0" w:line="358" w:lineRule="exact"/>
        <w:rPr>
          <w:sz w:val="20"/>
          <w:szCs w:val="20"/>
          <w:color w:val="auto"/>
        </w:rPr>
      </w:pPr>
    </w:p>
    <w:p>
      <w:pPr>
        <w:ind w:left="1320"/>
        <w:spacing w:after="0"/>
        <w:rPr>
          <w:sz w:val="20"/>
          <w:szCs w:val="20"/>
          <w:color w:val="auto"/>
        </w:rPr>
      </w:pPr>
      <w:r>
        <w:rPr>
          <w:rFonts w:ascii="Arial" w:cs="Arial" w:eastAsia="Arial" w:hAnsi="Arial"/>
          <w:sz w:val="27"/>
          <w:szCs w:val="27"/>
          <w:b w:val="1"/>
          <w:bCs w:val="1"/>
          <w:color w:val="FFFFFF"/>
        </w:rPr>
        <w:t>Corporate Information</w:t>
      </w:r>
    </w:p>
    <w:p>
      <w:pPr>
        <w:sectPr>
          <w:pgSz w:w="13320" w:h="16920" w:orient="portrait"/>
          <w:cols w:equalWidth="0" w:num="1">
            <w:col w:w="10580"/>
          </w:cols>
          <w:pgMar w:left="1440" w:top="1440" w:right="1300" w:bottom="6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BOARD OF DIRECTORS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THOMAS L. BENÉ (C)</w:t>
      </w:r>
    </w:p>
    <w:p>
      <w:pPr>
        <w:spacing w:after="0" w:line="11" w:lineRule="exact"/>
        <w:rPr>
          <w:sz w:val="20"/>
          <w:szCs w:val="20"/>
          <w:color w:val="auto"/>
        </w:rPr>
      </w:pPr>
    </w:p>
    <w:p>
      <w:pPr>
        <w:ind w:left="660" w:right="540"/>
        <w:spacing w:after="0" w:line="379" w:lineRule="auto"/>
        <w:rPr>
          <w:sz w:val="20"/>
          <w:szCs w:val="20"/>
          <w:color w:val="auto"/>
        </w:rPr>
      </w:pPr>
      <w:r>
        <w:rPr>
          <w:rFonts w:ascii="Times New Roman" w:cs="Times New Roman" w:eastAsia="Times New Roman" w:hAnsi="Times New Roman"/>
          <w:sz w:val="15"/>
          <w:szCs w:val="15"/>
          <w:color w:val="auto"/>
        </w:rPr>
        <w:t>President and Chief Executive Officer Breakthru Beverage Group, LLC</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BRUCE E. CHINN (A)</w:t>
      </w:r>
    </w:p>
    <w:p>
      <w:pPr>
        <w:spacing w:after="0" w:line="20" w:lineRule="exact"/>
        <w:rPr>
          <w:sz w:val="20"/>
          <w:szCs w:val="20"/>
          <w:color w:val="auto"/>
        </w:rPr>
      </w:pPr>
    </w:p>
    <w:p>
      <w:pPr>
        <w:ind w:left="660" w:right="20"/>
        <w:spacing w:after="0" w:line="345" w:lineRule="auto"/>
        <w:rPr>
          <w:sz w:val="20"/>
          <w:szCs w:val="20"/>
          <w:color w:val="auto"/>
        </w:rPr>
      </w:pPr>
      <w:r>
        <w:rPr>
          <w:rFonts w:ascii="Times New Roman" w:cs="Times New Roman" w:eastAsia="Times New Roman" w:hAnsi="Times New Roman"/>
          <w:sz w:val="16"/>
          <w:szCs w:val="16"/>
          <w:color w:val="auto"/>
        </w:rPr>
        <w:t>Former President and Chief Executive Officer Chevron Phillips Chemical Company LLC</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JAMES C. FISH, JR.</w:t>
      </w:r>
    </w:p>
    <w:p>
      <w:pPr>
        <w:spacing w:after="0" w:line="20" w:lineRule="exact"/>
        <w:rPr>
          <w:sz w:val="20"/>
          <w:szCs w:val="20"/>
          <w:color w:val="auto"/>
        </w:rPr>
      </w:pPr>
    </w:p>
    <w:p>
      <w:pPr>
        <w:ind w:left="660" w:right="540"/>
        <w:spacing w:after="0" w:line="336" w:lineRule="auto"/>
        <w:rPr>
          <w:sz w:val="20"/>
          <w:szCs w:val="20"/>
          <w:color w:val="auto"/>
        </w:rPr>
      </w:pPr>
      <w:r>
        <w:rPr>
          <w:rFonts w:ascii="Times New Roman" w:cs="Times New Roman" w:eastAsia="Times New Roman" w:hAnsi="Times New Roman"/>
          <w:sz w:val="16"/>
          <w:szCs w:val="16"/>
          <w:color w:val="auto"/>
        </w:rPr>
        <w:t>President and Chief Executive Officer Waste Management, Inc.</w:t>
      </w:r>
    </w:p>
    <w:p>
      <w:pPr>
        <w:spacing w:after="0" w:line="1" w:lineRule="exact"/>
        <w:rPr>
          <w:sz w:val="20"/>
          <w:szCs w:val="20"/>
          <w:color w:val="auto"/>
        </w:rPr>
      </w:pPr>
    </w:p>
    <w:p>
      <w:pPr>
        <w:ind w:left="660" w:right="540"/>
        <w:spacing w:after="0" w:line="313" w:lineRule="auto"/>
        <w:rPr>
          <w:sz w:val="20"/>
          <w:szCs w:val="20"/>
          <w:color w:val="auto"/>
        </w:rPr>
      </w:pPr>
      <w:r>
        <w:rPr>
          <w:rFonts w:ascii="Times New Roman" w:cs="Times New Roman" w:eastAsia="Times New Roman" w:hAnsi="Times New Roman"/>
          <w:sz w:val="16"/>
          <w:szCs w:val="16"/>
          <w:b w:val="1"/>
          <w:bCs w:val="1"/>
          <w:color w:val="auto"/>
        </w:rPr>
        <w:t xml:space="preserve">ANDRÉS R. GLUSKI (A, C) </w:t>
      </w:r>
      <w:r>
        <w:rPr>
          <w:rFonts w:ascii="Times New Roman" w:cs="Times New Roman" w:eastAsia="Times New Roman" w:hAnsi="Times New Roman"/>
          <w:sz w:val="16"/>
          <w:szCs w:val="16"/>
          <w:color w:val="auto"/>
        </w:rPr>
        <w:t>President and Chief Executive Officer The AES Corporation</w:t>
      </w:r>
    </w:p>
    <w:p>
      <w:pPr>
        <w:ind w:left="660"/>
        <w:spacing w:after="0"/>
        <w:rPr>
          <w:sz w:val="20"/>
          <w:szCs w:val="20"/>
          <w:color w:val="auto"/>
        </w:rPr>
      </w:pPr>
      <w:r>
        <w:rPr>
          <w:rFonts w:ascii="Times New Roman" w:cs="Times New Roman" w:eastAsia="Times New Roman" w:hAnsi="Times New Roman"/>
          <w:sz w:val="16"/>
          <w:szCs w:val="16"/>
          <w:b w:val="1"/>
          <w:bCs w:val="1"/>
          <w:color w:val="auto"/>
        </w:rPr>
        <w:t>VICTORIA M. HOLT (A, N)</w:t>
      </w:r>
    </w:p>
    <w:p>
      <w:pPr>
        <w:spacing w:after="0" w:line="13" w:lineRule="exact"/>
        <w:rPr>
          <w:sz w:val="20"/>
          <w:szCs w:val="20"/>
          <w:color w:val="auto"/>
        </w:rPr>
      </w:pPr>
    </w:p>
    <w:p>
      <w:pPr>
        <w:ind w:left="660" w:right="20" w:firstLine="1"/>
        <w:spacing w:after="0" w:line="327" w:lineRule="auto"/>
        <w:rPr>
          <w:sz w:val="20"/>
          <w:szCs w:val="20"/>
          <w:color w:val="auto"/>
        </w:rPr>
      </w:pPr>
      <w:r>
        <w:rPr>
          <w:rFonts w:ascii="Times New Roman" w:cs="Times New Roman" w:eastAsia="Times New Roman" w:hAnsi="Times New Roman"/>
          <w:sz w:val="16"/>
          <w:szCs w:val="16"/>
          <w:color w:val="auto"/>
        </w:rPr>
        <w:t>Former President and Chief Executive Officer Proto Labs, Inc.</w:t>
      </w:r>
    </w:p>
    <w:p>
      <w:pPr>
        <w:spacing w:after="0" w:line="1" w:lineRule="exact"/>
        <w:rPr>
          <w:sz w:val="20"/>
          <w:szCs w:val="20"/>
          <w:color w:val="auto"/>
        </w:rPr>
      </w:pPr>
    </w:p>
    <w:p>
      <w:pPr>
        <w:ind w:left="660"/>
        <w:spacing w:after="0" w:line="300" w:lineRule="auto"/>
        <w:rPr>
          <w:sz w:val="20"/>
          <w:szCs w:val="20"/>
          <w:color w:val="auto"/>
        </w:rPr>
      </w:pPr>
      <w:r>
        <w:rPr>
          <w:rFonts w:ascii="Times New Roman" w:cs="Times New Roman" w:eastAsia="Times New Roman" w:hAnsi="Times New Roman"/>
          <w:sz w:val="16"/>
          <w:szCs w:val="16"/>
          <w:b w:val="1"/>
          <w:bCs w:val="1"/>
          <w:color w:val="auto"/>
        </w:rPr>
        <w:t xml:space="preserve">KATHLEEN M. MAZZARELLA (A, C, N) </w:t>
      </w:r>
      <w:r>
        <w:rPr>
          <w:rFonts w:ascii="Times New Roman" w:cs="Times New Roman" w:eastAsia="Times New Roman" w:hAnsi="Times New Roman"/>
          <w:sz w:val="16"/>
          <w:szCs w:val="16"/>
          <w:color w:val="auto"/>
        </w:rPr>
        <w:t>Non-Executive Chair of the Board Chairman, President and Chief Executive Officer Graybar Electric Company, Inc.</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SEAN E. MENKE (A, N)</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5"/>
          <w:szCs w:val="15"/>
          <w:color w:val="auto"/>
        </w:rPr>
        <w:t xml:space="preserve">Former Chief Executive Officer and </w:t>
      </w:r>
      <w:r>
        <w:rPr>
          <w:rFonts w:ascii="Times New Roman" w:cs="Times New Roman" w:eastAsia="Times New Roman" w:hAnsi="Times New Roman"/>
          <w:sz w:val="15"/>
          <w:szCs w:val="15"/>
          <w:color w:val="auto"/>
        </w:rPr>
        <w:t>Chairman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Sabre Corporation</w:t>
      </w:r>
    </w:p>
    <w:p>
      <w:pPr>
        <w:spacing w:after="0" w:line="151" w:lineRule="exact"/>
        <w:rPr>
          <w:sz w:val="20"/>
          <w:szCs w:val="20"/>
          <w:color w:val="auto"/>
        </w:rPr>
      </w:pPr>
    </w:p>
    <w:p>
      <w:pPr>
        <w:ind w:left="660" w:right="680"/>
        <w:spacing w:after="0" w:line="298" w:lineRule="auto"/>
        <w:rPr>
          <w:sz w:val="20"/>
          <w:szCs w:val="20"/>
          <w:color w:val="auto"/>
        </w:rPr>
      </w:pPr>
      <w:r>
        <w:rPr>
          <w:rFonts w:ascii="Times New Roman" w:cs="Times New Roman" w:eastAsia="Times New Roman" w:hAnsi="Times New Roman"/>
          <w:sz w:val="16"/>
          <w:szCs w:val="16"/>
          <w:b w:val="1"/>
          <w:bCs w:val="1"/>
          <w:color w:val="auto"/>
        </w:rPr>
        <w:t xml:space="preserve">WILLIAM B. PLUMMER (A, C) </w:t>
      </w:r>
      <w:r>
        <w:rPr>
          <w:rFonts w:ascii="Times New Roman" w:cs="Times New Roman" w:eastAsia="Times New Roman" w:hAnsi="Times New Roman"/>
          <w:sz w:val="16"/>
          <w:szCs w:val="16"/>
          <w:color w:val="auto"/>
        </w:rPr>
        <w:t>Former Executive Vice President and Chief Financial Officer United Rentals, Inc.</w:t>
      </w:r>
    </w:p>
    <w:p>
      <w:pPr>
        <w:ind w:left="660" w:right="420"/>
        <w:spacing w:after="0" w:line="300" w:lineRule="auto"/>
        <w:rPr>
          <w:sz w:val="20"/>
          <w:szCs w:val="20"/>
          <w:color w:val="auto"/>
        </w:rPr>
      </w:pPr>
      <w:r>
        <w:rPr>
          <w:rFonts w:ascii="Times New Roman" w:cs="Times New Roman" w:eastAsia="Times New Roman" w:hAnsi="Times New Roman"/>
          <w:sz w:val="16"/>
          <w:szCs w:val="16"/>
          <w:b w:val="1"/>
          <w:bCs w:val="1"/>
          <w:color w:val="auto"/>
        </w:rPr>
        <w:t xml:space="preserve">MARYROSE T. SYLVESTER (C, N) </w:t>
      </w:r>
      <w:r>
        <w:rPr>
          <w:rFonts w:ascii="Times New Roman" w:cs="Times New Roman" w:eastAsia="Times New Roman" w:hAnsi="Times New Roman"/>
          <w:sz w:val="16"/>
          <w:szCs w:val="16"/>
          <w:color w:val="auto"/>
        </w:rPr>
        <w:t>Former U.S. Managing Director and U.S. Head of Electrification ABB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 Audit Committee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(C)  Management Development and</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Compensation Committee</w:t>
      </w:r>
    </w:p>
    <w:p>
      <w:pPr>
        <w:spacing w:after="0" w:line="16" w:lineRule="exact"/>
        <w:rPr>
          <w:sz w:val="20"/>
          <w:szCs w:val="20"/>
          <w:color w:val="auto"/>
        </w:rPr>
      </w:pPr>
    </w:p>
    <w:p>
      <w:pPr>
        <w:ind w:left="980" w:right="820" w:hanging="319"/>
        <w:spacing w:after="0" w:line="375" w:lineRule="auto"/>
        <w:tabs>
          <w:tab w:leader="none" w:pos="960" w:val="left"/>
        </w:tabs>
        <w:rPr>
          <w:sz w:val="20"/>
          <w:szCs w:val="20"/>
          <w:color w:val="auto"/>
        </w:rPr>
      </w:pPr>
      <w:r>
        <w:rPr>
          <w:rFonts w:ascii="Times New Roman" w:cs="Times New Roman" w:eastAsia="Times New Roman" w:hAnsi="Times New Roman"/>
          <w:sz w:val="16"/>
          <w:szCs w:val="16"/>
          <w:color w:val="auto"/>
        </w:rPr>
        <w:t>(N)</w:t>
        <w:tab/>
        <w:t>Nominating and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OFFICERS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JAMES C. FISH, JR.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CHARLES C. BOETTCHER</w:t>
      </w:r>
    </w:p>
    <w:p>
      <w:pPr>
        <w:spacing w:after="0" w:line="20" w:lineRule="exact"/>
        <w:rPr>
          <w:sz w:val="20"/>
          <w:szCs w:val="20"/>
          <w:color w:val="auto"/>
        </w:rPr>
      </w:pPr>
    </w:p>
    <w:p>
      <w:pPr>
        <w:ind w:right="860"/>
        <w:spacing w:after="0" w:line="336" w:lineRule="auto"/>
        <w:rPr>
          <w:sz w:val="20"/>
          <w:szCs w:val="20"/>
          <w:color w:val="auto"/>
        </w:rPr>
      </w:pPr>
      <w:r>
        <w:rPr>
          <w:rFonts w:ascii="Times New Roman" w:cs="Times New Roman" w:eastAsia="Times New Roman" w:hAnsi="Times New Roman"/>
          <w:sz w:val="16"/>
          <w:szCs w:val="16"/>
          <w:color w:val="auto"/>
        </w:rPr>
        <w:t>Executive Vice President and Chief Legal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RAFAEL E. CARRASCO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Senior Vice President, Enterprise Strategy</w:t>
      </w:r>
      <w:r>
        <w:rPr>
          <w:rFonts w:ascii="Arial" w:cs="Arial" w:eastAsia="Arial" w:hAnsi="Arial"/>
          <w:sz w:val="16"/>
          <w:szCs w:val="16"/>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President, WM Healthcare Solutions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CHRISTOPHER P. DESANTIS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Senior Vice President, Operations</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TARA J. HEMMER</w:t>
      </w:r>
    </w:p>
    <w:p>
      <w:pPr>
        <w:spacing w:after="0" w:line="14" w:lineRule="exact"/>
        <w:rPr>
          <w:sz w:val="20"/>
          <w:szCs w:val="20"/>
          <w:color w:val="auto"/>
        </w:rPr>
      </w:pPr>
    </w:p>
    <w:p>
      <w:pPr>
        <w:ind w:left="20" w:right="680"/>
        <w:spacing w:after="0" w:line="339" w:lineRule="auto"/>
        <w:rPr>
          <w:sz w:val="20"/>
          <w:szCs w:val="20"/>
          <w:color w:val="auto"/>
        </w:rPr>
      </w:pPr>
      <w:r>
        <w:rPr>
          <w:rFonts w:ascii="Times New Roman" w:cs="Times New Roman" w:eastAsia="Times New Roman" w:hAnsi="Times New Roman"/>
          <w:sz w:val="16"/>
          <w:szCs w:val="16"/>
          <w:color w:val="auto"/>
        </w:rPr>
        <w:t>Senior Vice President and Chief Sustainability Officer</w:t>
      </w:r>
    </w:p>
    <w:p>
      <w:pPr>
        <w:spacing w:after="0" w:line="1" w:lineRule="exact"/>
        <w:rPr>
          <w:sz w:val="20"/>
          <w:szCs w:val="20"/>
          <w:color w:val="auto"/>
        </w:rPr>
      </w:pPr>
    </w:p>
    <w:p>
      <w:pPr>
        <w:ind w:right="860"/>
        <w:spacing w:after="0" w:line="313" w:lineRule="auto"/>
        <w:rPr>
          <w:sz w:val="20"/>
          <w:szCs w:val="20"/>
          <w:color w:val="auto"/>
        </w:rPr>
      </w:pPr>
      <w:r>
        <w:rPr>
          <w:rFonts w:ascii="Times New Roman" w:cs="Times New Roman" w:eastAsia="Times New Roman" w:hAnsi="Times New Roman"/>
          <w:sz w:val="16"/>
          <w:szCs w:val="16"/>
          <w:b w:val="1"/>
          <w:bCs w:val="1"/>
          <w:color w:val="auto"/>
        </w:rPr>
        <w:t xml:space="preserve">JOHN J. MORRIS, JR. </w:t>
      </w:r>
      <w:r>
        <w:rPr>
          <w:rFonts w:ascii="Times New Roman" w:cs="Times New Roman" w:eastAsia="Times New Roman" w:hAnsi="Times New Roman"/>
          <w:sz w:val="16"/>
          <w:szCs w:val="16"/>
          <w:color w:val="auto"/>
        </w:rPr>
        <w:t>Executive Vice President and Chief Operating Officer</w:t>
      </w:r>
    </w:p>
    <w:p>
      <w:pPr>
        <w:spacing w:after="0" w:line="5" w:lineRule="exact"/>
        <w:rPr>
          <w:sz w:val="20"/>
          <w:szCs w:val="20"/>
          <w:color w:val="auto"/>
        </w:rPr>
      </w:pPr>
    </w:p>
    <w:p>
      <w:pPr>
        <w:ind w:right="860"/>
        <w:spacing w:after="0" w:line="311" w:lineRule="auto"/>
        <w:rPr>
          <w:sz w:val="20"/>
          <w:szCs w:val="20"/>
          <w:color w:val="auto"/>
        </w:rPr>
      </w:pPr>
      <w:r>
        <w:rPr>
          <w:rFonts w:ascii="Times New Roman" w:cs="Times New Roman" w:eastAsia="Times New Roman" w:hAnsi="Times New Roman"/>
          <w:sz w:val="16"/>
          <w:szCs w:val="16"/>
          <w:b w:val="1"/>
          <w:bCs w:val="1"/>
          <w:color w:val="auto"/>
        </w:rPr>
        <w:t xml:space="preserve">DEVINA A. RANKIN </w:t>
      </w:r>
      <w:r>
        <w:rPr>
          <w:rFonts w:ascii="Times New Roman" w:cs="Times New Roman" w:eastAsia="Times New Roman" w:hAnsi="Times New Roman"/>
          <w:sz w:val="16"/>
          <w:szCs w:val="16"/>
          <w:color w:val="auto"/>
        </w:rPr>
        <w:t>Executive Vice President and Chief Financial Officer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DONALD J. SMITH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Senior Vice President,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KIMBERLY G. STITH</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and</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Chief Human Resources Officer</w:t>
      </w:r>
    </w:p>
    <w:p>
      <w:pPr>
        <w:spacing w:after="0" w:line="178" w:lineRule="exact"/>
        <w:rPr>
          <w:sz w:val="20"/>
          <w:szCs w:val="20"/>
          <w:color w:val="auto"/>
        </w:rPr>
      </w:pPr>
    </w:p>
    <w:p>
      <w:pPr>
        <w:ind w:right="1080"/>
        <w:spacing w:after="0" w:line="311" w:lineRule="auto"/>
        <w:rPr>
          <w:sz w:val="20"/>
          <w:szCs w:val="20"/>
          <w:color w:val="auto"/>
        </w:rPr>
      </w:pPr>
      <w:r>
        <w:rPr>
          <w:rFonts w:ascii="Times New Roman" w:cs="Times New Roman" w:eastAsia="Times New Roman" w:hAnsi="Times New Roman"/>
          <w:sz w:val="16"/>
          <w:szCs w:val="16"/>
          <w:b w:val="1"/>
          <w:bCs w:val="1"/>
          <w:color w:val="auto"/>
        </w:rPr>
        <w:t xml:space="preserve">JOHNSON VARKEY </w:t>
      </w:r>
      <w:r>
        <w:rPr>
          <w:rFonts w:ascii="Times New Roman" w:cs="Times New Roman" w:eastAsia="Times New Roman" w:hAnsi="Times New Roman"/>
          <w:sz w:val="16"/>
          <w:szCs w:val="16"/>
          <w:color w:val="auto"/>
        </w:rPr>
        <w:t>Senior Vice President and Chief Information Officer</w:t>
      </w:r>
    </w:p>
    <w:p>
      <w:pPr>
        <w:spacing w:after="0" w:line="39" w:lineRule="exact"/>
        <w:rPr>
          <w:sz w:val="20"/>
          <w:szCs w:val="20"/>
          <w:color w:val="auto"/>
        </w:rPr>
      </w:pPr>
    </w:p>
    <w:p>
      <w:pPr>
        <w:ind w:right="1060"/>
        <w:spacing w:after="0" w:line="342" w:lineRule="auto"/>
        <w:rPr>
          <w:sz w:val="20"/>
          <w:szCs w:val="20"/>
          <w:color w:val="auto"/>
        </w:rPr>
      </w:pPr>
      <w:r>
        <w:rPr>
          <w:rFonts w:ascii="Arial" w:cs="Arial" w:eastAsia="Arial" w:hAnsi="Arial"/>
          <w:sz w:val="15"/>
          <w:szCs w:val="15"/>
          <w:b w:val="1"/>
          <w:bCs w:val="1"/>
          <w:color w:val="auto"/>
        </w:rPr>
        <w:t xml:space="preserve">MICHAEL J. WATSON </w:t>
      </w:r>
      <w:r>
        <w:rPr>
          <w:rFonts w:ascii="Times New Roman" w:cs="Times New Roman" w:eastAsia="Times New Roman" w:hAnsi="Times New Roman"/>
          <w:sz w:val="15"/>
          <w:szCs w:val="15"/>
          <w:color w:val="auto"/>
        </w:rPr>
        <w:t xml:space="preserve">Senior </w:t>
      </w:r>
      <w:r>
        <w:rPr>
          <w:rFonts w:ascii="Arial" w:cs="Arial" w:eastAsia="Arial" w:hAnsi="Arial"/>
          <w:sz w:val="15"/>
          <w:szCs w:val="15"/>
          <w:color w:val="auto"/>
        </w:rPr>
        <w:t>Vice Preident and</w:t>
      </w:r>
      <w:r>
        <w:rPr>
          <w:rFonts w:ascii="Times New Roman" w:cs="Times New Roman" w:eastAsia="Times New Roman" w:hAnsi="Times New Roman"/>
          <w:sz w:val="15"/>
          <w:szCs w:val="15"/>
          <w:color w:val="auto"/>
        </w:rPr>
        <w:t xml:space="preserve"> Chief Customer Officer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JEFF R. BENNETT</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Assistant Treasurer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JOHN A. CARROLL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 President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Accounting Officer</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MARK A. LOCKETT</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Vice President, Tax</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LESLIE K. NAGY</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Vice President and</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Treasurer</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CHARLES S. SCHWAGER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Vice President and</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Chief Compliance and Ethics Officer</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COURTNEY A. TIPPY</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Vice President and Corporate Secretary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-2019300</wp:posOffset>
                </wp:positionH>
                <wp:positionV relativeFrom="paragraph">
                  <wp:posOffset>215900</wp:posOffset>
                </wp:positionV>
                <wp:extent cx="5791200" cy="0"/>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0" cy="4763"/>
                        </a:xfrm>
                        <a:prstGeom prst="line">
                          <a:avLst/>
                        </a:prstGeom>
                        <a:solidFill>
                          <a:srgbClr val="FFFFFF"/>
                        </a:solidFill>
                        <a:ln w="12700">
                          <a:solidFill>
                            <a:srgbClr val="005E26"/>
                          </a:solidFill>
                          <a:miter lim="800000"/>
                          <a:headEnd/>
                          <a:tailEnd/>
                        </a:ln>
                      </wps:spPr>
                      <wps:bodyPr/>
                    </wps:wsp>
                  </a:graphicData>
                </a:graphic>
              </wp:anchor>
            </w:drawing>
          </mc:Choice>
          <mc:Fallback>
            <w:pict>
              <v:line id="Shape 336" o:spid="_x0000_s13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pt,17pt" to="297pt,17pt" o:allowincell="f" strokecolor="#005E26" strokeweight="1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CORPORATE HEADQUARTERS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Waste Management, Inc.</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800 Capitol Street, Suite 3000</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Houston, Texas 77002</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Telephone: (713) 512-6200</w:t>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WEB SITE</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www.wm.com</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INVESTOR RELATIONS</w:t>
      </w:r>
    </w:p>
    <w:p>
      <w:pPr>
        <w:spacing w:after="0" w:line="20" w:lineRule="exact"/>
        <w:rPr>
          <w:sz w:val="20"/>
          <w:szCs w:val="20"/>
          <w:color w:val="auto"/>
        </w:rPr>
      </w:pPr>
    </w:p>
    <w:p>
      <w:pPr>
        <w:jc w:val="both"/>
        <w:ind w:left="20" w:right="800"/>
        <w:spacing w:after="0" w:line="298" w:lineRule="auto"/>
        <w:rPr>
          <w:sz w:val="20"/>
          <w:szCs w:val="20"/>
          <w:color w:val="auto"/>
        </w:rPr>
      </w:pPr>
      <w:r>
        <w:rPr>
          <w:rFonts w:ascii="Times New Roman" w:cs="Times New Roman" w:eastAsia="Times New Roman" w:hAnsi="Times New Roman"/>
          <w:sz w:val="16"/>
          <w:szCs w:val="16"/>
          <w:color w:val="auto"/>
        </w:rPr>
        <w:t>Security analysts, investment professionals, and shareholders should direct inquiries to Investor Relations at the corporate address or call (713) 265-1656.</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ANNUAL MEETING</w:t>
      </w:r>
    </w:p>
    <w:p>
      <w:pPr>
        <w:spacing w:after="0" w:line="20" w:lineRule="exact"/>
        <w:rPr>
          <w:sz w:val="20"/>
          <w:szCs w:val="20"/>
          <w:color w:val="auto"/>
        </w:rPr>
      </w:pPr>
    </w:p>
    <w:p>
      <w:pPr>
        <w:ind w:left="20" w:right="360"/>
        <w:spacing w:after="0" w:line="260" w:lineRule="auto"/>
        <w:rPr>
          <w:sz w:val="20"/>
          <w:szCs w:val="20"/>
          <w:color w:val="auto"/>
        </w:rPr>
      </w:pPr>
      <w:r>
        <w:rPr>
          <w:rFonts w:ascii="Times New Roman" w:cs="Times New Roman" w:eastAsia="Times New Roman" w:hAnsi="Times New Roman"/>
          <w:sz w:val="16"/>
          <w:szCs w:val="16"/>
          <w:color w:val="auto"/>
        </w:rPr>
        <w:t>The annual meeting of the stockholders of the Company is scheduled to be held at 1</w:t>
      </w:r>
      <w:r>
        <w:rPr>
          <w:rFonts w:ascii="Arial" w:cs="Arial" w:eastAsia="Arial" w:hAnsi="Arial"/>
          <w:sz w:val="16"/>
          <w:szCs w:val="16"/>
          <w:color w:val="auto"/>
        </w:rPr>
        <w:t>1:0</w:t>
      </w:r>
      <w:r>
        <w:rPr>
          <w:rFonts w:ascii="Times New Roman" w:cs="Times New Roman" w:eastAsia="Times New Roman" w:hAnsi="Times New Roman"/>
          <w:sz w:val="16"/>
          <w:szCs w:val="16"/>
          <w:color w:val="auto"/>
        </w:rPr>
        <w:t>0 a.m. CT May 1</w:t>
      </w:r>
      <w:r>
        <w:rPr>
          <w:rFonts w:ascii="Arial" w:cs="Arial" w:eastAsia="Arial" w:hAnsi="Arial"/>
          <w:sz w:val="16"/>
          <w:szCs w:val="16"/>
          <w:color w:val="auto"/>
        </w:rPr>
        <w:t>3</w:t>
      </w:r>
      <w:r>
        <w:rPr>
          <w:rFonts w:ascii="Times New Roman" w:cs="Times New Roman" w:eastAsia="Times New Roman" w:hAnsi="Times New Roman"/>
          <w:sz w:val="16"/>
          <w:szCs w:val="16"/>
          <w:color w:val="auto"/>
        </w:rPr>
        <w:t>, 202</w:t>
      </w:r>
      <w:r>
        <w:rPr>
          <w:rFonts w:ascii="Arial" w:cs="Arial" w:eastAsia="Arial" w:hAnsi="Arial"/>
          <w:sz w:val="16"/>
          <w:szCs w:val="16"/>
          <w:color w:val="auto"/>
        </w:rPr>
        <w:t>5</w:t>
      </w:r>
      <w:r>
        <w:rPr>
          <w:rFonts w:ascii="Times New Roman" w:cs="Times New Roman" w:eastAsia="Times New Roman" w:hAnsi="Times New Roman"/>
          <w:sz w:val="16"/>
          <w:szCs w:val="16"/>
          <w:color w:val="auto"/>
        </w:rPr>
        <w:t xml:space="preserve"> at the offices of:</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Waste Management, Inc.</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800 Capitol Street, Suite 3000</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Houston, Texas 77002</w:t>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INDEPENDENT AUDITORS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Ernst &amp; Young LLP</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5 Houston Center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1401 McKinney Street, Suite 2400</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Houston, Texas 77010</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(713) 750-1500</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COMPANY STOCK</w:t>
      </w:r>
    </w:p>
    <w:p>
      <w:pPr>
        <w:spacing w:after="0" w:line="20" w:lineRule="exact"/>
        <w:rPr>
          <w:sz w:val="20"/>
          <w:szCs w:val="20"/>
          <w:color w:val="auto"/>
        </w:rPr>
      </w:pPr>
    </w:p>
    <w:p>
      <w:pPr>
        <w:ind w:right="680" w:firstLine="22"/>
        <w:spacing w:after="0" w:line="274" w:lineRule="auto"/>
        <w:rPr>
          <w:sz w:val="20"/>
          <w:szCs w:val="20"/>
          <w:color w:val="auto"/>
        </w:rPr>
      </w:pPr>
      <w:r>
        <w:rPr>
          <w:rFonts w:ascii="Times New Roman" w:cs="Times New Roman" w:eastAsia="Times New Roman" w:hAnsi="Times New Roman"/>
          <w:sz w:val="16"/>
          <w:szCs w:val="16"/>
          <w:color w:val="auto"/>
        </w:rPr>
        <w:t xml:space="preserve">The Company’s common stock is traded on the New York Stock Exchange (NYSE) under the symbol “WM.” The number of holders of record of common stock based on the transfer records of the Company at March </w:t>
      </w:r>
      <w:r>
        <w:rPr>
          <w:rFonts w:ascii="Arial" w:cs="Arial" w:eastAsia="Arial" w:hAnsi="Arial"/>
          <w:sz w:val="16"/>
          <w:szCs w:val="16"/>
          <w:color w:val="auto"/>
        </w:rPr>
        <w:t>13</w:t>
      </w:r>
      <w:r>
        <w:rPr>
          <w:rFonts w:ascii="Times New Roman" w:cs="Times New Roman" w:eastAsia="Times New Roman" w:hAnsi="Times New Roman"/>
          <w:sz w:val="16"/>
          <w:szCs w:val="16"/>
          <w:color w:val="auto"/>
        </w:rPr>
        <w:t>, 202</w:t>
      </w:r>
      <w:r>
        <w:rPr>
          <w:rFonts w:ascii="Arial" w:cs="Arial" w:eastAsia="Arial" w:hAnsi="Arial"/>
          <w:sz w:val="16"/>
          <w:szCs w:val="16"/>
          <w:color w:val="auto"/>
        </w:rPr>
        <w:t>5</w:t>
      </w:r>
      <w:r>
        <w:rPr>
          <w:rFonts w:ascii="Times New Roman" w:cs="Times New Roman" w:eastAsia="Times New Roman" w:hAnsi="Times New Roman"/>
          <w:sz w:val="16"/>
          <w:szCs w:val="16"/>
          <w:color w:val="auto"/>
        </w:rPr>
        <w:t xml:space="preserve"> was 7,</w:t>
      </w:r>
      <w:r>
        <w:rPr>
          <w:rFonts w:ascii="Arial" w:cs="Arial" w:eastAsia="Arial" w:hAnsi="Arial"/>
          <w:sz w:val="16"/>
          <w:szCs w:val="16"/>
          <w:color w:val="auto"/>
        </w:rPr>
        <w:t>017</w:t>
      </w:r>
      <w:r>
        <w:rPr>
          <w:rFonts w:ascii="Times New Roman" w:cs="Times New Roman" w:eastAsia="Times New Roman" w:hAnsi="Times New Roman"/>
          <w:sz w:val="16"/>
          <w:szCs w:val="16"/>
          <w:color w:val="auto"/>
        </w:rPr>
        <w:t xml:space="preserve"> Based on security position listings, the Company believes that, as of March 1</w:t>
      </w:r>
      <w:r>
        <w:rPr>
          <w:rFonts w:ascii="Arial" w:cs="Arial" w:eastAsia="Arial" w:hAnsi="Arial"/>
          <w:sz w:val="16"/>
          <w:szCs w:val="16"/>
          <w:color w:val="auto"/>
        </w:rPr>
        <w:t>1</w:t>
      </w:r>
      <w:r>
        <w:rPr>
          <w:rFonts w:ascii="Times New Roman" w:cs="Times New Roman" w:eastAsia="Times New Roman" w:hAnsi="Times New Roman"/>
          <w:sz w:val="16"/>
          <w:szCs w:val="16"/>
          <w:color w:val="auto"/>
        </w:rPr>
        <w:t>, 202</w:t>
      </w:r>
      <w:r>
        <w:rPr>
          <w:rFonts w:ascii="Arial" w:cs="Arial" w:eastAsia="Arial" w:hAnsi="Arial"/>
          <w:sz w:val="16"/>
          <w:szCs w:val="16"/>
          <w:color w:val="auto"/>
        </w:rPr>
        <w:t>5</w:t>
      </w:r>
      <w:r>
        <w:rPr>
          <w:rFonts w:ascii="Times New Roman" w:cs="Times New Roman" w:eastAsia="Times New Roman" w:hAnsi="Times New Roman"/>
          <w:sz w:val="16"/>
          <w:szCs w:val="16"/>
          <w:color w:val="auto"/>
        </w:rPr>
        <w:t>, it had approximately 1,</w:t>
      </w:r>
      <w:r>
        <w:rPr>
          <w:rFonts w:ascii="Arial" w:cs="Arial" w:eastAsia="Arial" w:hAnsi="Arial"/>
          <w:sz w:val="16"/>
          <w:szCs w:val="16"/>
          <w:color w:val="auto"/>
        </w:rPr>
        <w:t>720</w:t>
      </w:r>
      <w:r>
        <w:rPr>
          <w:rFonts w:ascii="Times New Roman" w:cs="Times New Roman" w:eastAsia="Times New Roman" w:hAnsi="Times New Roman"/>
          <w:sz w:val="16"/>
          <w:szCs w:val="16"/>
          <w:color w:val="auto"/>
        </w:rPr>
        <w:t>,</w:t>
      </w:r>
      <w:r>
        <w:rPr>
          <w:rFonts w:ascii="Arial" w:cs="Arial" w:eastAsia="Arial" w:hAnsi="Arial"/>
          <w:sz w:val="16"/>
          <w:szCs w:val="16"/>
          <w:color w:val="auto"/>
        </w:rPr>
        <w:t>205</w:t>
      </w:r>
      <w:r>
        <w:rPr>
          <w:rFonts w:ascii="Times New Roman" w:cs="Times New Roman" w:eastAsia="Times New Roman" w:hAnsi="Times New Roman"/>
          <w:sz w:val="16"/>
          <w:szCs w:val="16"/>
          <w:color w:val="auto"/>
        </w:rPr>
        <w:t xml:space="preserve"> beneficial owners.</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Computershare</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Shareholder Services: (800) 969-1190</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Shareholder Services - International: +1 (201) 680-6578</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 O. Box 43006</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Providence, Rhode Island 02940</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Overnight Delivery:</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150 Royall Street, Suite 101</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Canton, Massachusetts 02021</w:t>
      </w:r>
    </w:p>
    <w:p>
      <w:pPr>
        <w:spacing w:after="0" w:line="1217" w:lineRule="exact"/>
        <w:rPr>
          <w:sz w:val="20"/>
          <w:szCs w:val="20"/>
          <w:color w:val="auto"/>
        </w:rPr>
      </w:pPr>
    </w:p>
    <w:p>
      <w:pPr>
        <w:sectPr>
          <w:pgSz w:w="13320" w:h="16920" w:orient="portrait"/>
          <w:cols w:equalWidth="0" w:num="3">
            <w:col w:w="3640" w:space="200"/>
            <w:col w:w="2760" w:space="360"/>
            <w:col w:w="3620"/>
          </w:cols>
          <w:pgMar w:left="1440" w:top="1440" w:right="1300" w:bottom="666" w:gutter="0" w:footer="0" w:header="0"/>
          <w:type w:val="continuous"/>
        </w:sectPr>
      </w:pPr>
    </w:p>
    <w:p>
      <w:pPr>
        <w:spacing w:after="0" w:line="196" w:lineRule="exact"/>
        <w:rPr>
          <w:sz w:val="20"/>
          <w:szCs w:val="20"/>
          <w:color w:val="auto"/>
        </w:rPr>
      </w:pPr>
    </w:p>
    <w:p>
      <w:pPr>
        <w:ind w:left="880" w:right="980"/>
        <w:spacing w:after="0" w:line="368" w:lineRule="auto"/>
        <w:rPr>
          <w:sz w:val="20"/>
          <w:szCs w:val="20"/>
          <w:color w:val="auto"/>
        </w:rPr>
      </w:pPr>
      <w:r>
        <w:rPr>
          <w:rFonts w:ascii="Arial" w:cs="Arial" w:eastAsia="Arial" w:hAnsi="Arial"/>
          <w:sz w:val="20"/>
          <w:szCs w:val="20"/>
          <w:i w:val="1"/>
          <w:iCs w:val="1"/>
          <w:color w:val="221E1F"/>
        </w:rPr>
        <w:t>Cover: WM team member prepares a truck for refueling. WM's fleet includes more than 12,000 natural gas trucks - the largest heavy-duty natural gas truck fleet in the industry in North America.</w:t>
      </w:r>
    </w:p>
    <w:p>
      <w:pPr>
        <w:sectPr>
          <w:pgSz w:w="13320" w:h="16920" w:orient="portrait"/>
          <w:cols w:equalWidth="0" w:num="1">
            <w:col w:w="10580"/>
          </w:cols>
          <w:pgMar w:left="1440" w:top="1440" w:right="1300" w:bottom="666" w:gutter="0" w:footer="0" w:header="0"/>
          <w:type w:val="continuous"/>
        </w:sectPr>
      </w:pPr>
    </w:p>
    <w:bookmarkStart w:id="227" w:name="page228"/>
    <w:bookmarkEnd w:id="2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3425190</wp:posOffset>
            </wp:positionH>
            <wp:positionV relativeFrom="page">
              <wp:posOffset>8430260</wp:posOffset>
            </wp:positionV>
            <wp:extent cx="1604645" cy="4451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182">
                      <a:extLst>
                        <a:ext uri="{28A0092B-C50C-407E-A947-70E740481C1C}"/>
                      </a:extLst>
                    </a:blip>
                    <a:srcRect/>
                    <a:stretch>
                      <a:fillRect/>
                    </a:stretch>
                  </pic:blipFill>
                  <pic:spPr bwMode="auto">
                    <a:xfrm>
                      <a:off x="0" y="0"/>
                      <a:ext cx="1604645" cy="44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800 Capitol Street - Suite 3000 - Houston, Texas 77002</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www.wm.com</w:t>
      </w:r>
    </w:p>
    <w:sectPr>
      <w:pgSz w:w="13320" w:h="16920" w:orient="portrait"/>
      <w:cols w:equalWidth="0" w:num="1">
        <w:col w:w="1044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
      <w:numFmt w:val="bullet"/>
      <w:start w:val="1"/>
    </w:lvl>
  </w:abstractNum>
  <w:abstractNum w:abstractNumId="9">
    <w:nsid w:val="1A27709E"/>
    <w:multiLevelType w:val="hybridMultilevel"/>
    <w:lvl w:ilvl="0">
      <w:lvlJc w:val="left"/>
      <w:lvlText w:val="(%1)"/>
      <w:numFmt w:val="decimal"/>
      <w:start w:val="1"/>
    </w:lvl>
  </w:abstractNum>
  <w:abstractNum w:abstractNumId="10">
    <w:nsid w:val="71EA1109"/>
    <w:multiLevelType w:val="hybridMultilevel"/>
    <w:lvl w:ilvl="0">
      <w:lvlJc w:val="left"/>
      <w:lvlText w:val="(%1)"/>
      <w:numFmt w:val="decimal"/>
      <w:start w:val="1"/>
    </w:lvl>
  </w:abstractNum>
  <w:abstractNum w:abstractNumId="11">
    <w:nsid w:val="100F59DC"/>
    <w:multiLevelType w:val="hybridMultilevel"/>
    <w:lvl w:ilvl="0">
      <w:lvlJc w:val="left"/>
      <w:lvlText w:val="(%1)"/>
      <w:numFmt w:val="decimal"/>
      <w:start w:val="6"/>
    </w:lvl>
  </w:abstractNum>
  <w:abstractNum w:abstractNumId="12">
    <w:nsid w:val="7FB7E0AA"/>
    <w:multiLevelType w:val="hybridMultilevel"/>
    <w:lvl w:ilvl="0">
      <w:lvlJc w:val="left"/>
      <w:lvlText w:val="(%1)"/>
      <w:numFmt w:val="decimal"/>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
      <w:numFmt w:val="bullet"/>
      <w:start w:val="1"/>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1)"/>
      <w:numFmt w:val="decimal"/>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1)"/>
      <w:numFmt w:val="lowerLetter"/>
      <w:start w:val="2"/>
    </w:lvl>
  </w:abstractNum>
  <w:abstractNum w:abstractNumId="23">
    <w:nsid w:val="68EBC550"/>
    <w:multiLevelType w:val="hybridMultilevel"/>
    <w:lvl w:ilvl="0">
      <w:lvlJc w:val="left"/>
      <w:lvlText w:val="(%1)"/>
      <w:numFmt w:val="decimal"/>
      <w:start w:val="1"/>
    </w:lvl>
  </w:abstractNum>
  <w:abstractNum w:abstractNumId="24">
    <w:nsid w:val="2DF6D648"/>
    <w:multiLevelType w:val="hybridMultilevel"/>
    <w:lvl w:ilvl="0">
      <w:lvlJc w:val="left"/>
      <w:lvlText w:val="(%1)"/>
      <w:numFmt w:val="decimal"/>
      <w:start w:val="2"/>
    </w:lvl>
  </w:abstractNum>
  <w:abstractNum w:abstractNumId="25">
    <w:nsid w:val="46B7D447"/>
    <w:multiLevelType w:val="hybridMultilevel"/>
    <w:lvl w:ilvl="0">
      <w:lvlJc w:val="left"/>
      <w:lvlText w:val="%1"/>
      <w:numFmt w:val="decimal"/>
      <w:start w:val="1"/>
    </w:lvl>
    <w:lvl w:ilvl="1">
      <w:lvlJc w:val="left"/>
      <w:lvlText w:val="(%2)"/>
      <w:numFmt w:val="lowerLetter"/>
      <w:start w:val="1"/>
    </w:lvl>
  </w:abstractNum>
  <w:abstractNum w:abstractNumId="26">
    <w:nsid w:val="4A2AC315"/>
    <w:multiLevelType w:val="hybridMultilevel"/>
    <w:lvl w:ilvl="0">
      <w:lvlJc w:val="left"/>
      <w:lvlText w:val="(%1)"/>
      <w:numFmt w:val="decimal"/>
      <w:start w:val="5"/>
    </w:lvl>
    <w:lvl w:ilvl="1">
      <w:lvlJc w:val="left"/>
      <w:lvlText w:val="%2"/>
      <w:numFmt w:val="lowerLetter"/>
      <w:start w:val="1"/>
    </w:lvl>
  </w:abstractNum>
  <w:abstractNum w:abstractNumId="27">
    <w:nsid w:val="39EE015C"/>
    <w:multiLevelType w:val="hybridMultilevel"/>
    <w:lvl w:ilvl="0">
      <w:lvlJc w:val="left"/>
      <w:lvlText w:val="(%1)"/>
      <w:numFmt w:val="decimal"/>
      <w:start w:val="1"/>
    </w:lvl>
  </w:abstractNum>
  <w:abstractNum w:abstractNumId="28">
    <w:nsid w:val="57FC4FBB"/>
    <w:multiLevelType w:val="hybridMultilevel"/>
    <w:lvl w:ilvl="0">
      <w:lvlJc w:val="left"/>
      <w:lvlText w:val="(%1)"/>
      <w:numFmt w:val="decimal"/>
      <w:start w:val="1"/>
    </w:lvl>
  </w:abstractNum>
  <w:abstractNum w:abstractNumId="29">
    <w:nsid w:val="CC1016F"/>
    <w:multiLevelType w:val="hybridMultilevel"/>
    <w:lvl w:ilvl="0">
      <w:lvlJc w:val="left"/>
      <w:lvlText w:val="(%1)"/>
      <w:numFmt w:val="decimal"/>
      <w:start w:val="5"/>
    </w:lvl>
  </w:abstractNum>
  <w:abstractNum w:abstractNumId="30">
    <w:nsid w:val="43F18422"/>
    <w:multiLevelType w:val="hybridMultilevel"/>
    <w:lvl w:ilvl="0">
      <w:lvlJc w:val="left"/>
      <w:lvlText w:val="(%1)"/>
      <w:numFmt w:val="decimal"/>
      <w:start w:val="1"/>
    </w:lvl>
  </w:abstractNum>
  <w:abstractNum w:abstractNumId="31">
    <w:nsid w:val="60EF0119"/>
    <w:multiLevelType w:val="hybridMultilevel"/>
    <w:lvl w:ilvl="0">
      <w:lvlJc w:val="left"/>
      <w:lvlText w:val="(%1)"/>
      <w:numFmt w:val="decimal"/>
      <w:start w:val="1"/>
    </w:lvl>
  </w:abstractNum>
  <w:abstractNum w:abstractNumId="32">
    <w:nsid w:val="26F324BA"/>
    <w:multiLevelType w:val="hybridMultilevel"/>
    <w:lvl w:ilvl="0">
      <w:lvlJc w:val="left"/>
      <w:lvlText w:val="•"/>
      <w:numFmt w:val="bullet"/>
      <w:start w:val="1"/>
    </w:lvl>
  </w:abstractNum>
  <w:abstractNum w:abstractNumId="33">
    <w:nsid w:val="7F01579B"/>
    <w:multiLevelType w:val="hybridMultilevel"/>
    <w:lvl w:ilvl="0">
      <w:lvlJc w:val="left"/>
      <w:lvlText w:val="•"/>
      <w:numFmt w:val="bullet"/>
      <w:start w:val="1"/>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1)"/>
      <w:numFmt w:val="decimal"/>
      <w:start w:val="1"/>
    </w:lvl>
  </w:abstractNum>
  <w:abstractNum w:abstractNumId="36">
    <w:nsid w:val="5FB8370B"/>
    <w:multiLevelType w:val="hybridMultilevel"/>
    <w:lvl w:ilvl="0">
      <w:lvlJc w:val="left"/>
      <w:lvlText w:val="(%1)"/>
      <w:numFmt w:val="decimal"/>
      <w:start w:val="1"/>
    </w:lvl>
  </w:abstractNum>
  <w:abstractNum w:abstractNumId="37">
    <w:nsid w:val="50801EE1"/>
    <w:multiLevelType w:val="hybridMultilevel"/>
    <w:lvl w:ilvl="0">
      <w:lvlJc w:val="left"/>
      <w:lvlText w:val="(%1)"/>
      <w:numFmt w:val="decimal"/>
      <w:start w:val="1"/>
    </w:lvl>
  </w:abstractNum>
  <w:abstractNum w:abstractNumId="38">
    <w:nsid w:val="488AC1A"/>
    <w:multiLevelType w:val="hybridMultilevel"/>
    <w:lvl w:ilvl="0">
      <w:lvlJc w:val="left"/>
      <w:lvlText w:val="(%1)"/>
      <w:numFmt w:val="lowerLetter"/>
      <w:start w:val="1"/>
    </w:lvl>
  </w:abstractNum>
  <w:abstractNum w:abstractNumId="39">
    <w:nsid w:val="5FB8011C"/>
    <w:multiLevelType w:val="hybridMultilevel"/>
    <w:lvl w:ilvl="0">
      <w:lvlJc w:val="left"/>
      <w:lvlText w:val="%1"/>
      <w:numFmt w:val="decimal"/>
      <w:start w:val="1"/>
    </w:lvl>
    <w:lvl w:ilvl="1">
      <w:lvlJc w:val="left"/>
      <w:lvlText w:val="(%2)"/>
      <w:numFmt w:val="lowerLetter"/>
      <w:start w:val="2"/>
    </w:lvl>
  </w:abstractNum>
  <w:abstractNum w:abstractNumId="40">
    <w:nsid w:val="6AA78F7F"/>
    <w:multiLevelType w:val="hybridMultilevel"/>
    <w:lvl w:ilvl="0">
      <w:lvlJc w:val="left"/>
      <w:lvlText w:val="(%1)"/>
      <w:numFmt w:val="decimal"/>
      <w:start w:val="3"/>
    </w:lvl>
    <w:lvl w:ilvl="1">
      <w:lvlJc w:val="left"/>
      <w:lvlText w:val="%2"/>
      <w:numFmt w:val="lowerLetter"/>
      <w:start w:val="1"/>
    </w:lvl>
  </w:abstractNum>
  <w:abstractNum w:abstractNumId="41">
    <w:nsid w:val="7672BD23"/>
    <w:multiLevelType w:val="hybridMultilevel"/>
    <w:lvl w:ilvl="0">
      <w:lvlJc w:val="left"/>
      <w:lvlText w:val="•"/>
      <w:numFmt w:val="bullet"/>
      <w:start w:val="1"/>
    </w:lvl>
  </w:abstractNum>
  <w:abstractNum w:abstractNumId="42">
    <w:nsid w:val="6FC75AF8"/>
    <w:multiLevelType w:val="hybridMultilevel"/>
    <w:lvl w:ilvl="0">
      <w:lvlJc w:val="left"/>
      <w:lvlText w:val="(%1)"/>
      <w:numFmt w:val="lowerLetter"/>
      <w:start w:val="1"/>
    </w:lvl>
  </w:abstractNum>
  <w:abstractNum w:abstractNumId="43">
    <w:nsid w:val="6A5F7029"/>
    <w:multiLevelType w:val="hybridMultilevel"/>
    <w:lvl w:ilvl="0">
      <w:lvlJc w:val="left"/>
      <w:lvlText w:val="(%1)"/>
      <w:numFmt w:val="lowerLetter"/>
      <w:start w:val="3"/>
    </w:lvl>
  </w:abstractNum>
  <w:abstractNum w:abstractNumId="44">
    <w:nsid w:val="7D5E18F8"/>
    <w:multiLevelType w:val="hybridMultilevel"/>
    <w:lvl w:ilvl="0">
      <w:lvlJc w:val="left"/>
      <w:lvlText w:val="☑"/>
      <w:numFmt w:val="bullet"/>
      <w:start w:val="1"/>
    </w:lvl>
  </w:abstractNum>
  <w:abstractNum w:abstractNumId="45">
    <w:nsid w:val="5F3534A4"/>
    <w:multiLevelType w:val="hybridMultilevel"/>
    <w:lvl w:ilvl="0">
      <w:lvlJc w:val="left"/>
      <w:lvlText w:val="☐"/>
      <w:numFmt w:val="bullet"/>
      <w:start w:val="1"/>
    </w:lvl>
  </w:abstractNum>
  <w:abstractNum w:abstractNumId="46">
    <w:nsid w:val="73A1821B"/>
    <w:multiLevelType w:val="hybridMultilevel"/>
    <w:lvl w:ilvl="0">
      <w:lvlJc w:val="left"/>
      <w:lvlText w:val="•"/>
      <w:numFmt w:val="bullet"/>
      <w:start w:val="1"/>
    </w:lvl>
  </w:abstractNum>
  <w:abstractNum w:abstractNumId="47">
    <w:nsid w:val="7DE67713"/>
    <w:multiLevelType w:val="hybridMultilevel"/>
    <w:lvl w:ilvl="0">
      <w:lvlJc w:val="left"/>
      <w:lvlText w:val="•"/>
      <w:numFmt w:val="bullet"/>
      <w:start w:val="1"/>
    </w:lvl>
  </w:abstractNum>
  <w:abstractNum w:abstractNumId="48">
    <w:nsid w:val="555C55B5"/>
    <w:multiLevelType w:val="hybridMultilevel"/>
    <w:lvl w:ilvl="0">
      <w:lvlJc w:val="left"/>
      <w:lvlText w:val="•"/>
      <w:numFmt w:val="bullet"/>
      <w:start w:val="1"/>
    </w:lvl>
  </w:abstractNum>
  <w:abstractNum w:abstractNumId="49">
    <w:nsid w:val="3FA62ACA"/>
    <w:multiLevelType w:val="hybridMultilevel"/>
    <w:lvl w:ilvl="0">
      <w:lvlJc w:val="left"/>
      <w:lvlText w:val="•"/>
      <w:numFmt w:val="bullet"/>
      <w:start w:val="1"/>
    </w:lvl>
  </w:abstractNum>
  <w:abstractNum w:abstractNumId="50">
    <w:nsid w:val="14FCE74E"/>
    <w:multiLevelType w:val="hybridMultilevel"/>
    <w:lvl w:ilvl="0">
      <w:lvlJc w:val="left"/>
      <w:lvlText w:val="•"/>
      <w:numFmt w:val="bullet"/>
      <w:start w:val="1"/>
    </w:lvl>
  </w:abstractNum>
  <w:abstractNum w:abstractNumId="51">
    <w:nsid w:val="6A3DD3E8"/>
    <w:multiLevelType w:val="hybridMultilevel"/>
    <w:lvl w:ilvl="0">
      <w:lvlJc w:val="left"/>
      <w:lvlText w:val="•"/>
      <w:numFmt w:val="bullet"/>
      <w:start w:val="1"/>
    </w:lvl>
  </w:abstractNum>
  <w:abstractNum w:abstractNumId="52">
    <w:nsid w:val="71C91298"/>
    <w:multiLevelType w:val="hybridMultilevel"/>
    <w:lvl w:ilvl="0">
      <w:lvlJc w:val="left"/>
      <w:lvlText w:val="•"/>
      <w:numFmt w:val="bullet"/>
      <w:start w:val="1"/>
    </w:lvl>
  </w:abstractNum>
  <w:abstractNum w:abstractNumId="53">
    <w:nsid w:val="9DAF632"/>
    <w:multiLevelType w:val="hybridMultilevel"/>
    <w:lvl w:ilvl="0">
      <w:lvlJc w:val="left"/>
      <w:lvlText w:val="•"/>
      <w:numFmt w:val="bullet"/>
      <w:start w:val="1"/>
    </w:lvl>
  </w:abstractNum>
  <w:abstractNum w:abstractNumId="54">
    <w:nsid w:val="53299938"/>
    <w:multiLevelType w:val="hybridMultilevel"/>
    <w:lvl w:ilvl="0">
      <w:lvlJc w:val="left"/>
      <w:lvlText w:val="(%1)"/>
      <w:numFmt w:val="lowerRoman"/>
      <w:start w:val="2"/>
    </w:lvl>
  </w:abstractNum>
  <w:abstractNum w:abstractNumId="55">
    <w:nsid w:val="1FBFE8E0"/>
    <w:multiLevelType w:val="hybridMultilevel"/>
    <w:lvl w:ilvl="0">
      <w:lvlJc w:val="left"/>
      <w:lvlText w:val="•"/>
      <w:numFmt w:val="bullet"/>
      <w:start w:val="1"/>
    </w:lvl>
  </w:abstractNum>
  <w:abstractNum w:abstractNumId="56">
    <w:nsid w:val="5092CA79"/>
    <w:multiLevelType w:val="hybridMultilevel"/>
    <w:lvl w:ilvl="0">
      <w:lvlJc w:val="left"/>
      <w:lvlText w:val="(%1)"/>
      <w:numFmt w:val="lowerRoman"/>
      <w:start w:val="1"/>
    </w:lvl>
  </w:abstractNum>
  <w:abstractNum w:abstractNumId="57">
    <w:nsid w:val="1D545C4D"/>
    <w:multiLevelType w:val="hybridMultilevel"/>
    <w:lvl w:ilvl="0">
      <w:lvlJc w:val="left"/>
      <w:lvlText w:val="(%1)"/>
      <w:numFmt w:val="lowerRoman"/>
      <w:start w:val="3"/>
    </w:lvl>
  </w:abstractNum>
  <w:abstractNum w:abstractNumId="58">
    <w:nsid w:val="59ADEA3D"/>
    <w:multiLevelType w:val="hybridMultilevel"/>
    <w:lvl w:ilvl="0">
      <w:lvlJc w:val="left"/>
      <w:lvlText w:val="(%1)"/>
      <w:numFmt w:val="lowerRoman"/>
      <w:start w:val="3"/>
    </w:lvl>
  </w:abstractNum>
  <w:abstractNum w:abstractNumId="59">
    <w:nsid w:val="288F1A34"/>
    <w:multiLevelType w:val="hybridMultilevel"/>
    <w:lvl w:ilvl="0">
      <w:lvlJc w:val="left"/>
      <w:lvlText w:val="•"/>
      <w:numFmt w:val="bullet"/>
      <w:start w:val="1"/>
    </w:lvl>
  </w:abstractNum>
  <w:abstractNum w:abstractNumId="60">
    <w:nsid w:val="2A155DBC"/>
    <w:multiLevelType w:val="hybridMultilevel"/>
    <w:lvl w:ilvl="0">
      <w:lvlJc w:val="left"/>
      <w:lvlText w:val="•"/>
      <w:numFmt w:val="bullet"/>
      <w:start w:val="1"/>
    </w:lvl>
  </w:abstractNum>
  <w:abstractNum w:abstractNumId="61">
    <w:nsid w:val="1D9F6E5F"/>
    <w:multiLevelType w:val="hybridMultilevel"/>
    <w:lvl w:ilvl="0">
      <w:lvlJc w:val="left"/>
      <w:lvlText w:val="(%1)"/>
      <w:numFmt w:val="lowerRoman"/>
      <w:start w:val="1"/>
    </w:lvl>
  </w:abstractNum>
  <w:abstractNum w:abstractNumId="62">
    <w:nsid w:val="97E1B4E"/>
    <w:multiLevelType w:val="hybridMultilevel"/>
    <w:lvl w:ilvl="0">
      <w:lvlJc w:val="left"/>
      <w:lvlText w:val="•"/>
      <w:numFmt w:val="bullet"/>
      <w:start w:val="1"/>
    </w:lvl>
  </w:abstractNum>
  <w:abstractNum w:abstractNumId="63">
    <w:nsid w:val="51088277"/>
    <w:multiLevelType w:val="hybridMultilevel"/>
    <w:lvl w:ilvl="0">
      <w:lvlJc w:val="left"/>
      <w:lvlText w:val="•"/>
      <w:numFmt w:val="bullet"/>
      <w:start w:val="1"/>
    </w:lvl>
  </w:abstractNum>
  <w:abstractNum w:abstractNumId="64">
    <w:nsid w:val="1CA0C5FA"/>
    <w:multiLevelType w:val="hybridMultilevel"/>
    <w:lvl w:ilvl="0">
      <w:lvlJc w:val="left"/>
      <w:lvlText w:val="•"/>
      <w:numFmt w:val="bullet"/>
      <w:start w:val="1"/>
    </w:lvl>
  </w:abstractNum>
  <w:abstractNum w:abstractNumId="65">
    <w:nsid w:val="53584BCB"/>
    <w:multiLevelType w:val="hybridMultilevel"/>
    <w:lvl w:ilvl="0">
      <w:lvlJc w:val="left"/>
      <w:lvlText w:val="\endash "/>
      <w:numFmt w:val="bullet"/>
      <w:start w:val="1"/>
    </w:lvl>
  </w:abstractNum>
  <w:abstractNum w:abstractNumId="66">
    <w:nsid w:val="415E286C"/>
    <w:multiLevelType w:val="hybridMultilevel"/>
    <w:lvl w:ilvl="0">
      <w:lvlJc w:val="left"/>
      <w:lvlText w:val="•"/>
      <w:numFmt w:val="bullet"/>
      <w:start w:val="1"/>
    </w:lvl>
  </w:abstractNum>
  <w:abstractNum w:abstractNumId="67">
    <w:nsid w:val="7C58FD05"/>
    <w:multiLevelType w:val="hybridMultilevel"/>
    <w:lvl w:ilvl="0">
      <w:lvlJc w:val="left"/>
      <w:lvlText w:val="(%1)"/>
      <w:numFmt w:val="lowerLetter"/>
      <w:start w:val="1"/>
    </w:lvl>
  </w:abstractNum>
  <w:abstractNum w:abstractNumId="68">
    <w:nsid w:val="23D86AAC"/>
    <w:multiLevelType w:val="hybridMultilevel"/>
    <w:lvl w:ilvl="0">
      <w:lvlJc w:val="left"/>
      <w:lvlText w:val="•"/>
      <w:numFmt w:val="bullet"/>
      <w:start w:val="1"/>
    </w:lvl>
    <w:lvl w:ilvl="1">
      <w:lvlJc w:val="left"/>
      <w:lvlText w:val="(%2)"/>
      <w:numFmt w:val="lowerRoman"/>
      <w:start w:val="2"/>
    </w:lvl>
  </w:abstractNum>
  <w:abstractNum w:abstractNumId="69">
    <w:nsid w:val="45E6D486"/>
    <w:multiLevelType w:val="hybridMultilevel"/>
    <w:lvl w:ilvl="0">
      <w:lvlJc w:val="left"/>
      <w:lvlText w:val="•"/>
      <w:numFmt w:val="bullet"/>
      <w:start w:val="1"/>
    </w:lvl>
    <w:lvl w:ilvl="1">
      <w:lvlJc w:val="left"/>
      <w:lvlText w:val="(%2)"/>
      <w:numFmt w:val="lowerRoman"/>
      <w:start w:val="3"/>
    </w:lvl>
  </w:abstractNum>
  <w:abstractNum w:abstractNumId="70">
    <w:nsid w:val="5C10FE21"/>
    <w:multiLevelType w:val="hybridMultilevel"/>
    <w:lvl w:ilvl="0">
      <w:lvlJc w:val="left"/>
      <w:lvlText w:val="(%1)"/>
      <w:numFmt w:val="lowerLetter"/>
      <w:start w:val="1"/>
    </w:lvl>
  </w:abstractNum>
  <w:abstractNum w:abstractNumId="71">
    <w:nsid w:val="E7FFA2B"/>
    <w:multiLevelType w:val="hybridMultilevel"/>
    <w:lvl w:ilvl="0">
      <w:lvlJc w:val="left"/>
      <w:lvlText w:val="(%1)"/>
      <w:numFmt w:val="lowerLetter"/>
      <w:start w:val="1"/>
    </w:lvl>
  </w:abstractNum>
  <w:abstractNum w:abstractNumId="72">
    <w:nsid w:val="3C5991AA"/>
    <w:multiLevelType w:val="hybridMultilevel"/>
    <w:lvl w:ilvl="0">
      <w:lvlJc w:val="left"/>
      <w:lvlText w:val="(%1)"/>
      <w:numFmt w:val="lowerRoman"/>
      <w:start w:val="1"/>
    </w:lvl>
  </w:abstractNum>
  <w:abstractNum w:abstractNumId="73">
    <w:nsid w:val="4BD8591A"/>
    <w:multiLevelType w:val="hybridMultilevel"/>
    <w:lvl w:ilvl="0">
      <w:lvlJc w:val="left"/>
      <w:lvlText w:val="(%1)"/>
      <w:numFmt w:val="lowerRoman"/>
      <w:start w:val="8"/>
    </w:lvl>
  </w:abstractNum>
  <w:abstractNum w:abstractNumId="74">
    <w:nsid w:val="78DF6A55"/>
    <w:multiLevelType w:val="hybridMultilevel"/>
    <w:lvl w:ilvl="0">
      <w:lvlJc w:val="left"/>
      <w:lvlText w:val="(%1)"/>
      <w:numFmt w:val="lowerRoman"/>
      <w:start w:val="2"/>
    </w:lvl>
  </w:abstractNum>
  <w:abstractNum w:abstractNumId="75">
    <w:nsid w:val="39B7AAA2"/>
    <w:multiLevelType w:val="hybridMultilevel"/>
    <w:lvl w:ilvl="0">
      <w:lvlJc w:val="left"/>
      <w:lvlText w:val="(%1)"/>
      <w:numFmt w:val="lowerRoman"/>
      <w:start w:val="2"/>
    </w:lvl>
  </w:abstractNum>
  <w:abstractNum w:abstractNumId="76">
    <w:nsid w:val="2B0D8DBE"/>
    <w:multiLevelType w:val="hybridMultilevel"/>
    <w:lvl w:ilvl="0">
      <w:lvlJc w:val="left"/>
      <w:lvlText w:val="(%1)"/>
      <w:numFmt w:val="lowerRoman"/>
      <w:start w:val="1"/>
    </w:lvl>
  </w:abstractNum>
  <w:abstractNum w:abstractNumId="77">
    <w:nsid w:val="6C80EC70"/>
    <w:multiLevelType w:val="hybridMultilevel"/>
    <w:lvl w:ilvl="0">
      <w:lvlJc w:val="left"/>
      <w:lvlText w:val="(%1)"/>
      <w:numFmt w:val="lowerRoman"/>
      <w:start w:val="1"/>
    </w:lvl>
  </w:abstractNum>
  <w:abstractNum w:abstractNumId="78">
    <w:nsid w:val="379E21B5"/>
    <w:multiLevelType w:val="hybridMultilevel"/>
    <w:lvl w:ilvl="0">
      <w:lvlJc w:val="left"/>
      <w:lvlText w:val="(%1)"/>
      <w:numFmt w:val="lowerRoman"/>
      <w:start w:val="3"/>
    </w:lvl>
  </w:abstractNum>
  <w:abstractNum w:abstractNumId="79">
    <w:nsid w:val="69E373"/>
    <w:multiLevelType w:val="hybridMultilevel"/>
    <w:lvl w:ilvl="0">
      <w:lvlJc w:val="left"/>
      <w:lvlText w:val="(%1)"/>
      <w:numFmt w:val="lowerRoman"/>
      <w:start w:val="2"/>
    </w:lvl>
  </w:abstractNum>
  <w:abstractNum w:abstractNumId="80">
    <w:nsid w:val="2C27173B"/>
    <w:multiLevelType w:val="hybridMultilevel"/>
    <w:lvl w:ilvl="0">
      <w:lvlJc w:val="left"/>
      <w:lvlText w:val="(%1)"/>
      <w:numFmt w:val="lowerRoman"/>
      <w:start w:val="1"/>
    </w:lvl>
  </w:abstractNum>
  <w:abstractNum w:abstractNumId="81">
    <w:nsid w:val="4C9B0904"/>
    <w:multiLevelType w:val="hybridMultilevel"/>
    <w:lvl w:ilvl="0">
      <w:lvlJc w:val="left"/>
      <w:lvlText w:val="(%1)"/>
      <w:numFmt w:val="lowerRoman"/>
      <w:start w:val="2"/>
    </w:lvl>
  </w:abstractNum>
  <w:abstractNum w:abstractNumId="82">
    <w:nsid w:val="6AA7B75C"/>
    <w:multiLevelType w:val="hybridMultilevel"/>
    <w:lvl w:ilvl="0">
      <w:lvlJc w:val="left"/>
      <w:lvlText w:val="•"/>
      <w:numFmt w:val="bullet"/>
      <w:start w:val="1"/>
    </w:lvl>
  </w:abstractNum>
  <w:abstractNum w:abstractNumId="83">
    <w:nsid w:val="1DF029D3"/>
    <w:multiLevelType w:val="hybridMultilevel"/>
    <w:lvl w:ilvl="0">
      <w:lvlJc w:val="left"/>
      <w:lvlText w:val="(%1)"/>
      <w:numFmt w:val="lowerRoman"/>
      <w:start w:val="2"/>
    </w:lvl>
  </w:abstractNum>
  <w:abstractNum w:abstractNumId="84">
    <w:nsid w:val="5675FF36"/>
    <w:multiLevelType w:val="hybridMultilevel"/>
    <w:lvl w:ilvl="0">
      <w:lvlJc w:val="left"/>
      <w:lvlText w:val="•"/>
      <w:numFmt w:val="bullet"/>
      <w:start w:val="1"/>
    </w:lvl>
  </w:abstractNum>
  <w:abstractNum w:abstractNumId="85">
    <w:nsid w:val="3DD15094"/>
    <w:multiLevelType w:val="hybridMultilevel"/>
    <w:lvl w:ilvl="0">
      <w:lvlJc w:val="left"/>
      <w:lvlText w:val="(%1)"/>
      <w:numFmt w:val="lowerLetter"/>
      <w:start w:val="1"/>
    </w:lvl>
  </w:abstractNum>
  <w:abstractNum w:abstractNumId="86">
    <w:nsid w:val="3DB012B3"/>
    <w:multiLevelType w:val="hybridMultilevel"/>
    <w:lvl w:ilvl="0">
      <w:lvlJc w:val="left"/>
      <w:lvlText w:val="(%1)"/>
      <w:numFmt w:val="lowerLetter"/>
      <w:start w:val="1"/>
    </w:lvl>
  </w:abstractNum>
  <w:abstractNum w:abstractNumId="87">
    <w:nsid w:val="2708C9AF"/>
    <w:multiLevelType w:val="hybridMultilevel"/>
    <w:lvl w:ilvl="0">
      <w:lvlJc w:val="left"/>
      <w:lvlText w:val="•"/>
      <w:numFmt w:val="bullet"/>
      <w:start w:val="1"/>
    </w:lvl>
  </w:abstractNum>
  <w:abstractNum w:abstractNumId="88">
    <w:nsid w:val="5B25ACE2"/>
    <w:multiLevelType w:val="hybridMultilevel"/>
    <w:lvl w:ilvl="0">
      <w:lvlJc w:val="left"/>
      <w:lvlText w:val="(%1)"/>
      <w:numFmt w:val="lowerRoman"/>
      <w:start w:val="2"/>
    </w:lvl>
  </w:abstractNum>
  <w:abstractNum w:abstractNumId="89">
    <w:nsid w:val="175DFCF0"/>
    <w:multiLevelType w:val="hybridMultilevel"/>
    <w:lvl w:ilvl="0">
      <w:lvlJc w:val="left"/>
      <w:lvlText w:val="(%1)"/>
      <w:numFmt w:val="lowerLetter"/>
      <w:start w:val="1"/>
    </w:lvl>
  </w:abstractNum>
  <w:abstractNum w:abstractNumId="90">
    <w:nsid w:val="4F97E3E4"/>
    <w:multiLevelType w:val="hybridMultilevel"/>
    <w:lvl w:ilvl="0">
      <w:lvlJc w:val="left"/>
      <w:lvlText w:val="(%1)"/>
      <w:numFmt w:val="lowerLetter"/>
      <w:start w:val="4"/>
    </w:lvl>
  </w:abstractNum>
  <w:abstractNum w:abstractNumId="91">
    <w:nsid w:val="53B0A9E"/>
    <w:multiLevelType w:val="hybridMultilevel"/>
    <w:lvl w:ilvl="0">
      <w:lvlJc w:val="left"/>
      <w:lvlText w:val="(%1)"/>
      <w:numFmt w:val="lowerLetter"/>
      <w:start w:val="1"/>
    </w:lvl>
  </w:abstractNum>
  <w:abstractNum w:abstractNumId="92">
    <w:nsid w:val="34FD6B4F"/>
    <w:multiLevelType w:val="hybridMultilevel"/>
    <w:lvl w:ilvl="0">
      <w:lvlJc w:val="left"/>
      <w:lvlText w:val="(%1)"/>
      <w:numFmt w:val="lowerRoman"/>
      <w:start w:val="1"/>
    </w:lvl>
  </w:abstractNum>
  <w:abstractNum w:abstractNumId="93">
    <w:nsid w:val="5915FF32"/>
    <w:multiLevelType w:val="hybridMultilevel"/>
    <w:lvl w:ilvl="0">
      <w:lvlJc w:val="left"/>
      <w:lvlText w:val="(%1)"/>
      <w:numFmt w:val="lowerRoman"/>
      <w:start w:val="1"/>
    </w:lvl>
  </w:abstractNum>
  <w:abstractNum w:abstractNumId="94">
    <w:nsid w:val="56438D15"/>
    <w:multiLevelType w:val="hybridMultilevel"/>
    <w:lvl w:ilvl="0">
      <w:lvlJc w:val="left"/>
      <w:lvlText w:val="(%1)"/>
      <w:numFmt w:val="lowerRoman"/>
      <w:start w:val="3"/>
    </w:lvl>
  </w:abstractNum>
  <w:abstractNum w:abstractNumId="95">
    <w:nsid w:val="519E3149"/>
    <w:multiLevelType w:val="hybridMultilevel"/>
    <w:lvl w:ilvl="0">
      <w:lvlJc w:val="left"/>
      <w:lvlText w:val="(%1)"/>
      <w:numFmt w:val="lowerRoman"/>
      <w:start w:val="5"/>
    </w:lvl>
  </w:abstractNum>
  <w:abstractNum w:abstractNumId="96">
    <w:nsid w:val="2C6E4AFD"/>
    <w:multiLevelType w:val="hybridMultilevel"/>
    <w:lvl w:ilvl="0">
      <w:lvlJc w:val="left"/>
      <w:lvlText w:val="(%1)"/>
      <w:numFmt w:val="lowerLetter"/>
      <w:start w:val="1"/>
    </w:lvl>
  </w:abstractNum>
  <w:abstractNum w:abstractNumId="97">
    <w:nsid w:val="17A1B582"/>
    <w:multiLevelType w:val="hybridMultilevel"/>
    <w:lvl w:ilvl="0">
      <w:lvlJc w:val="left"/>
      <w:lvlText w:val="•"/>
      <w:numFmt w:val="bullet"/>
      <w:start w:val="1"/>
    </w:lvl>
  </w:abstractNum>
  <w:abstractNum w:abstractNumId="98">
    <w:nsid w:val="4DF72E4E"/>
    <w:multiLevelType w:val="hybridMultilevel"/>
    <w:lvl w:ilvl="0">
      <w:lvlJc w:val="left"/>
      <w:lvlText w:val="•"/>
      <w:numFmt w:val="bullet"/>
      <w:start w:val="1"/>
    </w:lvl>
  </w:abstractNum>
  <w:abstractNum w:abstractNumId="99">
    <w:nsid w:val="5046B5A9"/>
    <w:multiLevelType w:val="hybridMultilevel"/>
    <w:lvl w:ilvl="0">
      <w:lvlJc w:val="left"/>
      <w:lvlText w:val="•"/>
      <w:numFmt w:val="bullet"/>
      <w:start w:val="1"/>
    </w:lvl>
  </w:abstractNum>
  <w:abstractNum w:abstractNumId="100">
    <w:nsid w:val="5D888A08"/>
    <w:multiLevelType w:val="hybridMultilevel"/>
    <w:lvl w:ilvl="0">
      <w:lvlJc w:val="left"/>
      <w:lvlText w:val="(%1)"/>
      <w:numFmt w:val="lowerLetter"/>
      <w:start w:val="1"/>
    </w:lvl>
  </w:abstractNum>
  <w:abstractNum w:abstractNumId="101">
    <w:nsid w:val="2A082C70"/>
    <w:multiLevelType w:val="hybridMultilevel"/>
    <w:lvl w:ilvl="0">
      <w:lvlJc w:val="left"/>
      <w:lvlText w:val="•"/>
      <w:numFmt w:val="bullet"/>
      <w:start w:val="1"/>
    </w:lvl>
  </w:abstractNum>
  <w:abstractNum w:abstractNumId="102">
    <w:nsid w:val="5EC6AFD4"/>
    <w:multiLevelType w:val="hybridMultilevel"/>
    <w:lvl w:ilvl="0">
      <w:lvlJc w:val="left"/>
      <w:lvlText w:val="•"/>
      <w:numFmt w:val="bullet"/>
      <w:start w:val="1"/>
    </w:lvl>
  </w:abstractNum>
  <w:abstractNum w:abstractNumId="103">
    <w:nsid w:val="19E21BB2"/>
    <w:multiLevelType w:val="hybridMultilevel"/>
    <w:lvl w:ilvl="0">
      <w:lvlJc w:val="left"/>
      <w:lvlText w:val="(%1)"/>
      <w:numFmt w:val="lowerLetter"/>
      <w:start w:val="1"/>
    </w:lvl>
  </w:abstractNum>
  <w:abstractNum w:abstractNumId="104">
    <w:nsid w:val="75E0858A"/>
    <w:multiLevelType w:val="hybridMultilevel"/>
    <w:lvl w:ilvl="0">
      <w:lvlJc w:val="left"/>
      <w:lvlText w:val="•"/>
      <w:numFmt w:val="bullet"/>
      <w:start w:val="1"/>
    </w:lvl>
  </w:abstractNum>
  <w:abstractNum w:abstractNumId="105">
    <w:nsid w:val="57A61A29"/>
    <w:multiLevelType w:val="hybridMultilevel"/>
    <w:lvl w:ilvl="0">
      <w:lvlJc w:val="left"/>
      <w:lvlText w:val="•"/>
      <w:numFmt w:val="bullet"/>
      <w:start w:val="1"/>
    </w:lvl>
  </w:abstractNum>
  <w:abstractNum w:abstractNumId="106">
    <w:nsid w:val="5399C654"/>
    <w:multiLevelType w:val="hybridMultilevel"/>
    <w:lvl w:ilvl="0">
      <w:lvlJc w:val="left"/>
      <w:lvlText w:val="•"/>
      <w:numFmt w:val="bullet"/>
      <w:start w:val="1"/>
    </w:lvl>
  </w:abstractNum>
  <w:abstractNum w:abstractNumId="107">
    <w:nsid w:val="20EE1348"/>
    <w:multiLevelType w:val="hybridMultilevel"/>
    <w:lvl w:ilvl="0">
      <w:lvlJc w:val="left"/>
      <w:lvlText w:val="(%1)"/>
      <w:numFmt w:val="lowerRoman"/>
      <w:start w:val="1"/>
    </w:lvl>
  </w:abstractNum>
  <w:abstractNum w:abstractNumId="108">
    <w:nsid w:val="4427069A"/>
    <w:multiLevelType w:val="hybridMultilevel"/>
    <w:lvl w:ilvl="0">
      <w:lvlJc w:val="left"/>
      <w:lvlText w:val="%1"/>
      <w:numFmt w:val="decimal"/>
      <w:start w:val="206"/>
    </w:lvl>
  </w:abstractNum>
  <w:abstractNum w:abstractNumId="109">
    <w:nsid w:val="B37E80A"/>
    <w:multiLevelType w:val="hybridMultilevel"/>
    <w:lvl w:ilvl="0">
      <w:lvlJc w:val="left"/>
      <w:lvlText w:val="%1"/>
      <w:numFmt w:val="decimal"/>
      <w:start w:val="467"/>
    </w:lvl>
  </w:abstractNum>
  <w:abstractNum w:abstractNumId="110">
    <w:nsid w:val="2157F6BC"/>
    <w:multiLevelType w:val="hybridMultilevel"/>
    <w:lvl w:ilvl="0">
      <w:lvlJc w:val="left"/>
      <w:lvlText w:val="%1"/>
      <w:numFmt w:val="decimal"/>
      <w:start w:val="673"/>
    </w:lvl>
  </w:abstractNum>
  <w:abstractNum w:abstractNumId="111">
    <w:nsid w:val="704E1DD5"/>
    <w:multiLevelType w:val="hybridMultilevel"/>
    <w:lvl w:ilvl="0">
      <w:lvlJc w:val="left"/>
      <w:lvlText w:val="%1"/>
      <w:numFmt w:val="decimal"/>
      <w:start w:val="6"/>
    </w:lvl>
  </w:abstractNum>
  <w:abstractNum w:abstractNumId="112">
    <w:nsid w:val="57D2F10E"/>
    <w:multiLevelType w:val="hybridMultilevel"/>
    <w:lvl w:ilvl="0">
      <w:lvlJc w:val="left"/>
      <w:lvlText w:val="(%1)"/>
      <w:numFmt w:val="decimal"/>
      <w:start w:val="115"/>
    </w:lvl>
  </w:abstractNum>
  <w:abstractNum w:abstractNumId="113">
    <w:nsid w:val="BFFAE18"/>
    <w:multiLevelType w:val="hybridMultilevel"/>
    <w:lvl w:ilvl="0">
      <w:lvlJc w:val="left"/>
      <w:lvlText w:val="%1."/>
      <w:numFmt w:val="decimal"/>
      <w:start w:val="1"/>
    </w:lvl>
  </w:abstractNum>
  <w:abstractNum w:abstractNumId="114">
    <w:nsid w:val="E3E47A8"/>
    <w:multiLevelType w:val="hybridMultilevel"/>
    <w:lvl w:ilvl="0">
      <w:lvlJc w:val="left"/>
      <w:lvlText w:val="•"/>
      <w:numFmt w:val="bullet"/>
      <w:start w:val="1"/>
    </w:lvl>
  </w:abstractNum>
  <w:abstractNum w:abstractNumId="115">
    <w:nsid w:val="2E48F044"/>
    <w:multiLevelType w:val="hybridMultilevel"/>
    <w:lvl w:ilvl="0">
      <w:lvlJc w:val="left"/>
      <w:lvlText w:val="•"/>
      <w:numFmt w:val="bullet"/>
      <w:start w:val="1"/>
    </w:lvl>
    <w:lvl w:ilvl="1">
      <w:lvlJc w:val="left"/>
      <w:lvlText w:val="•"/>
      <w:numFmt w:val="bullet"/>
      <w:start w:val="1"/>
    </w:lvl>
  </w:abstractNum>
  <w:abstractNum w:abstractNumId="116">
    <w:nsid w:val="49D0FEAC"/>
    <w:multiLevelType w:val="hybridMultilevel"/>
    <w:lvl w:ilvl="0">
      <w:lvlJc w:val="left"/>
      <w:lvlText w:val="•"/>
      <w:numFmt w:val="bullet"/>
      <w:start w:val="1"/>
    </w:lvl>
  </w:abstractNum>
  <w:abstractNum w:abstractNumId="117">
    <w:nsid w:val="4BEE5A5B"/>
    <w:multiLevelType w:val="hybridMultilevel"/>
    <w:lvl w:ilvl="0">
      <w:lvlJc w:val="left"/>
      <w:lvlText w:val="•"/>
      <w:numFmt w:val="bullet"/>
      <w:start w:val="1"/>
    </w:lvl>
  </w:abstractNum>
  <w:abstractNum w:abstractNumId="118">
    <w:nsid w:val="5551B9F3"/>
    <w:multiLevelType w:val="hybridMultilevel"/>
    <w:lvl w:ilvl="0">
      <w:lvlJc w:val="left"/>
      <w:lvlText w:val="(%1)"/>
      <w:numFmt w:val="lowerLetter"/>
      <w:start w:val="1"/>
    </w:lvl>
  </w:abstractNum>
  <w:abstractNum w:abstractNumId="119">
    <w:nsid w:val="24F6AB8E"/>
    <w:multiLevelType w:val="hybridMultilevel"/>
    <w:lvl w:ilvl="0">
      <w:lvlJc w:val="left"/>
      <w:lvlText w:val="(%1)"/>
      <w:numFmt w:val="lowerLetter"/>
      <w:start w:val="1"/>
    </w:lvl>
  </w:abstractNum>
  <w:abstractNum w:abstractNumId="120">
    <w:nsid w:val="634C574C"/>
    <w:multiLevelType w:val="hybridMultilevel"/>
    <w:lvl w:ilvl="0">
      <w:lvlJc w:val="left"/>
      <w:lvlText w:val="%1."/>
      <w:numFmt w:val="decimal"/>
      <w:start w:val="3"/>
    </w:lvl>
  </w:abstractNum>
  <w:abstractNum w:abstractNumId="121">
    <w:nsid w:val="24E99DD7"/>
    <w:multiLevelType w:val="hybridMultilevel"/>
    <w:lvl w:ilvl="0">
      <w:lvlJc w:val="left"/>
      <w:lvlText w:val="(%1)"/>
      <w:numFmt w:val="lowerLetter"/>
      <w:start w:val="1"/>
    </w:lvl>
  </w:abstractNum>
  <w:abstractNum w:abstractNumId="122">
    <w:nsid w:val="2A31B62D"/>
    <w:multiLevelType w:val="hybridMultilevel"/>
    <w:lvl w:ilvl="0">
      <w:lvlJc w:val="left"/>
      <w:lvlText w:val="(%1)"/>
      <w:numFmt w:val="lowerLetter"/>
      <w:start w:val="2"/>
    </w:lvl>
  </w:abstractNum>
  <w:abstractNum w:abstractNumId="123">
    <w:nsid w:val="1849C29B"/>
    <w:multiLevelType w:val="hybridMultilevel"/>
    <w:lvl w:ilvl="0">
      <w:lvlJc w:val="left"/>
      <w:lvlText w:val="(%1)"/>
      <w:numFmt w:val="lowerLetter"/>
      <w:start w:val="1"/>
    </w:lvl>
  </w:abstractNum>
  <w:abstractNum w:abstractNumId="124">
    <w:nsid w:val="7DFF9D09"/>
    <w:multiLevelType w:val="hybridMultilevel"/>
    <w:lvl w:ilvl="0">
      <w:lvlJc w:val="left"/>
      <w:lvlText w:val="(%1)"/>
      <w:numFmt w:val="lowerRoman"/>
      <w:start w:val="1"/>
    </w:lvl>
  </w:abstractNum>
  <w:abstractNum w:abstractNumId="125">
    <w:nsid w:val="754342"/>
    <w:multiLevelType w:val="hybridMultilevel"/>
    <w:lvl w:ilvl="0">
      <w:lvlJc w:val="left"/>
      <w:lvlText w:val="(%1)"/>
      <w:numFmt w:val="lowerRoman"/>
      <w:start w:val="1"/>
    </w:lvl>
  </w:abstractNum>
  <w:abstractNum w:abstractNumId="126">
    <w:nsid w:val="69E7F3E5"/>
    <w:multiLevelType w:val="hybridMultilevel"/>
    <w:lvl w:ilvl="0">
      <w:lvlJc w:val="left"/>
      <w:lvlText w:val="(%1)"/>
      <w:numFmt w:val="lowerRoman"/>
      <w:start w:val="3"/>
    </w:lvl>
  </w:abstractNum>
  <w:abstractNum w:abstractNumId="127">
    <w:nsid w:val="2A6DE806"/>
    <w:multiLevelType w:val="hybridMultilevel"/>
    <w:lvl w:ilvl="0">
      <w:lvlJc w:val="left"/>
      <w:lvlText w:val="(%1)"/>
      <w:numFmt w:val="lowerRoman"/>
      <w:start w:val="5"/>
    </w:lvl>
  </w:abstractNum>
  <w:abstractNum w:abstractNumId="128">
    <w:nsid w:val="1816F8C4"/>
    <w:multiLevelType w:val="hybridMultilevel"/>
    <w:lvl w:ilvl="0">
      <w:lvlJc w:val="left"/>
      <w:lvlText w:val="%1."/>
      <w:numFmt w:val="decimal"/>
      <w:start w:val="7"/>
    </w:lvl>
  </w:abstractNum>
  <w:abstractNum w:abstractNumId="129">
    <w:nsid w:val="37DF2233"/>
    <w:multiLevelType w:val="hybridMultilevel"/>
    <w:lvl w:ilvl="0">
      <w:lvlJc w:val="left"/>
      <w:lvlText w:val="%1."/>
      <w:numFmt w:val="decimal"/>
      <w:start w:val="8"/>
    </w:lvl>
  </w:abstractNum>
  <w:abstractNum w:abstractNumId="130">
    <w:nsid w:val="7AB49DAF"/>
    <w:multiLevelType w:val="hybridMultilevel"/>
    <w:lvl w:ilvl="0">
      <w:lvlJc w:val="left"/>
      <w:lvlText w:val="(%1)"/>
      <w:numFmt w:val="lowerLetter"/>
      <w:start w:val="1"/>
    </w:lvl>
  </w:abstractNum>
  <w:abstractNum w:abstractNumId="131">
    <w:nsid w:val="759F82CD"/>
    <w:multiLevelType w:val="hybridMultilevel"/>
    <w:lvl w:ilvl="0">
      <w:lvlJc w:val="left"/>
      <w:lvlText w:val="(%1)"/>
      <w:numFmt w:val="lowerLetter"/>
      <w:start w:val="2"/>
    </w:lvl>
  </w:abstractNum>
  <w:abstractNum w:abstractNumId="132">
    <w:nsid w:val="61E74EA3"/>
    <w:multiLevelType w:val="hybridMultilevel"/>
    <w:lvl w:ilvl="0">
      <w:lvlJc w:val="left"/>
      <w:lvlText w:val="(%1)"/>
      <w:numFmt w:val="lowerLetter"/>
      <w:start w:val="1"/>
    </w:lvl>
  </w:abstractNum>
  <w:abstractNum w:abstractNumId="133">
    <w:nsid w:val="597B4D84"/>
    <w:multiLevelType w:val="hybridMultilevel"/>
    <w:lvl w:ilvl="0">
      <w:lvlJc w:val="left"/>
      <w:lvlText w:val="•"/>
      <w:numFmt w:val="bullet"/>
      <w:start w:val="1"/>
    </w:lvl>
  </w:abstractNum>
  <w:abstractNum w:abstractNumId="134">
    <w:nsid w:val="F819E7F"/>
    <w:multiLevelType w:val="hybridMultilevel"/>
    <w:lvl w:ilvl="0">
      <w:lvlJc w:val="left"/>
      <w:lvlText w:val="•"/>
      <w:numFmt w:val="bullet"/>
      <w:start w:val="1"/>
    </w:lvl>
  </w:abstractNum>
  <w:abstractNum w:abstractNumId="135">
    <w:nsid w:val="57C7D42D"/>
    <w:multiLevelType w:val="hybridMultilevel"/>
    <w:lvl w:ilvl="0">
      <w:lvlJc w:val="left"/>
      <w:lvlText w:val="•"/>
      <w:numFmt w:val="bullet"/>
      <w:start w:val="1"/>
    </w:lvl>
  </w:abstractNum>
  <w:abstractNum w:abstractNumId="136">
    <w:nsid w:val="312167AD"/>
    <w:multiLevelType w:val="hybridMultilevel"/>
    <w:lvl w:ilvl="0">
      <w:lvlJc w:val="left"/>
      <w:lvlText w:val="•"/>
      <w:numFmt w:val="bullet"/>
      <w:start w:val="1"/>
    </w:lvl>
  </w:abstractNum>
  <w:abstractNum w:abstractNumId="137">
    <w:nsid w:val="631B64D4"/>
    <w:multiLevelType w:val="hybridMultilevel"/>
    <w:lvl w:ilvl="0">
      <w:lvlJc w:val="left"/>
      <w:lvlText w:val="(%1)"/>
      <w:numFmt w:val="lowerLetter"/>
      <w:start w:val="1"/>
    </w:lvl>
  </w:abstractNum>
  <w:abstractNum w:abstractNumId="138">
    <w:nsid w:val="78B5E776"/>
    <w:multiLevelType w:val="hybridMultilevel"/>
    <w:lvl w:ilvl="0">
      <w:lvlJc w:val="left"/>
      <w:lvlText w:val="(%1)"/>
      <w:numFmt w:val="lowerLetter"/>
      <w:start w:val="1"/>
    </w:lvl>
  </w:abstractNum>
  <w:abstractNum w:abstractNumId="139">
    <w:nsid w:val="75486E47"/>
    <w:multiLevelType w:val="hybridMultilevel"/>
    <w:lvl w:ilvl="0">
      <w:lvlJc w:val="left"/>
      <w:lvlText w:val="(%1)"/>
      <w:numFmt w:val="lowerLetter"/>
      <w:start w:val="3"/>
    </w:lvl>
  </w:abstractNum>
  <w:abstractNum w:abstractNumId="140">
    <w:nsid w:val="6E534CDE"/>
    <w:multiLevelType w:val="hybridMultilevel"/>
    <w:lvl w:ilvl="0">
      <w:lvlJc w:val="left"/>
      <w:lvlText w:val="(%1)"/>
      <w:numFmt w:val="lowerLetter"/>
      <w:start w:val="1"/>
    </w:lvl>
  </w:abstractNum>
  <w:abstractNum w:abstractNumId="141">
    <w:nsid w:val="1A0DDE32"/>
    <w:multiLevelType w:val="hybridMultilevel"/>
    <w:lvl w:ilvl="0">
      <w:lvlJc w:val="left"/>
      <w:lvlText w:val="(%1)"/>
      <w:numFmt w:val="lowerLetter"/>
      <w:start w:val="1"/>
    </w:lvl>
  </w:abstractNum>
  <w:abstractNum w:abstractNumId="142">
    <w:nsid w:val="65968C1C"/>
    <w:multiLevelType w:val="hybridMultilevel"/>
    <w:lvl w:ilvl="0">
      <w:lvlJc w:val="left"/>
      <w:lvlText w:val="•"/>
      <w:numFmt w:val="bullet"/>
      <w:start w:val="1"/>
    </w:lvl>
  </w:abstractNum>
  <w:abstractNum w:abstractNumId="143">
    <w:nsid w:val="46263DEC"/>
    <w:multiLevelType w:val="hybridMultilevel"/>
    <w:lvl w:ilvl="0">
      <w:lvlJc w:val="left"/>
      <w:lvlText w:val="(%1)"/>
      <w:numFmt w:val="lowerRoman"/>
      <w:start w:val="2"/>
    </w:lvl>
  </w:abstractNum>
  <w:abstractNum w:abstractNumId="144">
    <w:nsid w:val="260D8C4A"/>
    <w:multiLevelType w:val="hybridMultilevel"/>
    <w:lvl w:ilvl="0">
      <w:lvlJc w:val="left"/>
      <w:lvlText w:val="(%1)"/>
      <w:numFmt w:val="lowerLetter"/>
      <w:start w:val="1"/>
    </w:lvl>
  </w:abstractNum>
  <w:abstractNum w:abstractNumId="145">
    <w:nsid w:val="73D4D3C4"/>
    <w:multiLevelType w:val="hybridMultilevel"/>
    <w:lvl w:ilvl="0">
      <w:lvlJc w:val="left"/>
      <w:lvlText w:val="(%1)"/>
      <w:numFmt w:val="lowerLetter"/>
      <w:start w:val="7"/>
    </w:lvl>
  </w:abstractNum>
  <w:abstractNum w:abstractNumId="146">
    <w:nsid w:val="746F2E30"/>
    <w:multiLevelType w:val="hybridMultilevel"/>
    <w:lvl w:ilvl="0">
      <w:lvlJc w:val="left"/>
      <w:lvlText w:val="(%1)"/>
      <w:numFmt w:val="lowerLetter"/>
      <w:start w:val="1"/>
    </w:lvl>
  </w:abstractNum>
  <w:abstractNum w:abstractNumId="147">
    <w:nsid w:val="6FDE8AF6"/>
    <w:multiLevelType w:val="hybridMultilevel"/>
    <w:lvl w:ilvl="0">
      <w:lvlJc w:val="left"/>
      <w:lvlText w:val="(%1)"/>
      <w:numFmt w:val="lowerLetter"/>
      <w:start w:val="1"/>
    </w:lvl>
  </w:abstractNum>
  <w:abstractNum w:abstractNumId="148">
    <w:nsid w:val="3FC32E20"/>
    <w:multiLevelType w:val="hybridMultilevel"/>
    <w:lvl w:ilvl="0">
      <w:lvlJc w:val="left"/>
      <w:lvlText w:val="(%1)"/>
      <w:numFmt w:val="lowerLetter"/>
      <w:start w:val="1"/>
    </w:lvl>
  </w:abstractNum>
  <w:abstractNum w:abstractNumId="149">
    <w:nsid w:val="49C0E823"/>
    <w:multiLevelType w:val="hybridMultilevel"/>
    <w:lvl w:ilvl="0">
      <w:lvlJc w:val="left"/>
      <w:lvlText w:val="%1."/>
      <w:numFmt w:val="lowerRoman"/>
      <w:start w:val="1"/>
    </w:lvl>
  </w:abstractNum>
  <w:abstractNum w:abstractNumId="150">
    <w:nsid w:val="14D53685"/>
    <w:multiLevelType w:val="hybridMultilevel"/>
    <w:lvl w:ilvl="0">
      <w:lvlJc w:val="left"/>
      <w:lvlText w:val="(%1)"/>
      <w:numFmt w:val="lowerRoman"/>
      <w:start w:val="4"/>
    </w:lvl>
  </w:abstractNum>
  <w:abstractNum w:abstractNumId="151">
    <w:nsid w:val="230F856C"/>
    <w:multiLevelType w:val="hybridMultilevel"/>
    <w:lvl w:ilvl="0">
      <w:lvlJc w:val="left"/>
      <w:lvlText w:val="(%1)"/>
      <w:numFmt w:val="lowerRoman"/>
      <w:start w:val="1"/>
    </w:lvl>
  </w:abstractNum>
  <w:abstractNum w:abstractNumId="152">
    <w:nsid w:val="6EAA85FB"/>
    <w:multiLevelType w:val="hybridMultilevel"/>
    <w:lvl w:ilvl="0">
      <w:lvlJc w:val="left"/>
      <w:lvlText w:val="%1"/>
      <w:numFmt w:val="decimal"/>
      <w:start w:val="97"/>
    </w:lvl>
  </w:abstractNum>
  <w:abstractNum w:abstractNumId="153">
    <w:nsid w:val="3F06ECB2"/>
    <w:multiLevelType w:val="hybridMultilevel"/>
    <w:lvl w:ilvl="0">
      <w:lvlJc w:val="left"/>
      <w:lvlText w:val="*"/>
      <w:numFmt w:val="bullet"/>
      <w:start w:val="1"/>
    </w:lvl>
  </w:abstractNum>
  <w:abstractNum w:abstractNumId="154">
    <w:nsid w:val="3B594807"/>
    <w:multiLevelType w:val="hybridMultilevel"/>
    <w:lvl w:ilvl="0">
      <w:lvlJc w:val="left"/>
      <w:lvlText w:val="**"/>
      <w:numFmt w:val="bullet"/>
      <w:start w:val="1"/>
    </w:lvl>
  </w:abstractNum>
  <w:abstractNum w:abstractNumId="155">
    <w:nsid w:val="6CAA230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2025-04-05T20:50:42Z</dcterms:created>
  <dcterms:modified xsi:type="dcterms:W3CDTF">2025-04-05T20:50:42Z</dcterms:modified>
</cp:coreProperties>
</file>