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7,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513"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513"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51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Chief Accounting Officer</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March 7, 2023, the Board of Directors (the “Board”) of Waste Management, Inc. (the “Company”) elected Mr. John A. Carroll to succeed Ms. Leslie K. Nagy as Vice President and Chief Accounting Officer. The Board elected Ms. Nagy to succeed Mr. David L. Reed as Vice President and Treasurer. Mr. Reed is now serving as Vice President, Business Partner – Western Tier Field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Carroll, age 50, joined the Company in 2018 as Vice President, Internal Audit &amp; Controls. Mr. Carroll was previously employed as Director of Internal Audit at Newfield Exploration. Mr. Carroll began his career at Arthur Andersen, a public accounting firm, in Houston, Texas. Mr. Carroll earned a Master of Science degree in accounting from Louisiana State University, and he is a certified public accountant licensed in Texas.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his election as Chief Accounting Officer and designation as an executive officer of the Company, Mr. Carroll’s annual base salary was increased to $330,400. Mr. Carroll’s additional cash and equity incentive compensation opportunities were not modified.</w:t>
      </w:r>
    </w:p>
    <w:p>
      <w:pPr>
        <w:spacing w:after="0" w:line="16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were no understandings or arrangements between Mr. Carroll and any other person pursuant to which he was elected as an officer of the Company. There are no family relationships between Mr. Carroll and any director or executive officer of the Company, and there are no transactions between Mr. Carroll and the Company that would be required to be reported under Item 404(a) of Regulation S-K.</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Grant of Equity Awards to Named Executive Officers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March 7, 2023, the Management Development and Compensation Committee (the “Committee”) of the Board granted equity awards under the Company’s 2014 Stock Incentive Plan to each of the Company’s named executive officers, as identified in the Company’s most recent proxy statement (collectively, the “Executives”).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Each of the Executives, which includes James C. Fish, Jr., President and Chief Executive Officer; John J. Morris, Jr., Executive Vice President and Chief Operating Officer; Devina A. Rankin, Executive Vice President and Chief Financial Officer; Mr. Charles C. Boettcher, Executive Vice President, Corporate Development and Chief Legal Officer and Ms. Tara J. Hemmer, Senior Vice President and Chief Sustainability Officer, received performance share units (“PSUs”) and stock options. The number of PSUs granted to each of the Executives is as follows: Mr. Fish — 51,316; Mr. Morris — 14,210; Ms. Rankin — 12,106; Mr. Boettcher — 8,948 and Ms. Hemmer — 9,474. The material terms of the PSUs are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352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1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Calculation Date (“PCD”)</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As of December 31, 2025; award (if any) paid out after certification by the Committee</w:t>
            </w:r>
          </w:p>
        </w:tc>
      </w:tr>
      <w:tr>
        <w:trPr>
          <w:trHeight w:val="234"/>
        </w:trPr>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of actual level of achievement (“payment date”).</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Measure</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50% of the PSUs will have a cash flow generation performance measure, and 50% of the</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PSUs will have a total shareholder return relative to the S&amp;P 500 performance measure,</w:t>
            </w:r>
          </w:p>
        </w:tc>
      </w:tr>
      <w:tr>
        <w:trPr>
          <w:trHeight w:val="234"/>
        </w:trPr>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 each case as set forth in the award agreement filed as Exhibit 10.1 hereto.</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Possible Awards</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0 — 200% of targeted amount, plus accrued dividend equivalents, based on actual</w:t>
            </w:r>
          </w:p>
        </w:tc>
      </w:tr>
      <w:tr>
        <w:trPr>
          <w:trHeight w:val="234"/>
        </w:trPr>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results achieved.</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300" w:type="dxa"/>
            <w:vAlign w:val="bottom"/>
          </w:tcPr>
          <w:p>
            <w:pPr>
              <w:spacing w:after="0"/>
              <w:rPr>
                <w:sz w:val="24"/>
                <w:szCs w:val="24"/>
                <w:color w:val="auto"/>
              </w:rPr>
            </w:pPr>
          </w:p>
        </w:tc>
      </w:tr>
      <w:tr>
        <w:trPr>
          <w:trHeight w:val="41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Death or Disability before PCD</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Payable in full on payment date based on actual results as if participant had remained an</w:t>
            </w:r>
          </w:p>
        </w:tc>
      </w:tr>
      <w:tr>
        <w:trPr>
          <w:trHeight w:val="234"/>
        </w:trPr>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active employee through PCD.</w:t>
            </w:r>
          </w:p>
        </w:tc>
      </w:tr>
      <w:tr>
        <w:trPr>
          <w:trHeight w:val="41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Involuntary Termination for Cause or</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Immediate forfeiture.</w:t>
            </w:r>
          </w:p>
        </w:tc>
      </w:tr>
      <w:tr>
        <w:trPr>
          <w:trHeight w:val="23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Voluntary Resignation before PCD</w:t>
            </w:r>
          </w:p>
        </w:tc>
        <w:tc>
          <w:tcPr>
            <w:tcW w:w="7300" w:type="dxa"/>
            <w:vAlign w:val="bottom"/>
          </w:tcPr>
          <w:p>
            <w:pPr>
              <w:spacing w:after="0"/>
              <w:rPr>
                <w:sz w:val="20"/>
                <w:szCs w:val="20"/>
                <w:color w:val="auto"/>
              </w:rPr>
            </w:pPr>
          </w:p>
        </w:tc>
      </w:tr>
      <w:tr>
        <w:trPr>
          <w:trHeight w:val="41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Involuntary Termination other than</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Payable on payment date based on actual results, prorated based on portion of</w:t>
            </w:r>
          </w:p>
        </w:tc>
      </w:tr>
      <w:tr>
        <w:trPr>
          <w:trHeight w:val="23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 Cause before PCD</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performance period completed prior to termination of employment.</w:t>
            </w:r>
          </w:p>
        </w:tc>
      </w:tr>
      <w:tr>
        <w:trPr>
          <w:trHeight w:val="41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Retirement (as defined in the award</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If Retirement occurs on or after December 31, 2023, payable in full on payment date</w:t>
            </w:r>
          </w:p>
        </w:tc>
      </w:tr>
      <w:tr>
        <w:trPr>
          <w:trHeight w:val="216"/>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 before PCD</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based on actual results as if participant had remained an active employee through PCD.</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If Retirement occurs before December 31, 2023, payable on payment date based on</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actual results, prorated based on the number of days worked during 2023 (the first year</w:t>
            </w:r>
          </w:p>
        </w:tc>
      </w:tr>
      <w:tr>
        <w:trPr>
          <w:trHeight w:val="234"/>
        </w:trPr>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of the performance period) divided by 365.</w:t>
            </w:r>
          </w:p>
        </w:tc>
      </w:tr>
      <w:tr>
        <w:trPr>
          <w:trHeight w:val="414"/>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Control before PCD</w:t>
            </w: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Performance measured prior to the change in control and paid on prorated basis on</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actual results achieved up to such date. Thereafter, participant also generally receives a</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replacement award of restricted stock units in the successor entity generally equal to the</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number of PSUs that would have been earned had no change in control occurred and</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target performance levels had been met from the time of the change of control through</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December 31, 2025, adjusted for any conversion factors in the change in control</w:t>
            </w:r>
          </w:p>
        </w:tc>
      </w:tr>
      <w:tr>
        <w:trPr>
          <w:trHeight w:val="216"/>
        </w:trPr>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transaction. The new restricted stock units in the successor entity would vest on</w:t>
            </w:r>
          </w:p>
        </w:tc>
      </w:tr>
      <w:tr>
        <w:trPr>
          <w:trHeight w:val="234"/>
        </w:trPr>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648"/>
        </w:trPr>
        <w:tc>
          <w:tcPr>
            <w:tcW w:w="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2" w:right="339" w:bottom="1440" w:gutter="0" w:footer="0" w:header="0"/>
        </w:sectPr>
      </w:pPr>
    </w:p>
    <w:bookmarkStart w:id="3" w:name="page4"/>
    <w:bookmarkEnd w:id="3"/>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granted stock options to the Executives to purchase the following number of shares of the Company’s common stock: Mr. Fish — 59,415; Mr. Morris — 16,453; Ms. Rankin — 14,016; Mr. Boettcher – 10,360 and Ms. Hemmer – 10,969. The material terms of the stock options are described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37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 on first anniversary;</w:t>
            </w:r>
          </w:p>
        </w:tc>
        <w:tc>
          <w:tcPr>
            <w:tcW w:w="21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 on second anniversary; and</w:t>
            </w:r>
          </w:p>
        </w:tc>
        <w:tc>
          <w:tcPr>
            <w:tcW w:w="21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 on third anniversary.</w:t>
            </w:r>
          </w:p>
        </w:tc>
        <w:tc>
          <w:tcPr>
            <w:tcW w:w="2180" w:type="dxa"/>
            <w:vAlign w:val="bottom"/>
          </w:tcPr>
          <w:p>
            <w:pPr>
              <w:spacing w:after="0"/>
              <w:rPr>
                <w:sz w:val="20"/>
                <w:szCs w:val="20"/>
                <w:color w:val="auto"/>
              </w:rPr>
            </w:pPr>
          </w:p>
        </w:tc>
      </w:tr>
      <w:tr>
        <w:trPr>
          <w:trHeight w:val="4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 years from date of grant.</w:t>
            </w:r>
          </w:p>
        </w:tc>
        <w:tc>
          <w:tcPr>
            <w:tcW w:w="2180" w:type="dxa"/>
            <w:vAlign w:val="bottom"/>
          </w:tcPr>
          <w:p>
            <w:pPr>
              <w:spacing w:after="0"/>
              <w:rPr>
                <w:sz w:val="24"/>
                <w:szCs w:val="24"/>
                <w:color w:val="auto"/>
              </w:rPr>
            </w:pPr>
          </w:p>
        </w:tc>
      </w:tr>
      <w:tr>
        <w:trPr>
          <w:trHeight w:val="4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Market Value on date of grant - $150.115</w:t>
            </w:r>
          </w:p>
        </w:tc>
        <w:tc>
          <w:tcPr>
            <w:tcW w:w="21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4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4"/>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Death or Disability</w:t>
            </w:r>
          </w:p>
        </w:tc>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 options immediately vest and remain exercisable for one year, but in no event</w:t>
            </w:r>
          </w:p>
        </w:tc>
      </w:tr>
      <w:tr>
        <w:trPr>
          <w:trHeight w:val="234"/>
        </w:trPr>
        <w:tc>
          <w:tcPr>
            <w:tcW w:w="1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later than the original term.</w:t>
            </w:r>
          </w:p>
        </w:tc>
        <w:tc>
          <w:tcPr>
            <w:tcW w:w="2180" w:type="dxa"/>
            <w:vAlign w:val="bottom"/>
          </w:tcPr>
          <w:p>
            <w:pPr>
              <w:spacing w:after="0"/>
              <w:rPr>
                <w:sz w:val="20"/>
                <w:szCs w:val="20"/>
                <w:color w:val="auto"/>
              </w:rPr>
            </w:pPr>
          </w:p>
        </w:tc>
      </w:tr>
      <w:tr>
        <w:trPr>
          <w:trHeight w:val="414"/>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Qualifying Retirement</w:t>
            </w:r>
          </w:p>
        </w:tc>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Continued vesting and exercisability for three years, but in no event later than the</w:t>
            </w:r>
          </w:p>
        </w:tc>
      </w:tr>
      <w:tr>
        <w:trPr>
          <w:trHeight w:val="234"/>
        </w:trPr>
        <w:tc>
          <w:tcPr>
            <w:tcW w:w="1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original term.</w:t>
            </w:r>
          </w:p>
        </w:tc>
        <w:tc>
          <w:tcPr>
            <w:tcW w:w="2180" w:type="dxa"/>
            <w:vAlign w:val="bottom"/>
          </w:tcPr>
          <w:p>
            <w:pPr>
              <w:spacing w:after="0"/>
              <w:rPr>
                <w:sz w:val="20"/>
                <w:szCs w:val="20"/>
                <w:color w:val="auto"/>
              </w:rPr>
            </w:pPr>
          </w:p>
        </w:tc>
      </w:tr>
      <w:tr>
        <w:trPr>
          <w:trHeight w:val="414"/>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Involuntary Termination other than for Cause or Voluntary</w:t>
            </w:r>
          </w:p>
        </w:tc>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 vested options remain exercisable for 90 days, but in no event later than the</w:t>
            </w:r>
          </w:p>
        </w:tc>
      </w:tr>
      <w:tr>
        <w:trPr>
          <w:trHeight w:val="234"/>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Resignation</w:t>
            </w: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original term.</w:t>
            </w:r>
          </w:p>
        </w:tc>
        <w:tc>
          <w:tcPr>
            <w:tcW w:w="2180" w:type="dxa"/>
            <w:vAlign w:val="bottom"/>
          </w:tcPr>
          <w:p>
            <w:pPr>
              <w:spacing w:after="0"/>
              <w:rPr>
                <w:sz w:val="20"/>
                <w:szCs w:val="20"/>
                <w:color w:val="auto"/>
              </w:rPr>
            </w:pPr>
          </w:p>
        </w:tc>
      </w:tr>
      <w:tr>
        <w:trPr>
          <w:trHeight w:val="432"/>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Involuntary Termination for Cause</w:t>
            </w: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 options are forfeited, whether or not exercisable.</w:t>
            </w:r>
          </w:p>
        </w:tc>
        <w:tc>
          <w:tcPr>
            <w:tcW w:w="2180" w:type="dxa"/>
            <w:vAlign w:val="bottom"/>
          </w:tcPr>
          <w:p>
            <w:pPr>
              <w:spacing w:after="0"/>
              <w:rPr>
                <w:sz w:val="24"/>
                <w:szCs w:val="24"/>
                <w:color w:val="auto"/>
              </w:rPr>
            </w:pPr>
          </w:p>
        </w:tc>
      </w:tr>
      <w:tr>
        <w:trPr>
          <w:trHeight w:val="414"/>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Involuntary Termination or Resignation for Good Reason</w:t>
            </w:r>
          </w:p>
        </w:tc>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All options immediately vest and remain exercisable for three years, but in no event</w:t>
            </w:r>
          </w:p>
        </w:tc>
      </w:tr>
      <w:tr>
        <w:trPr>
          <w:trHeight w:val="234"/>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following a Change in Control</w:t>
            </w: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later than the original term.</w:t>
            </w:r>
          </w:p>
        </w:tc>
        <w:tc>
          <w:tcPr>
            <w:tcW w:w="2180" w:type="dxa"/>
            <w:vAlign w:val="bottom"/>
          </w:tcPr>
          <w:p>
            <w:pPr>
              <w:spacing w:after="0"/>
              <w:rPr>
                <w:sz w:val="20"/>
                <w:szCs w:val="20"/>
                <w:color w:val="auto"/>
              </w:rPr>
            </w:pPr>
          </w:p>
        </w:tc>
      </w:tr>
    </w:tbl>
    <w:p>
      <w:pPr>
        <w:spacing w:after="0" w:line="19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form of award agreement for the PSUs and stock options granted to the Executives is filed as Exhibit 10.1 to this report. The descriptions of the material terms of the awards are qualified in their entirety by reference to the appropriate award agreement, incorporated herein by reference.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4"/>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6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2023 Long Term Incentive Compensation Award Agreement for Senior Leadership Team</w:t>
            </w:r>
          </w:p>
        </w:tc>
        <w:tc>
          <w:tcPr>
            <w:tcW w:w="3040" w:type="dxa"/>
            <w:vAlign w:val="bottom"/>
          </w:tcPr>
          <w:p>
            <w:pPr>
              <w:spacing w:after="0"/>
              <w:rPr>
                <w:sz w:val="14"/>
                <w:szCs w:val="14"/>
                <w:color w:val="auto"/>
              </w:rPr>
            </w:pPr>
          </w:p>
        </w:tc>
      </w:tr>
    </w:tbl>
    <w:p>
      <w:pPr>
        <w:spacing w:after="0" w:line="225" w:lineRule="exact"/>
        <w:rPr>
          <w:sz w:val="20"/>
          <w:szCs w:val="20"/>
          <w:color w:val="auto"/>
        </w:rPr>
      </w:pPr>
    </w:p>
    <w:p>
      <w:pPr>
        <w:ind w:left="5560" w:right="4320" w:hanging="5552"/>
        <w:spacing w:after="0" w:line="783"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788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788660"/>
                    </a:xfrm>
                    <a:prstGeom prst="rect">
                      <a:avLst/>
                    </a:prstGeom>
                    <a:noFill/>
                  </pic:spPr>
                </pic:pic>
              </a:graphicData>
            </a:graphic>
          </wp:anchor>
        </w:drawing>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2023 Long Term Incentive Compensation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for the Senior Leadership Team under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Waste Management, Inc. 2014 Stock Incentive Plan</w:t>
      </w:r>
    </w:p>
    <w:p>
      <w:pPr>
        <w:spacing w:after="0" w:line="203"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This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effective as of March 7, 2023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by and between Waste Management,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(together with its Subsidiaries and Affiliates, “</w:t>
      </w:r>
      <w:r>
        <w:rPr>
          <w:rFonts w:ascii="Times New Roman" w:cs="Times New Roman" w:eastAsia="Times New Roman" w:hAnsi="Times New Roman"/>
          <w:sz w:val="18"/>
          <w:szCs w:val="18"/>
          <w:b w:val="1"/>
          <w:bCs w:val="1"/>
          <w:i w:val="1"/>
          <w:iCs w:val="1"/>
          <w:color w:val="auto"/>
        </w:rPr>
        <w:t>WM</w:t>
      </w:r>
      <w:r>
        <w:rPr>
          <w:rFonts w:ascii="Times New Roman" w:cs="Times New Roman" w:eastAsia="Times New Roman" w:hAnsi="Times New Roman"/>
          <w:sz w:val="18"/>
          <w:szCs w:val="18"/>
          <w:color w:val="auto"/>
        </w:rPr>
        <w:t>”), and you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At all times, the Awards under this Agreement are subject to the terms and conditions of the Waste Management, Inc. 2014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this Agreement, and all applicable administrative interpretations and practices. A copy of the Plan is available online at </w:t>
      </w:r>
      <w:r>
        <w:rPr>
          <w:rFonts w:ascii="Times New Roman" w:cs="Times New Roman" w:eastAsia="Times New Roman" w:hAnsi="Times New Roman"/>
          <w:sz w:val="18"/>
          <w:szCs w:val="18"/>
          <w:b w:val="1"/>
          <w:bCs w:val="1"/>
          <w:color w:val="auto"/>
        </w:rPr>
        <w:t>http://visor.wm.com</w:t>
      </w:r>
      <w:r>
        <w:rPr>
          <w:rFonts w:ascii="Times New Roman" w:cs="Times New Roman" w:eastAsia="Times New Roman" w:hAnsi="Times New Roman"/>
          <w:sz w:val="18"/>
          <w:szCs w:val="18"/>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www.wm.com under Financial Reporting – Annual Reports, for information about the Company. By executing this Agreement, you consent to receipt of the Plan, the Prospectus, and the Annual Reports by electronic access as set forth in this paragraph.</w:t>
      </w:r>
    </w:p>
    <w:p>
      <w:pPr>
        <w:spacing w:after="0" w:line="188"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 must execute this Agreement in full, online in accordance with the instructions below, prior to April 7, 2023, in order for this Agreement to become effective.</w:t>
      </w:r>
      <w:r>
        <w:rPr>
          <w:rFonts w:ascii="Times New Roman" w:cs="Times New Roman" w:eastAsia="Times New Roman" w:hAnsi="Times New Roman"/>
          <w:sz w:val="18"/>
          <w:szCs w:val="18"/>
          <w:b w:val="1"/>
          <w:bCs w:val="1"/>
          <w:color w:val="auto"/>
        </w:rPr>
        <w:t xml:space="preserve"> If you do not execute this Agreement by correctly following the instructions below, your Awards may be cancelled.</w:t>
      </w:r>
    </w:p>
    <w:p>
      <w:pPr>
        <w:spacing w:after="0" w:line="1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Important Instructions for Executing this Agreement</w:t>
      </w:r>
    </w:p>
    <w:p>
      <w:pPr>
        <w:spacing w:after="0" w:line="225"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color w:val="auto"/>
        </w:rPr>
        <w:t xml:space="preserve">If you have previously received a stock-based incentive award, simply log on to </w:t>
      </w:r>
      <w:r>
        <w:rPr>
          <w:rFonts w:ascii="Times New Roman" w:cs="Times New Roman" w:eastAsia="Times New Roman" w:hAnsi="Times New Roman"/>
          <w:sz w:val="18"/>
          <w:szCs w:val="18"/>
          <w:b w:val="1"/>
          <w:bCs w:val="1"/>
          <w:color w:val="auto"/>
        </w:rPr>
        <w:t>www.mywmtotalrewards.com</w:t>
      </w:r>
      <w:r>
        <w:rPr>
          <w:rFonts w:ascii="Times New Roman" w:cs="Times New Roman" w:eastAsia="Times New Roman" w:hAnsi="Times New Roman"/>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third-party stock administrator appointed by the Company. Follow the online instructions and complete all of the steps required to accept the award.</w:t>
      </w:r>
    </w:p>
    <w:p>
      <w:pPr>
        <w:spacing w:after="0" w:line="180" w:lineRule="exact"/>
        <w:rPr>
          <w:sz w:val="20"/>
          <w:szCs w:val="20"/>
          <w:color w:val="auto"/>
        </w:rPr>
      </w:pPr>
    </w:p>
    <w:p>
      <w:pPr>
        <w:ind w:left="4" w:right="220"/>
        <w:spacing w:after="0" w:line="255" w:lineRule="auto"/>
        <w:rPr>
          <w:sz w:val="20"/>
          <w:szCs w:val="20"/>
          <w:color w:val="auto"/>
        </w:rPr>
      </w:pPr>
      <w:r>
        <w:rPr>
          <w:rFonts w:ascii="Times New Roman" w:cs="Times New Roman" w:eastAsia="Times New Roman" w:hAnsi="Times New Roman"/>
          <w:sz w:val="18"/>
          <w:szCs w:val="18"/>
          <w:color w:val="auto"/>
        </w:rPr>
        <w:t xml:space="preserve">If you are a new Plan participant, you must open a Limited Individual Investor Account (LIIA) before you can accept your awards. This account is separate from any other brokerage account you may have at the third-party stock administrator. To open your LIIA, log on to </w:t>
      </w:r>
      <w:r>
        <w:rPr>
          <w:rFonts w:ascii="Times New Roman" w:cs="Times New Roman" w:eastAsia="Times New Roman" w:hAnsi="Times New Roman"/>
          <w:sz w:val="18"/>
          <w:szCs w:val="18"/>
          <w:b w:val="1"/>
          <w:bCs w:val="1"/>
          <w:color w:val="auto"/>
        </w:rPr>
        <w:t xml:space="preserve">www.mywmtotalrewards.com </w:t>
      </w:r>
      <w:r>
        <w:rPr>
          <w:rFonts w:ascii="Times New Roman" w:cs="Times New Roman" w:eastAsia="Times New Roman" w:hAnsi="Times New Roman"/>
          <w:sz w:val="18"/>
          <w:szCs w:val="18"/>
          <w:color w:val="auto"/>
        </w:rPr>
        <w:t>using your My WM Total Rewards user ID and password. If you have forgotten your user ID or password,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on the site to help you. Under the “My Compensation” section, click on the link to the secure website maintained by the third-party stock administrator appointed by the Company. You may also log in directly at </w:t>
      </w:r>
      <w:r>
        <w:rPr>
          <w:rFonts w:ascii="Times New Roman" w:cs="Times New Roman" w:eastAsia="Times New Roman" w:hAnsi="Times New Roman"/>
          <w:sz w:val="18"/>
          <w:szCs w:val="18"/>
          <w:b w:val="1"/>
          <w:bCs w:val="1"/>
          <w:color w:val="auto"/>
        </w:rPr>
        <w:t>www.benefits.ml.com</w:t>
      </w:r>
      <w:r>
        <w:rPr>
          <w:rFonts w:ascii="Times New Roman" w:cs="Times New Roman" w:eastAsia="Times New Roman" w:hAnsi="Times New Roman"/>
          <w:sz w:val="18"/>
          <w:szCs w:val="18"/>
          <w:color w:val="auto"/>
        </w:rPr>
        <w:t>. Once logged in, follow the prompts to “Open a Brokerage Account”. When you have successfully created your account, follow the online instructions and complete all of the steps required to accept the award.</w:t>
      </w:r>
    </w:p>
    <w:p>
      <w:pPr>
        <w:spacing w:after="0" w:line="1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225" w:lineRule="exact"/>
        <w:rPr>
          <w:sz w:val="20"/>
          <w:szCs w:val="20"/>
          <w:color w:val="auto"/>
        </w:rPr>
      </w:pPr>
    </w:p>
    <w:p>
      <w:pPr>
        <w:ind w:left="324" w:right="320" w:hanging="324"/>
        <w:spacing w:after="0" w:line="26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Grant</w:t>
      </w:r>
      <w:r>
        <w:rPr>
          <w:rFonts w:ascii="Times New Roman" w:cs="Times New Roman" w:eastAsia="Times New Roman" w:hAnsi="Times New Roman"/>
          <w:sz w:val="18"/>
          <w:szCs w:val="18"/>
          <w:color w:val="auto"/>
        </w:rPr>
        <w:t>. The Company grants to Employee a Performance Share Unit Award (a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as provided in the Notice of Long-Term Incentive Award dated March 7, 2023(the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Each Performance Share Unit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is a notational unit of measurement denominated in shares of common stock of the Company, $.01 par value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347" w:right="439" w:bottom="1440" w:gutter="0" w:footer="0" w:header="0"/>
        </w:sectPr>
      </w:pPr>
    </w:p>
    <w:bookmarkStart w:id="7" w:name="page8"/>
    <w:bookmarkEnd w:id="7"/>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50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PSU Metrics.</w:t>
      </w:r>
    </w:p>
    <w:p>
      <w:pPr>
        <w:spacing w:after="0" w:line="221" w:lineRule="exact"/>
        <w:rPr>
          <w:rFonts w:ascii="Times New Roman" w:cs="Times New Roman" w:eastAsia="Times New Roman" w:hAnsi="Times New Roman"/>
          <w:sz w:val="18"/>
          <w:szCs w:val="18"/>
          <w:color w:val="auto"/>
        </w:rPr>
      </w:pPr>
    </w:p>
    <w:p>
      <w:pPr>
        <w:ind w:left="644" w:right="60" w:hanging="320"/>
        <w:spacing w:after="0" w:line="262"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this PSU Award is the 36-month period beginning January 1, 2023, and ending on December 31, 2025. Vesting and payout of your PSU Award is based upon the level of achievement of 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xml:space="preserve"> that have been set by the Management Development and Compensation Committee of the Board of Directors of the Company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The Performance Goals set by the Committee for your PSU Awards are described in paragraph 3 below.</w:t>
      </w:r>
    </w:p>
    <w:p>
      <w:pPr>
        <w:spacing w:after="0" w:line="176" w:lineRule="exact"/>
        <w:rPr>
          <w:rFonts w:ascii="Times New Roman" w:cs="Times New Roman" w:eastAsia="Times New Roman" w:hAnsi="Times New Roman"/>
          <w:sz w:val="18"/>
          <w:szCs w:val="18"/>
          <w:color w:val="auto"/>
        </w:rPr>
      </w:pPr>
    </w:p>
    <w:p>
      <w:pPr>
        <w:ind w:left="644" w:right="40" w:hanging="320"/>
        <w:spacing w:after="0" w:line="256"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measure selected by the Committee to serve as the Performance Goal for half (50%) of your Target PSU Award is </w:t>
      </w:r>
      <w:r>
        <w:rPr>
          <w:rFonts w:ascii="Times New Roman" w:cs="Times New Roman" w:eastAsia="Times New Roman" w:hAnsi="Times New Roman"/>
          <w:sz w:val="18"/>
          <w:szCs w:val="18"/>
          <w:b w:val="1"/>
          <w:bCs w:val="1"/>
          <w:i w:val="1"/>
          <w:iCs w:val="1"/>
          <w:color w:val="auto"/>
        </w:rPr>
        <w:t>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Generation </w:t>
      </w:r>
      <w:r>
        <w:rPr>
          <w:rFonts w:ascii="Times New Roman" w:cs="Times New Roman" w:eastAsia="Times New Roman" w:hAnsi="Times New Roman"/>
          <w:sz w:val="18"/>
          <w:szCs w:val="18"/>
          <w:color w:val="auto"/>
        </w:rPr>
        <w:t>(defined in paragraph 2.c. below). The performance measure selected by the Committee to serve as the Performance Goal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other half (50%) of your Target PSU Award is </w:t>
      </w:r>
      <w:r>
        <w:rPr>
          <w:rFonts w:ascii="Times New Roman" w:cs="Times New Roman" w:eastAsia="Times New Roman" w:hAnsi="Times New Roman"/>
          <w:sz w:val="18"/>
          <w:szCs w:val="18"/>
          <w:b w:val="1"/>
          <w:bCs w:val="1"/>
          <w:i w:val="1"/>
          <w:iCs w:val="1"/>
          <w:color w:val="auto"/>
        </w:rPr>
        <w:t>Total Shareholder Return Relative to the S&amp;P 500</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 defined in paragraph 2.d. below). To determine the payout (if any) under your PSU Award, the Committee will determine the level of the Performance Goal reached (“</w:t>
      </w:r>
      <w:r>
        <w:rPr>
          <w:rFonts w:ascii="Times New Roman" w:cs="Times New Roman" w:eastAsia="Times New Roman" w:hAnsi="Times New Roman"/>
          <w:sz w:val="18"/>
          <w:szCs w:val="18"/>
          <w:b w:val="1"/>
          <w:bCs w:val="1"/>
          <w:i w:val="1"/>
          <w:iCs w:val="1"/>
          <w:color w:val="auto"/>
        </w:rPr>
        <w:t>Achievement</w:t>
      </w:r>
      <w:r>
        <w:rPr>
          <w:rFonts w:ascii="Times New Roman" w:cs="Times New Roman" w:eastAsia="Times New Roman" w:hAnsi="Times New Roman"/>
          <w:sz w:val="18"/>
          <w:szCs w:val="18"/>
          <w:color w:val="auto"/>
        </w:rPr>
        <w:t>”) and the corresponding payout percentage applicable to each half of your Target PSU Award under paragraph 3 below. The Committee’s determinations, and the related calculations, including the calculation of Cash Flow Generation and TSR, are made by, and in the sole discretion of, the Committee, and are final and not subject to appeal.</w:t>
      </w:r>
    </w:p>
    <w:p>
      <w:pPr>
        <w:spacing w:after="0" w:line="182" w:lineRule="exact"/>
        <w:rPr>
          <w:rFonts w:ascii="Times New Roman" w:cs="Times New Roman" w:eastAsia="Times New Roman" w:hAnsi="Times New Roman"/>
          <w:sz w:val="18"/>
          <w:szCs w:val="18"/>
          <w:color w:val="auto"/>
        </w:rPr>
      </w:pPr>
    </w:p>
    <w:p>
      <w:pPr>
        <w:ind w:left="644" w:right="80" w:hanging="320"/>
        <w:spacing w:after="0" w:line="286"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Flow Generation </w:t>
      </w:r>
      <w:r>
        <w:rPr>
          <w:rFonts w:ascii="Times New Roman" w:cs="Times New Roman" w:eastAsia="Times New Roman" w:hAnsi="Times New Roman"/>
          <w:sz w:val="18"/>
          <w:szCs w:val="18"/>
          <w:color w:val="auto"/>
        </w:rPr>
        <w:t>is the net cash flow provided by operating activities of WM for the Performance Period, less capital expenditures,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adjustments:</w:t>
      </w:r>
    </w:p>
    <w:p>
      <w:pPr>
        <w:spacing w:after="0" w:line="158" w:lineRule="exact"/>
        <w:rPr>
          <w:rFonts w:ascii="Times New Roman" w:cs="Times New Roman" w:eastAsia="Times New Roman" w:hAnsi="Times New Roman"/>
          <w:sz w:val="18"/>
          <w:szCs w:val="18"/>
          <w:color w:val="auto"/>
        </w:rPr>
      </w:pPr>
    </w:p>
    <w:p>
      <w:pPr>
        <w:ind w:left="1184" w:right="200" w:hanging="212"/>
        <w:spacing w:after="0" w:line="266" w:lineRule="auto"/>
        <w:tabs>
          <w:tab w:leader="none" w:pos="118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75" w:lineRule="exact"/>
        <w:rPr>
          <w:rFonts w:ascii="Times New Roman" w:cs="Times New Roman" w:eastAsia="Times New Roman" w:hAnsi="Times New Roman"/>
          <w:sz w:val="18"/>
          <w:szCs w:val="18"/>
          <w:color w:val="auto"/>
        </w:rPr>
      </w:pPr>
    </w:p>
    <w:p>
      <w:pPr>
        <w:ind w:left="1184" w:right="460" w:hanging="212"/>
        <w:spacing w:after="0" w:line="282" w:lineRule="auto"/>
        <w:tabs>
          <w:tab w:leader="none" w:pos="118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restructuring, transformation and reorganization costs are excluded in recognition of WM’s goals to increase customer and business base while minimizing operating costs; and</w:t>
      </w:r>
    </w:p>
    <w:p>
      <w:pPr>
        <w:spacing w:after="0" w:line="161" w:lineRule="exact"/>
        <w:rPr>
          <w:rFonts w:ascii="Times New Roman" w:cs="Times New Roman" w:eastAsia="Times New Roman" w:hAnsi="Times New Roman"/>
          <w:sz w:val="18"/>
          <w:szCs w:val="18"/>
          <w:color w:val="auto"/>
        </w:rPr>
      </w:pPr>
    </w:p>
    <w:p>
      <w:pPr>
        <w:ind w:left="1184" w:right="500" w:hanging="212"/>
        <w:spacing w:after="0" w:line="282" w:lineRule="auto"/>
        <w:tabs>
          <w:tab w:leader="none" w:pos="118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proceeds from the normal course of business divestiture of assets and businesses are included. Cash proceeds from strategic divestitures of assets and businesses are excluded; and</w:t>
      </w:r>
    </w:p>
    <w:p>
      <w:pPr>
        <w:spacing w:after="0" w:line="161" w:lineRule="exact"/>
        <w:rPr>
          <w:rFonts w:ascii="Times New Roman" w:cs="Times New Roman" w:eastAsia="Times New Roman" w:hAnsi="Times New Roman"/>
          <w:sz w:val="18"/>
          <w:szCs w:val="18"/>
          <w:color w:val="auto"/>
        </w:rPr>
      </w:pPr>
    </w:p>
    <w:p>
      <w:pPr>
        <w:ind w:left="1184" w:right="40" w:hanging="212"/>
        <w:spacing w:after="0" w:line="282" w:lineRule="auto"/>
        <w:tabs>
          <w:tab w:leader="none" w:pos="118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accounting rule or tax law change occurs that was not anticipated in setting the Cash Flow Generation target, any material impact of that change will be disregarded in calculating the Cash Flow Generation result.</w:t>
      </w:r>
    </w:p>
    <w:p>
      <w:pPr>
        <w:spacing w:after="0" w:line="162" w:lineRule="exact"/>
        <w:rPr>
          <w:sz w:val="20"/>
          <w:szCs w:val="20"/>
          <w:color w:val="auto"/>
        </w:rPr>
      </w:pPr>
    </w:p>
    <w:p>
      <w:pPr>
        <w:ind w:left="644" w:right="820"/>
        <w:spacing w:after="0" w:line="282" w:lineRule="auto"/>
        <w:rPr>
          <w:sz w:val="20"/>
          <w:szCs w:val="20"/>
          <w:color w:val="auto"/>
        </w:rPr>
      </w:pPr>
      <w:r>
        <w:rPr>
          <w:rFonts w:ascii="Times New Roman" w:cs="Times New Roman" w:eastAsia="Times New Roman" w:hAnsi="Times New Roman"/>
          <w:sz w:val="18"/>
          <w:szCs w:val="18"/>
          <w:color w:val="auto"/>
        </w:rPr>
        <w:t xml:space="preserve">The Committee, solely in its discretion, is permitted to make other adjustments to reflect management’s performance consistent with maximizing shareholder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adjustments shall not reduce the Cash Flow Generation amount.</w:t>
      </w:r>
    </w:p>
    <w:p>
      <w:pPr>
        <w:spacing w:after="0" w:line="158" w:lineRule="exact"/>
        <w:rPr>
          <w:sz w:val="20"/>
          <w:szCs w:val="20"/>
          <w:color w:val="auto"/>
        </w:rPr>
      </w:pPr>
    </w:p>
    <w:p>
      <w:pPr>
        <w:ind w:left="724" w:hanging="319"/>
        <w:spacing w:after="0"/>
        <w:tabs>
          <w:tab w:leader="none" w:pos="7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Shareholder Return Relative to the S&amp;P 500 or “TSR” </w:t>
      </w:r>
      <w:r>
        <w:rPr>
          <w:rFonts w:ascii="Times New Roman" w:cs="Times New Roman" w:eastAsia="Times New Roman" w:hAnsi="Times New Roman"/>
          <w:sz w:val="18"/>
          <w:szCs w:val="18"/>
          <w:color w:val="auto"/>
        </w:rPr>
        <w:t>is the percentile performance of the Company as compared to the other S&amp;P</w:t>
      </w:r>
    </w:p>
    <w:p>
      <w:pPr>
        <w:spacing w:after="0" w:line="31"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Companies for the Performance Period. For these purposes:</w:t>
      </w:r>
    </w:p>
    <w:p>
      <w:pPr>
        <w:spacing w:after="0" w:line="202" w:lineRule="exact"/>
        <w:rPr>
          <w:rFonts w:ascii="Times New Roman" w:cs="Times New Roman" w:eastAsia="Times New Roman" w:hAnsi="Times New Roman"/>
          <w:sz w:val="18"/>
          <w:szCs w:val="18"/>
          <w:color w:val="auto"/>
        </w:rPr>
      </w:pPr>
    </w:p>
    <w:p>
      <w:pPr>
        <w:ind w:left="1184" w:hanging="212"/>
        <w:spacing w:after="0" w:line="286" w:lineRule="auto"/>
        <w:tabs>
          <w:tab w:leader="none" w:pos="11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S&amp;P 500 Companies </w:t>
      </w:r>
      <w:r>
        <w:rPr>
          <w:rFonts w:ascii="Times New Roman" w:cs="Times New Roman" w:eastAsia="Times New Roman" w:hAnsi="Times New Roman"/>
          <w:sz w:val="18"/>
          <w:szCs w:val="18"/>
          <w:color w:val="auto"/>
        </w:rPr>
        <w:t>means all of the entities listed on the Standard &amp; Poor’s 500 Composite Index, including the Company,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which is 30 trading days prior to the commencement of the Performance Period, with the following modifications:</w:t>
      </w:r>
    </w:p>
    <w:p>
      <w:pPr>
        <w:spacing w:after="0" w:line="158" w:lineRule="exact"/>
        <w:rPr>
          <w:rFonts w:ascii="Times New Roman" w:cs="Times New Roman" w:eastAsia="Times New Roman" w:hAnsi="Times New Roman"/>
          <w:sz w:val="18"/>
          <w:szCs w:val="18"/>
          <w:color w:val="auto"/>
        </w:rPr>
      </w:pPr>
    </w:p>
    <w:p>
      <w:pPr>
        <w:ind w:left="1144" w:firstLine="152"/>
        <w:spacing w:after="0" w:line="282" w:lineRule="auto"/>
        <w:tabs>
          <w:tab w:leader="none" w:pos="15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paragraph 2.d.i.B. below, only those entities that continue to trade throughout the Performance Period without interruption on a </w:t>
      </w:r>
      <w:r>
        <w:rPr>
          <w:rFonts w:ascii="Times New Roman" w:cs="Times New Roman" w:eastAsia="Times New Roman" w:hAnsi="Times New Roman"/>
          <w:sz w:val="18"/>
          <w:szCs w:val="18"/>
          <w:b w:val="1"/>
          <w:bCs w:val="1"/>
          <w:i w:val="1"/>
          <w:iCs w:val="1"/>
          <w:color w:val="auto"/>
        </w:rPr>
        <w:t>National Exchange</w:t>
      </w:r>
      <w:r>
        <w:rPr>
          <w:rFonts w:ascii="Times New Roman" w:cs="Times New Roman" w:eastAsia="Times New Roman" w:hAnsi="Times New Roman"/>
          <w:sz w:val="18"/>
          <w:szCs w:val="18"/>
          <w:color w:val="auto"/>
        </w:rPr>
        <w:t xml:space="preserve"> shall be included; and</w:t>
      </w:r>
    </w:p>
    <w:p>
      <w:pPr>
        <w:spacing w:after="0" w:line="161" w:lineRule="exact"/>
        <w:rPr>
          <w:rFonts w:ascii="Times New Roman" w:cs="Times New Roman" w:eastAsia="Times New Roman" w:hAnsi="Times New Roman"/>
          <w:sz w:val="18"/>
          <w:szCs w:val="18"/>
          <w:color w:val="auto"/>
        </w:rPr>
      </w:pPr>
    </w:p>
    <w:p>
      <w:pPr>
        <w:ind w:left="1504" w:hanging="208"/>
        <w:spacing w:after="0"/>
        <w:tabs>
          <w:tab w:leader="none" w:pos="150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entity that files for bankruptcy (“Bankrupt Peer”) during the Performance Period shall continue to be included.</w:t>
      </w:r>
    </w:p>
    <w:p>
      <w:pPr>
        <w:spacing w:after="0" w:line="221" w:lineRule="exact"/>
        <w:rPr>
          <w:sz w:val="20"/>
          <w:szCs w:val="20"/>
          <w:color w:val="auto"/>
        </w:rPr>
      </w:pPr>
    </w:p>
    <w:p>
      <w:pPr>
        <w:ind w:left="1144" w:right="480"/>
        <w:spacing w:after="0" w:line="286" w:lineRule="auto"/>
        <w:rPr>
          <w:sz w:val="20"/>
          <w:szCs w:val="20"/>
          <w:color w:val="auto"/>
        </w:rPr>
      </w:pPr>
      <w:r>
        <w:rPr>
          <w:rFonts w:ascii="Times New Roman" w:cs="Times New Roman" w:eastAsia="Times New Roman" w:hAnsi="Times New Roman"/>
          <w:sz w:val="18"/>
          <w:szCs w:val="18"/>
          <w:color w:val="auto"/>
        </w:rPr>
        <w:t>For these purposes “</w:t>
      </w:r>
      <w:r>
        <w:rPr>
          <w:rFonts w:ascii="Times New Roman" w:cs="Times New Roman" w:eastAsia="Times New Roman" w:hAnsi="Times New Roman"/>
          <w:sz w:val="18"/>
          <w:szCs w:val="18"/>
          <w:b w:val="1"/>
          <w:bCs w:val="1"/>
          <w:i w:val="1"/>
          <w:iCs w:val="1"/>
          <w:color w:val="auto"/>
        </w:rPr>
        <w:t>National Exchange</w:t>
      </w:r>
      <w:r>
        <w:rPr>
          <w:rFonts w:ascii="Times New Roman" w:cs="Times New Roman" w:eastAsia="Times New Roman" w:hAnsi="Times New Roman"/>
          <w:sz w:val="18"/>
          <w:szCs w:val="18"/>
          <w:color w:val="auto"/>
        </w:rPr>
        <w:t>” shall mean a securities exchange that has registered with the SEC under Section 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4"/>
          </w:cols>
          <w:pgMar w:left="436" w:top="1134" w:right="459" w:bottom="1440" w:gutter="0" w:footer="0" w:header="0"/>
        </w:sectPr>
      </w:pPr>
    </w:p>
    <w:bookmarkStart w:id="8" w:name="page9"/>
    <w:bookmarkEnd w:id="8"/>
    <w:p>
      <w:pPr>
        <w:jc w:val="both"/>
        <w:ind w:left="1300" w:right="120" w:hanging="212"/>
        <w:spacing w:after="0" w:line="256" w:lineRule="auto"/>
        <w:tabs>
          <w:tab w:leader="none" w:pos="13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84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t xml:space="preserve">Total Shareholder Return </w:t>
      </w:r>
      <w:r>
        <w:rPr>
          <w:rFonts w:ascii="Times New Roman" w:cs="Times New Roman" w:eastAsia="Times New Roman" w:hAnsi="Times New Roman"/>
          <w:sz w:val="18"/>
          <w:szCs w:val="18"/>
          <w:color w:val="auto"/>
        </w:rPr>
        <w:t>is the result of dividing (1) the sum of the cumulative value of an entity’s dividends for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182" w:lineRule="exact"/>
        <w:rPr>
          <w:rFonts w:ascii="Times New Roman" w:cs="Times New Roman" w:eastAsia="Times New Roman" w:hAnsi="Times New Roman"/>
          <w:sz w:val="18"/>
          <w:szCs w:val="18"/>
          <w:color w:val="auto"/>
        </w:rPr>
      </w:pPr>
    </w:p>
    <w:p>
      <w:pPr>
        <w:ind w:left="1900" w:right="160" w:hanging="488"/>
        <w:spacing w:after="0" w:line="286" w:lineRule="auto"/>
        <w:tabs>
          <w:tab w:leader="none" w:pos="190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Price </w:t>
      </w:r>
      <w:r>
        <w:rPr>
          <w:rFonts w:ascii="Times New Roman" w:cs="Times New Roman" w:eastAsia="Times New Roman" w:hAnsi="Times New Roman"/>
          <w:sz w:val="18"/>
          <w:szCs w:val="18"/>
          <w:color w:val="auto"/>
        </w:rPr>
        <w:t>is the per share closing price, as reported by the Bloomberg L.P. (or any other publicly available reporting service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may designate from time to time) of a share or share equivalent on the applicable stock exchange.</w:t>
      </w:r>
    </w:p>
    <w:p>
      <w:pPr>
        <w:spacing w:after="0" w:line="154" w:lineRule="exact"/>
        <w:rPr>
          <w:rFonts w:ascii="Times New Roman" w:cs="Times New Roman" w:eastAsia="Times New Roman" w:hAnsi="Times New Roman"/>
          <w:sz w:val="18"/>
          <w:szCs w:val="18"/>
          <w:color w:val="auto"/>
        </w:rPr>
      </w:pPr>
    </w:p>
    <w:p>
      <w:pPr>
        <w:ind w:left="1900" w:right="280" w:hanging="488"/>
        <w:spacing w:after="0" w:line="286" w:lineRule="auto"/>
        <w:tabs>
          <w:tab w:leader="none" w:pos="190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Beginning Price </w:t>
      </w:r>
      <w:r>
        <w:rPr>
          <w:rFonts w:ascii="Times New Roman" w:cs="Times New Roman" w:eastAsia="Times New Roman" w:hAnsi="Times New Roman"/>
          <w:sz w:val="18"/>
          <w:szCs w:val="18"/>
          <w:color w:val="auto"/>
        </w:rPr>
        <w:t>is the average Price for the period of 20 trading days immediately preceding the first day of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w:t>
      </w:r>
    </w:p>
    <w:p>
      <w:pPr>
        <w:spacing w:after="0" w:line="154" w:lineRule="exact"/>
        <w:rPr>
          <w:rFonts w:ascii="Times New Roman" w:cs="Times New Roman" w:eastAsia="Times New Roman" w:hAnsi="Times New Roman"/>
          <w:sz w:val="18"/>
          <w:szCs w:val="18"/>
          <w:color w:val="auto"/>
        </w:rPr>
      </w:pPr>
    </w:p>
    <w:p>
      <w:pPr>
        <w:ind w:left="1900" w:right="400" w:hanging="488"/>
        <w:spacing w:after="0" w:line="286" w:lineRule="auto"/>
        <w:tabs>
          <w:tab w:leader="none" w:pos="190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Ending Price </w:t>
      </w:r>
      <w:r>
        <w:rPr>
          <w:rFonts w:ascii="Times New Roman" w:cs="Times New Roman" w:eastAsia="Times New Roman" w:hAnsi="Times New Roman"/>
          <w:sz w:val="18"/>
          <w:szCs w:val="18"/>
          <w:color w:val="auto"/>
        </w:rPr>
        <w:t>is the average Price for the period of 20 trading days immediately preceding and including the final day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Period.</w:t>
      </w:r>
    </w:p>
    <w:p>
      <w:pPr>
        <w:spacing w:after="0" w:line="154" w:lineRule="exact"/>
        <w:rPr>
          <w:rFonts w:ascii="Times New Roman" w:cs="Times New Roman" w:eastAsia="Times New Roman" w:hAnsi="Times New Roman"/>
          <w:sz w:val="18"/>
          <w:szCs w:val="18"/>
          <w:color w:val="auto"/>
        </w:rPr>
      </w:pPr>
    </w:p>
    <w:p>
      <w:pPr>
        <w:ind w:left="1900" w:right="360" w:hanging="488"/>
        <w:spacing w:after="0" w:line="286" w:lineRule="auto"/>
        <w:tabs>
          <w:tab w:leader="none" w:pos="190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Bankrupt Peer</w:t>
      </w:r>
      <w:r>
        <w:rPr>
          <w:rFonts w:ascii="Times New Roman" w:cs="Times New Roman" w:eastAsia="Times New Roman" w:hAnsi="Times New Roman"/>
          <w:sz w:val="18"/>
          <w:szCs w:val="18"/>
          <w:color w:val="auto"/>
        </w:rPr>
        <w:t>: Notwithstanding anything in the foregoing to the contrary, any Bankrupt Peer shall have a Total Shareholder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 of negative one hundred percent (-100%).</w:t>
      </w:r>
    </w:p>
    <w:p>
      <w:pPr>
        <w:spacing w:after="0" w:line="154" w:lineRule="exact"/>
        <w:rPr>
          <w:rFonts w:ascii="Times New Roman" w:cs="Times New Roman" w:eastAsia="Times New Roman" w:hAnsi="Times New Roman"/>
          <w:sz w:val="18"/>
          <w:szCs w:val="18"/>
          <w:color w:val="auto"/>
        </w:rPr>
      </w:pPr>
    </w:p>
    <w:p>
      <w:pPr>
        <w:jc w:val="both"/>
        <w:ind w:left="1300" w:right="100" w:hanging="212"/>
        <w:spacing w:after="0" w:line="259" w:lineRule="auto"/>
        <w:tabs>
          <w:tab w:leader="none" w:pos="140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Relative TSR Percentile Rank </w:t>
      </w:r>
      <w:r>
        <w:rPr>
          <w:rFonts w:ascii="Times New Roman" w:cs="Times New Roman" w:eastAsia="Times New Roman" w:hAnsi="Times New Roman"/>
          <w:sz w:val="18"/>
          <w:szCs w:val="18"/>
          <w:color w:val="auto"/>
        </w:rPr>
        <w:t>is the percentile performance of the Company as compared to the S&amp;P 500 Companies. Relative TSR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83"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Payout Percentage</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xml:space="preserve"> are the levels of performance set by the Committee on the Grant Date with respect to each measure of performance.</w:t>
      </w:r>
    </w:p>
    <w:p>
      <w:pPr>
        <w:spacing w:after="0" w:line="225" w:lineRule="exact"/>
        <w:rPr>
          <w:rFonts w:ascii="Times New Roman" w:cs="Times New Roman" w:eastAsia="Times New Roman" w:hAnsi="Times New Roman"/>
          <w:sz w:val="18"/>
          <w:szCs w:val="18"/>
          <w:color w:val="auto"/>
        </w:rPr>
      </w:pPr>
    </w:p>
    <w:p>
      <w:pPr>
        <w:ind w:left="760" w:right="180" w:hanging="320"/>
        <w:spacing w:after="0" w:line="268"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Target PSU Award</w:t>
      </w:r>
      <w:r>
        <w:rPr>
          <w:rFonts w:ascii="Times New Roman" w:cs="Times New Roman" w:eastAsia="Times New Roman" w:hAnsi="Times New Roman"/>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Achievement Levels and Corresponding Payouts for PSUs Dependent on Cash Flow Generation Performance Measure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Cash Flow</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Generation Over</w:t>
            </w:r>
          </w:p>
        </w:tc>
        <w:tc>
          <w:tcPr>
            <w:tcW w:w="25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Payout Percentage for the</w:t>
            </w:r>
          </w:p>
        </w:tc>
      </w:tr>
      <w:tr>
        <w:trPr>
          <w:trHeight w:val="216"/>
        </w:trPr>
        <w:tc>
          <w:tcPr>
            <w:tcW w:w="4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 Performance</w:t>
            </w:r>
          </w:p>
        </w:tc>
        <w:tc>
          <w:tcPr>
            <w:tcW w:w="25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applicable half of your</w:t>
            </w:r>
          </w:p>
        </w:tc>
      </w:tr>
      <w:tr>
        <w:trPr>
          <w:trHeight w:val="238"/>
        </w:trPr>
        <w:tc>
          <w:tcPr>
            <w:tcW w:w="66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Target PSU Award</w:t>
            </w:r>
          </w:p>
        </w:tc>
      </w:tr>
      <w:tr>
        <w:trPr>
          <w:trHeight w:val="191"/>
        </w:trPr>
        <w:tc>
          <w:tcPr>
            <w:tcW w:w="400" w:type="dxa"/>
            <w:vAlign w:val="bottom"/>
          </w:tcPr>
          <w:p>
            <w:pPr>
              <w:spacing w:after="0"/>
              <w:rPr>
                <w:sz w:val="16"/>
                <w:szCs w:val="16"/>
                <w:color w:val="auto"/>
              </w:rPr>
            </w:pPr>
          </w:p>
        </w:tc>
        <w:tc>
          <w:tcPr>
            <w:tcW w:w="6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Threshold Performance </w:t>
            </w:r>
            <w:r>
              <w:rPr>
                <w:rFonts w:ascii="Times New Roman" w:cs="Times New Roman" w:eastAsia="Times New Roman" w:hAnsi="Times New Roman"/>
                <w:sz w:val="18"/>
                <w:szCs w:val="18"/>
                <w:color w:val="auto"/>
              </w:rPr>
              <w:t>(the minimum level of Achievement to qualify for any</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Pr>
          <w:p>
            <w:pPr>
              <w:spacing w:after="0"/>
              <w:rPr>
                <w:sz w:val="16"/>
                <w:szCs w:val="16"/>
                <w:color w:val="auto"/>
              </w:rPr>
            </w:pPr>
          </w:p>
        </w:tc>
      </w:tr>
      <w:tr>
        <w:trPr>
          <w:trHeight w:val="248"/>
        </w:trPr>
        <w:tc>
          <w:tcPr>
            <w:tcW w:w="400" w:type="dxa"/>
            <w:vAlign w:val="bottom"/>
          </w:tcPr>
          <w:p>
            <w:pPr>
              <w:spacing w:after="0"/>
              <w:rPr>
                <w:sz w:val="21"/>
                <w:szCs w:val="21"/>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of the Cash Flow Generation half of your Target PSU Award.)</w:t>
            </w: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$6.600 Billion</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21"/>
                <w:szCs w:val="21"/>
                <w:color w:val="auto"/>
              </w:rPr>
            </w:pPr>
          </w:p>
        </w:tc>
      </w:tr>
      <w:tr>
        <w:trPr>
          <w:trHeight w:val="198"/>
        </w:trPr>
        <w:tc>
          <w:tcPr>
            <w:tcW w:w="400" w:type="dxa"/>
            <w:vAlign w:val="bottom"/>
          </w:tcPr>
          <w:p>
            <w:pPr>
              <w:spacing w:after="0"/>
              <w:rPr>
                <w:sz w:val="17"/>
                <w:szCs w:val="17"/>
                <w:color w:val="auto"/>
              </w:rPr>
            </w:pPr>
          </w:p>
        </w:tc>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Target Performance </w:t>
            </w:r>
            <w:r>
              <w:rPr>
                <w:rFonts w:ascii="Times New Roman" w:cs="Times New Roman" w:eastAsia="Times New Roman" w:hAnsi="Times New Roman"/>
                <w:sz w:val="18"/>
                <w:szCs w:val="18"/>
                <w:color w:val="auto"/>
              </w:rPr>
              <w:t>(the level of Achievement to qualify for 100% payout of the</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48"/>
        </w:trPr>
        <w:tc>
          <w:tcPr>
            <w:tcW w:w="66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Cash Flow Generation half of your Target PSU Award.)</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$7.300 Billion</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1"/>
                <w:szCs w:val="21"/>
                <w:color w:val="auto"/>
              </w:rPr>
            </w:pPr>
          </w:p>
        </w:tc>
      </w:tr>
      <w:tr>
        <w:trPr>
          <w:trHeight w:val="198"/>
        </w:trPr>
        <w:tc>
          <w:tcPr>
            <w:tcW w:w="400" w:type="dxa"/>
            <w:vAlign w:val="bottom"/>
          </w:tcPr>
          <w:p>
            <w:pPr>
              <w:spacing w:after="0"/>
              <w:rPr>
                <w:sz w:val="17"/>
                <w:szCs w:val="17"/>
                <w:color w:val="auto"/>
              </w:rPr>
            </w:pPr>
          </w:p>
        </w:tc>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Maximum Performance </w:t>
            </w:r>
            <w:r>
              <w:rPr>
                <w:rFonts w:ascii="Times New Roman" w:cs="Times New Roman" w:eastAsia="Times New Roman" w:hAnsi="Times New Roman"/>
                <w:sz w:val="18"/>
                <w:szCs w:val="18"/>
                <w:color w:val="auto"/>
              </w:rPr>
              <w:t>(the maximum level of Achievement that results in an</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 number of PSUs paid out under the Cash Flow Generation half of your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r>
      <w:tr>
        <w:trPr>
          <w:trHeight w:val="248"/>
        </w:trPr>
        <w:tc>
          <w:tcPr>
            <w:tcW w:w="400" w:type="dxa"/>
            <w:vAlign w:val="bottom"/>
          </w:tcPr>
          <w:p>
            <w:pPr>
              <w:spacing w:after="0"/>
              <w:rPr>
                <w:sz w:val="21"/>
                <w:szCs w:val="21"/>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PSU Award.)</w:t>
            </w: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$8.000 Billion</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spacing w:after="0"/>
              <w:rPr>
                <w:sz w:val="21"/>
                <w:szCs w:val="21"/>
                <w:color w:val="auto"/>
              </w:rPr>
            </w:pPr>
          </w:p>
        </w:tc>
      </w:tr>
      <w:tr>
        <w:trPr>
          <w:trHeight w:val="226"/>
        </w:trPr>
        <w:tc>
          <w:tcPr>
            <w:tcW w:w="40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645"/>
        </w:trPr>
        <w:tc>
          <w:tcPr>
            <w:tcW w:w="650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0" w:right="3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304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t>Achievement Levels and Corresponding Payouts for PSUs Dependent on TSR</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7"/>
          <w:szCs w:val="17"/>
          <w:b w:val="1"/>
          <w:bCs w:val="1"/>
          <w:color w:val="auto"/>
        </w:rPr>
        <w:t>Total Shareholder Return Relative to the S&amp;P 500 over the Performance Period</w:t>
      </w:r>
    </w:p>
    <w:p>
      <w:pPr>
        <w:sectPr>
          <w:pgSz w:w="11900" w:h="16838" w:orient="portrait"/>
          <w:cols w:equalWidth="0" w:num="1">
            <w:col w:w="10924"/>
          </w:cols>
          <w:pgMar w:left="436" w:top="1130" w:right="5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b w:val="1"/>
          <w:bCs w:val="1"/>
          <w:color w:val="auto"/>
        </w:rPr>
        <w:t>Level of Achievement</w:t>
      </w:r>
    </w:p>
    <w:p>
      <w:pPr>
        <w:spacing w:after="0" w:line="31" w:lineRule="exact"/>
        <w:rPr>
          <w:sz w:val="20"/>
          <w:szCs w:val="20"/>
          <w:color w:val="auto"/>
        </w:rPr>
      </w:pPr>
    </w:p>
    <w:p>
      <w:pPr>
        <w:ind w:left="164"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Threshold Performance </w:t>
      </w:r>
      <w:r>
        <w:rPr>
          <w:rFonts w:ascii="Times New Roman" w:cs="Times New Roman" w:eastAsia="Times New Roman" w:hAnsi="Times New Roman"/>
          <w:sz w:val="18"/>
          <w:szCs w:val="18"/>
          <w:color w:val="auto"/>
        </w:rPr>
        <w:t>(the minimum level of Achievement to qualify for any payout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TSR half of your Target PSU Award.)</w:t>
      </w:r>
    </w:p>
    <w:p>
      <w:pPr>
        <w:ind w:left="16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Performance </w:t>
      </w:r>
      <w:r>
        <w:rPr>
          <w:rFonts w:ascii="Times New Roman" w:cs="Times New Roman" w:eastAsia="Times New Roman" w:hAnsi="Times New Roman"/>
          <w:sz w:val="18"/>
          <w:szCs w:val="18"/>
          <w:color w:val="auto"/>
        </w:rPr>
        <w:t>(the level of Achievement to qualify for 100% payout of the TSR 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your Target PSU Award.)</w:t>
      </w:r>
    </w:p>
    <w:p>
      <w:pPr>
        <w:ind w:left="164" w:right="12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Maximum Performance </w:t>
      </w:r>
      <w:r>
        <w:rPr>
          <w:rFonts w:ascii="Times New Roman" w:cs="Times New Roman" w:eastAsia="Times New Roman" w:hAnsi="Times New Roman"/>
          <w:sz w:val="18"/>
          <w:szCs w:val="18"/>
          <w:color w:val="auto"/>
        </w:rPr>
        <w:t>(the maximum level of Achievement that results in an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PSUs paid out under the TSR half of your Target PSU Award.)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Payout Percentage for the</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TSR</w:t>
            </w: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half of your Target</w:t>
            </w: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Percentile Rank</w:t>
            </w: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PSU Award</w:t>
            </w:r>
          </w:p>
        </w:tc>
        <w:tc>
          <w:tcPr>
            <w:tcW w:w="160" w:type="dxa"/>
            <w:vAlign w:val="bottom"/>
          </w:tcPr>
          <w:p>
            <w:pPr>
              <w:spacing w:after="0"/>
              <w:rPr>
                <w:sz w:val="20"/>
                <w:szCs w:val="20"/>
                <w:color w:val="auto"/>
              </w:rPr>
            </w:pPr>
          </w:p>
        </w:tc>
      </w:tr>
      <w:tr>
        <w:trPr>
          <w:trHeight w:val="439"/>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25th</w:t>
            </w: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4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50th</w:t>
            </w: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4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75th</w:t>
            </w: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8" w:lineRule="exact"/>
        <w:rPr>
          <w:sz w:val="20"/>
          <w:szCs w:val="20"/>
          <w:color w:val="auto"/>
        </w:rPr>
      </w:pPr>
    </w:p>
    <w:p>
      <w:pPr>
        <w:sectPr>
          <w:pgSz w:w="11900" w:h="16838" w:orient="portrait"/>
          <w:cols w:equalWidth="0" w:num="2">
            <w:col w:w="6724" w:space="260"/>
            <w:col w:w="3940"/>
          </w:cols>
          <w:pgMar w:left="436" w:top="1130" w:right="539" w:bottom="1440" w:gutter="0" w:footer="0" w:header="0"/>
          <w:type w:val="continuous"/>
        </w:sectPr>
      </w:pPr>
    </w:p>
    <w:p>
      <w:pPr>
        <w:ind w:left="324" w:hanging="324"/>
        <w:spacing w:after="0" w:line="273" w:lineRule="auto"/>
        <w:tabs>
          <w:tab w:leader="none" w:pos="3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and Form of Payment of PSU Award</w:t>
      </w:r>
      <w:r>
        <w:rPr>
          <w:rFonts w:ascii="Times New Roman" w:cs="Times New Roman" w:eastAsia="Times New Roman" w:hAnsi="Times New Roman"/>
          <w:sz w:val="17"/>
          <w:szCs w:val="17"/>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Times New Roman" w:cs="Times New Roman" w:eastAsia="Times New Roman" w:hAnsi="Times New Roman"/>
          <w:sz w:val="17"/>
          <w:szCs w:val="17"/>
          <w:b w:val="1"/>
          <w:bCs w:val="1"/>
          <w:color w:val="auto"/>
        </w:rPr>
        <w:t>PSU Awarded Shares</w:t>
      </w:r>
      <w:r>
        <w:rPr>
          <w:rFonts w:ascii="Times New Roman" w:cs="Times New Roman" w:eastAsia="Times New Roman" w:hAnsi="Times New Roman"/>
          <w:sz w:val="17"/>
          <w:szCs w:val="17"/>
          <w:color w:val="auto"/>
        </w:rPr>
        <w:t xml:space="preserve">”). Unless you have a valid Deferral Election in place for your PSU Award (see paragraph 8 under “Important Award Details” for further information on permitted deferrals), the Company will deliver the PSU Awarded Shares and payment of the corresponding </w:t>
      </w:r>
      <w:r>
        <w:rPr>
          <w:rFonts w:ascii="Times New Roman" w:cs="Times New Roman" w:eastAsia="Times New Roman" w:hAnsi="Times New Roman"/>
          <w:sz w:val="17"/>
          <w:szCs w:val="17"/>
          <w:b w:val="1"/>
          <w:bCs w:val="1"/>
          <w:color w:val="auto"/>
        </w:rPr>
        <w:t>Dividend Equivalents</w:t>
      </w:r>
      <w:r>
        <w:rPr>
          <w:rFonts w:ascii="Times New Roman" w:cs="Times New Roman" w:eastAsia="Times New Roman" w:hAnsi="Times New Roman"/>
          <w:sz w:val="17"/>
          <w:szCs w:val="17"/>
          <w:color w:val="auto"/>
        </w:rPr>
        <w:t xml:space="preserve"> (as defined in paragraph 7 under “Important Award Details”) as soon as administratively feasible (and no later than 74 days after the end of the Performance Period) after the Committee’s certification and determination.</w:t>
      </w:r>
    </w:p>
    <w:p>
      <w:pPr>
        <w:spacing w:after="0" w:line="16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5" w:lineRule="exact"/>
        <w:rPr>
          <w:sz w:val="20"/>
          <w:szCs w:val="20"/>
          <w:color w:val="auto"/>
        </w:rPr>
      </w:pPr>
    </w:p>
    <w:p>
      <w:pPr>
        <w:ind w:left="324" w:right="120" w:hanging="324"/>
        <w:spacing w:after="0" w:line="268"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Grant</w:t>
      </w:r>
      <w:r>
        <w:rPr>
          <w:rFonts w:ascii="Times New Roman" w:cs="Times New Roman" w:eastAsia="Times New Roman" w:hAnsi="Times New Roman"/>
          <w:sz w:val="18"/>
          <w:szCs w:val="18"/>
          <w:color w:val="auto"/>
        </w:rPr>
        <w:t>. The Company grants to Employee a stock option award (the “</w:t>
      </w:r>
      <w:r>
        <w:rPr>
          <w:rFonts w:ascii="Times New Roman" w:cs="Times New Roman" w:eastAsia="Times New Roman" w:hAnsi="Times New Roman"/>
          <w:sz w:val="18"/>
          <w:szCs w:val="18"/>
          <w:b w:val="1"/>
          <w:bCs w:val="1"/>
          <w:i w:val="1"/>
          <w:iCs w:val="1"/>
          <w:color w:val="auto"/>
        </w:rPr>
        <w:t>Stock Option Award</w:t>
      </w:r>
      <w:r>
        <w:rPr>
          <w:rFonts w:ascii="Times New Roman" w:cs="Times New Roman" w:eastAsia="Times New Roman" w:hAnsi="Times New Roman"/>
          <w:sz w:val="18"/>
          <w:szCs w:val="18"/>
          <w:color w:val="auto"/>
        </w:rPr>
        <w:t>”) for the number of shares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of Common Stock provided in the Notice. This Stock Option Award grants Employee the right to purchase shares of Common Stock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Price. The “</w:t>
      </w:r>
      <w:r>
        <w:rPr>
          <w:rFonts w:ascii="Times New Roman" w:cs="Times New Roman" w:eastAsia="Times New Roman" w:hAnsi="Times New Roman"/>
          <w:sz w:val="18"/>
          <w:szCs w:val="18"/>
          <w:b w:val="1"/>
          <w:bCs w:val="1"/>
          <w:i w:val="1"/>
          <w:iCs w:val="1"/>
          <w:color w:val="auto"/>
        </w:rPr>
        <w:t>Grant Price</w:t>
      </w:r>
      <w:r>
        <w:rPr>
          <w:rFonts w:ascii="Times New Roman" w:cs="Times New Roman" w:eastAsia="Times New Roman" w:hAnsi="Times New Roman"/>
          <w:sz w:val="18"/>
          <w:szCs w:val="18"/>
          <w:color w:val="auto"/>
        </w:rPr>
        <w:t>” is the Fair Market Value (as defined in the Plan) of a share of Common Stock on the Grant Date.</w:t>
      </w:r>
    </w:p>
    <w:p>
      <w:pPr>
        <w:spacing w:after="0" w:line="178" w:lineRule="exact"/>
        <w:rPr>
          <w:rFonts w:ascii="Times New Roman" w:cs="Times New Roman" w:eastAsia="Times New Roman" w:hAnsi="Times New Roman"/>
          <w:sz w:val="18"/>
          <w:szCs w:val="18"/>
          <w:color w:val="auto"/>
        </w:rPr>
      </w:pPr>
    </w:p>
    <w:p>
      <w:pPr>
        <w:ind w:left="324" w:right="60" w:hanging="324"/>
        <w:spacing w:after="0" w:line="188" w:lineRule="auto"/>
        <w:tabs>
          <w:tab w:leader="none" w:pos="324"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Notwithstanding any other provisions of this Agreement, the maximum term of the Stock Option Award is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Grant Date.</w:t>
      </w:r>
    </w:p>
    <w:p>
      <w:pPr>
        <w:spacing w:after="0" w:line="198" w:lineRule="exact"/>
        <w:rPr>
          <w:rFonts w:ascii="Times New Roman" w:cs="Times New Roman" w:eastAsia="Times New Roman" w:hAnsi="Times New Roman"/>
          <w:sz w:val="36"/>
          <w:szCs w:val="36"/>
          <w:color w:val="auto"/>
          <w:vertAlign w:val="superscript"/>
        </w:rPr>
      </w:pPr>
    </w:p>
    <w:p>
      <w:pPr>
        <w:ind w:left="324" w:right="200"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Provided Employee remains employed by WM continuously through the applicable exercise dates, the Stock Option Award is exercisable as follows:</w:t>
      </w:r>
    </w:p>
    <w:p>
      <w:pPr>
        <w:sectPr>
          <w:pgSz w:w="11900" w:h="16838" w:orient="portrait"/>
          <w:cols w:equalWidth="0" w:num="1">
            <w:col w:w="10924"/>
          </w:cols>
          <w:pgMar w:left="436" w:top="1130" w:right="539" w:bottom="1440" w:gutter="0" w:footer="0" w:header="0"/>
          <w:type w:val="continuous"/>
        </w:sectPr>
      </w:pPr>
    </w:p>
    <w:p>
      <w:pPr>
        <w:spacing w:after="0" w:line="374"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8"/>
          <w:szCs w:val="18"/>
          <w:b w:val="1"/>
          <w:bCs w:val="1"/>
          <w:i w:val="1"/>
          <w:iCs w:val="1"/>
          <w:color w:val="auto"/>
        </w:rPr>
        <w:t>Exercise Date</w:t>
      </w:r>
    </w:p>
    <w:p>
      <w:pPr>
        <w:spacing w:after="0" w:line="31"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8"/>
          <w:szCs w:val="18"/>
          <w:color w:val="auto"/>
        </w:rPr>
        <w:t>Prior to the first anniversary of the Grant Date</w:t>
      </w:r>
    </w:p>
    <w:p>
      <w:pPr>
        <w:spacing w:after="0" w:line="23"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8"/>
          <w:szCs w:val="18"/>
          <w:color w:val="auto"/>
        </w:rPr>
        <w:t>On or after the first anniversary of the Grant Date</w:t>
      </w:r>
    </w:p>
    <w:p>
      <w:pPr>
        <w:spacing w:after="0" w:line="23"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7"/>
          <w:szCs w:val="17"/>
          <w:color w:val="auto"/>
        </w:rPr>
        <w:t>On or after the second anniversary of the Grant Date</w:t>
      </w:r>
    </w:p>
    <w:p>
      <w:pPr>
        <w:spacing w:after="0" w:line="34"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8"/>
          <w:szCs w:val="18"/>
          <w:color w:val="auto"/>
        </w:rPr>
        <w:t>On or after the third anniversary of the Grant 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i w:val="1"/>
          <w:iCs w:val="1"/>
          <w:color w:val="auto"/>
        </w:rPr>
        <w:t>Cumulative Percentage of Stock</w:t>
      </w:r>
    </w:p>
    <w:p>
      <w:pPr>
        <w:spacing w:after="0" w:line="4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i w:val="1"/>
          <w:iCs w:val="1"/>
          <w:color w:val="auto"/>
        </w:rPr>
        <w:t>Option Award Exercisable</w:t>
      </w:r>
    </w:p>
    <w:p>
      <w:pPr>
        <w:spacing w:after="0" w:line="9"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34%</w:t>
      </w:r>
    </w:p>
    <w:p>
      <w:pPr>
        <w:spacing w:after="0" w:line="23"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67%</w:t>
      </w:r>
    </w:p>
    <w:p>
      <w:pPr>
        <w:spacing w:after="0" w:line="23"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ectPr>
          <w:pgSz w:w="11900" w:h="16838" w:orient="portrait"/>
          <w:cols w:equalWidth="0" w:num="2">
            <w:col w:w="6924" w:space="720"/>
            <w:col w:w="3280"/>
          </w:cols>
          <w:pgMar w:left="436" w:top="1130" w:right="539" w:bottom="1440" w:gutter="0" w:footer="0" w:header="0"/>
          <w:type w:val="continuous"/>
        </w:sectPr>
      </w:pPr>
    </w:p>
    <w:p>
      <w:pPr>
        <w:spacing w:after="0" w:line="20" w:lineRule="exact"/>
        <w:rPr>
          <w:sz w:val="20"/>
          <w:szCs w:val="20"/>
          <w:color w:val="auto"/>
        </w:rPr>
      </w:pPr>
    </w:p>
    <w:p>
      <w:pPr>
        <w:ind w:left="324" w:right="140" w:hanging="324"/>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4"/>
          </w:cols>
          <w:pgMar w:left="436" w:top="1130" w:right="539" w:bottom="1440" w:gutter="0" w:footer="0" w:header="0"/>
          <w:type w:val="continuous"/>
        </w:sectPr>
      </w:pPr>
    </w:p>
    <w:bookmarkStart w:id="10" w:name="page11"/>
    <w:bookmarkEnd w:id="10"/>
    <w:p>
      <w:pPr>
        <w:ind w:left="324" w:hanging="324"/>
        <w:spacing w:after="0" w:line="254"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339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Payment of Grant Price</w:t>
      </w:r>
      <w:r>
        <w:rPr>
          <w:rFonts w:ascii="Times New Roman" w:cs="Times New Roman" w:eastAsia="Times New Roman" w:hAnsi="Times New Roman"/>
          <w:sz w:val="18"/>
          <w:szCs w:val="18"/>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prior to the 10th anniversary of the Grant Date. Payment by cashless exercise shall not be considered to have occurred until the broker has issued confirmation of the transaction. For these purposes,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the New York Stock Exchange is open for trading for its regular trading sessions.</w:t>
      </w:r>
    </w:p>
    <w:p>
      <w:pPr>
        <w:spacing w:after="0" w:line="1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Important Award Details</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162" w:lineRule="exact"/>
        <w:rPr>
          <w:sz w:val="20"/>
          <w:szCs w:val="20"/>
          <w:color w:val="auto"/>
        </w:rPr>
      </w:pPr>
    </w:p>
    <w:p>
      <w:pPr>
        <w:ind w:left="324" w:right="100" w:hanging="324"/>
        <w:spacing w:after="0" w:line="289" w:lineRule="auto"/>
        <w:tabs>
          <w:tab w:leader="none" w:pos="3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or Disability</w:t>
      </w:r>
      <w:r>
        <w:rPr>
          <w:rFonts w:ascii="Times New Roman" w:cs="Times New Roman" w:eastAsia="Times New Roman" w:hAnsi="Times New Roman"/>
          <w:sz w:val="17"/>
          <w:szCs w:val="17"/>
          <w:color w:val="auto"/>
        </w:rPr>
        <w:t>. Upon Employee’s death or disability (as determined by the Committee and within the meaning of Section 409A of the Internal Revenue Code of 1986, as amended, and the Treasury Regulations issued thereunder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and specifically Section 409A(a)(2)(C)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Employee (or in the case of Employee’s death, Employee’s beneficiary) shall, subject to paragraph 2.e below, be entitled to:</w:t>
      </w:r>
    </w:p>
    <w:p>
      <w:pPr>
        <w:spacing w:after="0" w:line="157" w:lineRule="exact"/>
        <w:rPr>
          <w:rFonts w:ascii="Times New Roman" w:cs="Times New Roman" w:eastAsia="Times New Roman" w:hAnsi="Times New Roman"/>
          <w:sz w:val="17"/>
          <w:szCs w:val="17"/>
          <w:color w:val="auto"/>
        </w:rPr>
      </w:pPr>
    </w:p>
    <w:p>
      <w:pPr>
        <w:ind w:left="644" w:hanging="320"/>
        <w:spacing w:after="0" w:line="266"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175" w:lineRule="exact"/>
        <w:rPr>
          <w:rFonts w:ascii="Times New Roman" w:cs="Times New Roman" w:eastAsia="Times New Roman" w:hAnsi="Times New Roman"/>
          <w:sz w:val="18"/>
          <w:szCs w:val="18"/>
          <w:color w:val="auto"/>
        </w:rPr>
      </w:pPr>
    </w:p>
    <w:p>
      <w:pPr>
        <w:ind w:left="644" w:right="160" w:hanging="320"/>
        <w:spacing w:after="0" w:line="266"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all Stock Options outstanding under the Stock Option Award (whether or not previously exercisable) for one year following such event. Provided however, if Employee was eligible for </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xml:space="preserve"> (as defined in paragraph 2.d.i. below) at the time of his death or Disability, the Stock Option Award will remain exercisable for three years following the date of such event.</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PSU Award Upon Retirement or Involuntary Termination of Employment Without Cause by WM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80" w:hanging="320"/>
        <w:spacing w:after="0" w:line="256"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involuntary Termination of Employment by WM without Cause (as defined in paragraph 6.d.iii.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1095 (which amount shall be issued and paid as soon as practicable and no later than 74 days following the end of the Performance Period).</w:t>
      </w:r>
    </w:p>
    <w:p>
      <w:pPr>
        <w:spacing w:after="0" w:line="187" w:lineRule="exact"/>
        <w:rPr>
          <w:rFonts w:ascii="Times New Roman" w:cs="Times New Roman" w:eastAsia="Times New Roman" w:hAnsi="Times New Roman"/>
          <w:sz w:val="18"/>
          <w:szCs w:val="18"/>
          <w:color w:val="auto"/>
        </w:rPr>
      </w:pPr>
    </w:p>
    <w:p>
      <w:pPr>
        <w:ind w:left="644" w:hanging="320"/>
        <w:spacing w:after="0" w:line="254"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Employee’s Retirement (as defined in paragraph 2.d.i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2023, subject to paragraph 2.e below, he or she shall be eligible to receive a full payout at the end of the Performance Period (based upon actual Achievement).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4"/>
          </w:cols>
          <w:pgMar w:left="436" w:top="1134" w:right="459" w:bottom="1440" w:gutter="0" w:footer="0" w:header="0"/>
        </w:sectPr>
      </w:pPr>
    </w:p>
    <w:bookmarkStart w:id="11" w:name="page12"/>
    <w:bookmarkEnd w:id="11"/>
    <w:p>
      <w:pPr>
        <w:ind w:left="644" w:right="100" w:hanging="320"/>
        <w:spacing w:after="0" w:line="258" w:lineRule="auto"/>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37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t>In the event Employee is employed by a subsidiary of the Company that is sold by the Company in a transaction (i) that would not constitute a Change in Control of the Company within the meaning of paragraph 6.c.i. below, but (ii) 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83" w:lineRule="exact"/>
        <w:rPr>
          <w:rFonts w:ascii="Times New Roman" w:cs="Times New Roman" w:eastAsia="Times New Roman" w:hAnsi="Times New Roman"/>
          <w:sz w:val="18"/>
          <w:szCs w:val="18"/>
          <w:color w:val="auto"/>
        </w:rPr>
      </w:pPr>
    </w:p>
    <w:p>
      <w:pPr>
        <w:ind w:left="724" w:hanging="319"/>
        <w:spacing w:after="0"/>
        <w:tabs>
          <w:tab w:leader="none" w:pos="72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meanings set forth below for purposes of this Agreement:</w:t>
      </w:r>
    </w:p>
    <w:p>
      <w:pPr>
        <w:spacing w:after="0" w:line="221" w:lineRule="exact"/>
        <w:rPr>
          <w:rFonts w:ascii="Times New Roman" w:cs="Times New Roman" w:eastAsia="Times New Roman" w:hAnsi="Times New Roman"/>
          <w:sz w:val="18"/>
          <w:szCs w:val="18"/>
          <w:color w:val="auto"/>
        </w:rPr>
      </w:pPr>
    </w:p>
    <w:p>
      <w:pPr>
        <w:ind w:left="1304" w:right="60" w:hanging="332"/>
        <w:spacing w:after="0" w:line="259" w:lineRule="auto"/>
        <w:tabs>
          <w:tab w:leader="none" w:pos="1304"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Retirement </w:t>
      </w:r>
      <w:r>
        <w:rPr>
          <w:rFonts w:ascii="Times New Roman" w:cs="Times New Roman" w:eastAsia="Times New Roman" w:hAnsi="Times New Roman"/>
          <w:sz w:val="18"/>
          <w:szCs w:val="18"/>
          <w:color w:val="auto"/>
        </w:rPr>
        <w:t>means Termination of Employment due to the voluntary resignation of employment by Employee, after Employee (1)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reached age 55 or greater; (2) has a sum of age plus years of Service (as defined in paragraph ii. below) with WM equal to 65 or greater; and (3) has completed at least 5 consecutive full years of Service with WM during the 5 year period immediately preceding the resignation;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Employee is not receiving severance benefits pursuant to the severance pay plans of WM in connection with such Termination of Employment.</w:t>
      </w:r>
    </w:p>
    <w:p>
      <w:pPr>
        <w:spacing w:after="0" w:line="179" w:lineRule="exact"/>
        <w:rPr>
          <w:rFonts w:ascii="Times New Roman" w:cs="Times New Roman" w:eastAsia="Times New Roman" w:hAnsi="Times New Roman"/>
          <w:sz w:val="18"/>
          <w:szCs w:val="18"/>
          <w:color w:val="auto"/>
        </w:rPr>
      </w:pPr>
    </w:p>
    <w:p>
      <w:pPr>
        <w:ind w:left="1304" w:right="20" w:hanging="332"/>
        <w:spacing w:after="0" w:line="257" w:lineRule="auto"/>
        <w:tabs>
          <w:tab w:leader="none" w:pos="1304"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Service </w:t>
      </w:r>
      <w:r>
        <w:rPr>
          <w:rFonts w:ascii="Times New Roman" w:cs="Times New Roman" w:eastAsia="Times New Roman" w:hAnsi="Times New Roman"/>
          <w:sz w:val="18"/>
          <w:szCs w:val="18"/>
          <w:color w:val="auto"/>
        </w:rPr>
        <w:t>is measured from Employee’s original date of hire by WM, except as provided below. In the case of a break of employment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86" w:lineRule="exact"/>
        <w:rPr>
          <w:rFonts w:ascii="Times New Roman" w:cs="Times New Roman" w:eastAsia="Times New Roman" w:hAnsi="Times New Roman"/>
          <w:sz w:val="18"/>
          <w:szCs w:val="18"/>
          <w:color w:val="auto"/>
        </w:rPr>
      </w:pPr>
    </w:p>
    <w:p>
      <w:pPr>
        <w:ind w:left="724" w:right="100" w:hanging="319"/>
        <w:spacing w:after="0" w:line="281" w:lineRule="auto"/>
        <w:tabs>
          <w:tab w:leader="none" w:pos="724"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receive any of the vesting or exercisability benefits upon termination described in paragraphs 1, 2.a, 2.b or 3.b, Employee (or, if applicable, Employee’s estate) must (x) to the extent requested by WM,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64"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Stock Option Award upon Involuntary Termination; Resignation; Retirement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320"/>
        <w:spacing w:after="0" w:line="258" w:lineRule="auto"/>
        <w:tabs>
          <w:tab w:leader="none" w:pos="6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 Without Cause or Resignation by Employee</w:t>
      </w:r>
      <w:r>
        <w:rPr>
          <w:rFonts w:ascii="Times New Roman" w:cs="Times New Roman" w:eastAsia="Times New Roman" w:hAnsi="Times New Roman"/>
          <w:sz w:val="18"/>
          <w:szCs w:val="18"/>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183" w:lineRule="exact"/>
        <w:rPr>
          <w:rFonts w:ascii="Times New Roman" w:cs="Times New Roman" w:eastAsia="Times New Roman" w:hAnsi="Times New Roman"/>
          <w:sz w:val="18"/>
          <w:szCs w:val="18"/>
          <w:color w:val="auto"/>
        </w:rPr>
      </w:pPr>
    </w:p>
    <w:p>
      <w:pPr>
        <w:ind w:left="644" w:right="20" w:hanging="320"/>
        <w:spacing w:after="0" w:line="266" w:lineRule="auto"/>
        <w:tabs>
          <w:tab w:leader="none" w:pos="6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Upon Employee’s Retirement, the Stock Option Award shall, subject to paragraph 2.e above, continue to become exercisable under the applicable exercise schedule for three years following Employee’s Retirement and once exercisable shall remain exercisable for the three-year period following Employee’s Retirement.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4"/>
          </w:cols>
          <w:pgMar w:left="436" w:top="1134" w:right="459" w:bottom="1440" w:gutter="0" w:footer="0" w:header="0"/>
        </w:sectPr>
      </w:pPr>
    </w:p>
    <w:bookmarkStart w:id="12" w:name="page13"/>
    <w:bookmarkEnd w:id="12"/>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299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t>Termination of Employment for Other Reasons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60" w:hanging="320"/>
        <w:spacing w:after="0" w:line="258"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 in the Event of Involuntary Termination with Cause or Resignation by Employee</w:t>
      </w:r>
      <w:r>
        <w:rPr>
          <w:rFonts w:ascii="Times New Roman" w:cs="Times New Roman" w:eastAsia="Times New Roman" w:hAnsi="Times New Roman"/>
          <w:sz w:val="18"/>
          <w:szCs w:val="18"/>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2025, for any reason other than any termination that would qualify Employee for payout under paragraphs 1 through 2 above and 6 below, Employee shall immediately forfeit the PSU Award and any related Dividend Equivalents without payment of any consideration by WM.</w:t>
      </w:r>
    </w:p>
    <w:p>
      <w:pPr>
        <w:spacing w:after="0" w:line="183" w:lineRule="exact"/>
        <w:rPr>
          <w:rFonts w:ascii="Times New Roman" w:cs="Times New Roman" w:eastAsia="Times New Roman" w:hAnsi="Times New Roman"/>
          <w:sz w:val="18"/>
          <w:szCs w:val="18"/>
          <w:color w:val="auto"/>
        </w:rPr>
      </w:pPr>
    </w:p>
    <w:p>
      <w:pPr>
        <w:jc w:val="both"/>
        <w:ind w:left="644" w:right="240" w:hanging="320"/>
        <w:spacing w:after="0" w:line="312" w:lineRule="auto"/>
        <w:tabs>
          <w:tab w:leader="none" w:pos="64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Award in the Event of Involuntary Termination with Cause</w:t>
      </w:r>
      <w:r>
        <w:rPr>
          <w:rFonts w:ascii="Times New Roman" w:cs="Times New Roman" w:eastAsia="Times New Roman" w:hAnsi="Times New Roman"/>
          <w:sz w:val="17"/>
          <w:szCs w:val="17"/>
          <w:color w:val="auto"/>
        </w:rPr>
        <w:t>. Upon Termination of Employment by WM with Cause, Employee shall forfeit all Stock Options under the Stock Option Award, whether or not exercisable, without the payment of any consideration by WM.</w:t>
      </w:r>
    </w:p>
    <w:p>
      <w:pPr>
        <w:spacing w:after="0" w:line="139"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Award in the Event of Misconduct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40" w:hanging="320"/>
        <w:spacing w:after="0" w:line="254"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Times New Roman" w:cs="Times New Roman" w:eastAsia="Times New Roman" w:hAnsi="Times New Roman"/>
          <w:sz w:val="18"/>
          <w:szCs w:val="18"/>
          <w:b w:val="1"/>
          <w:bCs w:val="1"/>
          <w:i w:val="1"/>
          <w:iCs w:val="1"/>
          <w:color w:val="auto"/>
        </w:rPr>
        <w:t>Misconduct</w:t>
      </w:r>
      <w:r>
        <w:rPr>
          <w:rFonts w:ascii="Times New Roman" w:cs="Times New Roman" w:eastAsia="Times New Roman" w:hAnsi="Times New Roman"/>
          <w:sz w:val="18"/>
          <w:szCs w:val="18"/>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w:t>
      </w:r>
    </w:p>
    <w:p>
      <w:pPr>
        <w:spacing w:after="0" w:line="3" w:lineRule="exact"/>
        <w:rPr>
          <w:rFonts w:ascii="Times New Roman" w:cs="Times New Roman" w:eastAsia="Times New Roman" w:hAnsi="Times New Roman"/>
          <w:sz w:val="18"/>
          <w:szCs w:val="18"/>
          <w:color w:val="auto"/>
        </w:rPr>
      </w:pPr>
    </w:p>
    <w:p>
      <w:pPr>
        <w:ind w:left="644" w:right="40" w:firstLine="4"/>
        <w:spacing w:after="0" w:line="255" w:lineRule="auto"/>
        <w:tabs>
          <w:tab w:leader="none" w:pos="90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Times New Roman" w:cs="Times New Roman" w:eastAsia="Times New Roman" w:hAnsi="Times New Roman"/>
          <w:sz w:val="18"/>
          <w:szCs w:val="18"/>
          <w:b w:val="1"/>
          <w:bCs w:val="1"/>
          <w:i w:val="1"/>
          <w:iCs w:val="1"/>
          <w:color w:val="auto"/>
        </w:rPr>
        <w:t>Independent Third Party</w:t>
      </w:r>
      <w:r>
        <w:rPr>
          <w:rFonts w:ascii="Times New Roman" w:cs="Times New Roman" w:eastAsia="Times New Roman" w:hAnsi="Times New Roman"/>
          <w:sz w:val="18"/>
          <w:szCs w:val="18"/>
          <w:color w:val="auto"/>
        </w:rPr>
        <w:t>) appointed by the Committee.</w:t>
      </w:r>
    </w:p>
    <w:p>
      <w:pPr>
        <w:spacing w:after="0" w:line="185" w:lineRule="exact"/>
        <w:rPr>
          <w:rFonts w:ascii="Times New Roman" w:cs="Times New Roman" w:eastAsia="Times New Roman" w:hAnsi="Times New Roman"/>
          <w:sz w:val="18"/>
          <w:szCs w:val="18"/>
          <w:color w:val="auto"/>
        </w:rPr>
      </w:pPr>
    </w:p>
    <w:p>
      <w:pPr>
        <w:ind w:left="644" w:right="100" w:hanging="320"/>
        <w:spacing w:after="0" w:line="266"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175" w:lineRule="exact"/>
        <w:rPr>
          <w:rFonts w:ascii="Times New Roman" w:cs="Times New Roman" w:eastAsia="Times New Roman" w:hAnsi="Times New Roman"/>
          <w:sz w:val="18"/>
          <w:szCs w:val="18"/>
          <w:color w:val="auto"/>
        </w:rPr>
      </w:pPr>
    </w:p>
    <w:p>
      <w:pPr>
        <w:ind w:left="644" w:right="120" w:hanging="320"/>
        <w:spacing w:after="0" w:line="282"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must initiate recovery pursuant to this paragraph 5 by the earliest of (i) one year after discovery of alleged Misconduct, or (ii) the second anniversary of Employee’s Termination of Employment.</w:t>
      </w:r>
    </w:p>
    <w:p>
      <w:pPr>
        <w:spacing w:after="0" w:line="161" w:lineRule="exact"/>
        <w:rPr>
          <w:rFonts w:ascii="Times New Roman" w:cs="Times New Roman" w:eastAsia="Times New Roman" w:hAnsi="Times New Roman"/>
          <w:sz w:val="18"/>
          <w:szCs w:val="18"/>
          <w:color w:val="auto"/>
        </w:rPr>
      </w:pPr>
    </w:p>
    <w:p>
      <w:pPr>
        <w:ind w:left="644" w:right="640" w:hanging="320"/>
        <w:spacing w:after="0" w:line="282"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5, without any implication as to any other provision of this Agreement, shall survive the expiration or termination of this Agreement and Employee’s employment.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upon Change in Control</w:t>
      </w:r>
      <w:r>
        <w:rPr>
          <w:rFonts w:ascii="Times New Roman" w:cs="Times New Roman" w:eastAsia="Times New Roman" w:hAnsi="Times New Roman"/>
          <w:sz w:val="18"/>
          <w:szCs w:val="18"/>
          <w:color w:val="auto"/>
        </w:rPr>
        <w:t>. Overriding any other inconsistent terms of this Agreement:</w:t>
      </w:r>
    </w:p>
    <w:p>
      <w:pPr>
        <w:spacing w:after="0" w:line="221" w:lineRule="exact"/>
        <w:rPr>
          <w:rFonts w:ascii="Times New Roman" w:cs="Times New Roman" w:eastAsia="Times New Roman" w:hAnsi="Times New Roman"/>
          <w:sz w:val="18"/>
          <w:szCs w:val="18"/>
          <w:color w:val="auto"/>
        </w:rPr>
      </w:pPr>
    </w:p>
    <w:p>
      <w:pPr>
        <w:ind w:left="644" w:right="300" w:hanging="320"/>
        <w:spacing w:after="0" w:line="286"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w:t>
      </w:r>
      <w:r>
        <w:rPr>
          <w:rFonts w:ascii="Times New Roman" w:cs="Times New Roman" w:eastAsia="Times New Roman" w:hAnsi="Times New Roman"/>
          <w:sz w:val="18"/>
          <w:szCs w:val="18"/>
          <w:color w:val="auto"/>
        </w:rPr>
        <w:t xml:space="preserve">. If there is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in paragraph 6.c.i. below) before the close of the Performance Period, Employee is entitled to receive both i. and ii., as follows:</w:t>
      </w:r>
    </w:p>
    <w:p>
      <w:pPr>
        <w:spacing w:after="0" w:line="158" w:lineRule="exact"/>
        <w:rPr>
          <w:rFonts w:ascii="Times New Roman" w:cs="Times New Roman" w:eastAsia="Times New Roman" w:hAnsi="Times New Roman"/>
          <w:sz w:val="18"/>
          <w:szCs w:val="18"/>
          <w:color w:val="auto"/>
        </w:rPr>
      </w:pPr>
    </w:p>
    <w:p>
      <w:pPr>
        <w:ind w:left="1304" w:hanging="332"/>
        <w:spacing w:after="0"/>
        <w:tabs>
          <w:tab w:leader="none" w:pos="1304"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half of the PSU Award, the result of an equation with a numerator of</w:t>
      </w:r>
    </w:p>
    <w:p>
      <w:pPr>
        <w:spacing w:after="0" w:line="225" w:lineRule="exact"/>
        <w:rPr>
          <w:rFonts w:ascii="Times New Roman" w:cs="Times New Roman" w:eastAsia="Times New Roman" w:hAnsi="Times New Roman"/>
          <w:sz w:val="18"/>
          <w:szCs w:val="18"/>
          <w:color w:val="auto"/>
        </w:rPr>
      </w:pPr>
    </w:p>
    <w:p>
      <w:pPr>
        <w:ind w:left="1944" w:hanging="648"/>
        <w:spacing w:after="0" w:line="254" w:lineRule="auto"/>
        <w:tabs>
          <w:tab w:leader="none" w:pos="194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Times New Roman" w:cs="Times New Roman" w:eastAsia="Times New Roman" w:hAnsi="Times New Roman"/>
          <w:sz w:val="18"/>
          <w:szCs w:val="18"/>
          <w:b w:val="1"/>
          <w:bCs w:val="1"/>
          <w:i w:val="1"/>
          <w:iCs w:val="1"/>
          <w:color w:val="auto"/>
        </w:rPr>
        <w:t>Early Measurement Date</w:t>
      </w:r>
      <w:r>
        <w:rPr>
          <w:rFonts w:ascii="Times New Roman" w:cs="Times New Roman" w:eastAsia="Times New Roman" w:hAnsi="Times New Roman"/>
          <w:sz w:val="18"/>
          <w:szCs w:val="18"/>
          <w:color w:val="auto"/>
        </w:rPr>
        <w:t>”) and, for the Cash Flow Generation half of the PSU Award, after adjusting the Threshold, Target and Maximum Achievement Levels to reflect budgeted performance in the shorter Performance Period, multiplied by</w:t>
      </w:r>
    </w:p>
    <w:p>
      <w:pPr>
        <w:spacing w:after="0" w:line="3" w:lineRule="exact"/>
        <w:rPr>
          <w:rFonts w:ascii="Times New Roman" w:cs="Times New Roman" w:eastAsia="Times New Roman" w:hAnsi="Times New Roman"/>
          <w:sz w:val="18"/>
          <w:szCs w:val="18"/>
          <w:color w:val="auto"/>
        </w:rPr>
      </w:pPr>
    </w:p>
    <w:p>
      <w:pPr>
        <w:ind w:left="1944" w:right="700" w:hanging="648"/>
        <w:spacing w:after="0" w:line="260" w:lineRule="auto"/>
        <w:tabs>
          <w:tab w:leader="none" w:pos="194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equal to (1) the number of days occurring between the beginning of the Performance Period and the Early Measurement Date (including the Early Measurement Date) divided by (2) 1095.</w:t>
      </w:r>
    </w:p>
    <w:p>
      <w:pPr>
        <w:spacing w:after="0" w:line="181" w:lineRule="exact"/>
        <w:rPr>
          <w:sz w:val="20"/>
          <w:szCs w:val="20"/>
          <w:color w:val="auto"/>
        </w:rPr>
      </w:pPr>
    </w:p>
    <w:p>
      <w:pPr>
        <w:ind w:left="1304" w:right="140"/>
        <w:spacing w:after="0" w:line="261" w:lineRule="auto"/>
        <w:rPr>
          <w:sz w:val="20"/>
          <w:szCs w:val="20"/>
          <w:color w:val="auto"/>
        </w:rPr>
      </w:pPr>
      <w:r>
        <w:rPr>
          <w:rFonts w:ascii="Times New Roman" w:cs="Times New Roman" w:eastAsia="Times New Roman" w:hAnsi="Times New Roman"/>
          <w:sz w:val="18"/>
          <w:szCs w:val="18"/>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4"/>
          </w:cols>
          <w:pgMar w:left="436" w:top="1134" w:right="479" w:bottom="1440" w:gutter="0" w:footer="0" w:header="0"/>
        </w:sectPr>
      </w:pPr>
    </w:p>
    <w:bookmarkStart w:id="13" w:name="page14"/>
    <w:bookmarkEnd w:id="13"/>
    <w:p>
      <w:pPr>
        <w:ind w:left="900" w:hanging="332"/>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27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As a substitute award for the lost opportunity to continue to earn PSUs for the entire length of the original Performance Period:</w:t>
      </w:r>
    </w:p>
    <w:p>
      <w:pPr>
        <w:spacing w:after="0" w:line="225" w:lineRule="exact"/>
        <w:rPr>
          <w:rFonts w:ascii="Times New Roman" w:cs="Times New Roman" w:eastAsia="Times New Roman" w:hAnsi="Times New Roman"/>
          <w:sz w:val="18"/>
          <w:szCs w:val="18"/>
          <w:color w:val="auto"/>
        </w:rPr>
      </w:pPr>
    </w:p>
    <w:p>
      <w:pPr>
        <w:ind w:left="1220" w:right="260" w:hanging="328"/>
        <w:spacing w:after="0" w:line="266" w:lineRule="auto"/>
        <w:tabs>
          <w:tab w:leader="none" w:pos="1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TAP X (1095 – EMD) x CP</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1095</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 xml:space="preserve">TAP </w:t>
      </w:r>
      <w:r>
        <w:rPr>
          <w:rFonts w:ascii="Times New Roman" w:cs="Times New Roman" w:eastAsia="Times New Roman" w:hAnsi="Times New Roman"/>
          <w:sz w:val="18"/>
          <w:szCs w:val="18"/>
          <w:color w:val="auto"/>
        </w:rPr>
        <w:t>is the number of PSUs represented by the Target PSU Award;</w:t>
      </w:r>
    </w:p>
    <w:p>
      <w:pPr>
        <w:spacing w:after="0" w:line="9" w:lineRule="exact"/>
        <w:rPr>
          <w:sz w:val="20"/>
          <w:szCs w:val="20"/>
          <w:color w:val="auto"/>
        </w:rPr>
      </w:pPr>
    </w:p>
    <w:p>
      <w:pPr>
        <w:ind w:left="31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EMD </w:t>
      </w:r>
      <w:r>
        <w:rPr>
          <w:rFonts w:ascii="Times New Roman" w:cs="Times New Roman" w:eastAsia="Times New Roman" w:hAnsi="Times New Roman"/>
          <w:sz w:val="18"/>
          <w:szCs w:val="18"/>
          <w:color w:val="auto"/>
        </w:rPr>
        <w:t>is the number of days during the Performance Period which occur prior to and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Early Measurement Date; and</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 xml:space="preserve">CP </w:t>
      </w:r>
      <w:r>
        <w:rPr>
          <w:rFonts w:ascii="Times New Roman" w:cs="Times New Roman" w:eastAsia="Times New Roman" w:hAnsi="Times New Roman"/>
          <w:sz w:val="18"/>
          <w:szCs w:val="18"/>
          <w:color w:val="auto"/>
        </w:rPr>
        <w:t>is the closing price of a share of Common Stock of the Company on the Early Measurement Date.</w:t>
      </w:r>
    </w:p>
    <w:p>
      <w:pPr>
        <w:spacing w:after="0" w:line="207" w:lineRule="exact"/>
        <w:rPr>
          <w:sz w:val="20"/>
          <w:szCs w:val="20"/>
          <w:color w:val="auto"/>
        </w:rPr>
      </w:pPr>
    </w:p>
    <w:p>
      <w:pPr>
        <w:ind w:left="1220" w:right="20"/>
        <w:spacing w:after="0" w:line="269" w:lineRule="auto"/>
        <w:rPr>
          <w:sz w:val="20"/>
          <w:szCs w:val="20"/>
          <w:color w:val="auto"/>
        </w:rPr>
      </w:pPr>
      <w:r>
        <w:rPr>
          <w:rFonts w:ascii="Times New Roman" w:cs="Times New Roman" w:eastAsia="Times New Roman" w:hAnsi="Times New Roman"/>
          <w:sz w:val="17"/>
          <w:szCs w:val="17"/>
          <w:color w:val="auto"/>
        </w:rPr>
        <w:t xml:space="preserve">Any restricted stock units in the successor entity awarded under this paragraph 6.a.ii.1. will vest completely on December 31, 2025 (and be paid within 74 days thereof), provided that Employee remains continuously employed with the successor entity until then. Provided however, in the event of Employee’s involuntary Termination of Employment without Cause during the </w:t>
      </w:r>
      <w:r>
        <w:rPr>
          <w:rFonts w:ascii="Times New Roman" w:cs="Times New Roman" w:eastAsia="Times New Roman" w:hAnsi="Times New Roman"/>
          <w:sz w:val="17"/>
          <w:szCs w:val="17"/>
          <w:b w:val="1"/>
          <w:bCs w:val="1"/>
          <w:i w:val="1"/>
          <w:iCs w:val="1"/>
          <w:color w:val="auto"/>
        </w:rPr>
        <w:t>Window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Period </w:t>
      </w:r>
      <w:r>
        <w:rPr>
          <w:rFonts w:ascii="Times New Roman" w:cs="Times New Roman" w:eastAsia="Times New Roman" w:hAnsi="Times New Roman"/>
          <w:sz w:val="17"/>
          <w:szCs w:val="17"/>
          <w:color w:val="auto"/>
        </w:rPr>
        <w:t>(as defined in paragraph c.iv. below) or upon Employee’s Retirement, death or Disability, Employee shall become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immediately vested in full in the restricted stock units in the successor entity awarded pursuant to this paragraph 6.a.ii.1 and paid</w:t>
      </w:r>
    </w:p>
    <w:p>
      <w:pPr>
        <w:spacing w:after="0" w:line="3" w:lineRule="exact"/>
        <w:rPr>
          <w:sz w:val="20"/>
          <w:szCs w:val="20"/>
          <w:color w:val="auto"/>
        </w:rPr>
      </w:pPr>
    </w:p>
    <w:p>
      <w:pPr>
        <w:ind w:left="1220" w:right="260"/>
        <w:spacing w:after="0" w:line="260" w:lineRule="auto"/>
        <w:rPr>
          <w:sz w:val="20"/>
          <w:szCs w:val="20"/>
          <w:color w:val="auto"/>
        </w:rPr>
      </w:pPr>
      <w:r>
        <w:rPr>
          <w:rFonts w:ascii="Times New Roman" w:cs="Times New Roman" w:eastAsia="Times New Roman" w:hAnsi="Times New Roman"/>
          <w:sz w:val="18"/>
          <w:szCs w:val="18"/>
          <w:color w:val="auto"/>
        </w:rPr>
        <w:t>(i) in the case of death or Disability, within 74 days of such time or (ii) in the case of Retirement or involuntary Termination of Employment without Cause, within 74 days following December 31, 2025.</w:t>
      </w:r>
    </w:p>
    <w:p>
      <w:pPr>
        <w:spacing w:after="0" w:line="181" w:lineRule="exact"/>
        <w:rPr>
          <w:sz w:val="20"/>
          <w:szCs w:val="20"/>
          <w:color w:val="auto"/>
        </w:rPr>
      </w:pPr>
    </w:p>
    <w:p>
      <w:pPr>
        <w:ind w:left="1220" w:hanging="328"/>
        <w:spacing w:after="0" w:line="282" w:lineRule="auto"/>
        <w:tabs>
          <w:tab w:leader="none" w:pos="12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entity is not a publicly traded company as of the Early Measurement Date, an amount of cash equal to the quotient obtained from the equation in paragraph 6.a.ii.1. above.</w:t>
      </w:r>
    </w:p>
    <w:p>
      <w:pPr>
        <w:spacing w:after="0" w:line="161" w:lineRule="exact"/>
        <w:rPr>
          <w:rFonts w:ascii="Times New Roman" w:cs="Times New Roman" w:eastAsia="Times New Roman" w:hAnsi="Times New Roman"/>
          <w:sz w:val="18"/>
          <w:szCs w:val="18"/>
          <w:color w:val="auto"/>
        </w:rPr>
      </w:pPr>
    </w:p>
    <w:p>
      <w:pPr>
        <w:ind w:left="1220"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payment awarded under this paragraph 6.a.ii.2. will be paid to Employee as soon as administratively feasible (and no later than 74 days) following December 31, 2025,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2025.</w:t>
      </w:r>
    </w:p>
    <w:p>
      <w:pPr>
        <w:spacing w:after="0" w:line="187" w:lineRule="exact"/>
        <w:rPr>
          <w:rFonts w:ascii="Times New Roman" w:cs="Times New Roman" w:eastAsia="Times New Roman" w:hAnsi="Times New Roman"/>
          <w:sz w:val="18"/>
          <w:szCs w:val="18"/>
          <w:color w:val="auto"/>
        </w:rPr>
      </w:pPr>
    </w:p>
    <w:p>
      <w:pPr>
        <w:ind w:left="320" w:right="40" w:hanging="319"/>
        <w:spacing w:after="0" w:line="254"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Award</w:t>
      </w:r>
      <w:r>
        <w:rPr>
          <w:rFonts w:ascii="Times New Roman" w:cs="Times New Roman" w:eastAsia="Times New Roman" w:hAnsi="Times New Roman"/>
          <w:sz w:val="18"/>
          <w:szCs w:val="18"/>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840" w:top="1134" w:right="459" w:bottom="1440" w:gutter="0" w:footer="0" w:header="0"/>
        </w:sectPr>
      </w:pPr>
    </w:p>
    <w:bookmarkStart w:id="14" w:name="page15"/>
    <w:bookmarkEnd w:id="14"/>
    <w:p>
      <w:pPr>
        <w:ind w:left="640" w:hanging="32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790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The following terms shall have the meanings set forth below for purposes of this Agreement:</w:t>
      </w:r>
    </w:p>
    <w:p>
      <w:pPr>
        <w:spacing w:after="0" w:line="221" w:lineRule="exact"/>
        <w:rPr>
          <w:rFonts w:ascii="Times New Roman" w:cs="Times New Roman" w:eastAsia="Times New Roman" w:hAnsi="Times New Roman"/>
          <w:sz w:val="18"/>
          <w:szCs w:val="18"/>
          <w:color w:val="auto"/>
        </w:rPr>
      </w:pPr>
    </w:p>
    <w:p>
      <w:pPr>
        <w:ind w:left="1120" w:hanging="314"/>
        <w:spacing w:after="0"/>
        <w:tabs>
          <w:tab w:leader="none" w:pos="11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the first to occur of any of the following:</w:t>
      </w:r>
    </w:p>
    <w:p>
      <w:pPr>
        <w:spacing w:after="0" w:line="229" w:lineRule="exact"/>
        <w:rPr>
          <w:rFonts w:ascii="Times New Roman" w:cs="Times New Roman" w:eastAsia="Times New Roman" w:hAnsi="Times New Roman"/>
          <w:sz w:val="18"/>
          <w:szCs w:val="18"/>
          <w:color w:val="auto"/>
        </w:rPr>
      </w:pPr>
    </w:p>
    <w:p>
      <w:pPr>
        <w:ind w:left="1620" w:right="160" w:hanging="328"/>
        <w:spacing w:after="0" w:line="261"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79" w:lineRule="exact"/>
        <w:rPr>
          <w:rFonts w:ascii="Times New Roman" w:cs="Times New Roman" w:eastAsia="Times New Roman" w:hAnsi="Times New Roman"/>
          <w:sz w:val="18"/>
          <w:szCs w:val="18"/>
          <w:color w:val="auto"/>
        </w:rPr>
      </w:pPr>
    </w:p>
    <w:p>
      <w:pPr>
        <w:ind w:left="1620" w:right="100" w:hanging="328"/>
        <w:spacing w:after="0" w:line="261"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79" w:lineRule="exact"/>
        <w:rPr>
          <w:rFonts w:ascii="Times New Roman" w:cs="Times New Roman" w:eastAsia="Times New Roman" w:hAnsi="Times New Roman"/>
          <w:sz w:val="18"/>
          <w:szCs w:val="18"/>
          <w:color w:val="auto"/>
        </w:rPr>
      </w:pPr>
    </w:p>
    <w:p>
      <w:pPr>
        <w:ind w:left="1620" w:hanging="328"/>
        <w:spacing w:after="0" w:line="255"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at the Grant Date, constitute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88" w:lineRule="exact"/>
        <w:rPr>
          <w:rFonts w:ascii="Times New Roman" w:cs="Times New Roman" w:eastAsia="Times New Roman" w:hAnsi="Times New Roman"/>
          <w:sz w:val="18"/>
          <w:szCs w:val="18"/>
          <w:color w:val="auto"/>
        </w:rPr>
      </w:pPr>
    </w:p>
    <w:p>
      <w:pPr>
        <w:ind w:left="1620" w:right="80" w:hanging="328"/>
        <w:spacing w:after="0" w:line="272" w:lineRule="auto"/>
        <w:tabs>
          <w:tab w:leader="none" w:pos="162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w:t>
      </w:r>
      <w:r>
        <w:rPr>
          <w:rFonts w:ascii="Times New Roman" w:cs="Times New Roman" w:eastAsia="Times New Roman" w:hAnsi="Times New Roman"/>
          <w:sz w:val="18"/>
          <w:szCs w:val="18"/>
          <w:color w:val="auto"/>
          <w:highlight w:val="white"/>
        </w:rPr>
        <w:t>also constitute a “change in the ownership of a corporation,” 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effective control of a corporation,” or a “change in the ownership of a substantial portion of a corporation’s assets,” in each case, within the meaning of Section 409A.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definition, the following terms shall have the following meanings:</w:t>
      </w:r>
    </w:p>
    <w:p>
      <w:pPr>
        <w:spacing w:after="0" w:line="221" w:lineRule="exact"/>
        <w:rPr>
          <w:sz w:val="20"/>
          <w:szCs w:val="20"/>
          <w:color w:val="auto"/>
        </w:rPr>
      </w:pPr>
    </w:p>
    <w:p>
      <w:pPr>
        <w:ind w:left="3160" w:hanging="572"/>
        <w:spacing w:after="0"/>
        <w:tabs>
          <w:tab w:leader="none" w:pos="3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and Exchange Act of 1934, as amended from time to time;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15" w:name="page16"/>
    <w:bookmarkEnd w:id="15"/>
    <w:p>
      <w:pPr>
        <w:ind w:left="1944" w:right="40" w:firstLine="648"/>
        <w:spacing w:after="0" w:line="257" w:lineRule="auto"/>
        <w:tabs>
          <w:tab w:leader="none" w:pos="31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339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82" w:lineRule="exact"/>
        <w:rPr>
          <w:rFonts w:ascii="Times New Roman" w:cs="Times New Roman" w:eastAsia="Times New Roman" w:hAnsi="Times New Roman"/>
          <w:sz w:val="18"/>
          <w:szCs w:val="18"/>
          <w:color w:val="auto"/>
        </w:rPr>
      </w:pPr>
    </w:p>
    <w:p>
      <w:pPr>
        <w:ind w:left="964" w:right="100" w:hanging="154"/>
        <w:spacing w:after="0" w:line="259"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of Employment </w:t>
      </w:r>
      <w:r>
        <w:rPr>
          <w:rFonts w:ascii="Times New Roman" w:cs="Times New Roman" w:eastAsia="Times New Roman" w:hAnsi="Times New Roman"/>
          <w:sz w:val="18"/>
          <w:szCs w:val="18"/>
          <w:color w:val="auto"/>
        </w:rPr>
        <w:t>means the termination of Employee’s employment or other service relationship with WM as determined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9" w:lineRule="exact"/>
        <w:rPr>
          <w:sz w:val="20"/>
          <w:szCs w:val="20"/>
          <w:color w:val="auto"/>
        </w:rPr>
      </w:pPr>
    </w:p>
    <w:p>
      <w:pPr>
        <w:ind w:left="1004" w:hanging="201"/>
        <w:spacing w:after="0" w:line="255"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means any of the following: (1) willful or deliberate and continual refusal to materially 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Times New Roman" w:cs="Times New Roman" w:eastAsia="Times New Roman" w:hAnsi="Times New Roman"/>
          <w:sz w:val="18"/>
          <w:szCs w:val="18"/>
          <w:i w:val="1"/>
          <w:iCs w:val="1"/>
          <w:color w:val="auto"/>
        </w:rPr>
        <w:t xml:space="preserve">nolo contendre </w:t>
      </w:r>
      <w:r>
        <w:rPr>
          <w:rFonts w:ascii="Times New Roman" w:cs="Times New Roman" w:eastAsia="Times New Roman" w:hAnsi="Times New Roman"/>
          <w:sz w:val="18"/>
          <w:szCs w:val="18"/>
          <w:color w:val="auto"/>
        </w:rPr>
        <w:t>to, any felony; (4) Employee willfully or intentionally caused material injury to WM, its property, or its assets;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85" w:lineRule="exact"/>
        <w:rPr>
          <w:sz w:val="20"/>
          <w:szCs w:val="20"/>
          <w:color w:val="auto"/>
        </w:rPr>
      </w:pPr>
    </w:p>
    <w:p>
      <w:pPr>
        <w:ind w:left="984" w:right="440" w:hanging="174"/>
        <w:spacing w:after="0" w:line="286" w:lineRule="auto"/>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xml:space="preserve"> means the period beginning on the date occurring six (6) months immediately prior to the date on which a Change in Control first occurs and ending on the second anniversary of the date on which a Change in Control occurs.</w:t>
      </w:r>
    </w:p>
    <w:p>
      <w:pPr>
        <w:spacing w:after="0" w:line="155" w:lineRule="exact"/>
        <w:rPr>
          <w:sz w:val="20"/>
          <w:szCs w:val="20"/>
          <w:color w:val="auto"/>
        </w:rPr>
      </w:pPr>
    </w:p>
    <w:p>
      <w:pPr>
        <w:ind w:left="324" w:right="20" w:hanging="324"/>
        <w:spacing w:after="0" w:line="254"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 on PSUs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19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120" w:hanging="320"/>
        <w:spacing w:after="0" w:line="255" w:lineRule="auto"/>
        <w:tabs>
          <w:tab w:leader="none" w:pos="6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Times New Roman" w:cs="Times New Roman" w:eastAsia="Times New Roman" w:hAnsi="Times New Roman"/>
          <w:sz w:val="18"/>
          <w:szCs w:val="18"/>
          <w:b w:val="1"/>
          <w:bCs w:val="1"/>
          <w:i w:val="1"/>
          <w:iCs w:val="1"/>
          <w:color w:val="auto"/>
        </w:rPr>
        <w:t>Deferral Election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Times New Roman" w:cs="Times New Roman" w:eastAsia="Times New Roman" w:hAnsi="Times New Roman"/>
          <w:sz w:val="18"/>
          <w:szCs w:val="18"/>
          <w:b w:val="1"/>
          <w:bCs w:val="1"/>
          <w:i w:val="1"/>
          <w:iCs w:val="1"/>
          <w:color w:val="auto"/>
        </w:rPr>
        <w:t>WM 409A Plan</w:t>
      </w:r>
      <w:r>
        <w:rPr>
          <w:rFonts w:ascii="Times New Roman" w:cs="Times New Roman" w:eastAsia="Times New Roman" w:hAnsi="Times New Roman"/>
          <w:sz w:val="18"/>
          <w:szCs w:val="18"/>
          <w:color w:val="auto"/>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4"/>
          </w:cols>
          <w:pgMar w:left="436" w:top="1130" w:right="459" w:bottom="1440" w:gutter="0" w:footer="0" w:header="0"/>
        </w:sectPr>
      </w:pPr>
    </w:p>
    <w:bookmarkStart w:id="16" w:name="page17"/>
    <w:bookmarkEnd w:id="16"/>
    <w:p>
      <w:pPr>
        <w:ind w:left="644" w:right="180" w:hanging="320"/>
        <w:spacing w:after="0" w:line="266"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516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175" w:lineRule="exact"/>
        <w:rPr>
          <w:rFonts w:ascii="Times New Roman" w:cs="Times New Roman" w:eastAsia="Times New Roman" w:hAnsi="Times New Roman"/>
          <w:sz w:val="18"/>
          <w:szCs w:val="18"/>
          <w:color w:val="auto"/>
        </w:rPr>
      </w:pPr>
    </w:p>
    <w:p>
      <w:pPr>
        <w:ind w:left="644" w:hanging="320"/>
        <w:spacing w:after="0" w:line="256"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183"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229" w:lineRule="exact"/>
        <w:rPr>
          <w:sz w:val="20"/>
          <w:szCs w:val="20"/>
          <w:color w:val="auto"/>
        </w:rPr>
      </w:pPr>
    </w:p>
    <w:p>
      <w:pPr>
        <w:ind w:left="324" w:hanging="324"/>
        <w:spacing w:after="0"/>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20" w:hanging="320"/>
        <w:spacing w:after="0" w:line="261" w:lineRule="auto"/>
        <w:tabs>
          <w:tab w:leader="none" w:pos="6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79" w:lineRule="exact"/>
        <w:rPr>
          <w:rFonts w:ascii="Times New Roman" w:cs="Times New Roman" w:eastAsia="Times New Roman" w:hAnsi="Times New Roman"/>
          <w:sz w:val="18"/>
          <w:szCs w:val="18"/>
          <w:color w:val="auto"/>
        </w:rPr>
      </w:pPr>
    </w:p>
    <w:p>
      <w:pPr>
        <w:ind w:left="644" w:right="40" w:hanging="320"/>
        <w:spacing w:after="0" w:line="254" w:lineRule="auto"/>
        <w:tabs>
          <w:tab w:leader="none" w:pos="6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9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will be issued under the Plan or this Agreement.</w:t>
      </w:r>
    </w:p>
    <w:p>
      <w:pPr>
        <w:spacing w:after="0" w:line="225" w:lineRule="exact"/>
        <w:rPr>
          <w:rFonts w:ascii="Times New Roman" w:cs="Times New Roman" w:eastAsia="Times New Roman" w:hAnsi="Times New Roman"/>
          <w:sz w:val="18"/>
          <w:szCs w:val="18"/>
          <w:color w:val="auto"/>
        </w:rPr>
      </w:pPr>
    </w:p>
    <w:p>
      <w:pPr>
        <w:ind w:left="324" w:right="60" w:hanging="324"/>
        <w:spacing w:after="0" w:line="255"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4"/>
          </w:cols>
          <w:pgMar w:left="436" w:top="1134" w:right="439" w:bottom="1440" w:gutter="0" w:footer="0" w:header="0"/>
        </w:sectPr>
      </w:pPr>
    </w:p>
    <w:bookmarkStart w:id="17" w:name="page18"/>
    <w:bookmarkEnd w:id="17"/>
    <w:p>
      <w:pPr>
        <w:ind w:left="324" w:right="40" w:hanging="324"/>
        <w:spacing w:after="0" w:line="256"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025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Compliance with Securities Laws.</w:t>
      </w:r>
      <w:r>
        <w:rPr>
          <w:rFonts w:ascii="Times New Roman" w:cs="Times New Roman" w:eastAsia="Times New Roman" w:hAnsi="Times New Roman"/>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87" w:lineRule="exact"/>
        <w:rPr>
          <w:rFonts w:ascii="Times New Roman" w:cs="Times New Roman" w:eastAsia="Times New Roman" w:hAnsi="Times New Roman"/>
          <w:sz w:val="18"/>
          <w:szCs w:val="18"/>
          <w:color w:val="auto"/>
        </w:rPr>
      </w:pPr>
    </w:p>
    <w:p>
      <w:pPr>
        <w:ind w:left="324"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83" w:lineRule="exact"/>
        <w:rPr>
          <w:rFonts w:ascii="Times New Roman" w:cs="Times New Roman" w:eastAsia="Times New Roman" w:hAnsi="Times New Roman"/>
          <w:sz w:val="18"/>
          <w:szCs w:val="18"/>
          <w:color w:val="auto"/>
        </w:rPr>
      </w:pPr>
    </w:p>
    <w:p>
      <w:pPr>
        <w:ind w:left="324" w:right="80" w:hanging="324"/>
        <w:spacing w:after="0" w:line="261"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to Have no Rights as a Stockholder.</w:t>
      </w:r>
      <w:r>
        <w:rPr>
          <w:rFonts w:ascii="Times New Roman" w:cs="Times New Roman" w:eastAsia="Times New Roman" w:hAnsi="Times New Roman"/>
          <w:sz w:val="18"/>
          <w:szCs w:val="18"/>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“Important Award Details.”</w:t>
      </w:r>
    </w:p>
    <w:p>
      <w:pPr>
        <w:spacing w:after="0" w:line="179" w:lineRule="exact"/>
        <w:rPr>
          <w:rFonts w:ascii="Times New Roman" w:cs="Times New Roman" w:eastAsia="Times New Roman" w:hAnsi="Times New Roman"/>
          <w:sz w:val="18"/>
          <w:szCs w:val="18"/>
          <w:color w:val="auto"/>
        </w:rPr>
      </w:pPr>
    </w:p>
    <w:p>
      <w:pPr>
        <w:ind w:left="324" w:right="40" w:hanging="324"/>
        <w:spacing w:after="0" w:line="256"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“Important Award Details.”</w:t>
      </w:r>
    </w:p>
    <w:p>
      <w:pPr>
        <w:spacing w:after="0" w:line="18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 may be construed to:</w:t>
      </w:r>
    </w:p>
    <w:p>
      <w:pPr>
        <w:spacing w:after="0" w:line="22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any right to be awarded any further Awards other than in the sole discretion of the Committee;</w:t>
      </w:r>
    </w:p>
    <w:p>
      <w:pPr>
        <w:spacing w:after="0" w:line="225" w:lineRule="exact"/>
        <w:rPr>
          <w:rFonts w:ascii="Times New Roman" w:cs="Times New Roman" w:eastAsia="Times New Roman" w:hAnsi="Times New Roman"/>
          <w:sz w:val="18"/>
          <w:szCs w:val="18"/>
          <w:color w:val="auto"/>
        </w:rPr>
      </w:pPr>
    </w:p>
    <w:p>
      <w:pPr>
        <w:ind w:left="644" w:right="140" w:hanging="320"/>
        <w:spacing w:after="0" w:line="266" w:lineRule="auto"/>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7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the right to continue in the employment or service of WM.</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Texas, without reference to principles of conflict of laws.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Severability/Entire Agreement</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w:t>
      </w:r>
    </w:p>
    <w:p>
      <w:pPr>
        <w:spacing w:after="0" w:line="161" w:lineRule="exact"/>
        <w:rPr>
          <w:rFonts w:ascii="Times New Roman" w:cs="Times New Roman" w:eastAsia="Times New Roman" w:hAnsi="Times New Roman"/>
          <w:sz w:val="18"/>
          <w:szCs w:val="18"/>
          <w:color w:val="auto"/>
        </w:rPr>
      </w:pPr>
    </w:p>
    <w:p>
      <w:pPr>
        <w:ind w:left="644" w:right="20" w:hanging="320"/>
        <w:spacing w:after="0" w:line="254" w:lineRule="auto"/>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4"/>
          </w:cols>
          <w:pgMar w:left="436" w:top="1134" w:right="459" w:bottom="1440" w:gutter="0" w:footer="0" w:header="0"/>
        </w:sectPr>
      </w:pPr>
    </w:p>
    <w:bookmarkStart w:id="18" w:name="page19"/>
    <w:bookmarkEnd w:id="18"/>
    <w:p>
      <w:pPr>
        <w:ind w:left="644" w:right="600" w:hanging="320"/>
        <w:spacing w:after="0" w:line="282"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339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Employee understands and agrees that he or she is to consult with and rely upon only Employee’s own tax, legal, and financial advisors regarding the consequences and risks of this Agreement and the awards made under this Agreement.</w:t>
      </w:r>
    </w:p>
    <w:p>
      <w:pPr>
        <w:spacing w:after="0" w:line="161" w:lineRule="exact"/>
        <w:rPr>
          <w:rFonts w:ascii="Times New Roman" w:cs="Times New Roman" w:eastAsia="Times New Roman" w:hAnsi="Times New Roman"/>
          <w:sz w:val="18"/>
          <w:szCs w:val="18"/>
          <w:color w:val="auto"/>
        </w:rPr>
      </w:pPr>
    </w:p>
    <w:p>
      <w:pPr>
        <w:ind w:left="644" w:right="100" w:hanging="320"/>
        <w:spacing w:after="0" w:line="266"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7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61" w:lineRule="exact"/>
        <w:rPr>
          <w:rFonts w:ascii="Times New Roman" w:cs="Times New Roman" w:eastAsia="Times New Roman" w:hAnsi="Times New Roman"/>
          <w:sz w:val="18"/>
          <w:szCs w:val="18"/>
          <w:color w:val="auto"/>
        </w:rPr>
      </w:pPr>
    </w:p>
    <w:p>
      <w:pPr>
        <w:ind w:left="324" w:right="20" w:hanging="324"/>
        <w:spacing w:after="0" w:line="261"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Requirement Essential Part of Award</w:t>
      </w:r>
      <w:r>
        <w:rPr>
          <w:rFonts w:ascii="Times New Roman" w:cs="Times New Roman" w:eastAsia="Times New Roman" w:hAnsi="Times New Roman"/>
          <w:sz w:val="18"/>
          <w:szCs w:val="18"/>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If not defined in this Agreement, capitalized terms have the meanings set forth in the Plan.</w:t>
      </w:r>
    </w:p>
    <w:p>
      <w:pPr>
        <w:spacing w:after="0" w:line="225" w:lineRule="exact"/>
        <w:rPr>
          <w:rFonts w:ascii="Times New Roman" w:cs="Times New Roman" w:eastAsia="Times New Roman" w:hAnsi="Times New Roman"/>
          <w:sz w:val="18"/>
          <w:szCs w:val="18"/>
          <w:color w:val="auto"/>
        </w:rPr>
      </w:pPr>
    </w:p>
    <w:p>
      <w:pPr>
        <w:ind w:left="324" w:hanging="324"/>
        <w:spacing w:after="0" w:line="252"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94" w:lineRule="exact"/>
        <w:rPr>
          <w:rFonts w:ascii="Times New Roman" w:cs="Times New Roman" w:eastAsia="Times New Roman" w:hAnsi="Times New Roman"/>
          <w:sz w:val="18"/>
          <w:szCs w:val="18"/>
          <w:color w:val="auto"/>
        </w:rPr>
      </w:pPr>
    </w:p>
    <w:p>
      <w:pPr>
        <w:ind w:left="324" w:right="80" w:hanging="324"/>
        <w:spacing w:after="0" w:line="253"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Personal Data</w:t>
      </w:r>
      <w:r>
        <w:rPr>
          <w:rFonts w:ascii="Times New Roman" w:cs="Times New Roman" w:eastAsia="Times New Roman" w:hAnsi="Times New Roman"/>
          <w:sz w:val="18"/>
          <w:szCs w:val="18"/>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4"/>
          </w:cols>
          <w:pgMar w:left="436" w:top="1134" w:right="459" w:bottom="1440" w:gutter="0" w:footer="0" w:header="0"/>
        </w:sectPr>
      </w:pPr>
    </w:p>
    <w:bookmarkStart w:id="19" w:name="page20"/>
    <w:bookmarkEnd w:id="19"/>
    <w:p>
      <w:pPr>
        <w:jc w:val="both"/>
        <w:ind w:left="324" w:right="220" w:hanging="324"/>
        <w:spacing w:after="0" w:line="266"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596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359600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75" w:lineRule="exact"/>
        <w:rPr>
          <w:rFonts w:ascii="Times New Roman" w:cs="Times New Roman" w:eastAsia="Times New Roman" w:hAnsi="Times New Roman"/>
          <w:sz w:val="18"/>
          <w:szCs w:val="18"/>
          <w:color w:val="auto"/>
        </w:rPr>
      </w:pPr>
    </w:p>
    <w:p>
      <w:pPr>
        <w:ind w:left="324" w:right="60" w:hanging="324"/>
        <w:spacing w:after="0" w:line="261"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79" w:lineRule="exact"/>
        <w:rPr>
          <w:rFonts w:ascii="Times New Roman" w:cs="Times New Roman" w:eastAsia="Times New Roman" w:hAnsi="Times New Roman"/>
          <w:sz w:val="18"/>
          <w:szCs w:val="18"/>
          <w:color w:val="auto"/>
        </w:rPr>
      </w:pPr>
    </w:p>
    <w:p>
      <w:pPr>
        <w:ind w:left="324" w:right="160" w:hanging="324"/>
        <w:spacing w:after="0" w:line="261" w:lineRule="auto"/>
        <w:tabs>
          <w:tab w:leader="none" w:pos="2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79" w:lineRule="exact"/>
        <w:rPr>
          <w:rFonts w:ascii="Times New Roman" w:cs="Times New Roman" w:eastAsia="Times New Roman" w:hAnsi="Times New Roman"/>
          <w:sz w:val="18"/>
          <w:szCs w:val="18"/>
          <w:color w:val="auto"/>
        </w:rPr>
      </w:pPr>
    </w:p>
    <w:p>
      <w:pPr>
        <w:ind w:left="324" w:hanging="324"/>
        <w:spacing w:after="0" w:line="254"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Arbitration</w:t>
      </w:r>
      <w:r>
        <w:rPr>
          <w:rFonts w:ascii="Times New Roman" w:cs="Times New Roman" w:eastAsia="Times New Roman" w:hAnsi="Times New Roman"/>
          <w:sz w:val="18"/>
          <w:szCs w:val="18"/>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the Company and Employee agree that such dispute shall be settled exclusively by final and binding arbitration, as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arbitration proceeding, including the rendering of an award, if any, shall be administered by JAMS pursuant to its Employment Arbitration Rules and Procedures, which may be found on the JAMS Website </w:t>
      </w:r>
      <w:r>
        <w:rPr>
          <w:rFonts w:ascii="Times New Roman" w:cs="Times New Roman" w:eastAsia="Times New Roman" w:hAnsi="Times New Roman"/>
          <w:sz w:val="18"/>
          <w:szCs w:val="18"/>
          <w:b w:val="1"/>
          <w:bCs w:val="1"/>
          <w:color w:val="auto"/>
        </w:rPr>
        <w:t>www.jamsadr.com</w:t>
      </w:r>
      <w:r>
        <w:rPr>
          <w:rFonts w:ascii="Times New Roman" w:cs="Times New Roman" w:eastAsia="Times New Roman" w:hAnsi="Times New Roman"/>
          <w:sz w:val="18"/>
          <w:szCs w:val="18"/>
          <w:color w:val="auto"/>
        </w:rPr>
        <w:t>. All expenses associated with the arbitration shall be borne by WM; provided however, that such arbitration expenses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attorney fees incurred by the respective parties. Judgment on any arbitration award may be entered in any court having jurisdiction.</w:t>
      </w:r>
    </w:p>
    <w:p>
      <w:pPr>
        <w:spacing w:after="0" w:line="19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4"/>
          </w:cols>
          <w:pgMar w:left="436" w:top="1134" w:right="479" w:bottom="1440" w:gutter="0" w:footer="0" w:header="0"/>
        </w:sectPr>
      </w:pPr>
    </w:p>
    <w:bookmarkStart w:id="20" w:name="page21"/>
    <w:bookmarkEnd w:id="20"/>
    <w:p>
      <w:pPr>
        <w:ind w:left="5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140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401445"/>
                    </a:xfrm>
                    <a:prstGeom prst="rect">
                      <a:avLst/>
                    </a:prstGeom>
                    <a:noFill/>
                  </pic:spPr>
                </pic:pic>
              </a:graphicData>
            </a:graphic>
          </wp:anchor>
        </w:drawing>
        <w:t>Execution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Agreement to be duly executed by one of its officers thereunto duly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 has executed this Agreement, effective as of </w:t>
      </w:r>
      <w:r>
        <w:rPr>
          <w:rFonts w:ascii="Times New Roman" w:cs="Times New Roman" w:eastAsia="Times New Roman" w:hAnsi="Times New Roman"/>
          <w:sz w:val="18"/>
          <w:szCs w:val="18"/>
          <w:b w:val="1"/>
          <w:bCs w:val="1"/>
          <w:u w:val="single" w:color="auto"/>
          <w:color w:val="auto"/>
        </w:rPr>
        <w:t>March 7, 2023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b w:val="1"/>
          <w:bCs w:val="1"/>
          <w:color w:val="auto"/>
        </w:rPr>
        <w:t>WASTE MANAGEMENT, INC.</w:t>
      </w:r>
      <w:r>
        <w:rPr>
          <w:sz w:val="20"/>
          <w:szCs w:val="20"/>
          <w:color w:val="auto"/>
        </w:rPr>
        <w:tab/>
      </w: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40"/>
      </w:cols>
      <w:pgMar w:left="440" w:top="113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25E45D3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6">
    <w:nsid w:val="431BD7B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1."/>
      <w:numFmt w:val="decimal"/>
      <w:start w:val="5"/>
    </w:lvl>
  </w:abstractNum>
  <w:abstractNum w:abstractNumId="11">
    <w:nsid w:val="436C6125"/>
    <w:multiLevelType w:val="hybridMultilevel"/>
    <w:lvl w:ilvl="0">
      <w:lvlJc w:val="left"/>
      <w:lvlText w:val="%1."/>
      <w:numFmt w:val="decimal"/>
      <w:start w:val="1"/>
    </w:lvl>
    <w:lvl w:ilvl="1">
      <w:lvlJc w:val="left"/>
      <w:lvlText w:val="%2."/>
      <w:numFmt w:val="lowerLetter"/>
      <w:start w:val="1"/>
    </w:lvl>
  </w:abstractNum>
  <w:abstractNum w:abstractNumId="12">
    <w:nsid w:val="628C895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lvl w:ilvl="3">
      <w:lvlJc w:val="left"/>
      <w:lvlText w:val="%4."/>
      <w:numFmt w:val="lowerRoman"/>
      <w:start w:val="1"/>
    </w:lvl>
  </w:abstractNum>
  <w:abstractNum w:abstractNumId="13">
    <w:nsid w:val="333AB10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4">
    <w:nsid w:val="721DA31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5"/>
    </w:lvl>
    <w:lvl w:ilvl="3">
      <w:lvlJc w:val="left"/>
      <w:lvlText w:val="%4."/>
      <w:numFmt w:val="lowerRoman"/>
      <w:start w:val="1"/>
    </w:lvl>
    <w:lvl w:ilvl="4">
      <w:lvlJc w:val="left"/>
      <w:lvlText w:val="(%5)"/>
      <w:numFmt w:val="lowerLetter"/>
      <w:start w:val="24"/>
    </w:lvl>
  </w:abstractNum>
  <w:abstractNum w:abstractNumId="15">
    <w:nsid w:val="2443A858"/>
    <w:multiLevelType w:val="hybridMultilevel"/>
    <w:lvl w:ilvl="0">
      <w:lvlJc w:val="left"/>
      <w:lvlText w:val="%1."/>
      <w:numFmt w:val="lowerRoman"/>
      <w:start w:val="2"/>
    </w:lvl>
    <w:lvl w:ilvl="1">
      <w:lvlJc w:val="left"/>
      <w:lvlText w:val="%2."/>
      <w:numFmt w:val="decimal"/>
      <w:start w:val="1"/>
    </w:lvl>
  </w:abstractNum>
  <w:abstractNum w:abstractNumId="16">
    <w:nsid w:val="2D1D5AE9"/>
    <w:multiLevelType w:val="hybridMultilevel"/>
    <w:lvl w:ilvl="0">
      <w:lvlJc w:val="left"/>
      <w:lvlText w:val="%1"/>
      <w:numFmt w:val="lowerLetter"/>
      <w:start w:val="1"/>
    </w:lvl>
    <w:lvl w:ilvl="1">
      <w:lvlJc w:val="left"/>
      <w:lvlText w:val="%2."/>
      <w:numFmt w:val="decimal"/>
      <w:start w:val="2"/>
    </w:lvl>
  </w:abstractNum>
  <w:abstractNum w:abstractNumId="17">
    <w:nsid w:val="6763845E"/>
    <w:multiLevelType w:val="hybridMultilevel"/>
    <w:lvl w:ilvl="0">
      <w:lvlJc w:val="left"/>
      <w:lvlText w:val="%1."/>
      <w:numFmt w:val="lowerLetter"/>
      <w:start w:val="2"/>
    </w:lvl>
    <w:lvl w:ilvl="1">
      <w:lvlJc w:val="left"/>
      <w:lvlText w:val="%2"/>
      <w:numFmt w:val="decimal"/>
      <w:start w:val="1"/>
    </w:lvl>
  </w:abstractNum>
  <w:abstractNum w:abstractNumId="18">
    <w:nsid w:val="75A2A8D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9">
    <w:nsid w:val="8EDBDAB"/>
    <w:multiLevelType w:val="hybridMultilevel"/>
    <w:lvl w:ilvl="0">
      <w:lvlJc w:val="left"/>
      <w:lvlText w:val="(%1)"/>
      <w:numFmt w:val="upperLetter"/>
      <w:start w:val="1"/>
    </w:lvl>
  </w:abstractNum>
  <w:abstractNum w:abstractNumId="20">
    <w:nsid w:val="79838CB2"/>
    <w:multiLevelType w:val="hybridMultilevel"/>
    <w:lvl w:ilvl="0">
      <w:lvlJc w:val="left"/>
      <w:lvlText w:val="%1"/>
      <w:numFmt w:val="lowerRoman"/>
      <w:start w:val="1"/>
    </w:lvl>
    <w:lvl w:ilvl="1">
      <w:lvlJc w:val="left"/>
      <w:lvlText w:val="(%2)"/>
      <w:numFmt w:val="upperLetter"/>
      <w:start w:val="2"/>
    </w:lvl>
  </w:abstractNum>
  <w:abstractNum w:abstractNumId="21">
    <w:nsid w:val="4353D0CD"/>
    <w:multiLevelType w:val="hybridMultilevel"/>
    <w:lvl w:ilvl="0">
      <w:lvlJc w:val="left"/>
      <w:lvlText w:val="%1."/>
      <w:numFmt w:val="lowerRoman"/>
      <w:start w:val="2"/>
    </w:lvl>
    <w:lvl w:ilvl="1">
      <w:lvlJc w:val="left"/>
      <w:lvlText w:val="%2"/>
      <w:numFmt w:val="upperLetter"/>
      <w:start w:val="1"/>
    </w:lvl>
  </w:abstractNum>
  <w:abstractNum w:abstractNumId="22">
    <w:nsid w:val="B03E0C6"/>
    <w:multiLevelType w:val="hybridMultilevel"/>
    <w:lvl w:ilvl="0">
      <w:lvlJc w:val="left"/>
      <w:lvlText w:val="%1."/>
      <w:numFmt w:val="decimal"/>
      <w:start w:val="7"/>
    </w:lvl>
    <w:lvl w:ilvl="1">
      <w:lvlJc w:val="left"/>
      <w:lvlText w:val="%2."/>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4"/>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2"/>
    </w:lvl>
  </w:abstractNum>
  <w:abstractNum w:abstractNumId="27">
    <w:nsid w:val="836C40E"/>
    <w:multiLevelType w:val="hybridMultilevel"/>
    <w:lvl w:ilvl="0">
      <w:lvlJc w:val="left"/>
      <w:lvlText w:val="%1."/>
      <w:numFmt w:val="decimal"/>
      <w:start w:val="10"/>
    </w:lvl>
    <w:lvl w:ilvl="1">
      <w:lvlJc w:val="left"/>
      <w:lvlText w:val="%2"/>
      <w:numFmt w:val="lowerLetter"/>
      <w:start w:val="1"/>
    </w:lvl>
  </w:abstractNum>
  <w:abstractNum w:abstractNumId="28">
    <w:nsid w:val="2901D8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2023-03-10T05:04:50Z</dcterms:created>
  <dcterms:modified xsi:type="dcterms:W3CDTF">2023-03-10T05:04:50Z</dcterms:modified>
</cp:coreProperties>
</file>