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right"/>
        <w:spacing w:after="0"/>
        <w:rPr>
          <w:sz w:val="20"/>
          <w:szCs w:val="20"/>
          <w:color w:val="auto"/>
        </w:rPr>
      </w:pPr>
      <w:r>
        <w:rPr>
          <w:rFonts w:ascii="Courier New" w:cs="Courier New" w:eastAsia="Courier New" w:hAnsi="Courier New"/>
          <w:sz w:val="18"/>
          <w:szCs w:val="18"/>
          <w:color w:val="auto"/>
        </w:rPr>
        <w:t>FILED PURSUANT TO RULE: 424(b)(5)</w:t>
      </w:r>
    </w:p>
    <w:p>
      <w:pPr>
        <w:spacing w:after="0" w:line="201" w:lineRule="exact"/>
        <w:rPr>
          <w:sz w:val="24"/>
          <w:szCs w:val="24"/>
          <w:color w:val="auto"/>
        </w:rPr>
      </w:pPr>
    </w:p>
    <w:p>
      <w:pPr>
        <w:jc w:val="right"/>
        <w:spacing w:after="0"/>
        <w:rPr>
          <w:sz w:val="20"/>
          <w:szCs w:val="20"/>
          <w:color w:val="auto"/>
        </w:rPr>
      </w:pPr>
      <w:r>
        <w:rPr>
          <w:rFonts w:ascii="Courier New" w:cs="Courier New" w:eastAsia="Courier New" w:hAnsi="Courier New"/>
          <w:sz w:val="18"/>
          <w:szCs w:val="18"/>
          <w:color w:val="auto"/>
        </w:rPr>
        <w:t>REGISTRATION NO.: 333-80063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PROSPECTUS DATED FEBRUARY 15, 2000)</w:t>
      </w:r>
    </w:p>
    <w:p>
      <w:pPr>
        <w:spacing w:after="0" w:line="20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$600,000,000</w:t>
      </w:r>
    </w:p>
    <w:p>
      <w:pPr>
        <w:spacing w:after="0" w:line="20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7 3/8% SENIOR NOTES DUE 2010</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20" w:firstLine="527"/>
        <w:spacing w:after="0" w:line="265" w:lineRule="auto"/>
        <w:rPr>
          <w:sz w:val="20"/>
          <w:szCs w:val="20"/>
          <w:color w:val="auto"/>
        </w:rPr>
      </w:pPr>
      <w:r>
        <w:rPr>
          <w:rFonts w:ascii="Courier New" w:cs="Courier New" w:eastAsia="Courier New" w:hAnsi="Courier New"/>
          <w:sz w:val="18"/>
          <w:szCs w:val="18"/>
          <w:color w:val="auto"/>
        </w:rPr>
        <w:t>The notes will bear interest at the rate of 7 3/8% per year. Interest on the notes is payable on February 1 and August 1 of each year, beginning on August 1, 2001. The notes will mature on August 1, 2010. We may redeem some or all of the notes at any time. The redemption prices are discussed under the caption "Description of Notes -- Optional Redemption."</w:t>
      </w:r>
    </w:p>
    <w:p>
      <w:pPr>
        <w:spacing w:after="0" w:line="90" w:lineRule="exact"/>
        <w:rPr>
          <w:sz w:val="24"/>
          <w:szCs w:val="24"/>
          <w:color w:val="auto"/>
        </w:rPr>
      </w:pPr>
    </w:p>
    <w:p>
      <w:pPr>
        <w:ind w:right="100" w:firstLine="527"/>
        <w:spacing w:after="0" w:line="347" w:lineRule="auto"/>
        <w:rPr>
          <w:sz w:val="20"/>
          <w:szCs w:val="20"/>
          <w:color w:val="auto"/>
        </w:rPr>
      </w:pPr>
      <w:r>
        <w:rPr>
          <w:rFonts w:ascii="Courier New" w:cs="Courier New" w:eastAsia="Courier New" w:hAnsi="Courier New"/>
          <w:sz w:val="18"/>
          <w:szCs w:val="18"/>
          <w:color w:val="auto"/>
        </w:rPr>
        <w:t>The notes will be our senior obligations and will rank equally with all of our other unsecured senior indebtedness.</w:t>
      </w: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220" w:firstLine="527"/>
        <w:spacing w:after="0" w:line="292" w:lineRule="auto"/>
        <w:rPr>
          <w:sz w:val="20"/>
          <w:szCs w:val="20"/>
          <w:color w:val="auto"/>
        </w:rPr>
      </w:pPr>
      <w:r>
        <w:rPr>
          <w:rFonts w:ascii="Courier New" w:cs="Courier New" w:eastAsia="Courier New" w:hAnsi="Courier New"/>
          <w:sz w:val="18"/>
          <w:szCs w:val="18"/>
          <w:color w:val="auto"/>
        </w:rPr>
        <w:t>INVESTING IN THE NOTES INVOLVES CERTAIN RISKS. SEE "RISK FACTORS" BEGINNING ON PAGE S-3 OF THIS PROSPECTUS SUPPLEMENT AND BEGINNING ON PAGE 4 OF THE ACCOMPANYING PROSPECTUS.</w:t>
      </w:r>
    </w:p>
    <w:p>
      <w:pPr>
        <w:spacing w:after="0" w:line="66" w:lineRule="exact"/>
        <w:rPr>
          <w:sz w:val="24"/>
          <w:szCs w:val="24"/>
          <w:color w:val="auto"/>
        </w:rPr>
      </w:pPr>
    </w:p>
    <w:p>
      <w:pPr>
        <w:ind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related prospectus is truthful or complete. Any representation to the contrary is a criminal offense.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1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24"/>
                <w:szCs w:val="24"/>
                <w:color w:val="auto"/>
              </w:rPr>
            </w:pPr>
          </w:p>
        </w:tc>
      </w:tr>
      <w:tr>
        <w:trPr>
          <w:trHeight w:val="717"/>
        </w:trPr>
        <w:tc>
          <w:tcPr>
            <w:tcW w:w="61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PER SENIOR NOTE</w:t>
            </w:r>
          </w:p>
        </w:tc>
      </w:tr>
      <w:tr>
        <w:trPr>
          <w:trHeight w:val="296"/>
        </w:trPr>
        <w:tc>
          <w:tcPr>
            <w:tcW w:w="61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6120" w:type="dxa"/>
            <w:vAlign w:val="bottom"/>
          </w:tcPr>
          <w:p>
            <w:pPr>
              <w:spacing w:after="0"/>
              <w:rPr>
                <w:sz w:val="20"/>
                <w:szCs w:val="20"/>
                <w:color w:val="auto"/>
              </w:rPr>
            </w:pPr>
            <w:r>
              <w:rPr>
                <w:rFonts w:ascii="Courier New" w:cs="Courier New" w:eastAsia="Courier New" w:hAnsi="Courier New"/>
                <w:sz w:val="18"/>
                <w:szCs w:val="18"/>
                <w:color w:val="auto"/>
              </w:rPr>
              <w:t>Public Offering Price</w:t>
            </w:r>
          </w:p>
        </w:tc>
        <w:tc>
          <w:tcPr>
            <w:tcW w:w="2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99.593%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Underwriting Discount</w:t>
            </w:r>
          </w:p>
        </w:tc>
        <w:tc>
          <w:tcPr>
            <w:tcW w:w="2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0.650%</w:t>
            </w:r>
          </w:p>
        </w:tc>
      </w:tr>
      <w:tr>
        <w:trPr>
          <w:trHeight w:val="296"/>
        </w:trPr>
        <w:tc>
          <w:tcPr>
            <w:tcW w:w="6120" w:type="dxa"/>
            <w:vAlign w:val="bottom"/>
          </w:tcPr>
          <w:p>
            <w:pPr>
              <w:spacing w:after="0"/>
              <w:rPr>
                <w:sz w:val="20"/>
                <w:szCs w:val="20"/>
                <w:color w:val="auto"/>
              </w:rPr>
            </w:pPr>
            <w:r>
              <w:rPr>
                <w:rFonts w:ascii="Courier New" w:cs="Courier New" w:eastAsia="Courier New" w:hAnsi="Courier New"/>
                <w:sz w:val="18"/>
                <w:szCs w:val="18"/>
                <w:color w:val="auto"/>
              </w:rPr>
              <w:t>Proceeds to Waste Management, Inc. (before expenses)</w:t>
            </w:r>
          </w:p>
        </w:tc>
        <w:tc>
          <w:tcPr>
            <w:tcW w:w="2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98.943%</w:t>
            </w:r>
          </w:p>
        </w:tc>
      </w:tr>
    </w:tbl>
    <w:p>
      <w:pPr>
        <w:spacing w:after="0" w:line="311" w:lineRule="exact"/>
        <w:rPr>
          <w:sz w:val="24"/>
          <w:szCs w:val="24"/>
          <w:color w:val="auto"/>
        </w:rPr>
      </w:pPr>
    </w:p>
    <w:p>
      <w:pPr>
        <w:ind w:right="960" w:firstLine="527"/>
        <w:spacing w:after="0" w:line="347" w:lineRule="auto"/>
        <w:rPr>
          <w:sz w:val="20"/>
          <w:szCs w:val="20"/>
          <w:color w:val="auto"/>
        </w:rPr>
      </w:pPr>
      <w:r>
        <w:rPr>
          <w:rFonts w:ascii="Courier New" w:cs="Courier New" w:eastAsia="Courier New" w:hAnsi="Courier New"/>
          <w:sz w:val="18"/>
          <w:szCs w:val="18"/>
          <w:color w:val="auto"/>
        </w:rPr>
        <w:t>Interest on the notes will accrue from February 9, 2001 to date of delivery.</w:t>
      </w: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320" w:firstLine="527"/>
        <w:spacing w:after="0" w:line="292" w:lineRule="auto"/>
        <w:rPr>
          <w:sz w:val="20"/>
          <w:szCs w:val="20"/>
          <w:color w:val="auto"/>
        </w:rPr>
      </w:pPr>
      <w:r>
        <w:rPr>
          <w:rFonts w:ascii="Courier New" w:cs="Courier New" w:eastAsia="Courier New" w:hAnsi="Courier New"/>
          <w:sz w:val="18"/>
          <w:szCs w:val="18"/>
          <w:color w:val="auto"/>
        </w:rPr>
        <w:t>The underwriters expect to deliver the notes in book-entry form only through the facilities of The Depository Trust Company against payment in New York, New York on February 9, 2001.</w:t>
      </w:r>
    </w:p>
    <w:p>
      <w:pPr>
        <w:spacing w:after="0" w:line="6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Joint Book-Running Managers</w:t>
      </w:r>
    </w:p>
    <w:p>
      <w:pPr>
        <w:spacing w:after="0" w:line="201" w:lineRule="exact"/>
        <w:rPr>
          <w:sz w:val="24"/>
          <w:szCs w:val="24"/>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SALOMON SMITH BARNEY</w:t>
      </w:r>
      <w:r>
        <w:rPr>
          <w:sz w:val="20"/>
          <w:szCs w:val="20"/>
          <w:color w:val="auto"/>
        </w:rPr>
        <w:tab/>
      </w:r>
      <w:r>
        <w:rPr>
          <w:rFonts w:ascii="Courier New" w:cs="Courier New" w:eastAsia="Courier New" w:hAnsi="Courier New"/>
          <w:sz w:val="18"/>
          <w:szCs w:val="18"/>
          <w:color w:val="auto"/>
        </w:rPr>
        <w:t>CREDIT SUISSE FIRST BOSTON</w:t>
      </w:r>
      <w:r>
        <w:rPr>
          <w:sz w:val="20"/>
          <w:szCs w:val="20"/>
          <w:color w:val="auto"/>
        </w:rPr>
        <w:tab/>
      </w:r>
      <w:r>
        <w:rPr>
          <w:rFonts w:ascii="Courier New" w:cs="Courier New" w:eastAsia="Courier New" w:hAnsi="Courier New"/>
          <w:sz w:val="16"/>
          <w:szCs w:val="16"/>
          <w:color w:val="auto"/>
        </w:rPr>
        <w:t>MERRILL LYNCH &amp; CO.</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DEUTSCHE BANC ALEX. BROWN</w:t>
      </w:r>
    </w:p>
    <w:p>
      <w:pPr>
        <w:ind w:left="2960"/>
        <w:spacing w:after="0" w:line="238" w:lineRule="auto"/>
        <w:rPr>
          <w:sz w:val="20"/>
          <w:szCs w:val="20"/>
          <w:color w:val="auto"/>
        </w:rPr>
      </w:pPr>
      <w:r>
        <w:rPr>
          <w:rFonts w:ascii="Courier New" w:cs="Courier New" w:eastAsia="Courier New" w:hAnsi="Courier New"/>
          <w:sz w:val="18"/>
          <w:szCs w:val="18"/>
          <w:color w:val="auto"/>
        </w:rPr>
        <w:t>FLEET SECURITIES, INC.</w:t>
      </w:r>
    </w:p>
    <w:p>
      <w:pPr>
        <w:ind w:left="4220"/>
        <w:spacing w:after="0"/>
        <w:rPr>
          <w:sz w:val="20"/>
          <w:szCs w:val="20"/>
          <w:color w:val="auto"/>
        </w:rPr>
      </w:pPr>
      <w:r>
        <w:rPr>
          <w:rFonts w:ascii="Courier New" w:cs="Courier New" w:eastAsia="Courier New" w:hAnsi="Courier New"/>
          <w:sz w:val="18"/>
          <w:szCs w:val="18"/>
          <w:color w:val="auto"/>
        </w:rPr>
        <w:t>GOLDMAN, SACHS &amp; CO.</w:t>
      </w:r>
    </w:p>
    <w:p>
      <w:pPr>
        <w:ind w:left="5900"/>
        <w:spacing w:after="0" w:line="238" w:lineRule="auto"/>
        <w:rPr>
          <w:sz w:val="20"/>
          <w:szCs w:val="20"/>
          <w:color w:val="auto"/>
        </w:rPr>
      </w:pPr>
      <w:r>
        <w:rPr>
          <w:rFonts w:ascii="Courier New" w:cs="Courier New" w:eastAsia="Courier New" w:hAnsi="Courier New"/>
          <w:sz w:val="18"/>
          <w:szCs w:val="18"/>
          <w:color w:val="auto"/>
        </w:rPr>
        <w:t>JP MORGAN</w:t>
      </w:r>
    </w:p>
    <w:p>
      <w:pPr>
        <w:ind w:left="6220"/>
        <w:spacing w:after="0"/>
        <w:rPr>
          <w:sz w:val="20"/>
          <w:szCs w:val="20"/>
          <w:color w:val="auto"/>
        </w:rPr>
      </w:pPr>
      <w:r>
        <w:rPr>
          <w:rFonts w:ascii="Courier New" w:cs="Courier New" w:eastAsia="Courier New" w:hAnsi="Courier New"/>
          <w:sz w:val="18"/>
          <w:szCs w:val="18"/>
          <w:color w:val="auto"/>
        </w:rPr>
        <w:t>LEHMAN BROTHERS</w:t>
      </w:r>
    </w:p>
    <w:p>
      <w:pPr>
        <w:spacing w:after="0"/>
        <w:rPr>
          <w:sz w:val="20"/>
          <w:szCs w:val="20"/>
          <w:color w:val="auto"/>
        </w:rPr>
      </w:pPr>
      <w:r>
        <w:rPr>
          <w:rFonts w:ascii="Courier New" w:cs="Courier New" w:eastAsia="Courier New" w:hAnsi="Courier New"/>
          <w:sz w:val="18"/>
          <w:szCs w:val="18"/>
          <w:color w:val="auto"/>
        </w:rPr>
        <w:t>February 2,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TOTAL</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$597,558,000</w:t>
      </w:r>
    </w:p>
    <w:p>
      <w:pPr>
        <w:spacing w:after="0" w:line="53" w:lineRule="exact"/>
        <w:rPr>
          <w:sz w:val="24"/>
          <w:szCs w:val="24"/>
          <w:color w:val="auto"/>
        </w:rPr>
      </w:pPr>
    </w:p>
    <w:p>
      <w:pPr>
        <w:jc w:val="both"/>
        <w:ind w:firstLine="7"/>
        <w:spacing w:after="0" w:line="378"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3,900,000 $593,658,000</w:t>
      </w:r>
    </w:p>
    <w:p>
      <w:pPr>
        <w:sectPr>
          <w:pgSz w:w="11900" w:h="16838" w:orient="portrait"/>
          <w:cols w:equalWidth="0" w:num="2">
            <w:col w:w="8440" w:space="620"/>
            <w:col w:w="1280"/>
          </w:cols>
          <w:pgMar w:left="240" w:top="218" w:right="1319"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WE HAVE NOT AUTHORIZED ANYONE TO PROVIDE YOU WITH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OF THIS PROSPECTUS SUPPLEMENT OR THAT THE INFORMATION WE PREVIOUSLY FILED WITH THE SEC AND INCORPORATED BY REFERENCE IN THIS PROSPECTUS SUPPLEMENT OR THE ACCOMPANYING PROSPECTUS IS ACCURATE AS OF ANY DATE OTHER THAN THE DATE OF THE DOCUMENT INCORPORATED BY REFERENCE.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80" w:type="dxa"/>
            <w:vAlign w:val="bottom"/>
          </w:tcPr>
          <w:p>
            <w:pPr>
              <w:ind w:left="338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r>
      <w:tr>
        <w:trPr>
          <w:trHeight w:val="405"/>
        </w:trPr>
        <w:tc>
          <w:tcPr>
            <w:tcW w:w="648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580" w:type="dxa"/>
            <w:vAlign w:val="bottom"/>
          </w:tcPr>
          <w:p>
            <w:pPr>
              <w:spacing w:after="0"/>
              <w:rPr>
                <w:sz w:val="24"/>
                <w:szCs w:val="24"/>
                <w:color w:val="auto"/>
              </w:rPr>
            </w:pPr>
          </w:p>
        </w:tc>
      </w:tr>
      <w:tr>
        <w:trPr>
          <w:trHeight w:val="717"/>
        </w:trPr>
        <w:tc>
          <w:tcPr>
            <w:tcW w:w="6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6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ind w:left="2440"/>
              <w:spacing w:after="0"/>
              <w:rPr>
                <w:sz w:val="20"/>
                <w:szCs w:val="20"/>
                <w:color w:val="auto"/>
              </w:rPr>
            </w:pPr>
            <w:r>
              <w:rPr>
                <w:rFonts w:ascii="Courier New" w:cs="Courier New" w:eastAsia="Courier New" w:hAnsi="Courier New"/>
                <w:sz w:val="18"/>
                <w:szCs w:val="18"/>
                <w:color w:val="auto"/>
              </w:rPr>
              <w:t>PROSPECTUS SUPPLEMENT</w:t>
            </w:r>
          </w:p>
        </w:tc>
        <w:tc>
          <w:tcPr>
            <w:tcW w:w="580" w:type="dxa"/>
            <w:vAlign w:val="bottom"/>
          </w:tcPr>
          <w:p>
            <w:pPr>
              <w:spacing w:after="0"/>
              <w:rPr>
                <w:sz w:val="24"/>
                <w:szCs w:val="24"/>
                <w:color w:val="auto"/>
              </w:rPr>
            </w:pPr>
          </w:p>
        </w:tc>
      </w:tr>
      <w:tr>
        <w:trPr>
          <w:trHeight w:val="311"/>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Our Company.................................................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S-3</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Notes........................................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S-8</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Matters...............................................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S-14</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S-14</w:t>
            </w:r>
          </w:p>
        </w:tc>
      </w:tr>
      <w:tr>
        <w:trPr>
          <w:trHeight w:val="296"/>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Forward-Looking Statements..................................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S-15</w:t>
            </w:r>
          </w:p>
        </w:tc>
      </w:tr>
      <w:tr>
        <w:trPr>
          <w:trHeight w:val="405"/>
        </w:trPr>
        <w:tc>
          <w:tcPr>
            <w:tcW w:w="6480" w:type="dxa"/>
            <w:vAlign w:val="bottom"/>
          </w:tcPr>
          <w:p>
            <w:pPr>
              <w:ind w:left="2960"/>
              <w:spacing w:after="0"/>
              <w:rPr>
                <w:sz w:val="20"/>
                <w:szCs w:val="20"/>
                <w:color w:val="auto"/>
              </w:rPr>
            </w:pPr>
            <w:r>
              <w:rPr>
                <w:rFonts w:ascii="Courier New" w:cs="Courier New" w:eastAsia="Courier New" w:hAnsi="Courier New"/>
                <w:sz w:val="18"/>
                <w:szCs w:val="18"/>
                <w:color w:val="auto"/>
              </w:rPr>
              <w:t>PROSPECTUS</w:t>
            </w:r>
          </w:p>
        </w:tc>
        <w:tc>
          <w:tcPr>
            <w:tcW w:w="580" w:type="dxa"/>
            <w:vAlign w:val="bottom"/>
          </w:tcPr>
          <w:p>
            <w:pPr>
              <w:spacing w:after="0"/>
              <w:rPr>
                <w:sz w:val="24"/>
                <w:szCs w:val="24"/>
                <w:color w:val="auto"/>
              </w:rPr>
            </w:pPr>
          </w:p>
        </w:tc>
      </w:tr>
      <w:tr>
        <w:trPr>
          <w:trHeight w:val="311"/>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Where To Find More Information..............................</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Our Company.................................................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Special Note Regarding Forward-Looking Statements...........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Ratio of Earnings to Fixed Charges..........................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Debt Securities..............................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Capital Stock................................</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Plan of Distribution........................................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Validity of Securities......................................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96"/>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Experts.....................................................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r>
        <w:trPr>
          <w:trHeight w:val="608"/>
        </w:trPr>
        <w:tc>
          <w:tcPr>
            <w:tcW w:w="6480" w:type="dxa"/>
            <w:vAlign w:val="bottom"/>
          </w:tcPr>
          <w:p>
            <w:pPr>
              <w:ind w:left="4120"/>
              <w:spacing w:after="0"/>
              <w:rPr>
                <w:sz w:val="20"/>
                <w:szCs w:val="20"/>
                <w:color w:val="auto"/>
              </w:rPr>
            </w:pPr>
            <w:r>
              <w:rPr>
                <w:rFonts w:ascii="Courier New" w:cs="Courier New" w:eastAsia="Courier New" w:hAnsi="Courier New"/>
                <w:sz w:val="18"/>
                <w:szCs w:val="18"/>
                <w:color w:val="auto"/>
              </w:rPr>
              <w:t>S-2</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Waste Management, Inc. is one of the largest publicly owned companies providing integrated waste services in North America. Through our subsidiaries we provide collection, transfer, recycling and resource recovery, and disposal services. Our customers include commercial, industrial, municipal and residential customers, other waste management companies, and governmental entities. We are also a developer, operator and owner of waste-to-energy facilities in the United States.</w:t>
      </w:r>
    </w:p>
    <w:p>
      <w:pPr>
        <w:spacing w:after="0" w:line="9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In past years, the waste management industry has experienced a period of significant consolidation. Through acquisitions, we grew from a regional provider of solid waste collection, transfer and disposal services to a national and international provider of solid waste services as well as recycling, portable sanitation, industrial cleaning, hazardous waste management and radioactive waste management services. We also became a developer of facilities for, and a provider of services to, the waste-to-energy and waste-fuel powered independent power markets. By year-end 1998, we were operating throughout the United States, in Canada, Mexico, throughout Europe, the Pacific Rim, South America and in other select international markets.</w:t>
      </w:r>
    </w:p>
    <w:p>
      <w:pPr>
        <w:spacing w:after="0" w:line="291"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In 1999 we announced a strategic plan focused on emphasizing internal growth, more closely aligning our performance with shareholders' interests and focusing on our core business: solid waste management services. As part of the plan, beginning in 1999 and throughout 2000, we divested substantially all of our international operations and certain of our non-integrated and less profitable North American solid waste operations. We also have divested, or announced agreements to divest, most of our non-solid waste operations, including our low-level and other radioactive waste operations, organic residuals operations, industrial services and hazardous waste treatment operations. The proceeds from these sales have been used to repay a portion of the debt outstanding under our credit facilities.</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Also as part of the plan, we began other initiatives in 1999 that continued through 2000, including:</w:t>
      </w:r>
    </w:p>
    <w:p>
      <w:pPr>
        <w:spacing w:after="0" w:line="18" w:lineRule="exact"/>
        <w:rPr>
          <w:sz w:val="20"/>
          <w:szCs w:val="20"/>
          <w:color w:val="auto"/>
        </w:rPr>
      </w:pPr>
    </w:p>
    <w:p>
      <w:pPr>
        <w:ind w:left="740" w:right="1999" w:hanging="205"/>
        <w:spacing w:after="0" w:line="34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linking our information technology initiatives to our business strategy and introducing new enterprise-wide software systems;</w:t>
      </w:r>
    </w:p>
    <w:p>
      <w:pPr>
        <w:spacing w:after="0" w:line="18" w:lineRule="exact"/>
        <w:rPr>
          <w:rFonts w:ascii="Courier New" w:cs="Courier New" w:eastAsia="Courier New" w:hAnsi="Courier New"/>
          <w:sz w:val="18"/>
          <w:szCs w:val="18"/>
          <w:color w:val="auto"/>
        </w:rPr>
      </w:pPr>
    </w:p>
    <w:p>
      <w:pPr>
        <w:ind w:left="740" w:right="1999" w:hanging="205"/>
        <w:spacing w:after="0" w:line="26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developing standard policies and procedures, and increasing the flow of internal communication, in an effort to streamline our business and impose more discipline and accountability, while maintaining decentralized operations so that authority is still close to the customer; and</w:t>
      </w:r>
    </w:p>
    <w:p>
      <w:pPr>
        <w:spacing w:after="0" w:line="89"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restoring a capital expenditure policy that focuses on internal growth and profits as opposed to growth through acquisitions.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believe that opportunities exist to expand our services through acquisitions of businesses and operations which can be effectively integrated with our current operations, and will pursue those opportunities when available. However, our goal is to refocus on our core business of solid waste management to build a stronger company through increased efficiency, improved productivity and greater profitability.</w:t>
      </w:r>
    </w:p>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On three different occasions during July and August 1999, we lowered our expected earnings per share for the three months ended June 30, 1999. Additionally, in February 1998, Waste Management Holdings, Inc. ("Waste Management Holdings"), formerly known as Waste Management, Inc., which we acquired in July 1998, announced restatements of its prior-period financial statements.</w:t>
      </w:r>
    </w:p>
    <w:p>
      <w:pPr>
        <w:spacing w:after="0" w:line="93"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(i) the projections we made about our June 30, 1999 earnings were false and misleading, (ii) we failed to disclose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285" w:right="1440" w:bottom="761"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information about our earnings projections that would have been important to purchasers of our stock, (iii) we made further misrepresentations after July 29, 1999 about our operations and finances, resulting in the Company taking a pre-tax charge of $1.76 billion in the third quarter of 1999, and (iv) we made false or misleading representations in the registration statement and prospectus filed with the SEC in connection with our July 1998 acquisition of Waste Management Holdings. The plaintiffs also claim that certain of our current and former officers and directors sold their common stock during times when they knew the price was artificially inflated by the alleged misstatements and omissions.</w:t>
      </w:r>
    </w:p>
    <w:p>
      <w:pPr>
        <w:spacing w:after="0" w:line="104"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Additionally, individuals who sold their businesses to us, Waste Management Holdings or other companies we later acquired have filed lawsuits against us and Waste Management Holdings alleging various claims, including fraud, breach of contract, breach of warranty, overvaluation of the stock they received and other claims similar to those included in the class action described above.</w:t>
      </w:r>
    </w:p>
    <w:p>
      <w:pPr>
        <w:spacing w:after="0" w:line="60"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Other lawsuits relating to the facts described above, including derivative actions, have been filed against Waste Management Holdings and us. We recently announced a proposed settlement, which is subject to court approval, with respect to the derivative suit against Waste Management Holdings relating to the February 1998 restatement of earnings, as well as claims by former officers of Waste Management Holdings for retirement and other benefits withheld by us.</w:t>
      </w:r>
    </w:p>
    <w:p>
      <w:pPr>
        <w:spacing w:after="0" w:line="68"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The SEC has commenced a formal investigation against Waste Management Holdings with respect to its previously filed financial statements for the years 1991 and earlier through 1997, and the NYSE has notified us that it is reviewing transactions in our common stock before our July 6, 1999 earnings announcement.</w:t>
      </w:r>
    </w:p>
    <w:p>
      <w:pPr>
        <w:spacing w:after="0" w:line="52"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We and our subsidiaries are also currently involved in other civil litigation and governmental proceedings relating to the conduct of our business.</w:t>
      </w:r>
    </w:p>
    <w:p>
      <w:pPr>
        <w:spacing w:after="0" w:line="1"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We do not believe it is feasible to predict or determine the outcome or resolution to any of these proceedings or investigations. In addition, the timing of the final resolutions to these matters is uncertain. The possible outcomes or resolutions to these matters or any new litigation or governmental proceedings could include judgments against us or settlements and could require substantial payments by us. We believe that adverse outcomes or any other resolution, such as settlements, could have a material adverse effect on our financial condition, results of operations and cash flows.</w:t>
      </w:r>
    </w:p>
    <w:p>
      <w:pPr>
        <w:spacing w:after="0" w:line="77"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82" w:lineRule="exact"/>
        <w:rPr>
          <w:sz w:val="20"/>
          <w:szCs w:val="20"/>
          <w:color w:val="auto"/>
        </w:rPr>
      </w:pPr>
    </w:p>
    <w:p>
      <w:pPr>
        <w:ind w:left="740" w:right="1999" w:hanging="205"/>
        <w:spacing w:after="0" w:line="274"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81" w:lineRule="exact"/>
        <w:rPr>
          <w:rFonts w:ascii="Courier New" w:cs="Courier New" w:eastAsia="Courier New" w:hAnsi="Courier New"/>
          <w:sz w:val="18"/>
          <w:szCs w:val="18"/>
          <w:color w:val="auto"/>
        </w:rPr>
      </w:pPr>
    </w:p>
    <w:p>
      <w:pPr>
        <w:ind w:left="740" w:right="1999" w:hanging="205"/>
        <w:spacing w:after="0" w:line="292"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which we are subject, or seek to impose liability on us for environmental damage for which we may be responsible.</w:t>
      </w:r>
    </w:p>
    <w:p>
      <w:pPr>
        <w:spacing w:after="0" w:line="1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condition, results of operations and cash flows.</w:t>
      </w:r>
    </w:p>
    <w:p>
      <w:pPr>
        <w:spacing w:after="0" w:line="6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our insurance coverage for environmental liability, if we were to incur liability for environmental damage, such liability could have a material adverse effect on our financial condition, results of operations and cash flows.</w:t>
      </w:r>
    </w:p>
    <w:p>
      <w:pPr>
        <w:spacing w:after="0" w:line="9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in which we have operations have a substantial impact on our business. A large number of complex laws, rules, orders and interpretations govern environmental protection, health and safety, land use, zoning and related matters. Among other things, they may restrict our operations and adversely affect our financial condition, results of operations and cash flows by imposing conditions such as:</w:t>
      </w:r>
    </w:p>
    <w:p>
      <w:pPr>
        <w:spacing w:after="0" w:line="98" w:lineRule="exact"/>
        <w:rPr>
          <w:sz w:val="20"/>
          <w:szCs w:val="20"/>
          <w:color w:val="auto"/>
        </w:rPr>
      </w:pPr>
    </w:p>
    <w:p>
      <w:pPr>
        <w:ind w:left="740" w:right="2619" w:hanging="205"/>
        <w:spacing w:after="0" w:line="292"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66"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18"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POTENTIAL DIFFICULTIES IN CONTINUING TO EXPAND AND MANAGE OUR GROWTH</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have made a number of acquisitions, some of them substantial, and continue to pursue operations that can be effectively integrated with our existing operations. Our future financial results and prospects depend in part on our ability to successfully manage and improve the operating efficiencies and productivity of these acquired operations. In particular, whether the anticipated benefits of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Moreover, our ability to operate successfully will depend on a number of factors, including competition from other waste management companies, availability of working capital, ability to maintain margins on</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285" w:right="1440" w:bottom="186"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right="2099"/>
        <w:spacing w:after="0" w:line="318" w:lineRule="auto"/>
        <w:rPr>
          <w:sz w:val="20"/>
          <w:szCs w:val="20"/>
          <w:color w:val="auto"/>
        </w:rPr>
      </w:pPr>
      <w:r>
        <w:rPr>
          <w:rFonts w:ascii="Courier New" w:cs="Courier New" w:eastAsia="Courier New" w:hAnsi="Courier New"/>
          <w:sz w:val="16"/>
          <w:szCs w:val="16"/>
          <w:color w:val="auto"/>
        </w:rPr>
        <w:t>existing or acquired operations, and the management of costs in a changing regulatory environment. There can be no assurance that we will be able to successfully manage our future growth or that the historic pace of our growth will not adversely affect our existing or future acquired operations.</w:t>
      </w:r>
    </w:p>
    <w:p>
      <w:pPr>
        <w:spacing w:after="0" w:line="52"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Our future and past acquisitions involve certain other potential risks, including:</w:t>
      </w:r>
    </w:p>
    <w:p>
      <w:pPr>
        <w:spacing w:after="0" w:line="18" w:lineRule="exact"/>
        <w:rPr>
          <w:sz w:val="20"/>
          <w:szCs w:val="20"/>
          <w:color w:val="auto"/>
        </w:rPr>
      </w:pPr>
    </w:p>
    <w:p>
      <w:pPr>
        <w:ind w:left="740" w:right="199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and uncertainties regarding government-forced divestitures;</w:t>
      </w:r>
    </w:p>
    <w:p>
      <w:pPr>
        <w:spacing w:after="0" w:line="201"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restraints imposed by federal and state agencies regarding market concentration and competitor behavior;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1"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incurring additional indebtedness or issuing additional equity securities as a result of future acquisitions.</w:t>
      </w:r>
    </w:p>
    <w:p>
      <w:pPr>
        <w:spacing w:after="0" w:line="1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18"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results of operations.</w:t>
      </w:r>
    </w:p>
    <w:p>
      <w:pPr>
        <w:spacing w:after="0" w:line="113"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99"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In addition, particularly harsh weather conditions may result in the temporary suspension of certain of our operations. Our first and fourth quarter results of operations typically reflect this seasonality.</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Recyclable materials that we process for sale include paper, plastics, aluminum and other commodities which are subject to significant price fluctuations. These fluctuations will affect our future operating revenues and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currently expect to generate sufficient cash flow from our operations in 2001 to cover our anticipated cash needs for capital expenditures, acquisitions and other cash expenditures. If our cash flow from operations during 2001 is less than currently expected, or our capital requirements increase, either due to strategic decisions or otherwise, we may elect to incur further indebtedness or issue equity securities to cover any additional capital needs. However, we cannot guarantee that we will be successful in obtaining additional capital on acceptable terms.</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Our credit facilities require us to comply with certain financial ratios. If our cash flows are less than expected or our capital requirements are more than expected, we may not be in compliance with the ratios. This would result in a default under our credit agreements. If there were a default, we may not be able to get waivers or amendments to our credit facilities, and the lenders could choose to declare all outstanding borrowings due and payable. If that happened, there can be no assurances that we could fully repay the amounts due. Since we are partially dependent on our credit facilities to fund borrowing needs, any default would have a material adverse effect on our consolidated financial condition and results of operation, and on our ability to repay your notes.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are currently in the process of deploying enterprise-wide software systems that will replace our current financial, human resources and payroll systems. These systems may initially contain errors or cause other problems that could adversely affect, or even temporarily disrupt, all or a portion of our operations or the stability of our accounting systems until resolved. As of January 2001, we were still in the preliminary stages of the financial system conversion, the completion of which is expected to occur no earlier than the end of 2001.</w:t>
      </w:r>
    </w:p>
    <w:p>
      <w:pPr>
        <w:spacing w:after="0" w:line="1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expect the net proceeds from the offering of the notes to be approximately $593 million, after deducting discounts to the underwriters and estimated expenses of the offering. We intend to use the net proceeds, together with cash on hand, to repay in full the $200 million principal amount outstanding under our 6% Senior Notes due May 15, 2001, the $200 million principal amount outstanding under our 6.70% Senior Notes due May 1, 2001 and the $200 million principal amount outstanding under our 7 1/8% Senior Notes due June 15, 2001. Pending application of the proceeds as described, we will temporarily invest the proceeds in short-term investments or will reduce short-term borrowings.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notes are a new series of debt securities described in the accompanying prospectus that will be issued under an Indenture dated as of September 10, 1997 (the "Indenture"), between us and The Chase Manhattan Bank, as trustee (the "Trustee"). We will issue the notes pursuant to a resolution of our Board of Directors and accompanying officers' certificate setting forth the specific terms applicable to the notes.</w:t>
      </w:r>
    </w:p>
    <w:p>
      <w:pPr>
        <w:spacing w:after="0" w:line="93"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The Notes.</w:t>
      </w:r>
      <w:r>
        <w:rPr>
          <w:sz w:val="20"/>
          <w:szCs w:val="20"/>
          <w:color w:val="auto"/>
        </w:rPr>
        <w:tab/>
      </w:r>
      <w:r>
        <w:rPr>
          <w:rFonts w:ascii="Courier New" w:cs="Courier New" w:eastAsia="Courier New" w:hAnsi="Courier New"/>
          <w:sz w:val="16"/>
          <w:szCs w:val="16"/>
          <w:color w:val="auto"/>
        </w:rPr>
        <w:t>The notes:</w:t>
      </w:r>
    </w:p>
    <w:p>
      <w:pPr>
        <w:spacing w:after="0" w:line="201"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our general unsecured, senior obligations;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 a new series of debt securities issued under the Indenture and will be limited to an aggregate principal amount of $600 million;</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mature on August 1, 2010;</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entitled to the benefit of any sinking fund;</w:t>
      </w:r>
    </w:p>
    <w:p>
      <w:pPr>
        <w:spacing w:after="0" w:line="20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issued in denominations of $1,000 and integral multiples of $1,000; and</w:t>
      </w:r>
    </w:p>
    <w:p>
      <w:pPr>
        <w:spacing w:after="0" w:line="18" w:lineRule="exact"/>
        <w:rPr>
          <w:rFonts w:ascii="Courier New" w:cs="Courier New" w:eastAsia="Courier New" w:hAnsi="Courier New"/>
          <w:sz w:val="18"/>
          <w:szCs w:val="18"/>
          <w:color w:val="auto"/>
        </w:rPr>
      </w:pPr>
    </w:p>
    <w:p>
      <w:pPr>
        <w:ind w:left="740" w:right="1879" w:hanging="205"/>
        <w:spacing w:after="0" w:line="318"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only in book-entry form represented by one or more global notes registered initially in the name of Cede &amp; Co., as nominee of The Depository Trust Company ("DTC"), or such other name as may be requested by an authorized representative of DTC, and deposited with DTC.</w:t>
      </w:r>
    </w:p>
    <w:p>
      <w:pPr>
        <w:spacing w:after="0" w:line="5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Interest on the notes will:</w:t>
      </w:r>
    </w:p>
    <w:p>
      <w:pPr>
        <w:spacing w:after="0" w:line="201"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 at the rate of 7 3/8% per annum;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 from February 9, 2001 or the most recent interest payment date;</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in cash semi-annually in arrears on February 1 and August 1 of each year, commencing on August 1, 2001;</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to holders of record on the January 15 and July 15 immediately preceding the related interest payment dates; and</w:t>
      </w:r>
    </w:p>
    <w:p>
      <w:pPr>
        <w:spacing w:after="0" w:line="18"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computed on the basis of a 360-day year consisting of twelve 30-day months.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 and Transfer.</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Beneficial interests in notes in global form will be shown on, and transfers of interests in notes in global form will be made only through, records maintained by DTC and its participants. Notes in definitive form, if any, may be registered, exchanged or transferred at the office or agency maintained by us for such purpose (which initially will be the corporate trust office of the Trustee located at 55 Water Street, Room 234, New York, New York 10041).</w:t>
      </w:r>
    </w:p>
    <w:p>
      <w:pPr>
        <w:spacing w:after="0" w:line="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Trustee or by check mailed directly to registered holders at their registered addresses or by wire transfer to an account designated by a registered holder.</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285" w:right="1440" w:bottom="793"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No service charge will be made for any registration of transfer or exchange of notes, but we may require payment of a sum sufficient to cover any transfer tax or other similar governmental charge payable in connection therewith. We are not required to transfer or exchange any note selected for redemption for a period of 15 days before selection of notes to be redeemed.</w:t>
      </w:r>
    </w:p>
    <w:p>
      <w:pPr>
        <w:spacing w:after="0" w:line="90"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registered holder of a note will be treated as the owner of it for all purposes.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notes will be redeemable, at our option, at any time in whole, or from time to time in part, at a price equal to the greater of:</w:t>
      </w:r>
    </w:p>
    <w:p>
      <w:pPr>
        <w:spacing w:after="0" w:line="18"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principal amount of the notes to be redeemed; or</w:t>
      </w:r>
    </w:p>
    <w:p>
      <w:pPr>
        <w:spacing w:after="0" w:line="201" w:lineRule="exact"/>
        <w:rPr>
          <w:rFonts w:ascii="Courier New" w:cs="Courier New" w:eastAsia="Courier New" w:hAnsi="Courier New"/>
          <w:sz w:val="18"/>
          <w:szCs w:val="18"/>
          <w:color w:val="auto"/>
        </w:rPr>
      </w:pPr>
    </w:p>
    <w:p>
      <w:pPr>
        <w:ind w:left="740" w:right="1879" w:hanging="205"/>
        <w:spacing w:after="0" w:line="298"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of principal and interest (at the rate in effect on the date of calculation of the redemption price) on the notes (exclusive of interest accrued to the date of redemption) discounted to the date of redemption on a semi-annual basis (assuming a 360-day year consisting of twelve 30-day months) at the applicable Treasury Yield plus 30 basis points;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plus, in either case, accrued interest to the date of redemption.</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and the place(s) that payment will be made upon presentation and surrender of notes to be redeemed. Unless we default in payment of the redemption price, interest will cease to accrue on any notes that have been called for redemption at the redemption date. If less than all the notes are redeemed at any time, the Trustee will select the notes to be redeemed on a pro rata basis or by any other method the Trustee deems fair and appropriate.</w:t>
      </w:r>
    </w:p>
    <w:p>
      <w:pPr>
        <w:spacing w:after="0" w:line="80"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For purposes of determining the optional redemption price, the following definitions are applicable:</w:t>
      </w:r>
    </w:p>
    <w:p>
      <w:pPr>
        <w:spacing w:after="0" w:line="18" w:lineRule="exact"/>
        <w:rPr>
          <w:sz w:val="20"/>
          <w:szCs w:val="20"/>
          <w:color w:val="auto"/>
        </w:rPr>
      </w:pPr>
    </w:p>
    <w:p>
      <w:pPr>
        <w:ind w:left="540" w:right="1779" w:firstLine="527"/>
        <w:spacing w:after="0" w:line="256" w:lineRule="auto"/>
        <w:rPr>
          <w:sz w:val="20"/>
          <w:szCs w:val="20"/>
          <w:color w:val="auto"/>
        </w:rPr>
      </w:pPr>
      <w:r>
        <w:rPr>
          <w:rFonts w:ascii="Courier New" w:cs="Courier New" w:eastAsia="Courier New" w:hAnsi="Courier New"/>
          <w:sz w:val="18"/>
          <w:szCs w:val="18"/>
          <w:color w:val="auto"/>
        </w:rPr>
        <w:t>"Treasury Yield"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98" w:lineRule="exact"/>
        <w:rPr>
          <w:sz w:val="20"/>
          <w:szCs w:val="20"/>
          <w:color w:val="auto"/>
        </w:rPr>
      </w:pPr>
    </w:p>
    <w:p>
      <w:pPr>
        <w:ind w:left="540" w:right="1879" w:firstLine="527"/>
        <w:spacing w:after="0" w:line="260"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93" w:lineRule="exact"/>
        <w:rPr>
          <w:sz w:val="20"/>
          <w:szCs w:val="20"/>
          <w:color w:val="auto"/>
        </w:rPr>
      </w:pPr>
    </w:p>
    <w:p>
      <w:pPr>
        <w:ind w:left="540" w:right="1999" w:firstLine="527"/>
        <w:spacing w:after="0" w:line="265" w:lineRule="auto"/>
        <w:rPr>
          <w:sz w:val="20"/>
          <w:szCs w:val="20"/>
          <w:color w:val="auto"/>
        </w:rPr>
      </w:pPr>
      <w:r>
        <w:rPr>
          <w:rFonts w:ascii="Courier New" w:cs="Courier New" w:eastAsia="Courier New" w:hAnsi="Courier New"/>
          <w:sz w:val="18"/>
          <w:szCs w:val="18"/>
          <w:color w:val="auto"/>
        </w:rPr>
        <w:t>"Independent Investment Banker" means Salomon Smith Barney Inc. (and its successor), or, if such firm is unwilling or unable to select the applicable Comparable Treasury Issue, an independent investment banking institution of national standing appointed by the Trustee and reasonably acceptable to us.</w:t>
      </w:r>
    </w:p>
    <w:p>
      <w:pPr>
        <w:spacing w:after="0" w:line="90" w:lineRule="exact"/>
        <w:rPr>
          <w:sz w:val="20"/>
          <w:szCs w:val="20"/>
          <w:color w:val="auto"/>
        </w:rPr>
      </w:pPr>
    </w:p>
    <w:p>
      <w:pPr>
        <w:ind w:left="540" w:right="1779" w:firstLine="527"/>
        <w:spacing w:after="0" w:line="242" w:lineRule="auto"/>
        <w:rPr>
          <w:sz w:val="20"/>
          <w:szCs w:val="20"/>
          <w:color w:val="auto"/>
        </w:rPr>
      </w:pPr>
      <w:r>
        <w:rPr>
          <w:rFonts w:ascii="Courier New" w:cs="Courier New" w:eastAsia="Courier New" w:hAnsi="Courier New"/>
          <w:sz w:val="18"/>
          <w:szCs w:val="18"/>
          <w:color w:val="auto"/>
        </w:rPr>
        <w:t>"Comparable Treasury Price" means, with respect to any redemption date, (a) the bid price for the Comparable Treasury Issue (expressed as a percentage of its principal amount) at 4:00 p.m.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285" w:right="1440" w:bottom="964"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540" w:right="1999"/>
        <w:spacing w:after="0" w:line="347" w:lineRule="auto"/>
        <w:rPr>
          <w:sz w:val="20"/>
          <w:szCs w:val="20"/>
          <w:color w:val="auto"/>
        </w:rPr>
      </w:pPr>
      <w:r>
        <w:rPr>
          <w:rFonts w:ascii="Courier New" w:cs="Courier New" w:eastAsia="Courier New" w:hAnsi="Courier New"/>
          <w:sz w:val="18"/>
          <w:szCs w:val="18"/>
          <w:color w:val="auto"/>
        </w:rPr>
        <w:t>fewer than four such Reference Treasury Dealer Quotations, the average of all Reference Treasury Dealer Quotations obtained by the Trustee.</w:t>
      </w:r>
    </w:p>
    <w:p>
      <w:pPr>
        <w:spacing w:after="0" w:line="18" w:lineRule="exact"/>
        <w:rPr>
          <w:sz w:val="20"/>
          <w:szCs w:val="20"/>
          <w:color w:val="auto"/>
        </w:rPr>
      </w:pPr>
    </w:p>
    <w:p>
      <w:pPr>
        <w:ind w:left="540" w:right="1779" w:firstLine="527"/>
        <w:spacing w:after="0" w:line="256" w:lineRule="auto"/>
        <w:rPr>
          <w:sz w:val="20"/>
          <w:szCs w:val="20"/>
          <w:color w:val="auto"/>
        </w:rPr>
      </w:pPr>
      <w:r>
        <w:rPr>
          <w:rFonts w:ascii="Courier New" w:cs="Courier New" w:eastAsia="Courier New" w:hAnsi="Courier New"/>
          <w:sz w:val="18"/>
          <w:szCs w:val="18"/>
          <w:color w:val="auto"/>
        </w:rPr>
        <w:t>"Reference Treasury Dealer" means (i) Salomon Smith Barney Inc., Credit Suisse First Boston Corporation and Merrill Lynch, Pierce, Fenner &amp; Smith Incorporated and their respective successors, unless any of them ceases to be a primary U.S. government securities dealers in New York City (a "Primary Treasury Dealer"), in which case we will substitute therefor another Primary Treasury Dealer, and (ii) any other Primary Treasury Dealer selected by us.</w:t>
      </w:r>
    </w:p>
    <w:p>
      <w:pPr>
        <w:spacing w:after="0" w:line="98" w:lineRule="exact"/>
        <w:rPr>
          <w:sz w:val="20"/>
          <w:szCs w:val="20"/>
          <w:color w:val="auto"/>
        </w:rPr>
      </w:pPr>
    </w:p>
    <w:p>
      <w:pPr>
        <w:ind w:left="540" w:right="1779" w:firstLine="527"/>
        <w:spacing w:after="0" w:line="256"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for the notes, an average, as determined by the Trustee, of the 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9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Except as set forth above, the notes will not be redeemable by us prior to maturity and will not be entitled to the benefit of any sinking fund.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notes will be subject to defeasance and discharge and to covenant defeasance as provided under "Description of Debt Securities -- Provisions Applicable to Both Senior and Subordinated Debt Securities -- Defeasance and Discharge" in the accompanying prospectus.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notes will be our unsecured and unsubordinated obligations and will rank equally with all of our other existing and future unsecured and unsubordinated indebtedness.</w:t>
      </w:r>
    </w:p>
    <w:p>
      <w:pPr>
        <w:spacing w:after="0" w:line="66"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We currently conduct substantially all our operations through our subsidiaries, and our subsidiaries generate substantially all our operating income and cash flow. As a result, distributions or advances from our subsidiaries are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notes. The notes will be structurally subordinated to all obligations of our subsidiaries, including claims of trade payables. This means that holders of the notes will have a junior position to the claims of creditors of our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w:t>
      </w:r>
    </w:p>
    <w:p>
      <w:pPr>
        <w:spacing w:after="0" w:line="10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 of December 31, 2000, our subsidiaries had approximately $4.4 billion of indebtedness, excluding intercompany loans. As of December 31, 2000, as adjusted to give effect to the issuance of the notes, we would have had an aggregate of $8.5 billion of consolidated indebtedness.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Certain covenants in the Indenture limit our ability and the ability of our subsidiaries to:</w:t>
      </w:r>
    </w:p>
    <w:p>
      <w:pPr>
        <w:spacing w:after="0" w:line="18"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or permit to exist liens;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sale and leaseback transactions.</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For a description of these covenants, see "Description of Debt Securities -- Provisions Applicable Solely to Senior Debt Securities" in the accompanying prospectus.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28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will issue the notes in the form of one or more global notes in fully registered form initially in the name of Cede &amp; Co., as nominee of DTC, or such other name as may be requested by an authorized representative of DTC. The global notes will be deposited with DTC and may not be transferred except as a whole by DTC to a nominee of DTC or by a nominee of DTC to DTC or another nominee of DTC or by DTC or any nominee to a successor of DTC or a nominee of such successor.</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has advised us and the underwriters as follows:</w:t>
      </w:r>
    </w:p>
    <w:p>
      <w:pPr>
        <w:spacing w:after="0" w:line="201" w:lineRule="exact"/>
        <w:rPr>
          <w:sz w:val="20"/>
          <w:szCs w:val="20"/>
          <w:color w:val="auto"/>
        </w:rPr>
      </w:pPr>
    </w:p>
    <w:p>
      <w:pPr>
        <w:ind w:left="740" w:right="1879" w:hanging="205"/>
        <w:spacing w:after="0" w:line="26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92" w:lineRule="exact"/>
        <w:rPr>
          <w:rFonts w:ascii="Courier New" w:cs="Courier New" w:eastAsia="Courier New" w:hAnsi="Courier New"/>
          <w:sz w:val="18"/>
          <w:szCs w:val="18"/>
          <w:color w:val="auto"/>
        </w:rPr>
      </w:pPr>
    </w:p>
    <w:p>
      <w:pPr>
        <w:ind w:left="740" w:right="2199" w:hanging="205"/>
        <w:spacing w:after="0" w:line="26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holds securities that its participants deposit with DTC and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spacing w:after="0" w:line="92" w:lineRule="exact"/>
        <w:rPr>
          <w:rFonts w:ascii="Courier New" w:cs="Courier New" w:eastAsia="Courier New" w:hAnsi="Courier New"/>
          <w:sz w:val="18"/>
          <w:szCs w:val="18"/>
          <w:color w:val="auto"/>
        </w:rPr>
      </w:pPr>
    </w:p>
    <w:p>
      <w:pPr>
        <w:ind w:left="740" w:right="1879" w:hanging="205"/>
        <w:spacing w:after="0" w:line="402" w:lineRule="auto"/>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participants include securities brokers and dealers, banks, trust companies, clearing corporations, and certain other organizations.</w:t>
      </w:r>
    </w:p>
    <w:p>
      <w:pPr>
        <w:ind w:left="740" w:right="1999" w:hanging="205"/>
        <w:spacing w:after="0" w:line="292"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owned by a number of its direct participants and by the New York Stock Exchange, Inc., the American Stock Exchange LLC and the National Association of Securities Dealers, Inc.</w:t>
      </w:r>
    </w:p>
    <w:p>
      <w:pPr>
        <w:spacing w:after="0" w:line="66"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8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rules applicable to DTC and its direct and indirect participants are on file with the Securities and Exchange Commission.</w:t>
      </w:r>
    </w:p>
    <w:p>
      <w:pPr>
        <w:spacing w:after="0" w:line="1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Purchases of notes under the DTC system must be made by or through direct participants, which will receive a credit for the notes on DTC's records. The ownership interest of each actual purchaser of notes is in turn to be recorded on the direct and indirect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participants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290"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participants to whose accounts such notes are credited, which may or may not be the beneficial owners. The direct and indirect participants will remain responsible for keeping account of their holdings on behalf of their customers.</w:t>
      </w:r>
    </w:p>
    <w:p>
      <w:pPr>
        <w:spacing w:after="0" w:line="291"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285" w:right="1440" w:bottom="964"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Neither DTC nor Cede &amp; Co. (nor such other DTC nominee) will consent or vote with respect to the global notes. Under its usual procedures, DTC mails an omnibus proxy to the issuer as soon as possible after the record date. The omnibus proxy assigns Cede &amp; Co.'s consenting or voting rights to those direct participants to whose accounts the notes are credited on the record date (identified in the listing attached to the omnibus proxy).</w:t>
      </w:r>
    </w:p>
    <w:p>
      <w:pPr>
        <w:spacing w:after="0" w:line="93"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All payments on the global notes will be made to Cede &amp; Co., or such other nominee as may be requested by an authorized representative of DTC. DTC's practice is to credit direct participants' accounts upon DTC's receipt of funds and corresponding detail information from us or the trustee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us or the Trustee, subject to any statutory or regulatory requirements as may be in effect from time to time. Payment of principal and interest to Cede &amp; Co. (or such other nominee as may be requested by an authorized representative of DTC) shall be the responsibility of us or the Trustee. Disbursement of such payments to direct participants shall be the responsibility of DTC, and disbursement of such payments to the beneficial owners shall be the responsibility of direct and indirect participants.</w:t>
      </w:r>
    </w:p>
    <w:p>
      <w:pPr>
        <w:spacing w:after="0" w:line="29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such circumstances, in the event that a successor securities depositary is not obtained, note certificates in fully registered form are required to be printed and delivered to beneficial owners of the global notes representing such notes.</w:t>
      </w:r>
    </w:p>
    <w:p>
      <w:pPr>
        <w:spacing w:after="0" w:line="7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to be reliable (including DTC), but we take no responsibility for its accuracy.</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Neither we, the Trustee nor the underwriters will have any responsibility or obligation to direct participants, or the persons for whom they act as nominees, with respect to the accuracy of the records of DTC, its nominee or any direct participant with respect to any ownership interest in the notes, or payments to, or the providing of notice to direct participants or beneficial owners.</w:t>
      </w:r>
    </w:p>
    <w:p>
      <w:pPr>
        <w:spacing w:after="0" w:line="93"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So long as the notes are in DTC's book-entry system, secondary market trading activity in the notes will settle in immediately available funds. All applicable payments on the notes issued as global notes will be made by us in immediately available funds.</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UNDERWRITING</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Salomon Smith Barney Inc., Credit Suisse First Boston Corporation and Merrill Lynch, Pierce, Fenner &amp; Smith Incorporated are acting as joint book-running managers of the offering and as representatives of the underwriters named below.</w:t>
      </w:r>
    </w:p>
    <w:p>
      <w:pPr>
        <w:spacing w:after="0" w:line="82"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UNDERWRITER</w:t>
            </w:r>
          </w:p>
        </w:tc>
        <w:tc>
          <w:tcPr>
            <w:tcW w:w="2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PRINCIPAL AMOUNT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OF NOTES</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Salomon Smith Barney Inc. ..................................</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Credit Suisse First Boston Corporation......................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 Smith</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160,000,000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Incorporated...................................</w:t>
            </w: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Banc of America Securities LLC..............................</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Chase Securities Inc. ......................................</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Deutsche Banc Alex. Brown Inc...............................</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Fleet Securities, Inc. .....................................</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Goldman, Sachs &amp; Co. .......................................</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Lehman Brothers Inc. .......................................</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$600,000,000</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52"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0.400% of the principal amount of the notes. The underwriters may allow, and dealers may reallow, a concession not to exceed</w:t>
      </w:r>
    </w:p>
    <w:p>
      <w:pPr>
        <w:spacing w:after="0" w:line="3"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0.250% of the principal amount of the notes on sales to other dealers. After the initial offering of the notes to the public, the representatives may change the public offering price and concessions.</w:t>
      </w:r>
    </w:p>
    <w:p>
      <w:pPr>
        <w:spacing w:after="0" w:line="8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PAID BY WASTE MANAGEMENT</w:t>
      </w:r>
    </w:p>
    <w:p>
      <w:pPr>
        <w:spacing w:after="0" w:line="53"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note..............................................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0.650%</w:t>
      </w:r>
    </w:p>
    <w:p>
      <w:pPr>
        <w:spacing w:after="0" w:line="200" w:lineRule="exact"/>
        <w:rPr>
          <w:sz w:val="20"/>
          <w:szCs w:val="20"/>
          <w:color w:val="auto"/>
        </w:rPr>
      </w:pPr>
    </w:p>
    <w:p>
      <w:pPr>
        <w:sectPr>
          <w:pgSz w:w="11900" w:h="16838" w:orient="portrait"/>
          <w:cols w:equalWidth="0" w:num="2">
            <w:col w:w="6140" w:space="720"/>
            <w:col w:w="3359"/>
          </w:cols>
          <w:pgMar w:left="240" w:top="285" w:right="1440" w:bottom="0" w:gutter="0" w:footer="0" w:header="0"/>
          <w:type w:val="continuous"/>
        </w:sectPr>
      </w:pPr>
    </w:p>
    <w:p>
      <w:pPr>
        <w:spacing w:after="0" w:line="226"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In connection with the offering, Salomon Smith Barney Inc.,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04"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The underwriters also may impose a penalty bid. Penalty bids permit the underwriters to reclaim a selling concession from a syndicate member when Salomon Smith Barney Inc., in covering syndicate short positions or making stabilizing purchases, repurchases notes originally sold by that syndicate member.</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285"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estimate that our total expenses for this offering will be $600,000.</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Salomon Smith Barney Inc.</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 is expected that delivery of the notes will be made against payment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therefor on February 9, 2001, which is the fifth business day following the date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prospectus supplement (such settlement cycle being referred to as</w:t>
      </w:r>
    </w:p>
    <w:p>
      <w:pPr>
        <w:spacing w:after="0"/>
        <w:rPr>
          <w:sz w:val="20"/>
          <w:szCs w:val="20"/>
          <w:color w:val="auto"/>
        </w:rPr>
      </w:pPr>
      <w:r>
        <w:rPr>
          <w:rFonts w:ascii="Courier New" w:cs="Courier New" w:eastAsia="Courier New" w:hAnsi="Courier New"/>
          <w:sz w:val="16"/>
          <w:szCs w:val="16"/>
          <w:color w:val="auto"/>
        </w:rPr>
        <w:t>"T+5"). Purchasers of the notes should note that the ability to settle secondary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trades of the notes effected on the date of pricing and the succeeding</w:t>
      </w:r>
    </w:p>
    <w:p>
      <w:pPr>
        <w:spacing w:after="0"/>
        <w:rPr>
          <w:sz w:val="20"/>
          <w:szCs w:val="20"/>
          <w:color w:val="auto"/>
        </w:rPr>
      </w:pPr>
      <w:r>
        <w:rPr>
          <w:rFonts w:ascii="Courier New" w:cs="Courier New" w:eastAsia="Courier New" w:hAnsi="Courier New"/>
          <w:sz w:val="18"/>
          <w:szCs w:val="18"/>
          <w:color w:val="auto"/>
        </w:rPr>
        <w:t>business days may be affected by the T+5 settlement.</w:t>
      </w:r>
    </w:p>
    <w:p>
      <w:pPr>
        <w:spacing w:after="0" w:line="16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Certain of the underwriters or their affiliates have performed investment banking and advisory services for us from time to time for which they have received customary fees and expenses. The underwriters may, from time to time, engage in transactions with and perform services for us in the ordinary course of their business. Chase Securities Inc., an underwriter of this offering, is an affiliate of the Trustee.</w:t>
      </w:r>
    </w:p>
    <w:p>
      <w:pPr>
        <w:spacing w:after="0" w:line="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5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audited consolidated financial statements of Waste Management, Inc. as of December 31, 1999 and 1998 and for each of the years in the three-year period ended December 31, 1999 incorporated by reference in this prospectus have been audited by Arthur Andersen LLP, independent public accountants, as set forth in their report. In their report, that firm states that with respect to the consolidated financial statements of the former USA Waste Services, Inc. and subsidiaries for the year ended December 31, 1997, its opinion is based on the report of other independent public accountants, namely PricewaterhouseCoopers LLP. The audited consolidated financial statements of Waste Management, Inc. as of December 31, 1999 and 1998 and for each of the years in the three-year period ended December 31, 1999 are included herein in reliance upon the authority of Arthur Andersen LLP as experts in giving said reports.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audited consolidated financial statements of operations, stockholders' equity, and cash flows of USA Waste Services, Inc. for the year ended December 31, 1997,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This prospectus summary and the accompanying prospectus, including the information incorporated by reference, contain forward-looking statements within the meaning of Section 27A of the Securities Act of 1933, as amended, and Section 21E of the Securities Exchange Act of 1934, as amended, that reflect our current views on future events and financial performance. These forward-looking statements are subject to certain risks and uncertainties, including those identified in "Risk Factors" in this prospectus supplement and the accompanying prospectus and other factors set forth in the documents incorporated by reference, as well as the following:</w:t>
      </w:r>
    </w:p>
    <w:p>
      <w:pPr>
        <w:spacing w:after="0" w:line="99"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1"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issues, compliance and other audits and regulatory developments;</w:t>
      </w:r>
    </w:p>
    <w:p>
      <w:pPr>
        <w:spacing w:after="0" w:line="66"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 on our business, including the cost to comply with regulatory requirements and the potential liabilities associated with disposal operations, as well as our ability to obtain and maintain permits needed to operate our facilities;</w:t>
      </w:r>
    </w:p>
    <w:p>
      <w:pPr>
        <w:spacing w:after="0" w:line="81" w:lineRule="exact"/>
        <w:rPr>
          <w:rFonts w:ascii="Courier New" w:cs="Courier New" w:eastAsia="Courier New" w:hAnsi="Courier New"/>
          <w:sz w:val="18"/>
          <w:szCs w:val="18"/>
          <w:color w:val="auto"/>
        </w:rPr>
      </w:pPr>
    </w:p>
    <w:p>
      <w:pPr>
        <w:ind w:left="740" w:right="2099" w:hanging="205"/>
        <w:spacing w:after="0" w:line="402"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jc w:val="both"/>
        <w:ind w:left="740" w:right="1999" w:hanging="205"/>
        <w:spacing w:after="0" w:line="292"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66"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shutdown operations and uncompleted acquisitions or development or expansion projects;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price fluctuations of recyclable materials processed by us;</w:t>
      </w:r>
    </w:p>
    <w:p>
      <w:pPr>
        <w:spacing w:after="0" w:line="223" w:lineRule="exact"/>
        <w:rPr>
          <w:rFonts w:ascii="Courier New" w:cs="Courier New" w:eastAsia="Courier New" w:hAnsi="Courier New"/>
          <w:sz w:val="16"/>
          <w:szCs w:val="16"/>
          <w:color w:val="auto"/>
        </w:rPr>
      </w:pPr>
    </w:p>
    <w:p>
      <w:pPr>
        <w:ind w:left="740" w:right="1879" w:hanging="205"/>
        <w:spacing w:after="0" w:line="274"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towards requiring recycling, waste reduction at the source and prohibiting the disposal of certain types of wastes could have on volumes of waste going to landfills and waste-to-energy facilities;</w:t>
      </w:r>
    </w:p>
    <w:p>
      <w:pPr>
        <w:spacing w:after="0" w:line="81" w:lineRule="exact"/>
        <w:rPr>
          <w:rFonts w:ascii="Courier New" w:cs="Courier New" w:eastAsia="Courier New" w:hAnsi="Courier New"/>
          <w:sz w:val="18"/>
          <w:szCs w:val="18"/>
          <w:color w:val="auto"/>
        </w:rPr>
      </w:pPr>
    </w:p>
    <w:p>
      <w:pPr>
        <w:ind w:left="740" w:right="2099" w:hanging="205"/>
        <w:spacing w:after="0" w:line="274"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8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18" w:lineRule="exact"/>
        <w:rPr>
          <w:rFonts w:ascii="Courier New" w:cs="Courier New" w:eastAsia="Courier New" w:hAnsi="Courier New"/>
          <w:sz w:val="18"/>
          <w:szCs w:val="18"/>
          <w:color w:val="auto"/>
        </w:rPr>
      </w:pPr>
    </w:p>
    <w:p>
      <w:pPr>
        <w:ind w:left="740" w:right="1879" w:hanging="205"/>
        <w:spacing w:after="0" w:line="344"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on our financial statements of any proposed change to generally accepted accounting principles, including the manner in which we account for liabilities associated with the closure of our landfills;</w:t>
      </w:r>
    </w:p>
    <w:p>
      <w:pPr>
        <w:spacing w:after="0" w:line="30" w:lineRule="exact"/>
        <w:rPr>
          <w:rFonts w:ascii="Courier New" w:cs="Courier New" w:eastAsia="Courier New" w:hAnsi="Courier New"/>
          <w:sz w:val="16"/>
          <w:szCs w:val="16"/>
          <w:color w:val="auto"/>
        </w:rPr>
      </w:pPr>
    </w:p>
    <w:p>
      <w:pPr>
        <w:ind w:left="740" w:right="2319" w:hanging="205"/>
        <w:spacing w:after="0" w:line="34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retain qualified people to serve in senior management positions;</w:t>
      </w:r>
    </w:p>
    <w:p>
      <w:pPr>
        <w:spacing w:after="0" w:line="18"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the possibility that we can not obtain additional capital on acceptable terms if needed; and</w:t>
      </w:r>
    </w:p>
    <w:p>
      <w:pPr>
        <w:spacing w:after="0" w:line="81" w:lineRule="exact"/>
        <w:rPr>
          <w:rFonts w:ascii="Courier New" w:cs="Courier New" w:eastAsia="Courier New" w:hAnsi="Courier New"/>
          <w:sz w:val="18"/>
          <w:szCs w:val="18"/>
          <w:color w:val="auto"/>
        </w:rPr>
      </w:pPr>
    </w:p>
    <w:p>
      <w:pPr>
        <w:jc w:val="both"/>
        <w:ind w:left="740" w:right="1999" w:hanging="205"/>
        <w:spacing w:after="0" w:line="292"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risks that are inherent in operating in foreign countries which are beyond our control, including but not limited to political, social, and economic instability and government regulations.</w:t>
      </w:r>
    </w:p>
    <w:p>
      <w:pPr>
        <w:spacing w:after="0" w:line="66"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These risks and uncertainties could cause actual results or events to differ materially from historical results or those anticipated. You can identify forward-looking statements by the use of words such as "expect," "estimate," "intend," "project," "budget," "forecast," "anticipate," "plan" and similar expressions. Forward-looking statements include all statements regarding our expected financial position, results of operations, cash flows, dividends, financing plans, business strategies, operating efficiencies or synergies, budgets, capital and other expenditures, competitive positions, growth opportunities for existing products, plans and objectives of management, and markets for stock. We caution you not to place undue</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285" w:right="1440" w:bottom="186"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right="2419"/>
        <w:spacing w:after="0" w:line="274" w:lineRule="auto"/>
        <w:rPr>
          <w:sz w:val="20"/>
          <w:szCs w:val="20"/>
          <w:color w:val="auto"/>
        </w:rPr>
      </w:pPr>
      <w:r>
        <w:rPr>
          <w:rFonts w:ascii="Courier New" w:cs="Courier New" w:eastAsia="Courier New" w:hAnsi="Courier New"/>
          <w:sz w:val="18"/>
          <w:szCs w:val="18"/>
          <w:color w:val="auto"/>
        </w:rPr>
        <w:t>reliance on these forward-looking statements, which speak only as of their dates. We undertake no obligation to publicly update or revise any forward-looking statements, whether as a result of new information, future events or otherwise.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82"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3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FEBRUARY 15, 2000</w:t>
      </w:r>
    </w:p>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54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717"/>
        </w:trPr>
        <w:tc>
          <w:tcPr>
            <w:tcW w:w="6540" w:type="dxa"/>
            <w:vAlign w:val="bottom"/>
          </w:tcPr>
          <w:p>
            <w:pPr>
              <w:spacing w:after="0"/>
              <w:rPr>
                <w:sz w:val="20"/>
                <w:szCs w:val="20"/>
                <w:color w:val="auto"/>
              </w:rPr>
            </w:pPr>
            <w:r>
              <w:rPr>
                <w:rFonts w:ascii="Courier New" w:cs="Courier New" w:eastAsia="Courier New" w:hAnsi="Courier New"/>
                <w:sz w:val="18"/>
                <w:szCs w:val="18"/>
                <w:color w:val="auto"/>
              </w:rPr>
              <w:t>Where To Find More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Our Company.................................................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Risk Factors................................................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Note Regarding Forward-Looking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Ratios of Earnings to Fixed Charges.........................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Debt Securities..............................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Capital Stock................................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of Distribution........................................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Validity of Securities......................................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96"/>
        </w:trPr>
        <w:tc>
          <w:tcPr>
            <w:tcW w:w="6540" w:type="dxa"/>
            <w:vAlign w:val="bottom"/>
          </w:tcPr>
          <w:p>
            <w:pPr>
              <w:spacing w:after="0"/>
              <w:rPr>
                <w:sz w:val="20"/>
                <w:szCs w:val="20"/>
                <w:color w:val="auto"/>
              </w:rPr>
            </w:pPr>
            <w:r>
              <w:rPr>
                <w:rFonts w:ascii="Courier New" w:cs="Courier New" w:eastAsia="Courier New" w:hAnsi="Courier New"/>
                <w:sz w:val="18"/>
                <w:szCs w:val="18"/>
                <w:color w:val="auto"/>
              </w:rPr>
              <w:t>Experts.....................................................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WHERE TO FIND MORE INFORMATION</w:t>
      </w:r>
    </w:p>
    <w:p>
      <w:pPr>
        <w:spacing w:after="0" w:line="20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We have filed with the Securities and Exchange Commission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 We file annual, quarterly and current reports, proxy statements and other information with the Commission. Our Commission filings, including the registration statement, are available to the public over the Internet at the Commission's web site at http://www.sec.gov. You can also read and copy any document we file at:</w:t>
      </w:r>
    </w:p>
    <w:p>
      <w:pPr>
        <w:spacing w:after="0" w:line="295" w:lineRule="exact"/>
        <w:rPr>
          <w:sz w:val="20"/>
          <w:szCs w:val="20"/>
          <w:color w:val="auto"/>
        </w:rPr>
      </w:pPr>
    </w:p>
    <w:p>
      <w:pPr>
        <w:ind w:left="740" w:right="1779" w:hanging="205"/>
        <w:spacing w:after="0" w:line="34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World Trade Center, Suite 1300, New York, New York 10048.</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66"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Specifically, we incorporate by reference the documents set forth below that we have previously filed with the Commission: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COMMISSION FILINGS (FILE NO.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1-12154)</w:t>
            </w: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PERIOD/DATE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8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 - Annual Report on Form 10-K</w:t>
            </w:r>
          </w:p>
        </w:tc>
        <w:tc>
          <w:tcPr>
            <w:tcW w:w="33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Year ended December 31, 1998</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 Quarterly Report on Form</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10-Q</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Quarter ended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March 31, 1999</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(certain items in financial</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statements were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revised in</w:t>
            </w:r>
          </w:p>
        </w:tc>
        <w:tc>
          <w:tcPr>
            <w:tcW w:w="0" w:type="dxa"/>
            <w:vAlign w:val="bottom"/>
          </w:tcPr>
          <w:p>
            <w:pPr>
              <w:spacing w:after="0"/>
              <w:rPr>
                <w:sz w:val="1"/>
                <w:szCs w:val="1"/>
                <w:color w:val="auto"/>
              </w:rPr>
            </w:pPr>
          </w:p>
        </w:tc>
      </w:tr>
      <w:tr>
        <w:trPr>
          <w:trHeight w:val="203"/>
        </w:trPr>
        <w:tc>
          <w:tcPr>
            <w:tcW w:w="302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 - Quarterly Report on Form</w:t>
            </w:r>
          </w:p>
        </w:tc>
        <w:tc>
          <w:tcPr>
            <w:tcW w:w="27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10-Q</w:t>
            </w:r>
          </w:p>
        </w:tc>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June 30, 1999 Form 10-Q)</w:t>
            </w:r>
          </w:p>
        </w:tc>
        <w:tc>
          <w:tcPr>
            <w:tcW w:w="0" w:type="dxa"/>
            <w:vAlign w:val="bottom"/>
          </w:tcPr>
          <w:p>
            <w:pPr>
              <w:spacing w:after="0"/>
              <w:rPr>
                <w:sz w:val="1"/>
                <w:szCs w:val="1"/>
                <w:color w:val="auto"/>
              </w:rPr>
            </w:pPr>
          </w:p>
        </w:tc>
      </w:tr>
      <w:tr>
        <w:trPr>
          <w:trHeight w:val="203"/>
        </w:trPr>
        <w:tc>
          <w:tcPr>
            <w:tcW w:w="302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Quarter ended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1999</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 Quarterly Report on Form</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10-Q (as amended on Form</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Quarter ended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10-Q/A)</w:t>
            </w:r>
          </w:p>
        </w:tc>
        <w:tc>
          <w:tcPr>
            <w:tcW w:w="278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Current Report on Form 8-K</w:t>
            </w:r>
          </w:p>
        </w:tc>
        <w:tc>
          <w:tcPr>
            <w:tcW w:w="3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August 13, 1999</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Current Report on Form 8-K</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September 16,</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Proxy Statement for the 1999 Annual Meeting of</w:t>
            </w:r>
          </w:p>
        </w:tc>
        <w:tc>
          <w:tcPr>
            <w:tcW w:w="1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April 5, 1999</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rPr>
              <w:t>Stockholders</w:t>
            </w:r>
          </w:p>
        </w:tc>
        <w:tc>
          <w:tcPr>
            <w:tcW w:w="2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90"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1001 Fannin Street, Suite 4000</w:t>
      </w:r>
    </w:p>
    <w:p>
      <w:pPr>
        <w:ind w:left="860"/>
        <w:spacing w:after="0" w:line="238" w:lineRule="auto"/>
        <w:rPr>
          <w:sz w:val="20"/>
          <w:szCs w:val="20"/>
          <w:color w:val="auto"/>
        </w:rPr>
      </w:pPr>
      <w:r>
        <w:rPr>
          <w:rFonts w:ascii="Courier New" w:cs="Courier New" w:eastAsia="Courier New" w:hAnsi="Courier New"/>
          <w:sz w:val="18"/>
          <w:szCs w:val="18"/>
          <w:color w:val="auto"/>
        </w:rPr>
        <w:t>Houston, Texas 77002</w:t>
      </w:r>
    </w:p>
    <w:p>
      <w:pPr>
        <w:ind w:left="860" w:right="7779" w:hanging="9"/>
        <w:spacing w:after="0" w:line="378" w:lineRule="auto"/>
        <w:tabs>
          <w:tab w:leader="none" w:pos="149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512-6200 Attn: Secretary</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OUR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9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72"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90"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90"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ACCOUNTING CHARGES HAVE NEGATIVELY IMPACTED REPORTED FINANCIAL RESULTS, RESULTED IN THE IMPAIRMENT OF THE VALUE OF CERTAIN ASSETS AND MAY DECREASE OUR FUTURE CASH FLOWS</w:t>
      </w:r>
    </w:p>
    <w:p>
      <w:pPr>
        <w:spacing w:after="0" w:line="66"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 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9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w:t>
      </w:r>
    </w:p>
    <w:p>
      <w:pPr>
        <w:sectPr>
          <w:pgSz w:w="11900" w:h="16838" w:orient="portrait"/>
          <w:cols w:equalWidth="0" w:num="1">
            <w:col w:w="10219"/>
          </w:cols>
          <w:pgMar w:left="240" w:top="285" w:right="1440" w:bottom="1019" w:gutter="0" w:footer="0" w:header="0"/>
        </w:sectPr>
      </w:pP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85" w:right="1440" w:bottom="1019"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 end audit procedures. Any failure to stabilize our accounting systems could result in additional material charges and adjustments in the future.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IN IMPLEMENTING OUR PROPOSED STRATEGIC INITIATIVE</w:t>
      </w:r>
    </w:p>
    <w:p>
      <w:pPr>
        <w:spacing w:after="0" w:line="224"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UNDERGOING CHANGES IN MANAGEMENT</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Our business may be affected by our ability to attract and retain qualified individuals to serve in senior management positions.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face uncertainties relating to pending litigation and investigations. We are unable to predict the outcome or impact of these matters and there can be no assurance that they will not have a material adverse effect on us and our business.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POTENTIAL DIFFICULTIES IN CONTINUING TO EXPAND AND MANAGE OUR GROWTH</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99"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1"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18"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1"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ectPr>
          <w:pgSz w:w="11900" w:h="16838" w:orient="portrait"/>
          <w:cols w:equalWidth="0" w:num="1">
            <w:col w:w="10219"/>
          </w:cols>
          <w:pgMar w:left="240" w:top="285" w:right="1440" w:bottom="144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ACQUISITION STRATEGY INVOLVES POTENTIAL RISKS</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acquisition strategy involves potential risks. These risks include:</w:t>
      </w:r>
    </w:p>
    <w:p>
      <w:pPr>
        <w:spacing w:after="0" w:line="201" w:lineRule="exact"/>
        <w:rPr>
          <w:sz w:val="20"/>
          <w:szCs w:val="20"/>
          <w:color w:val="auto"/>
        </w:rPr>
      </w:pPr>
    </w:p>
    <w:p>
      <w:pPr>
        <w:ind w:left="740" w:right="199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18"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1"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incurring additional indebtedness or issuing additional equity securities as a result of future acquisitions.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72"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FLUCTUATING INTEREST RATES COULD AFFECT US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w:t>
      </w:r>
    </w:p>
    <w:p>
      <w:pPr>
        <w:sectPr>
          <w:pgSz w:w="11900" w:h="16838" w:orient="portrait"/>
          <w:cols w:equalWidth="0" w:num="1">
            <w:col w:w="10219"/>
          </w:cols>
          <w:pgMar w:left="240" w:top="285" w:right="1440" w:bottom="1440" w:gutter="0" w:footer="0" w:header="0"/>
        </w:sectPr>
      </w:pP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Profitability may decline because of the national emphasis on recycling, composting, and other waste reduction programs that could reduce the volume of solid waste collected or deposited in disposal facilities.</w:t>
      </w:r>
    </w:p>
    <w:p>
      <w:pPr>
        <w:spacing w:after="0" w:line="66"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7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18"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290"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GOVERNMENTAL REGULATIONS MAY RESTRICT OUR OPERATIONS OR INCREASE THE LEVEL OF COSTS OF OUR OPERATIONS</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98" w:lineRule="exact"/>
        <w:rPr>
          <w:sz w:val="20"/>
          <w:szCs w:val="20"/>
          <w:color w:val="auto"/>
        </w:rPr>
      </w:pPr>
    </w:p>
    <w:p>
      <w:pPr>
        <w:ind w:left="740" w:right="2619" w:hanging="205"/>
        <w:spacing w:after="0" w:line="292"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66" w:lineRule="exact"/>
        <w:rPr>
          <w:rFonts w:ascii="Courier New" w:cs="Courier New" w:eastAsia="Courier New" w:hAnsi="Courier New"/>
          <w:sz w:val="18"/>
          <w:szCs w:val="18"/>
          <w:color w:val="auto"/>
        </w:rPr>
      </w:pPr>
    </w:p>
    <w:p>
      <w:pPr>
        <w:ind w:left="740" w:right="273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6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w:t>
      </w:r>
    </w:p>
    <w:p>
      <w:pPr>
        <w:sectPr>
          <w:pgSz w:w="11900" w:h="16838" w:orient="portrait"/>
          <w:cols w:equalWidth="0" w:num="1">
            <w:col w:w="10219"/>
          </w:cols>
          <w:pgMar w:left="240" w:top="285" w:right="1440" w:bottom="816" w:gutter="0" w:footer="0" w:header="0"/>
        </w:sectPr>
      </w:pP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816"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business, including permits and approvals for the development of additional disposal capacity needed to replace existing capacity that is exhausted.</w:t>
      </w:r>
    </w:p>
    <w:p>
      <w:pPr>
        <w:spacing w:after="0" w:line="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90"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1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the ordinary course of our business, we may become involved in a variety of legal and administrative proceedings relating to land use and environmental laws and regulations. These may include proceedings in which:</w:t>
      </w:r>
    </w:p>
    <w:p>
      <w:pPr>
        <w:spacing w:after="0" w:line="66" w:lineRule="exact"/>
        <w:rPr>
          <w:sz w:val="20"/>
          <w:szCs w:val="20"/>
          <w:color w:val="auto"/>
        </w:rPr>
      </w:pPr>
    </w:p>
    <w:p>
      <w:pPr>
        <w:ind w:left="740" w:right="1999" w:hanging="205"/>
        <w:spacing w:after="0" w:line="274"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81"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that we may be responsible for.</w:t>
      </w:r>
    </w:p>
    <w:p>
      <w:pPr>
        <w:spacing w:after="0" w:line="90"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6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98"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 w:lineRule="exact"/>
        <w:rPr>
          <w:sz w:val="20"/>
          <w:szCs w:val="20"/>
          <w:color w:val="auto"/>
        </w:rPr>
      </w:pPr>
    </w:p>
    <w:p>
      <w:pPr>
        <w:ind w:right="1999" w:firstLine="527"/>
        <w:spacing w:after="0" w:line="244"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w:t>
      </w:r>
    </w:p>
    <w:p>
      <w:pPr>
        <w:sectPr>
          <w:pgSz w:w="11900" w:h="16838" w:orient="portrait"/>
          <w:cols w:equalWidth="0" w:num="1">
            <w:col w:w="10219"/>
          </w:cols>
          <w:pgMar w:left="240" w:top="285" w:right="1440" w:bottom="1440" w:gutter="0" w:footer="0" w:header="0"/>
        </w:sectPr>
      </w:pP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5"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jc w:val="both"/>
        <w:ind w:right="1999" w:firstLine="527"/>
        <w:spacing w:after="0" w:line="344" w:lineRule="auto"/>
        <w:rPr>
          <w:sz w:val="20"/>
          <w:szCs w:val="20"/>
          <w:color w:val="auto"/>
        </w:rPr>
      </w:pPr>
      <w:r>
        <w:rPr>
          <w:rFonts w:ascii="Courier New" w:cs="Courier New" w:eastAsia="Courier New" w:hAnsi="Courier New"/>
          <w:sz w:val="16"/>
          <w:szCs w:val="16"/>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3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THE COMMISSION IS INVESTIGATING THE ACCOUNTING PRACTICES OF WASTE MANAGEMENT HOLDINGS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INTERNATIONAL OPERATIONS ENCOUNTER SOCIAL, POLITICAL AND ECONOMIC RISKS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66"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nullification, modification or renegotiation of contracts;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66"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1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761"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9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or in the accompanying prospectus supplement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2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840" w:firstLine="527"/>
        <w:spacing w:after="0" w:line="306" w:lineRule="auto"/>
        <w:rPr>
          <w:sz w:val="20"/>
          <w:szCs w:val="20"/>
          <w:color w:val="auto"/>
        </w:rPr>
      </w:pPr>
      <w:r>
        <w:rPr>
          <w:rFonts w:ascii="Courier New" w:cs="Courier New" w:eastAsia="Courier New" w:hAnsi="Courier New"/>
          <w:sz w:val="16"/>
          <w:szCs w:val="16"/>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60" w:lineRule="exact"/>
        <w:rPr>
          <w:sz w:val="20"/>
          <w:szCs w:val="20"/>
          <w:color w:val="auto"/>
        </w:rPr>
      </w:pPr>
    </w:p>
    <w:p>
      <w:pPr>
        <w:ind w:right="840" w:firstLine="527"/>
        <w:spacing w:after="0" w:line="274"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1" w:lineRule="exact"/>
        <w:rPr>
          <w:sz w:val="20"/>
          <w:szCs w:val="20"/>
          <w:color w:val="auto"/>
        </w:rPr>
      </w:pPr>
    </w:p>
    <w:p>
      <w:pPr>
        <w:ind w:right="840" w:firstLine="527"/>
        <w:spacing w:after="0" w:line="347"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YEAR ENDED DECEMBER 31,</w:t>
            </w:r>
          </w:p>
        </w:tc>
        <w:tc>
          <w:tcPr>
            <w:tcW w:w="7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r>
      <w:tr>
        <w:trPr>
          <w:trHeight w:val="296"/>
        </w:trPr>
        <w:tc>
          <w:tcPr>
            <w:tcW w:w="51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Actual..........................................</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2.7x</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2.6x</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2.1x</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N/A(1)</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N/A(2)</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right="840" w:hanging="412"/>
        <w:spacing w:after="0" w:line="253"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Waste Management Holdings of its operating assets and investments.</w:t>
      </w:r>
    </w:p>
    <w:p>
      <w:pPr>
        <w:spacing w:after="0" w:line="103" w:lineRule="exact"/>
        <w:rPr>
          <w:rFonts w:ascii="Courier New" w:cs="Courier New" w:eastAsia="Courier New" w:hAnsi="Courier New"/>
          <w:sz w:val="18"/>
          <w:szCs w:val="18"/>
          <w:color w:val="auto"/>
        </w:rPr>
      </w:pPr>
    </w:p>
    <w:p>
      <w:pPr>
        <w:ind w:left="420" w:right="840" w:hanging="412"/>
        <w:spacing w:after="0" w:line="256"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98" w:lineRule="exact"/>
        <w:rPr>
          <w:rFonts w:ascii="Courier New" w:cs="Courier New" w:eastAsia="Courier New" w:hAnsi="Courier New"/>
          <w:sz w:val="18"/>
          <w:szCs w:val="18"/>
          <w:color w:val="auto"/>
        </w:rPr>
      </w:pPr>
    </w:p>
    <w:p>
      <w:pPr>
        <w:ind w:left="420" w:right="940" w:hanging="412"/>
        <w:spacing w:after="0" w:line="293"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72" w:lineRule="exact"/>
        <w:rPr>
          <w:sz w:val="20"/>
          <w:szCs w:val="20"/>
          <w:color w:val="auto"/>
        </w:rPr>
      </w:pPr>
    </w:p>
    <w:p>
      <w:pPr>
        <w:ind w:right="840" w:firstLine="527"/>
        <w:spacing w:after="0" w:line="287"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NINE MONTHS</w:t>
      </w:r>
    </w:p>
    <w:p>
      <w:pPr>
        <w:spacing w:after="0" w:line="2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ENDED</w:t>
      </w:r>
    </w:p>
    <w:p>
      <w:pPr>
        <w:ind w:left="440" w:hanging="420"/>
        <w:spacing w:after="0" w:line="238" w:lineRule="auto"/>
        <w:rPr>
          <w:sz w:val="20"/>
          <w:szCs w:val="20"/>
          <w:color w:val="auto"/>
        </w:rPr>
      </w:pPr>
      <w:r>
        <w:rPr>
          <w:rFonts w:ascii="Courier New" w:cs="Courier New" w:eastAsia="Courier New" w:hAnsi="Courier New"/>
          <w:sz w:val="18"/>
          <w:szCs w:val="18"/>
          <w:color w:val="auto"/>
        </w:rPr>
        <w:t>SEPTEMBER 30,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NA(3)</w:t>
      </w:r>
    </w:p>
    <w:p>
      <w:pPr>
        <w:spacing w:after="0" w:line="7899" w:lineRule="exact"/>
        <w:rPr>
          <w:sz w:val="20"/>
          <w:szCs w:val="20"/>
          <w:color w:val="auto"/>
        </w:rPr>
      </w:pPr>
    </w:p>
    <w:p>
      <w:pPr>
        <w:sectPr>
          <w:pgSz w:w="11900" w:h="16838" w:orient="portrait"/>
          <w:cols w:equalWidth="0" w:num="2">
            <w:col w:w="9280" w:space="200"/>
            <w:col w:w="1380"/>
          </w:cols>
          <w:pgMar w:left="240" w:top="285" w:right="799" w:bottom="1440" w:gutter="0" w:footer="0" w:header="0"/>
        </w:sect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860"/>
          </w:cols>
          <w:pgMar w:left="240" w:top="285" w:right="799"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104"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We have previously entered into a Senior Indenture dated as of September 10, 1997 with Chase Bank in the form filed as an exhibit to our Current Report on Form 8-K (file no. 1-12154) filed with the Commission on September 24, 1997. We have previously entered into a Subordinated Indenture dated as of February 1, 1997 with Chase Bank in the form filed as an exhibit to our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117"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1"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11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66" w:lineRule="exact"/>
        <w:rPr>
          <w:sz w:val="20"/>
          <w:szCs w:val="20"/>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18" w:lineRule="exact"/>
        <w:rPr>
          <w:rFonts w:ascii="Courier New" w:cs="Courier New" w:eastAsia="Courier New" w:hAnsi="Courier New"/>
          <w:sz w:val="18"/>
          <w:szCs w:val="18"/>
          <w:color w:val="auto"/>
        </w:rPr>
      </w:pPr>
    </w:p>
    <w:p>
      <w:pPr>
        <w:ind w:left="740" w:right="1879" w:hanging="205"/>
        <w:spacing w:after="0" w:line="289"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that constitute Subordinated Debt Securities are convertible into common stock and, if so, the terms and conditions</w:t>
      </w:r>
    </w:p>
    <w:p>
      <w:pPr>
        <w:ind w:left="740"/>
        <w:spacing w:after="0"/>
        <w:rPr>
          <w:sz w:val="20"/>
          <w:szCs w:val="20"/>
          <w:color w:val="auto"/>
        </w:rPr>
      </w:pPr>
      <w:r>
        <w:rPr>
          <w:rFonts w:ascii="Courier New" w:cs="Courier New" w:eastAsia="Courier New" w:hAnsi="Courier New"/>
          <w:sz w:val="18"/>
          <w:szCs w:val="18"/>
          <w:color w:val="auto"/>
        </w:rPr>
        <w:t>upon which such conversion will be effected,</w:t>
      </w: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761"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740" w:right="1779"/>
        <w:spacing w:after="0" w:line="274" w:lineRule="auto"/>
        <w:rPr>
          <w:sz w:val="20"/>
          <w:szCs w:val="20"/>
          <w:color w:val="auto"/>
        </w:rPr>
      </w:pPr>
      <w:r>
        <w:rPr>
          <w:rFonts w:ascii="Courier New" w:cs="Courier New" w:eastAsia="Courier New" w:hAnsi="Courier New"/>
          <w:sz w:val="18"/>
          <w:szCs w:val="18"/>
          <w:color w:val="auto"/>
        </w:rPr>
        <w:t>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82"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1" w:lineRule="exact"/>
        <w:rPr>
          <w:rFonts w:ascii="Courier New" w:cs="Courier New" w:eastAsia="Courier New" w:hAnsi="Courier New"/>
          <w:sz w:val="18"/>
          <w:szCs w:val="18"/>
          <w:color w:val="auto"/>
        </w:rPr>
      </w:pPr>
    </w:p>
    <w:p>
      <w:pPr>
        <w:ind w:left="740" w:right="1999" w:hanging="205"/>
        <w:spacing w:after="0" w:line="318"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52" w:lineRule="exact"/>
        <w:rPr>
          <w:rFonts w:ascii="Courier New" w:cs="Courier New" w:eastAsia="Courier New" w:hAnsi="Courier New"/>
          <w:sz w:val="16"/>
          <w:szCs w:val="16"/>
          <w:color w:val="auto"/>
        </w:rPr>
      </w:pPr>
    </w:p>
    <w:p>
      <w:pPr>
        <w:ind w:left="740" w:right="1779" w:hanging="205"/>
        <w:spacing w:after="0" w:line="34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1"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66" w:lineRule="exact"/>
        <w:rPr>
          <w:rFonts w:ascii="Courier New" w:cs="Courier New" w:eastAsia="Courier New" w:hAnsi="Courier New"/>
          <w:sz w:val="18"/>
          <w:szCs w:val="18"/>
          <w:color w:val="auto"/>
        </w:rPr>
      </w:pPr>
    </w:p>
    <w:p>
      <w:pPr>
        <w:ind w:left="740" w:right="1999" w:hanging="205"/>
        <w:spacing w:after="0" w:line="25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9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1" w:lineRule="exact"/>
        <w:rPr>
          <w:rFonts w:ascii="Courier New" w:cs="Courier New" w:eastAsia="Courier New" w:hAnsi="Courier New"/>
          <w:sz w:val="18"/>
          <w:szCs w:val="18"/>
          <w:color w:val="auto"/>
        </w:rPr>
      </w:pPr>
    </w:p>
    <w:p>
      <w:pPr>
        <w:ind w:left="740" w:right="1879" w:hanging="205"/>
        <w:spacing w:after="0" w:line="25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98"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92" w:lineRule="exact"/>
        <w:rPr>
          <w:rFonts w:ascii="Courier New" w:cs="Courier New" w:eastAsia="Courier New" w:hAnsi="Courier New"/>
          <w:sz w:val="18"/>
          <w:szCs w:val="18"/>
          <w:color w:val="auto"/>
        </w:rPr>
      </w:pPr>
    </w:p>
    <w:p>
      <w:pPr>
        <w:ind w:left="740" w:right="1999" w:hanging="205"/>
        <w:spacing w:after="0" w:line="306"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60" w:lineRule="exact"/>
        <w:rPr>
          <w:rFonts w:ascii="Courier New" w:cs="Courier New" w:eastAsia="Courier New" w:hAnsi="Courier New"/>
          <w:sz w:val="16"/>
          <w:szCs w:val="16"/>
          <w:color w:val="auto"/>
        </w:rPr>
      </w:pPr>
    </w:p>
    <w:p>
      <w:pPr>
        <w:ind w:left="740" w:right="2319" w:hanging="205"/>
        <w:spacing w:after="0" w:line="292"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66"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pacing w:after="0" w:line="18"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w:t>
      </w:r>
    </w:p>
    <w:p>
      <w:pPr>
        <w:sectPr>
          <w:pgSz w:w="11900" w:h="16838" w:orient="portrait"/>
          <w:cols w:equalWidth="0" w:num="1">
            <w:col w:w="10219"/>
          </w:cols>
          <w:pgMar w:left="240" w:top="285" w:right="1440" w:bottom="411"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411"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acceleration of the maturity thereof an amount less than the amount payable upon the Stated Maturity 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98"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29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200" w:lineRule="exact"/>
        <w:rPr>
          <w:sz w:val="20"/>
          <w:szCs w:val="20"/>
          <w:color w:val="auto"/>
        </w:rPr>
      </w:pPr>
    </w:p>
    <w:p>
      <w:pPr>
        <w:spacing w:after="0" w:line="3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19"/>
          </w:cols>
          <w:pgMar w:left="240" w:top="285" w:right="1440" w:bottom="1440" w:gutter="0" w:footer="0" w:header="0"/>
        </w:sectPr>
      </w:pP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85"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1" w:lineRule="exact"/>
        <w:rPr>
          <w:sz w:val="20"/>
          <w:szCs w:val="20"/>
          <w:color w:val="auto"/>
        </w:rPr>
      </w:pPr>
    </w:p>
    <w:p>
      <w:pPr>
        <w:ind w:left="740" w:right="1779" w:hanging="205"/>
        <w:spacing w:after="0" w:line="274"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81" w:lineRule="exact"/>
        <w:rPr>
          <w:rFonts w:ascii="Courier New" w:cs="Courier New" w:eastAsia="Courier New" w:hAnsi="Courier New"/>
          <w:sz w:val="18"/>
          <w:szCs w:val="18"/>
          <w:color w:val="auto"/>
        </w:rPr>
      </w:pPr>
    </w:p>
    <w:p>
      <w:pPr>
        <w:ind w:left="960" w:right="2099" w:hanging="320"/>
        <w:spacing w:after="0" w:line="292" w:lineRule="auto"/>
        <w:tabs>
          <w:tab w:leader="none" w:pos="9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66" w:lineRule="exact"/>
        <w:rPr>
          <w:rFonts w:ascii="Courier New" w:cs="Courier New" w:eastAsia="Courier New" w:hAnsi="Courier New"/>
          <w:sz w:val="18"/>
          <w:szCs w:val="18"/>
          <w:color w:val="auto"/>
        </w:rPr>
      </w:pPr>
    </w:p>
    <w:p>
      <w:pPr>
        <w:ind w:left="960" w:right="1779" w:hanging="320"/>
        <w:spacing w:after="0" w:line="265" w:lineRule="auto"/>
        <w:tabs>
          <w:tab w:leader="none" w:pos="9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89"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66" w:lineRule="exact"/>
        <w:rPr>
          <w:rFonts w:ascii="Courier New" w:cs="Courier New" w:eastAsia="Courier New" w:hAnsi="Courier New"/>
          <w:sz w:val="18"/>
          <w:szCs w:val="18"/>
          <w:color w:val="auto"/>
        </w:rPr>
      </w:pPr>
    </w:p>
    <w:p>
      <w:pPr>
        <w:jc w:val="both"/>
        <w:ind w:left="740" w:right="2099" w:hanging="205"/>
        <w:spacing w:after="0" w:line="344"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3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78"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93"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76" w:lineRule="exact"/>
        <w:rPr>
          <w:sz w:val="20"/>
          <w:szCs w:val="20"/>
          <w:color w:val="auto"/>
        </w:rPr>
      </w:pPr>
    </w:p>
    <w:p>
      <w:pPr>
        <w:ind w:right="2319" w:firstLine="527"/>
        <w:spacing w:after="0" w:line="250"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964"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0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93"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04"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6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04"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w:t>
      </w:r>
    </w:p>
    <w:p>
      <w:pPr>
        <w:sectPr>
          <w:pgSz w:w="11900" w:h="16838" w:orient="portrait"/>
          <w:cols w:equalWidth="0" w:num="1">
            <w:col w:w="10219"/>
          </w:cols>
          <w:pgMar w:left="240" w:top="285" w:right="1440" w:bottom="1440" w:gutter="0" w:footer="0" w:header="0"/>
        </w:sectPr>
      </w:pP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85" w:right="1440"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w:t>
      </w:r>
    </w:p>
    <w:p>
      <w:pPr>
        <w:spacing w:after="0" w:line="3" w:lineRule="exact"/>
        <w:rPr>
          <w:sz w:val="20"/>
          <w:szCs w:val="20"/>
          <w:color w:val="auto"/>
        </w:rPr>
      </w:pPr>
    </w:p>
    <w:p>
      <w:pPr>
        <w:ind w:right="1779" w:firstLine="8"/>
        <w:spacing w:after="0" w:line="245"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09"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3" w:lineRule="exact"/>
        <w:rPr>
          <w:sz w:val="20"/>
          <w:szCs w:val="20"/>
          <w:color w:val="auto"/>
        </w:rPr>
      </w:pPr>
    </w:p>
    <w:p>
      <w:pPr>
        <w:ind w:right="1779"/>
        <w:spacing w:after="0" w:line="241"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2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85"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of each series affected by such modification or amendment; provided, however, that no such modification or amendment may, without the consent of the Holder of each Outstanding Security affected thereby:</w:t>
      </w:r>
    </w:p>
    <w:p>
      <w:pPr>
        <w:spacing w:after="0" w:line="66" w:lineRule="exact"/>
        <w:rPr>
          <w:sz w:val="20"/>
          <w:szCs w:val="20"/>
          <w:color w:val="auto"/>
        </w:rPr>
      </w:pPr>
    </w:p>
    <w:p>
      <w:pPr>
        <w:ind w:left="540" w:right="1779" w:firstLine="521"/>
        <w:spacing w:after="0" w:line="34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1" w:lineRule="exact"/>
        <w:rPr>
          <w:rFonts w:ascii="Courier New" w:cs="Courier New" w:eastAsia="Courier New" w:hAnsi="Courier New"/>
          <w:sz w:val="18"/>
          <w:szCs w:val="18"/>
          <w:color w:val="auto"/>
        </w:rPr>
      </w:pPr>
    </w:p>
    <w:p>
      <w:pPr>
        <w:ind w:left="540" w:right="2199" w:firstLine="521"/>
        <w:spacing w:after="0" w:line="34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1" w:lineRule="exact"/>
        <w:rPr>
          <w:rFonts w:ascii="Courier New" w:cs="Courier New" w:eastAsia="Courier New" w:hAnsi="Courier New"/>
          <w:sz w:val="18"/>
          <w:szCs w:val="18"/>
          <w:color w:val="auto"/>
        </w:rPr>
      </w:pPr>
    </w:p>
    <w:p>
      <w:pPr>
        <w:ind w:left="540" w:right="2419" w:firstLine="521"/>
        <w:spacing w:after="0" w:line="402" w:lineRule="auto"/>
        <w:tabs>
          <w:tab w:leader="none" w:pos="148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ind w:left="540" w:right="2319" w:firstLine="521"/>
        <w:spacing w:after="0" w:line="34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1" w:lineRule="exact"/>
        <w:rPr>
          <w:rFonts w:ascii="Courier New" w:cs="Courier New" w:eastAsia="Courier New" w:hAnsi="Courier New"/>
          <w:sz w:val="18"/>
          <w:szCs w:val="18"/>
          <w:color w:val="auto"/>
        </w:rPr>
      </w:pPr>
    </w:p>
    <w:p>
      <w:pPr>
        <w:ind w:left="540" w:right="2199" w:firstLine="521"/>
        <w:spacing w:after="0" w:line="292"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66" w:lineRule="exact"/>
        <w:rPr>
          <w:rFonts w:ascii="Courier New" w:cs="Courier New" w:eastAsia="Courier New" w:hAnsi="Courier New"/>
          <w:sz w:val="18"/>
          <w:szCs w:val="18"/>
          <w:color w:val="auto"/>
        </w:rPr>
      </w:pPr>
    </w:p>
    <w:p>
      <w:pPr>
        <w:ind w:left="540" w:right="2199" w:firstLine="521"/>
        <w:spacing w:after="0" w:line="265"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89"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voting;</w:t>
      </w:r>
    </w:p>
    <w:p>
      <w:pPr>
        <w:spacing w:after="0" w:line="169" w:lineRule="exact"/>
        <w:rPr>
          <w:rFonts w:ascii="Courier New" w:cs="Courier New" w:eastAsia="Courier New" w:hAnsi="Courier New"/>
          <w:sz w:val="16"/>
          <w:szCs w:val="16"/>
          <w:color w:val="auto"/>
        </w:rPr>
      </w:pPr>
    </w:p>
    <w:p>
      <w:pPr>
        <w:ind w:left="540" w:right="1879" w:firstLine="521"/>
        <w:spacing w:after="0" w:line="34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18" w:lineRule="exact"/>
        <w:rPr>
          <w:sz w:val="20"/>
          <w:szCs w:val="20"/>
          <w:color w:val="auto"/>
        </w:rPr>
      </w:pPr>
    </w:p>
    <w:p>
      <w:pPr>
        <w:ind w:left="540" w:right="2939" w:firstLine="521"/>
        <w:spacing w:after="0" w:line="34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1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 modify any of the above provisions. (Section 902)</w:t>
      </w:r>
    </w:p>
    <w:p>
      <w:pPr>
        <w:spacing w:after="0" w:line="201" w:lineRule="exact"/>
        <w:rPr>
          <w:sz w:val="20"/>
          <w:szCs w:val="20"/>
          <w:color w:val="auto"/>
        </w:rPr>
      </w:pPr>
    </w:p>
    <w:p>
      <w:pPr>
        <w:ind w:right="2519" w:firstLine="527"/>
        <w:spacing w:after="0" w:line="260"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 Provisions Applicable Solely to Subordinated Debt Securities") then outstanding that would be adversely affected thereby. (Section 907 of the Subordinated Debt Indenture)</w:t>
      </w:r>
    </w:p>
    <w:p>
      <w:pPr>
        <w:spacing w:after="0" w:line="93"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0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w:t>
      </w:r>
    </w:p>
    <w:p>
      <w:pPr>
        <w:sectPr>
          <w:pgSz w:w="11900" w:h="16838" w:orient="portrait"/>
          <w:cols w:equalWidth="0" w:num="1">
            <w:col w:w="10219"/>
          </w:cols>
          <w:pgMar w:left="240" w:top="285" w:right="1440" w:bottom="6" w:gutter="0" w:footer="0" w:header="0"/>
        </w:sectPr>
      </w:pPr>
    </w:p>
    <w:p>
      <w:pPr>
        <w:spacing w:after="0" w:line="29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85" w:right="1440" w:bottom="6"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Security, the U.S. dollar equivalent, determined on the date of original issuance of such Security, of the amount determined as provided in (i) above. (Section 101)</w:t>
      </w:r>
    </w:p>
    <w:p>
      <w:pPr>
        <w:spacing w:after="0" w:line="6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68"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66" w:lineRule="exact"/>
        <w:rPr>
          <w:sz w:val="20"/>
          <w:szCs w:val="20"/>
          <w:color w:val="auto"/>
        </w:rPr>
      </w:pPr>
    </w:p>
    <w:p>
      <w:pPr>
        <w:ind w:right="2619" w:firstLine="527"/>
        <w:spacing w:after="0" w:line="292"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6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98"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60"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04"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54"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66"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1779" w:firstLine="8"/>
        <w:spacing w:after="0" w:line="243"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16"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105"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1" w:lineRule="exact"/>
        <w:rPr>
          <w:sz w:val="20"/>
          <w:szCs w:val="20"/>
          <w:color w:val="auto"/>
        </w:rPr>
      </w:pPr>
    </w:p>
    <w:p>
      <w:pPr>
        <w:jc w:val="both"/>
        <w:ind w:left="540" w:right="2319" w:firstLine="521"/>
        <w:spacing w:after="0" w:line="282" w:lineRule="auto"/>
        <w:tabs>
          <w:tab w:leader="none" w:pos="148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356"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jc w:val="both"/>
        <w:ind w:left="540" w:right="2419"/>
        <w:spacing w:after="0" w:line="344" w:lineRule="auto"/>
        <w:rPr>
          <w:sz w:val="20"/>
          <w:szCs w:val="20"/>
          <w:color w:val="auto"/>
        </w:rPr>
      </w:pPr>
      <w:r>
        <w:rPr>
          <w:rFonts w:ascii="Courier New" w:cs="Courier New" w:eastAsia="Courier New" w:hAnsi="Courier New"/>
          <w:sz w:val="16"/>
          <w:szCs w:val="16"/>
          <w:color w:val="auto"/>
        </w:rPr>
        <w:t>debentures, notes or other similar instruments) or on which interest charges are customarily paid, all as shown on a balance sheet of such Person as of the date at which Indebtedness is to be determined;</w:t>
      </w:r>
    </w:p>
    <w:p>
      <w:pPr>
        <w:spacing w:after="0" w:line="31" w:lineRule="exact"/>
        <w:rPr>
          <w:sz w:val="20"/>
          <w:szCs w:val="20"/>
          <w:color w:val="auto"/>
        </w:rPr>
      </w:pPr>
    </w:p>
    <w:p>
      <w:pPr>
        <w:ind w:left="540" w:right="1779" w:firstLine="521"/>
        <w:spacing w:after="0" w:line="274"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81" w:lineRule="exact"/>
        <w:rPr>
          <w:rFonts w:ascii="Courier New" w:cs="Courier New" w:eastAsia="Courier New" w:hAnsi="Courier New"/>
          <w:sz w:val="18"/>
          <w:szCs w:val="18"/>
          <w:color w:val="auto"/>
        </w:rPr>
      </w:pPr>
    </w:p>
    <w:p>
      <w:pPr>
        <w:ind w:left="540" w:right="2419" w:firstLine="521"/>
        <w:spacing w:after="0" w:line="34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18" w:lineRule="exact"/>
        <w:rPr>
          <w:rFonts w:ascii="Courier New" w:cs="Courier New" w:eastAsia="Courier New" w:hAnsi="Courier New"/>
          <w:sz w:val="18"/>
          <w:szCs w:val="18"/>
          <w:color w:val="auto"/>
        </w:rPr>
      </w:pPr>
    </w:p>
    <w:p>
      <w:pPr>
        <w:ind w:left="860" w:right="1779" w:firstLine="517"/>
        <w:spacing w:after="0" w:line="306" w:lineRule="auto"/>
        <w:tabs>
          <w:tab w:leader="none" w:pos="180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60"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8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98"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9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964"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1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Limitation on Liens. Unless provided otherwise in the applicable prospectus supplement, the provisions of this covenant shall apply to each series of Senior Debt Securities issued under the Senior Debt Indenture:</w:t>
      </w:r>
    </w:p>
    <w:p>
      <w:pPr>
        <w:spacing w:after="0" w:line="66" w:lineRule="exact"/>
        <w:rPr>
          <w:sz w:val="20"/>
          <w:szCs w:val="20"/>
          <w:color w:val="auto"/>
        </w:rPr>
      </w:pPr>
    </w:p>
    <w:p>
      <w:pPr>
        <w:ind w:left="540" w:right="1779" w:firstLine="521"/>
        <w:spacing w:after="0" w:line="279" w:lineRule="auto"/>
        <w:tabs>
          <w:tab w:leader="none" w:pos="148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291" w:lineRule="exact"/>
        <w:rPr>
          <w:rFonts w:ascii="Courier New" w:cs="Courier New" w:eastAsia="Courier New" w:hAnsi="Courier New"/>
          <w:sz w:val="16"/>
          <w:szCs w:val="16"/>
          <w:color w:val="auto"/>
        </w:rPr>
      </w:pPr>
    </w:p>
    <w:p>
      <w:pPr>
        <w:ind w:left="860" w:right="2099" w:firstLine="517"/>
        <w:spacing w:after="0" w:line="289" w:lineRule="auto"/>
        <w:tabs>
          <w:tab w:leader="none" w:pos="1808"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69" w:lineRule="auto"/>
        <w:tabs>
          <w:tab w:leader="none" w:pos="12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 Provisions Applicable Solely to Senior Debt</w:t>
      </w:r>
    </w:p>
    <w:p>
      <w:pPr>
        <w:spacing w:after="0" w:line="392" w:lineRule="exact"/>
        <w:rPr>
          <w:rFonts w:ascii="Courier New" w:cs="Courier New" w:eastAsia="Courier New" w:hAnsi="Courier New"/>
          <w:sz w:val="16"/>
          <w:szCs w:val="16"/>
          <w:color w:val="auto"/>
        </w:rPr>
      </w:pPr>
    </w:p>
    <w:p>
      <w:pPr>
        <w:ind w:left="860" w:right="209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95" w:lineRule="exact"/>
        <w:rPr>
          <w:rFonts w:ascii="Courier New" w:cs="Courier New" w:eastAsia="Courier New" w:hAnsi="Courier New"/>
          <w:sz w:val="16"/>
          <w:szCs w:val="16"/>
          <w:color w:val="auto"/>
        </w:rPr>
      </w:pPr>
    </w:p>
    <w:p>
      <w:pPr>
        <w:ind w:left="860" w:right="2099" w:firstLine="517"/>
        <w:spacing w:after="0" w:line="274" w:lineRule="auto"/>
        <w:tabs>
          <w:tab w:leader="none" w:pos="1808"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81" w:lineRule="exact"/>
        <w:rPr>
          <w:rFonts w:ascii="Courier New" w:cs="Courier New" w:eastAsia="Courier New" w:hAnsi="Courier New"/>
          <w:sz w:val="18"/>
          <w:szCs w:val="18"/>
          <w:color w:val="auto"/>
        </w:rPr>
      </w:pPr>
    </w:p>
    <w:p>
      <w:pPr>
        <w:ind w:left="860" w:right="1779" w:firstLine="517"/>
        <w:spacing w:after="0" w:line="293" w:lineRule="auto"/>
        <w:tabs>
          <w:tab w:leader="none" w:pos="1808"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w:t>
      </w:r>
    </w:p>
    <w:p>
      <w:pPr>
        <w:sectPr>
          <w:pgSz w:w="11900" w:h="16838" w:orient="portrait"/>
          <w:cols w:equalWidth="0" w:num="1">
            <w:col w:w="10219"/>
          </w:cols>
          <w:pgMar w:left="240" w:top="285" w:right="1440" w:bottom="411" w:gutter="0" w:footer="0" w:header="0"/>
        </w:sectPr>
      </w:pP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85" w:right="1440" w:bottom="411"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left="540" w:right="1879"/>
        <w:spacing w:after="0" w:line="347" w:lineRule="auto"/>
        <w:rPr>
          <w:sz w:val="20"/>
          <w:szCs w:val="20"/>
          <w:color w:val="auto"/>
        </w:rPr>
      </w:pPr>
      <w:r>
        <w:rPr>
          <w:rFonts w:ascii="Courier New" w:cs="Courier New" w:eastAsia="Courier New" w:hAnsi="Courier New"/>
          <w:sz w:val="18"/>
          <w:szCs w:val="18"/>
          <w:color w:val="auto"/>
        </w:rPr>
        <w:t>international waste management contract to be performed by us or any of our Subsidiaries or our or their respective affiliates); or</w:t>
      </w:r>
    </w:p>
    <w:p>
      <w:pPr>
        <w:spacing w:after="0" w:line="18" w:lineRule="exact"/>
        <w:rPr>
          <w:sz w:val="20"/>
          <w:szCs w:val="20"/>
          <w:color w:val="auto"/>
        </w:rPr>
      </w:pPr>
    </w:p>
    <w:p>
      <w:pPr>
        <w:ind w:left="540" w:right="1779" w:firstLine="517"/>
        <w:spacing w:after="0" w:line="274"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81" w:lineRule="exact"/>
        <w:rPr>
          <w:rFonts w:ascii="Courier New" w:cs="Courier New" w:eastAsia="Courier New" w:hAnsi="Courier New"/>
          <w:sz w:val="18"/>
          <w:szCs w:val="18"/>
          <w:color w:val="auto"/>
        </w:rPr>
      </w:pPr>
    </w:p>
    <w:p>
      <w:pPr>
        <w:ind w:left="540" w:right="1879" w:firstLine="517"/>
        <w:spacing w:after="0" w:line="274"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81" w:lineRule="exact"/>
        <w:rPr>
          <w:rFonts w:ascii="Courier New" w:cs="Courier New" w:eastAsia="Courier New" w:hAnsi="Courier New"/>
          <w:sz w:val="18"/>
          <w:szCs w:val="18"/>
          <w:color w:val="auto"/>
        </w:rPr>
      </w:pPr>
    </w:p>
    <w:p>
      <w:pPr>
        <w:ind w:left="540" w:right="1999" w:firstLine="517"/>
        <w:spacing w:after="0" w:line="402" w:lineRule="auto"/>
        <w:tabs>
          <w:tab w:leader="none" w:pos="148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us or any Restricted Subsidiary in the ordinary course of business; or</w:t>
      </w:r>
    </w:p>
    <w:p>
      <w:pPr>
        <w:jc w:val="both"/>
        <w:ind w:left="540" w:right="1779" w:firstLine="517"/>
        <w:spacing w:after="0" w:line="292"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66" w:lineRule="exact"/>
        <w:rPr>
          <w:rFonts w:ascii="Courier New" w:cs="Courier New" w:eastAsia="Courier New" w:hAnsi="Courier New"/>
          <w:sz w:val="18"/>
          <w:szCs w:val="18"/>
          <w:color w:val="auto"/>
        </w:rPr>
      </w:pPr>
    </w:p>
    <w:p>
      <w:pPr>
        <w:ind w:left="540" w:right="1879" w:firstLine="517"/>
        <w:spacing w:after="0" w:line="344" w:lineRule="auto"/>
        <w:tabs>
          <w:tab w:leader="none" w:pos="148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Restricted Subsidiary to conduct business, to maintain self-insurance, or to obtain the benefit of, or comply with, laws; or</w:t>
      </w:r>
    </w:p>
    <w:p>
      <w:pPr>
        <w:spacing w:after="0" w:line="30" w:lineRule="exact"/>
        <w:rPr>
          <w:rFonts w:ascii="Courier New" w:cs="Courier New" w:eastAsia="Courier New" w:hAnsi="Courier New"/>
          <w:sz w:val="16"/>
          <w:szCs w:val="16"/>
          <w:color w:val="auto"/>
        </w:rPr>
      </w:pPr>
    </w:p>
    <w:p>
      <w:pPr>
        <w:ind w:left="540" w:right="1779" w:firstLine="517"/>
        <w:spacing w:after="0" w:line="292"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66" w:lineRule="exact"/>
        <w:rPr>
          <w:rFonts w:ascii="Courier New" w:cs="Courier New" w:eastAsia="Courier New" w:hAnsi="Courier New"/>
          <w:sz w:val="18"/>
          <w:szCs w:val="18"/>
          <w:color w:val="auto"/>
        </w:rPr>
      </w:pPr>
    </w:p>
    <w:p>
      <w:pPr>
        <w:ind w:left="540" w:right="1999" w:firstLine="517"/>
        <w:spacing w:after="0" w:line="292"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66" w:lineRule="exact"/>
        <w:rPr>
          <w:rFonts w:ascii="Courier New" w:cs="Courier New" w:eastAsia="Courier New" w:hAnsi="Courier New"/>
          <w:sz w:val="18"/>
          <w:szCs w:val="18"/>
          <w:color w:val="auto"/>
        </w:rPr>
      </w:pPr>
    </w:p>
    <w:p>
      <w:pPr>
        <w:ind w:left="540" w:right="1779" w:firstLine="517"/>
        <w:spacing w:after="0" w:line="252"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98" w:lineRule="exact"/>
        <w:rPr>
          <w:rFonts w:ascii="Courier New" w:cs="Courier New" w:eastAsia="Courier New" w:hAnsi="Courier New"/>
          <w:sz w:val="18"/>
          <w:szCs w:val="18"/>
          <w:color w:val="auto"/>
        </w:rPr>
      </w:pPr>
    </w:p>
    <w:p>
      <w:pPr>
        <w:ind w:left="540" w:right="1779" w:firstLine="517"/>
        <w:spacing w:after="0" w:line="293"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72" w:lineRule="exact"/>
        <w:rPr>
          <w:sz w:val="20"/>
          <w:szCs w:val="20"/>
          <w:color w:val="auto"/>
        </w:rPr>
      </w:pPr>
    </w:p>
    <w:p>
      <w:pPr>
        <w:ind w:left="220" w:right="1779" w:firstLine="527"/>
        <w:spacing w:after="0" w:line="273" w:lineRule="auto"/>
        <w:rPr>
          <w:sz w:val="20"/>
          <w:szCs w:val="20"/>
          <w:color w:val="auto"/>
        </w:rPr>
      </w:pPr>
      <w:r>
        <w:rPr>
          <w:rFonts w:ascii="Courier New" w:cs="Courier New" w:eastAsia="Courier New" w:hAnsi="Courier New"/>
          <w:sz w:val="16"/>
          <w:szCs w:val="16"/>
          <w:color w:val="auto"/>
        </w:rPr>
        <w:t>Notwithstanding the foregoing provisions, we or any of our Restricted Subsidiaries may create, incur, assume or suffer to exist any Indebtedness secured by a Security Interest without so securing the Senior Debt Securities of that series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w:t>
      </w:r>
    </w:p>
    <w:p>
      <w:pPr>
        <w:spacing w:after="0" w:line="181" w:lineRule="exact"/>
        <w:rPr>
          <w:sz w:val="20"/>
          <w:szCs w:val="20"/>
          <w:color w:val="auto"/>
        </w:rPr>
      </w:pPr>
    </w:p>
    <w:p>
      <w:pPr>
        <w:ind w:left="220" w:right="2199"/>
        <w:spacing w:after="0" w:line="262" w:lineRule="auto"/>
        <w:rPr>
          <w:sz w:val="20"/>
          <w:szCs w:val="20"/>
          <w:color w:val="auto"/>
        </w:rPr>
      </w:pPr>
      <w:r>
        <w:rPr>
          <w:rFonts w:ascii="Courier New" w:cs="Courier New" w:eastAsia="Courier New" w:hAnsi="Courier New"/>
          <w:sz w:val="18"/>
          <w:szCs w:val="18"/>
          <w:color w:val="auto"/>
        </w:rPr>
        <w:t>Securities -- Limitations on Sale and Leaseback Transactions" and other than Sale and Leaseback Transactions between us and any Restricted Subsidiary) does not exceed 15% of Consolidated Net Tangible Assets. (Section 1008 of the Senior Debt Indenture)</w:t>
      </w:r>
    </w:p>
    <w:p>
      <w:pPr>
        <w:sectPr>
          <w:pgSz w:w="11900" w:h="16838" w:orient="portrait"/>
          <w:cols w:equalWidth="0" w:num="1">
            <w:col w:w="9899"/>
          </w:cols>
          <w:pgMar w:left="560" w:top="285" w:right="1440" w:bottom="1019" w:gutter="0" w:footer="0" w:header="0"/>
        </w:sectPr>
      </w:pPr>
    </w:p>
    <w:p>
      <w:pPr>
        <w:spacing w:after="0" w:line="9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899"/>
          </w:cols>
          <w:pgMar w:left="560" w:top="285" w:right="1440" w:bottom="1019"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left="540" w:right="1779" w:firstLine="521"/>
        <w:spacing w:after="0" w:line="244"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117"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 Provisions Applicable Solely to Senior Debt Securities -- 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w:t>
      </w:r>
    </w:p>
    <w:p>
      <w:pPr>
        <w:spacing w:after="0" w:line="191" w:lineRule="exact"/>
        <w:rPr>
          <w:sz w:val="20"/>
          <w:szCs w:val="20"/>
          <w:color w:val="auto"/>
        </w:rPr>
      </w:pPr>
    </w:p>
    <w:p>
      <w:pPr>
        <w:ind w:right="1879" w:firstLine="8"/>
        <w:spacing w:after="0" w:line="25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96"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52" w:lineRule="exact"/>
        <w:rPr>
          <w:sz w:val="20"/>
          <w:szCs w:val="20"/>
          <w:color w:val="auto"/>
        </w:rPr>
      </w:pPr>
    </w:p>
    <w:p>
      <w:pPr>
        <w:ind w:left="540" w:right="1779" w:firstLine="521"/>
        <w:spacing w:after="0" w:line="292" w:lineRule="auto"/>
        <w:tabs>
          <w:tab w:leader="none" w:pos="148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ectPr>
          <w:pgSz w:w="11900" w:h="16838" w:orient="portrait"/>
          <w:cols w:equalWidth="0" w:num="1">
            <w:col w:w="10219"/>
          </w:cols>
          <w:pgMar w:left="240" w:top="285" w:right="1440" w:bottom="816"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85" w:right="1440" w:bottom="816"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jc w:val="both"/>
        <w:ind w:left="540" w:right="1779" w:firstLine="521"/>
        <w:spacing w:after="0" w:line="274"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81" w:lineRule="exact"/>
        <w:rPr>
          <w:rFonts w:ascii="Courier New" w:cs="Courier New" w:eastAsia="Courier New" w:hAnsi="Courier New"/>
          <w:sz w:val="18"/>
          <w:szCs w:val="18"/>
          <w:color w:val="auto"/>
        </w:rPr>
      </w:pPr>
    </w:p>
    <w:p>
      <w:pPr>
        <w:ind w:left="540" w:right="2099" w:firstLine="521"/>
        <w:spacing w:after="0" w:line="347"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18" w:lineRule="exact"/>
        <w:rPr>
          <w:rFonts w:ascii="Courier New" w:cs="Courier New" w:eastAsia="Courier New" w:hAnsi="Courier New"/>
          <w:sz w:val="18"/>
          <w:szCs w:val="18"/>
          <w:color w:val="auto"/>
        </w:rPr>
      </w:pPr>
    </w:p>
    <w:p>
      <w:pPr>
        <w:ind w:left="540" w:right="1779" w:firstLine="521"/>
        <w:spacing w:after="0" w:line="247"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07" w:lineRule="exact"/>
        <w:rPr>
          <w:rFonts w:ascii="Courier New" w:cs="Courier New" w:eastAsia="Courier New" w:hAnsi="Courier New"/>
          <w:sz w:val="18"/>
          <w:szCs w:val="18"/>
          <w:color w:val="auto"/>
        </w:rPr>
      </w:pPr>
    </w:p>
    <w:p>
      <w:pPr>
        <w:ind w:left="540" w:right="1779" w:firstLine="521"/>
        <w:spacing w:after="0" w:line="282"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90" w:lineRule="exact"/>
        <w:rPr>
          <w:rFonts w:ascii="Courier New" w:cs="Courier New" w:eastAsia="Courier New" w:hAnsi="Courier New"/>
          <w:sz w:val="16"/>
          <w:szCs w:val="16"/>
          <w:color w:val="auto"/>
        </w:rPr>
      </w:pPr>
    </w:p>
    <w:p>
      <w:pPr>
        <w:ind w:left="540" w:right="1779" w:firstLine="521"/>
        <w:spacing w:after="0" w:line="278"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94" w:lineRule="exact"/>
        <w:rPr>
          <w:rFonts w:ascii="Courier New" w:cs="Courier New" w:eastAsia="Courier New" w:hAnsi="Courier New"/>
          <w:sz w:val="16"/>
          <w:szCs w:val="16"/>
          <w:color w:val="auto"/>
        </w:rPr>
      </w:pPr>
    </w:p>
    <w:p>
      <w:pPr>
        <w:ind w:left="540" w:right="2099" w:firstLine="521"/>
        <w:spacing w:after="0" w:line="402"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w:t>
      </w:r>
    </w:p>
    <w:p>
      <w:pPr>
        <w:sectPr>
          <w:pgSz w:w="11900" w:h="16838" w:orient="portrait"/>
          <w:cols w:equalWidth="0" w:num="1">
            <w:col w:w="10219"/>
          </w:cols>
          <w:pgMar w:left="240" w:top="285" w:right="1440" w:bottom="1440" w:gutter="0" w:footer="0" w:header="0"/>
        </w:sectPr>
      </w:pP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85"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Holders of a majority in principal amount of the Outstanding Senior Debt Securities of that series, by written notice to us and the Trustee, may rescind and annul such declaration and its consequences if:</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w:t>
      </w:r>
    </w:p>
    <w:p>
      <w:pPr>
        <w:spacing w:after="0" w:line="169" w:lineRule="exact"/>
        <w:rPr>
          <w:sz w:val="20"/>
          <w:szCs w:val="20"/>
          <w:color w:val="auto"/>
        </w:rPr>
      </w:pPr>
    </w:p>
    <w:p>
      <w:pPr>
        <w:ind w:left="1800" w:hanging="423"/>
        <w:spacing w:after="0"/>
        <w:tabs>
          <w:tab w:leader="none" w:pos="18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169" w:lineRule="exact"/>
        <w:rPr>
          <w:rFonts w:ascii="Courier New" w:cs="Courier New" w:eastAsia="Courier New" w:hAnsi="Courier New"/>
          <w:sz w:val="18"/>
          <w:szCs w:val="18"/>
          <w:color w:val="auto"/>
        </w:rPr>
      </w:pPr>
    </w:p>
    <w:p>
      <w:pPr>
        <w:ind w:left="860" w:right="2099" w:firstLine="517"/>
        <w:spacing w:after="0" w:line="274" w:lineRule="auto"/>
        <w:tabs>
          <w:tab w:leader="none" w:pos="180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pacing w:after="0" w:line="81" w:lineRule="exact"/>
        <w:rPr>
          <w:rFonts w:ascii="Courier New" w:cs="Courier New" w:eastAsia="Courier New" w:hAnsi="Courier New"/>
          <w:sz w:val="18"/>
          <w:szCs w:val="18"/>
          <w:color w:val="auto"/>
        </w:rPr>
      </w:pPr>
    </w:p>
    <w:p>
      <w:pPr>
        <w:ind w:left="860" w:right="1779" w:firstLine="517"/>
        <w:spacing w:after="0" w:line="292" w:lineRule="auto"/>
        <w:tabs>
          <w:tab w:leader="none" w:pos="180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Senior Debt Securities; and</w:t>
      </w:r>
    </w:p>
    <w:p>
      <w:pPr>
        <w:spacing w:after="0" w:line="66" w:lineRule="exact"/>
        <w:rPr>
          <w:rFonts w:ascii="Courier New" w:cs="Courier New" w:eastAsia="Courier New" w:hAnsi="Courier New"/>
          <w:sz w:val="18"/>
          <w:szCs w:val="18"/>
          <w:color w:val="auto"/>
        </w:rPr>
      </w:pPr>
    </w:p>
    <w:p>
      <w:pPr>
        <w:ind w:left="860" w:right="2199" w:firstLine="517"/>
        <w:spacing w:after="0" w:line="292" w:lineRule="auto"/>
        <w:tabs>
          <w:tab w:leader="none" w:pos="180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66" w:lineRule="exact"/>
        <w:rPr>
          <w:rFonts w:ascii="Courier New" w:cs="Courier New" w:eastAsia="Courier New" w:hAnsi="Courier New"/>
          <w:sz w:val="18"/>
          <w:szCs w:val="18"/>
          <w:color w:val="auto"/>
        </w:rPr>
      </w:pPr>
    </w:p>
    <w:p>
      <w:pPr>
        <w:ind w:left="540" w:right="1999" w:firstLine="521"/>
        <w:spacing w:after="0" w:line="265"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90"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05"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75" w:lineRule="exact"/>
        <w:rPr>
          <w:sz w:val="20"/>
          <w:szCs w:val="20"/>
          <w:color w:val="auto"/>
        </w:rPr>
      </w:pPr>
    </w:p>
    <w:p>
      <w:pPr>
        <w:ind w:left="540" w:right="1779" w:firstLine="521"/>
        <w:spacing w:after="0" w:line="292"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66"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81" w:lineRule="exact"/>
        <w:rPr>
          <w:rFonts w:ascii="Courier New" w:cs="Courier New" w:eastAsia="Courier New" w:hAnsi="Courier New"/>
          <w:sz w:val="18"/>
          <w:szCs w:val="18"/>
          <w:color w:val="auto"/>
        </w:rPr>
      </w:pPr>
    </w:p>
    <w:p>
      <w:pPr>
        <w:ind w:left="540" w:right="2199" w:firstLine="521"/>
        <w:spacing w:after="0" w:line="292"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66" w:lineRule="exact"/>
        <w:rPr>
          <w:rFonts w:ascii="Courier New" w:cs="Courier New" w:eastAsia="Courier New" w:hAnsi="Courier New"/>
          <w:sz w:val="18"/>
          <w:szCs w:val="18"/>
          <w:color w:val="auto"/>
        </w:rPr>
      </w:pPr>
    </w:p>
    <w:p>
      <w:pPr>
        <w:ind w:left="540" w:right="1879" w:firstLine="521"/>
        <w:spacing w:after="0" w:line="402" w:lineRule="auto"/>
        <w:tabs>
          <w:tab w:leader="none" w:pos="14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ind w:left="540" w:right="1779" w:firstLine="521"/>
        <w:spacing w:after="0" w:line="274"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82"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Senior Debt Security or coupon, or to institute suit for the enforcement of any such payment on or after such respective dates shall not be impaired or affected without the consent of such Holder. (Sections 508, 902 of the Senior Debt Indenture)</w:t>
      </w:r>
    </w:p>
    <w:p>
      <w:pPr>
        <w:spacing w:after="0" w:line="82"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109"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76"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60" w:lineRule="exact"/>
        <w:rPr>
          <w:sz w:val="20"/>
          <w:szCs w:val="20"/>
          <w:color w:val="auto"/>
        </w:rPr>
      </w:pPr>
    </w:p>
    <w:p>
      <w:pPr>
        <w:ind w:left="540" w:right="1779" w:firstLine="521"/>
        <w:spacing w:after="0" w:line="293"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71" w:lineRule="exact"/>
        <w:rPr>
          <w:rFonts w:ascii="Courier New" w:cs="Courier New" w:eastAsia="Courier New" w:hAnsi="Courier New"/>
          <w:sz w:val="16"/>
          <w:szCs w:val="16"/>
          <w:color w:val="auto"/>
        </w:rPr>
      </w:pPr>
    </w:p>
    <w:p>
      <w:pPr>
        <w:ind w:left="540" w:right="1879" w:firstLine="521"/>
        <w:spacing w:after="0" w:line="347" w:lineRule="auto"/>
        <w:tabs>
          <w:tab w:leader="none" w:pos="15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18" w:lineRule="exact"/>
        <w:rPr>
          <w:rFonts w:ascii="Courier New" w:cs="Courier New" w:eastAsia="Courier New" w:hAnsi="Courier New"/>
          <w:sz w:val="18"/>
          <w:szCs w:val="18"/>
          <w:color w:val="auto"/>
        </w:rPr>
      </w:pPr>
    </w:p>
    <w:p>
      <w:pPr>
        <w:ind w:left="540" w:right="1779" w:firstLine="521"/>
        <w:spacing w:after="0" w:line="260" w:lineRule="auto"/>
        <w:tabs>
          <w:tab w:leader="none" w:pos="169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93" w:lineRule="exact"/>
        <w:rPr>
          <w:sz w:val="20"/>
          <w:szCs w:val="20"/>
          <w:color w:val="auto"/>
        </w:rPr>
      </w:pPr>
    </w:p>
    <w:p>
      <w:pPr>
        <w:ind w:right="1879"/>
        <w:spacing w:after="0" w:line="278"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Securities to whom amounts are payable under the Senior Debt Indenture.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(Sections 506, 902 of the Senior Debt Indenture)</w:t>
      </w:r>
    </w:p>
    <w:p>
      <w:pPr>
        <w:spacing w:after="0" w:line="169"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us on the claim or claims underlying such judgment. (Section 506 of the Senior Debt Indenture)</w:t>
      </w:r>
    </w:p>
    <w:p>
      <w:pPr>
        <w:spacing w:after="0" w:line="117"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52" w:lineRule="exact"/>
        <w:rPr>
          <w:sz w:val="20"/>
          <w:szCs w:val="20"/>
          <w:color w:val="auto"/>
        </w:rPr>
      </w:pPr>
    </w:p>
    <w:p>
      <w:pPr>
        <w:ind w:left="540" w:right="1779" w:firstLine="521"/>
        <w:spacing w:after="0" w:line="292"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85"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540" w:right="2099" w:firstLine="521"/>
        <w:spacing w:after="0" w:line="274"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81" w:lineRule="exact"/>
        <w:rPr>
          <w:rFonts w:ascii="Courier New" w:cs="Courier New" w:eastAsia="Courier New" w:hAnsi="Courier New"/>
          <w:sz w:val="18"/>
          <w:szCs w:val="18"/>
          <w:color w:val="auto"/>
        </w:rPr>
      </w:pPr>
    </w:p>
    <w:p>
      <w:pPr>
        <w:ind w:left="540" w:right="2099" w:firstLine="521"/>
        <w:spacing w:after="0" w:line="347"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18" w:lineRule="exact"/>
        <w:rPr>
          <w:rFonts w:ascii="Courier New" w:cs="Courier New" w:eastAsia="Courier New" w:hAnsi="Courier New"/>
          <w:sz w:val="18"/>
          <w:szCs w:val="18"/>
          <w:color w:val="auto"/>
        </w:rPr>
      </w:pPr>
    </w:p>
    <w:p>
      <w:pPr>
        <w:ind w:left="540" w:right="1779" w:firstLine="521"/>
        <w:spacing w:after="0" w:line="281"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289" w:lineRule="exact"/>
        <w:rPr>
          <w:rFonts w:ascii="Courier New" w:cs="Courier New" w:eastAsia="Courier New" w:hAnsi="Courier New"/>
          <w:sz w:val="16"/>
          <w:szCs w:val="16"/>
          <w:color w:val="auto"/>
        </w:rPr>
      </w:pPr>
    </w:p>
    <w:p>
      <w:pPr>
        <w:ind w:left="540" w:right="1779" w:firstLine="521"/>
        <w:spacing w:after="0" w:line="282"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90" w:lineRule="exact"/>
        <w:rPr>
          <w:rFonts w:ascii="Courier New" w:cs="Courier New" w:eastAsia="Courier New" w:hAnsi="Courier New"/>
          <w:sz w:val="16"/>
          <w:szCs w:val="16"/>
          <w:color w:val="auto"/>
        </w:rPr>
      </w:pPr>
    </w:p>
    <w:p>
      <w:pPr>
        <w:ind w:left="540" w:right="1779" w:firstLine="521"/>
        <w:spacing w:after="0" w:line="278"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94" w:lineRule="exact"/>
        <w:rPr>
          <w:rFonts w:ascii="Courier New" w:cs="Courier New" w:eastAsia="Courier New" w:hAnsi="Courier New"/>
          <w:sz w:val="16"/>
          <w:szCs w:val="16"/>
          <w:color w:val="auto"/>
        </w:rPr>
      </w:pPr>
    </w:p>
    <w:p>
      <w:pPr>
        <w:ind w:left="540" w:right="1999" w:firstLine="521"/>
        <w:spacing w:after="0" w:line="292"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6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w:t>
      </w:r>
    </w:p>
    <w:p>
      <w:pPr>
        <w:sectPr>
          <w:pgSz w:w="11900" w:h="16838" w:orient="portrait"/>
          <w:cols w:equalWidth="0" w:num="1">
            <w:col w:w="10219"/>
          </w:cols>
          <w:pgMar w:left="240" w:top="285" w:right="1440" w:bottom="816" w:gutter="0" w:footer="0" w:header="0"/>
        </w:sectPr>
      </w:pP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85" w:right="1440" w:bottom="816"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Debt Securities of that series, by written notice to us and the Trustee, may rescind and annul such declaration and its consequences if:</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w:t>
      </w:r>
    </w:p>
    <w:p>
      <w:pPr>
        <w:spacing w:after="0" w:line="169" w:lineRule="exact"/>
        <w:rPr>
          <w:sz w:val="20"/>
          <w:szCs w:val="20"/>
          <w:color w:val="auto"/>
        </w:rPr>
      </w:pPr>
    </w:p>
    <w:p>
      <w:pPr>
        <w:ind w:left="860" w:right="2199" w:firstLine="517"/>
        <w:spacing w:after="0" w:line="347" w:lineRule="auto"/>
        <w:tabs>
          <w:tab w:leader="none" w:pos="18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18" w:lineRule="exact"/>
        <w:rPr>
          <w:rFonts w:ascii="Courier New" w:cs="Courier New" w:eastAsia="Courier New" w:hAnsi="Courier New"/>
          <w:sz w:val="18"/>
          <w:szCs w:val="18"/>
          <w:color w:val="auto"/>
        </w:rPr>
      </w:pPr>
    </w:p>
    <w:p>
      <w:pPr>
        <w:ind w:left="860" w:right="1779" w:firstLine="517"/>
        <w:spacing w:after="0" w:line="274" w:lineRule="auto"/>
        <w:tabs>
          <w:tab w:leader="none" w:pos="18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81" w:lineRule="exact"/>
        <w:rPr>
          <w:rFonts w:ascii="Courier New" w:cs="Courier New" w:eastAsia="Courier New" w:hAnsi="Courier New"/>
          <w:sz w:val="18"/>
          <w:szCs w:val="18"/>
          <w:color w:val="auto"/>
        </w:rPr>
      </w:pPr>
    </w:p>
    <w:p>
      <w:pPr>
        <w:ind w:left="860" w:right="1779" w:firstLine="517"/>
        <w:spacing w:after="0" w:line="292" w:lineRule="auto"/>
        <w:tabs>
          <w:tab w:leader="none" w:pos="18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66" w:lineRule="exact"/>
        <w:rPr>
          <w:rFonts w:ascii="Courier New" w:cs="Courier New" w:eastAsia="Courier New" w:hAnsi="Courier New"/>
          <w:sz w:val="18"/>
          <w:szCs w:val="18"/>
          <w:color w:val="auto"/>
        </w:rPr>
      </w:pPr>
    </w:p>
    <w:p>
      <w:pPr>
        <w:ind w:left="860" w:right="2199" w:firstLine="517"/>
        <w:spacing w:after="0" w:line="292" w:lineRule="auto"/>
        <w:tabs>
          <w:tab w:leader="none" w:pos="18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66" w:lineRule="exact"/>
        <w:rPr>
          <w:rFonts w:ascii="Courier New" w:cs="Courier New" w:eastAsia="Courier New" w:hAnsi="Courier New"/>
          <w:sz w:val="18"/>
          <w:szCs w:val="18"/>
          <w:color w:val="auto"/>
        </w:rPr>
      </w:pPr>
    </w:p>
    <w:p>
      <w:pPr>
        <w:ind w:left="540" w:right="1779" w:firstLine="521"/>
        <w:spacing w:after="0" w:line="265"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90"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10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104" w:lineRule="exact"/>
        <w:rPr>
          <w:sz w:val="20"/>
          <w:szCs w:val="20"/>
          <w:color w:val="auto"/>
        </w:rPr>
      </w:pPr>
    </w:p>
    <w:p>
      <w:pPr>
        <w:ind w:left="540" w:right="1879" w:firstLine="521"/>
        <w:spacing w:after="0" w:line="292"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66" w:lineRule="exact"/>
        <w:rPr>
          <w:rFonts w:ascii="Courier New" w:cs="Courier New" w:eastAsia="Courier New" w:hAnsi="Courier New"/>
          <w:sz w:val="18"/>
          <w:szCs w:val="18"/>
          <w:color w:val="auto"/>
        </w:rPr>
      </w:pPr>
    </w:p>
    <w:p>
      <w:pPr>
        <w:ind w:left="540" w:right="1879" w:firstLine="521"/>
        <w:spacing w:after="0" w:line="265"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89" w:lineRule="exact"/>
        <w:rPr>
          <w:rFonts w:ascii="Courier New" w:cs="Courier New" w:eastAsia="Courier New" w:hAnsi="Courier New"/>
          <w:sz w:val="18"/>
          <w:szCs w:val="18"/>
          <w:color w:val="auto"/>
        </w:rPr>
      </w:pPr>
    </w:p>
    <w:p>
      <w:pPr>
        <w:ind w:left="540" w:right="2199" w:firstLine="521"/>
        <w:spacing w:after="0" w:line="292"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66" w:lineRule="exact"/>
        <w:rPr>
          <w:rFonts w:ascii="Courier New" w:cs="Courier New" w:eastAsia="Courier New" w:hAnsi="Courier New"/>
          <w:sz w:val="18"/>
          <w:szCs w:val="18"/>
          <w:color w:val="auto"/>
        </w:rPr>
      </w:pPr>
    </w:p>
    <w:p>
      <w:pPr>
        <w:ind w:left="540" w:right="1879" w:firstLine="521"/>
        <w:spacing w:after="0" w:line="402"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ind w:left="540" w:right="1779" w:firstLine="521"/>
        <w:spacing w:after="0" w:line="318"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ectPr>
          <w:pgSz w:w="11900" w:h="16838" w:orient="portrait"/>
          <w:cols w:equalWidth="0" w:num="1">
            <w:col w:w="10219"/>
          </w:cols>
          <w:pgMar w:left="240" w:top="285" w:right="1440" w:bottom="208" w:gutter="0" w:footer="0" w:header="0"/>
        </w:sectPr>
      </w:pP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85" w:right="1440" w:bottom="208"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0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93" w:lineRule="exact"/>
        <w:rPr>
          <w:sz w:val="20"/>
          <w:szCs w:val="20"/>
          <w:color w:val="auto"/>
        </w:rPr>
      </w:pPr>
    </w:p>
    <w:p>
      <w:pPr>
        <w:ind w:left="540" w:right="1999" w:firstLine="521"/>
        <w:spacing w:after="0" w:line="253"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03" w:lineRule="exact"/>
        <w:rPr>
          <w:rFonts w:ascii="Courier New" w:cs="Courier New" w:eastAsia="Courier New" w:hAnsi="Courier New"/>
          <w:sz w:val="18"/>
          <w:szCs w:val="18"/>
          <w:color w:val="auto"/>
        </w:rPr>
      </w:pPr>
    </w:p>
    <w:p>
      <w:pPr>
        <w:ind w:left="540" w:right="1879" w:firstLine="521"/>
        <w:spacing w:after="0" w:line="347" w:lineRule="auto"/>
        <w:tabs>
          <w:tab w:leader="none" w:pos="15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18" w:lineRule="exact"/>
        <w:rPr>
          <w:rFonts w:ascii="Courier New" w:cs="Courier New" w:eastAsia="Courier New" w:hAnsi="Courier New"/>
          <w:sz w:val="18"/>
          <w:szCs w:val="18"/>
          <w:color w:val="auto"/>
        </w:rPr>
      </w:pPr>
    </w:p>
    <w:p>
      <w:pPr>
        <w:jc w:val="both"/>
        <w:ind w:left="540" w:right="1779" w:firstLine="521"/>
        <w:spacing w:after="0" w:line="289" w:lineRule="auto"/>
        <w:tabs>
          <w:tab w:leader="none" w:pos="169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individual amounts determined in (i) or any individual amounts due and payable in Dollars, as the case may be, as a numerator, and</w:t>
      </w:r>
    </w:p>
    <w:p>
      <w:pPr>
        <w:ind w:left="540"/>
        <w:spacing w:after="0"/>
        <w:rPr>
          <w:sz w:val="20"/>
          <w:szCs w:val="20"/>
          <w:color w:val="auto"/>
        </w:rPr>
      </w:pPr>
      <w:r>
        <w:rPr>
          <w:rFonts w:ascii="Courier New" w:cs="Courier New" w:eastAsia="Courier New" w:hAnsi="Courier New"/>
          <w:sz w:val="18"/>
          <w:szCs w:val="18"/>
          <w:color w:val="auto"/>
        </w:rPr>
        <w:t>the sum calculated in (ii) as a denominator,</w:t>
      </w: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761"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right="2099"/>
        <w:spacing w:after="0" w:line="274" w:lineRule="auto"/>
        <w:rPr>
          <w:sz w:val="20"/>
          <w:szCs w:val="20"/>
          <w:color w:val="auto"/>
        </w:rPr>
      </w:pPr>
      <w:r>
        <w:rPr>
          <w:rFonts w:ascii="Courier New" w:cs="Courier New" w:eastAsia="Courier New" w:hAnsi="Courier New"/>
          <w:sz w:val="18"/>
          <w:szCs w:val="18"/>
          <w:color w:val="auto"/>
        </w:rPr>
        <w:t>calculate as to each Holder of a Subordinated Debt Security to whom an amount is owed under the Subordinated Debt Indenture the fraction of the amount collected under the Subordinated Debt Indenture payable to such Holder.</w:t>
      </w:r>
    </w:p>
    <w:p>
      <w:pPr>
        <w:spacing w:after="0" w:line="82" w:lineRule="exact"/>
        <w:rPr>
          <w:sz w:val="20"/>
          <w:szCs w:val="20"/>
          <w:color w:val="auto"/>
        </w:rPr>
      </w:pPr>
    </w:p>
    <w:p>
      <w:pPr>
        <w:ind w:right="2099"/>
        <w:spacing w:after="0" w:line="298"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68"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117"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66"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117"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1" w:lineRule="exact"/>
        <w:rPr>
          <w:sz w:val="20"/>
          <w:szCs w:val="20"/>
          <w:color w:val="auto"/>
        </w:rPr>
      </w:pPr>
    </w:p>
    <w:p>
      <w:pPr>
        <w:ind w:left="540" w:right="1999" w:firstLine="521"/>
        <w:spacing w:after="0" w:line="292"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6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1" w:lineRule="exact"/>
        <w:rPr>
          <w:rFonts w:ascii="Courier New" w:cs="Courier New" w:eastAsia="Courier New" w:hAnsi="Courier New"/>
          <w:sz w:val="18"/>
          <w:szCs w:val="18"/>
          <w:color w:val="auto"/>
        </w:rPr>
      </w:pPr>
    </w:p>
    <w:p>
      <w:pPr>
        <w:ind w:left="540" w:right="1779" w:firstLine="521"/>
        <w:spacing w:after="0" w:line="247"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ectPr>
          <w:pgSz w:w="11900" w:h="16838" w:orient="portrait"/>
          <w:cols w:equalWidth="0" w:num="1">
            <w:col w:w="10219"/>
          </w:cols>
          <w:pgMar w:left="240" w:top="285" w:right="1440" w:bottom="1440" w:gutter="0" w:footer="0" w:header="0"/>
        </w:sectPr>
      </w:pP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85" w:right="1440" w:bottom="1440"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jc w:val="both"/>
        <w:ind w:left="540" w:right="1999" w:firstLine="521"/>
        <w:spacing w:after="0" w:line="292" w:lineRule="auto"/>
        <w:tabs>
          <w:tab w:leader="none" w:pos="148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6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18" w:lineRule="exact"/>
        <w:rPr>
          <w:sz w:val="20"/>
          <w:szCs w:val="20"/>
          <w:color w:val="auto"/>
        </w:rPr>
      </w:pPr>
    </w:p>
    <w:p>
      <w:pPr>
        <w:ind w:left="540" w:right="1779" w:firstLine="521"/>
        <w:spacing w:after="0" w:line="298" w:lineRule="auto"/>
        <w:tabs>
          <w:tab w:leader="none" w:pos="148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68" w:lineRule="exact"/>
        <w:rPr>
          <w:sz w:val="20"/>
          <w:szCs w:val="20"/>
          <w:color w:val="auto"/>
        </w:rPr>
      </w:pPr>
    </w:p>
    <w:p>
      <w:pPr>
        <w:ind w:left="540" w:right="1879" w:firstLine="521"/>
        <w:spacing w:after="0" w:line="274" w:lineRule="auto"/>
        <w:tabs>
          <w:tab w:leader="none" w:pos="15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81" w:lineRule="exact"/>
        <w:rPr>
          <w:rFonts w:ascii="Courier New" w:cs="Courier New" w:eastAsia="Courier New" w:hAnsi="Courier New"/>
          <w:sz w:val="18"/>
          <w:szCs w:val="18"/>
          <w:color w:val="auto"/>
        </w:rPr>
      </w:pPr>
    </w:p>
    <w:p>
      <w:pPr>
        <w:ind w:left="540" w:right="1879" w:firstLine="521"/>
        <w:spacing w:after="0" w:line="274" w:lineRule="auto"/>
        <w:tabs>
          <w:tab w:leader="none" w:pos="169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82" w:lineRule="exact"/>
        <w:rPr>
          <w:sz w:val="20"/>
          <w:szCs w:val="20"/>
          <w:color w:val="auto"/>
        </w:rPr>
      </w:pPr>
    </w:p>
    <w:p>
      <w:pPr>
        <w:ind w:left="540" w:right="1779" w:firstLine="521"/>
        <w:spacing w:after="0" w:line="293" w:lineRule="auto"/>
        <w:tabs>
          <w:tab w:leader="none" w:pos="14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71" w:lineRule="exact"/>
        <w:rPr>
          <w:rFonts w:ascii="Courier New" w:cs="Courier New" w:eastAsia="Courier New" w:hAnsi="Courier New"/>
          <w:sz w:val="16"/>
          <w:szCs w:val="16"/>
          <w:color w:val="auto"/>
        </w:rPr>
      </w:pPr>
    </w:p>
    <w:p>
      <w:pPr>
        <w:ind w:left="540" w:right="1879" w:firstLine="521"/>
        <w:spacing w:after="0" w:line="292"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66" w:lineRule="exact"/>
        <w:rPr>
          <w:sz w:val="20"/>
          <w:szCs w:val="20"/>
          <w:color w:val="auto"/>
        </w:rPr>
      </w:pPr>
    </w:p>
    <w:p>
      <w:pPr>
        <w:jc w:val="both"/>
        <w:ind w:right="1999" w:firstLine="527"/>
        <w:spacing w:after="0" w:line="282"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right="1779" w:firstLine="8"/>
        <w:spacing w:after="0" w:line="269"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761"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30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113"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04"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93"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w:t>
      </w:r>
    </w:p>
    <w:p>
      <w:pPr>
        <w:sectPr>
          <w:pgSz w:w="11900" w:h="16838" w:orient="portrait"/>
          <w:cols w:equalWidth="0" w:num="1">
            <w:col w:w="10219"/>
          </w:cols>
          <w:pgMar w:left="240" w:top="285" w:right="1440" w:bottom="613" w:gutter="0" w:footer="0" w:header="0"/>
        </w:sectPr>
      </w:pP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85" w:right="1440" w:bottom="613"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Indenture) The holder of convertible Subordinated Debt Securities may convert any portion thereof which is $1,000 in principal amount or any integral multiple thereof. (Section 1502 of the Subordinated Debt Indenture)</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308" w:lineRule="exact"/>
        <w:rPr>
          <w:sz w:val="20"/>
          <w:szCs w:val="20"/>
          <w:color w:val="auto"/>
        </w:rPr>
      </w:pPr>
    </w:p>
    <w:p>
      <w:pPr>
        <w:jc w:val="both"/>
        <w:ind w:right="1879" w:firstLine="527"/>
        <w:spacing w:after="0" w:line="282"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w:t>
      </w:r>
    </w:p>
    <w:p>
      <w:pPr>
        <w:spacing w:after="0" w:line="1" w:lineRule="exact"/>
        <w:rPr>
          <w:sz w:val="20"/>
          <w:szCs w:val="20"/>
          <w:color w:val="auto"/>
        </w:rPr>
      </w:pPr>
    </w:p>
    <w:p>
      <w:pPr>
        <w:ind w:right="1879"/>
        <w:spacing w:after="0" w:line="243" w:lineRule="auto"/>
        <w:rPr>
          <w:sz w:val="20"/>
          <w:szCs w:val="20"/>
          <w:color w:val="auto"/>
        </w:rPr>
      </w:pPr>
      <w:r>
        <w:rPr>
          <w:rFonts w:ascii="Courier New" w:cs="Courier New" w:eastAsia="Courier New" w:hAnsi="Courier New"/>
          <w:sz w:val="18"/>
          <w:szCs w:val="18"/>
          <w:color w:val="auto"/>
        </w:rPr>
        <w:t>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16"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are authorized to issue 1,500,000,000 shares of common stock, of which 627,807,809 shares were outstanding at January 4, 2000. We are also authorized to issue 10,000,000 shares of preferred stock, none of which were outstanding on that date.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82"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98" w:lineRule="exact"/>
        <w:rPr>
          <w:sz w:val="20"/>
          <w:szCs w:val="20"/>
          <w:color w:val="auto"/>
        </w:rPr>
      </w:pPr>
    </w:p>
    <w:p>
      <w:pPr>
        <w:jc w:val="both"/>
        <w:ind w:right="1999" w:firstLine="527"/>
        <w:spacing w:after="0" w:line="344"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31"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3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Harris Trust and Savings Bank, Chicago, Illinois.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DELAWARE LAW AND CERTAIN PROVISIONS OF THE RESTATED CERTIFICATE OF INCORPORATION</w:t>
      </w:r>
    </w:p>
    <w:p>
      <w:pPr>
        <w:spacing w:after="0" w:line="224"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ectPr>
          <w:pgSz w:w="11900" w:h="16838" w:orient="portrait"/>
          <w:cols w:equalWidth="0" w:num="1">
            <w:col w:w="10219"/>
          </w:cols>
          <w:pgMar w:left="240" w:top="285" w:right="1440" w:bottom="1440"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85" w:right="1440" w:bottom="1440"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90" w:lineRule="exact"/>
        <w:rPr>
          <w:sz w:val="20"/>
          <w:szCs w:val="20"/>
          <w:color w:val="auto"/>
        </w:rPr>
      </w:pPr>
    </w:p>
    <w:p>
      <w:pPr>
        <w:ind w:left="740" w:right="1879" w:hanging="205"/>
        <w:spacing w:after="0" w:line="292"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66"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2"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9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104"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2"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also have entered into contracts with certain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7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ectPr>
          <w:pgSz w:w="11900" w:h="16838" w:orient="portrait"/>
          <w:cols w:equalWidth="0" w:num="1">
            <w:col w:w="10219"/>
          </w:cols>
          <w:pgMar w:left="240" w:top="285" w:right="1440" w:bottom="1440" w:gutter="0" w:footer="0" w:header="0"/>
        </w:sectPr>
      </w:pP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85" w:right="1440"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or through agents. We may also issue shares of our common stock directly to certain persons in order to settle litigation and other claims or to satisfy judgments or arbitration awards.</w:t>
      </w:r>
    </w:p>
    <w:p>
      <w:pPr>
        <w:spacing w:after="0" w:line="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82"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75"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98"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1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validity of the securities has been passed upon for us by Locke Liddell</w:t>
      </w:r>
    </w:p>
    <w:p>
      <w:pPr>
        <w:spacing w:after="0" w:line="53" w:lineRule="exact"/>
        <w:rPr>
          <w:sz w:val="20"/>
          <w:szCs w:val="20"/>
          <w:color w:val="auto"/>
        </w:rPr>
      </w:pPr>
    </w:p>
    <w:p>
      <w:pPr>
        <w:ind w:right="2519" w:firstLine="8"/>
        <w:spacing w:after="0" w:line="273" w:lineRule="auto"/>
        <w:tabs>
          <w:tab w:leader="none" w:pos="21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Sapp LLP, and certain legal matters will be passed upon for any agents, dealers or underwrites, by counsel named in the applicable prospectus supplement.</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285"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76"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77" w:lineRule="exact"/>
        <w:rPr>
          <w:sz w:val="20"/>
          <w:szCs w:val="20"/>
          <w:color w:val="auto"/>
        </w:rPr>
      </w:pPr>
    </w:p>
    <w:p>
      <w:pPr>
        <w:ind w:left="540" w:right="1779" w:firstLine="527"/>
        <w:spacing w:after="0" w:line="253" w:lineRule="auto"/>
        <w:rPr>
          <w:sz w:val="20"/>
          <w:szCs w:val="20"/>
          <w:color w:val="auto"/>
        </w:rPr>
      </w:pPr>
      <w:r>
        <w:rPr>
          <w:rFonts w:ascii="Courier New" w:cs="Courier New" w:eastAsia="Courier New" w:hAnsi="Courier New"/>
          <w:sz w:val="18"/>
          <w:szCs w:val="18"/>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 believe that the Company's internal controls for the preparation of interim financial information do not provide an adequate basis to enable us to complete such a review."</w:t>
      </w:r>
    </w:p>
    <w:p>
      <w:pPr>
        <w:spacing w:after="0" w:line="104"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85" w:right="1440" w:bottom="1440" w:gutter="0" w:footer="0" w:header="0"/>
        </w:sectPr>
      </w:pPr>
    </w:p>
    <w:bookmarkStart w:id="55" w:name="page56"/>
    <w:bookmarkEnd w:id="55"/>
    <w:p>
      <w:pPr>
        <w:ind w:left="312"/>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212" w:hanging="212"/>
        <w:spacing w:after="0"/>
        <w:tabs>
          <w:tab w:leader="none" w:pos="21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$600,000,000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52"/>
        <w:spacing w:after="0"/>
        <w:rPr>
          <w:sz w:val="20"/>
          <w:szCs w:val="20"/>
          <w:color w:val="auto"/>
        </w:rPr>
      </w:pPr>
      <w:r>
        <w:rPr>
          <w:rFonts w:ascii="Courier New" w:cs="Courier New" w:eastAsia="Courier New" w:hAnsi="Courier New"/>
          <w:sz w:val="18"/>
          <w:szCs w:val="18"/>
          <w:color w:val="auto"/>
        </w:rPr>
        <w:t>7 3/8% SENIOR NOTES DUE 2010</w:t>
      </w:r>
    </w:p>
    <w:p>
      <w:pPr>
        <w:spacing w:after="0" w:line="201"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MERRILL LYNCH &amp; CO.</w:t>
      </w:r>
    </w:p>
    <w:p>
      <w:pPr>
        <w:spacing w:after="0" w:line="31"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12" w:hanging="212"/>
        <w:spacing w:after="0"/>
        <w:tabs>
          <w:tab w:leader="none" w:pos="21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1"/>
      </w:cols>
      <w:pgMar w:left="248"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lvl w:ilvl="1">
      <w:lvlJc w:val="left"/>
      <w:lvlText w:val="-"/>
      <w:numFmt w:val="bullet"/>
      <w:start w:val="1"/>
    </w:lvl>
  </w:abstractNum>
  <w:abstractNum w:abstractNumId="13">
    <w:nsid w:val="440BADFC"/>
    <w:multiLevelType w:val="hybridMultilevel"/>
    <w:lvl w:ilvl="0">
      <w:lvlJc w:val="left"/>
      <w:lvlText w:val="(%1)"/>
      <w:numFmt w:val="decimal"/>
      <w:start w:val="713"/>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lvl w:ilvl="1">
      <w:lvlJc w:val="left"/>
      <w:lvlText w:val="--"/>
      <w:numFmt w:val="bullet"/>
      <w:start w:val="1"/>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lowerRoman"/>
      <w:start w:val="2"/>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2"/>
    </w:lvl>
    <w:lvl w:ilvl="1">
      <w:lvlJc w:val="left"/>
      <w:lvlText w:val="(%2)"/>
      <w:numFmt w:val="lowerRoman"/>
      <w:start w:val="1"/>
    </w:lvl>
  </w:abstractNum>
  <w:abstractNum w:abstractNumId="30">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
    <w:nsid w:val="2CD89A3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2"/>
    </w:lvl>
  </w:abstractNum>
  <w:abstractNum w:abstractNumId="37">
    <w:nsid w:val="38437FDB"/>
    <w:multiLevelType w:val="hybridMultilevel"/>
    <w:lvl w:ilvl="0">
      <w:lvlJc w:val="left"/>
      <w:lvlText w:val="%1"/>
      <w:numFmt w:val="decimal"/>
      <w:start w:val="1"/>
    </w:lvl>
    <w:lvl w:ilvl="1">
      <w:lvlJc w:val="left"/>
      <w:lvlText w:val="(%2)"/>
      <w:numFmt w:val="upperLetter"/>
      <w:start w:val="1"/>
    </w:lvl>
  </w:abstractNum>
  <w:abstractNum w:abstractNumId="38">
    <w:nsid w:val="7644A45C"/>
    <w:multiLevelType w:val="hybridMultilevel"/>
    <w:lvl w:ilvl="0">
      <w:lvlJc w:val="left"/>
      <w:lvlText w:val="(%1)"/>
      <w:numFmt w:val="decimal"/>
      <w:start w:val="2"/>
    </w:lvl>
    <w:lvl w:ilvl="1">
      <w:lvlJc w:val="left"/>
      <w:lvlText w:val="%2"/>
      <w:numFmt w:val="upperLetter"/>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1"/>
    </w:lvl>
    <w:lvl w:ilvl="1">
      <w:lvlJc w:val="left"/>
      <w:lvlText w:val="(%2)"/>
      <w:numFmt w:val="upperLetter"/>
      <w:start w:val="1"/>
    </w:lvl>
  </w:abstractNum>
  <w:abstractNum w:abstractNumId="44">
    <w:nsid w:val="1BA026FA"/>
    <w:multiLevelType w:val="hybridMultilevel"/>
    <w:lvl w:ilvl="0">
      <w:lvlJc w:val="left"/>
      <w:lvlText w:val="(%1)"/>
      <w:numFmt w:val="decimal"/>
      <w:start w:val="2"/>
    </w:lvl>
    <w:lvl w:ilvl="1">
      <w:lvlJc w:val="left"/>
      <w:lvlText w:val="%2"/>
      <w:numFmt w:val="upperLetter"/>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5"/>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Roman"/>
      <w:start w:val="2"/>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upperLetter"/>
      <w:start w:val="3"/>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amp;"/>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2019-12-20T03:55:28Z</dcterms:created>
  <dcterms:modified xsi:type="dcterms:W3CDTF">2019-12-20T03:55:28Z</dcterms:modified>
</cp:coreProperties>
</file>