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tabs>
          <w:tab w:leader="none" w:pos="2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5"/>
          <w:szCs w:val="15"/>
          <w:color w:val="auto"/>
        </w:rPr>
        <w:t>20549</w:t>
      </w:r>
    </w:p>
    <w:p>
      <w:pPr>
        <w:spacing w:after="0" w:line="182"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FORM 10-Q</w:t>
      </w:r>
    </w:p>
    <w:p>
      <w:pPr>
        <w:spacing w:after="0" w:line="359" w:lineRule="exact"/>
        <w:rPr>
          <w:sz w:val="24"/>
          <w:szCs w:val="24"/>
          <w:color w:val="auto"/>
        </w:rPr>
      </w:pPr>
    </w:p>
    <w:p>
      <w:pPr>
        <w:ind w:left="826" w:right="3359" w:hanging="826"/>
        <w:spacing w:after="0" w:line="250" w:lineRule="auto"/>
        <w:tabs>
          <w:tab w:leader="none" w:pos="8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ectPr>
          <w:pgSz w:w="11900" w:h="16838" w:orient="portrait"/>
          <w:cols w:equalWidth="0" w:num="1">
            <w:col w:w="10225"/>
          </w:cols>
          <w:pgMar w:left="234" w:top="235" w:right="1440" w:bottom="1440" w:gutter="0" w:footer="0" w:header="0"/>
        </w:sectPr>
      </w:pPr>
    </w:p>
    <w:p>
      <w:pPr>
        <w:spacing w:after="0" w:line="175"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FOR THE QUARTERLY PERIOD ENDED</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SEPTEMBER 30, 1996</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sectPr>
          <w:pgSz w:w="11900" w:h="16838" w:orient="portrait"/>
          <w:cols w:equalWidth="0" w:num="2">
            <w:col w:w="3566" w:space="380"/>
            <w:col w:w="6279"/>
          </w:cols>
          <w:pgMar w:left="234" w:top="235" w:right="1440" w:bottom="1440" w:gutter="0" w:footer="0" w:header="0"/>
          <w:type w:val="continuous"/>
        </w:sectPr>
      </w:pPr>
    </w:p>
    <w:p>
      <w:pPr>
        <w:ind w:left="3566"/>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25"/>
          </w:cols>
          <w:pgMar w:left="234" w:top="235" w:right="1440" w:bottom="1440" w:gutter="0" w:footer="0" w:header="0"/>
          <w:type w:val="continuous"/>
        </w:sectPr>
      </w:pPr>
    </w:p>
    <w:p>
      <w:pPr>
        <w:spacing w:after="0" w:line="182" w:lineRule="exact"/>
        <w:rPr>
          <w:sz w:val="24"/>
          <w:szCs w:val="24"/>
          <w:color w:val="auto"/>
        </w:rPr>
      </w:pPr>
    </w:p>
    <w:p>
      <w:pPr>
        <w:ind w:left="826" w:right="3259" w:hanging="826"/>
        <w:spacing w:after="0" w:line="250" w:lineRule="auto"/>
        <w:tabs>
          <w:tab w:leader="none" w:pos="27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5"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FOR THE TRANSITION PERIOD FROM _________ TO _________</w:t>
      </w:r>
    </w:p>
    <w:p>
      <w:pPr>
        <w:spacing w:after="0" w:line="182" w:lineRule="exact"/>
        <w:rPr>
          <w:sz w:val="24"/>
          <w:szCs w:val="24"/>
          <w:color w:val="auto"/>
        </w:rPr>
      </w:pPr>
    </w:p>
    <w:p>
      <w:pPr>
        <w:jc w:val="center"/>
        <w:ind w:right="2893"/>
        <w:spacing w:after="0"/>
        <w:tabs>
          <w:tab w:leader="none" w:pos="160" w:val="left"/>
        </w:tabs>
        <w:rPr>
          <w:sz w:val="20"/>
          <w:szCs w:val="20"/>
          <w:color w:val="auto"/>
        </w:rPr>
      </w:pPr>
      <w:r>
        <w:rPr>
          <w:rFonts w:ascii="Courier New" w:cs="Courier New" w:eastAsia="Courier New" w:hAnsi="Courier New"/>
          <w:sz w:val="15"/>
          <w:szCs w:val="15"/>
          <w:color w:val="auto"/>
        </w:rPr>
        <w:t>COMMISSION FILE NUMBER:</w:t>
        <w:tab/>
        <w:t>1-12154</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4" w:top="235" w:right="1440" w:bottom="1440" w:gutter="0" w:footer="0" w:header="0"/>
          <w:type w:val="continuous"/>
        </w:sectPr>
      </w:pPr>
    </w:p>
    <w:p>
      <w:pPr>
        <w:spacing w:after="0" w:line="182" w:lineRule="exact"/>
        <w:rPr>
          <w:sz w:val="24"/>
          <w:szCs w:val="24"/>
          <w:color w:val="auto"/>
        </w:rPr>
      </w:pPr>
    </w:p>
    <w:p>
      <w:pPr>
        <w:ind w:left="1746"/>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73-1309529</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2" w:lineRule="exact"/>
        <w:rPr>
          <w:sz w:val="24"/>
          <w:szCs w:val="24"/>
          <w:color w:val="auto"/>
        </w:rPr>
      </w:pPr>
    </w:p>
    <w:p>
      <w:pPr>
        <w:sectPr>
          <w:pgSz w:w="11900" w:h="16838" w:orient="portrait"/>
          <w:cols w:equalWidth="0" w:num="2">
            <w:col w:w="3866" w:space="720"/>
            <w:col w:w="5639"/>
          </w:cols>
          <w:pgMar w:left="234" w:top="235" w:right="1440" w:bottom="1440" w:gutter="0" w:footer="0" w:header="0"/>
          <w:type w:val="continuous"/>
        </w:sectPr>
      </w:pPr>
    </w:p>
    <w:p>
      <w:pPr>
        <w:ind w:left="2926"/>
        <w:spacing w:after="0"/>
        <w:rPr>
          <w:sz w:val="20"/>
          <w:szCs w:val="20"/>
          <w:color w:val="auto"/>
        </w:rPr>
      </w:pPr>
      <w:r>
        <w:rPr>
          <w:rFonts w:ascii="Courier New" w:cs="Courier New" w:eastAsia="Courier New" w:hAnsi="Courier New"/>
          <w:sz w:val="15"/>
          <w:szCs w:val="15"/>
          <w:color w:val="auto"/>
        </w:rPr>
        <w:t>5400 LBJ FREEWAY</w:t>
      </w:r>
    </w:p>
    <w:p>
      <w:pPr>
        <w:spacing w:after="0" w:line="6"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SUITE 300 - TOWER ONE</w:t>
      </w:r>
    </w:p>
    <w:p>
      <w:pPr>
        <w:spacing w:after="0" w:line="6" w:lineRule="exact"/>
        <w:rPr>
          <w:sz w:val="24"/>
          <w:szCs w:val="24"/>
          <w:color w:val="auto"/>
        </w:rPr>
      </w:pPr>
    </w:p>
    <w:p>
      <w:pPr>
        <w:ind w:left="2666"/>
        <w:spacing w:after="0"/>
        <w:tabs>
          <w:tab w:leader="none" w:pos="4106"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5"/>
          <w:szCs w:val="15"/>
          <w:color w:val="auto"/>
        </w:rPr>
        <w:t>75240</w:t>
      </w:r>
    </w:p>
    <w:p>
      <w:pPr>
        <w:spacing w:after="0" w:line="6" w:lineRule="exact"/>
        <w:rPr>
          <w:sz w:val="24"/>
          <w:szCs w:val="24"/>
          <w:color w:val="auto"/>
        </w:rPr>
      </w:pPr>
    </w:p>
    <w:p>
      <w:pPr>
        <w:ind w:left="1826"/>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(214) 383-7900</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2" w:lineRule="exact"/>
        <w:rPr>
          <w:sz w:val="24"/>
          <w:szCs w:val="24"/>
          <w:color w:val="auto"/>
        </w:rPr>
      </w:pPr>
    </w:p>
    <w:p>
      <w:pPr>
        <w:jc w:val="center"/>
        <w:ind w:right="2993"/>
        <w:spacing w:after="0"/>
        <w:rPr>
          <w:sz w:val="20"/>
          <w:szCs w:val="20"/>
          <w:color w:val="auto"/>
        </w:rPr>
      </w:pPr>
      <w:r>
        <w:rPr>
          <w:rFonts w:ascii="Courier New" w:cs="Courier New" w:eastAsia="Courier New" w:hAnsi="Courier New"/>
          <w:sz w:val="15"/>
          <w:szCs w:val="15"/>
          <w:color w:val="auto"/>
        </w:rPr>
        <w:t>NO CHANGE</w:t>
      </w:r>
    </w:p>
    <w:p>
      <w:pPr>
        <w:spacing w:after="0" w:line="6" w:lineRule="exact"/>
        <w:rPr>
          <w:sz w:val="24"/>
          <w:szCs w:val="24"/>
          <w:color w:val="auto"/>
        </w:rPr>
      </w:pPr>
    </w:p>
    <w:p>
      <w:pPr>
        <w:jc w:val="center"/>
        <w:ind w:right="2993"/>
        <w:spacing w:after="0"/>
        <w:rPr>
          <w:sz w:val="20"/>
          <w:szCs w:val="20"/>
          <w:color w:val="auto"/>
        </w:rPr>
      </w:pPr>
      <w:r>
        <w:rPr>
          <w:rFonts w:ascii="Courier New" w:cs="Courier New" w:eastAsia="Courier New" w:hAnsi="Courier New"/>
          <w:sz w:val="15"/>
          <w:szCs w:val="15"/>
          <w:color w:val="auto"/>
        </w:rPr>
        <w:t>(FORMER NAME, FORMER ADDRESS, AND FORMER FISCAL YEAR, IF CHANGED SINCE LAST</w:t>
      </w:r>
    </w:p>
    <w:p>
      <w:pPr>
        <w:spacing w:after="0" w:line="6" w:lineRule="exact"/>
        <w:rPr>
          <w:sz w:val="24"/>
          <w:szCs w:val="24"/>
          <w:color w:val="auto"/>
        </w:rPr>
      </w:pPr>
    </w:p>
    <w:p>
      <w:pPr>
        <w:jc w:val="center"/>
        <w:ind w:right="2993"/>
        <w:spacing w:after="0"/>
        <w:rPr>
          <w:sz w:val="20"/>
          <w:szCs w:val="20"/>
          <w:color w:val="auto"/>
        </w:rPr>
      </w:pPr>
      <w:r>
        <w:rPr>
          <w:rFonts w:ascii="Courier New" w:cs="Courier New" w:eastAsia="Courier New" w:hAnsi="Courier New"/>
          <w:sz w:val="15"/>
          <w:szCs w:val="15"/>
          <w:color w:val="auto"/>
        </w:rPr>
        <w:t>REPORT)</w:t>
      </w:r>
    </w:p>
    <w:p>
      <w:pPr>
        <w:spacing w:after="0" w:line="182"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right="3079" w:firstLine="824"/>
        <w:spacing w:after="0" w:line="24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5"/>
          </w:cols>
          <w:pgMar w:left="234" w:top="235" w:right="1440" w:bottom="1440" w:gutter="0" w:footer="0" w:header="0"/>
          <w:type w:val="continuous"/>
        </w:sectPr>
      </w:pPr>
    </w:p>
    <w:p>
      <w:pPr>
        <w:spacing w:after="0" w:line="176" w:lineRule="exact"/>
        <w:rPr>
          <w:sz w:val="24"/>
          <w:szCs w:val="24"/>
          <w:color w:val="auto"/>
        </w:rPr>
      </w:pPr>
    </w:p>
    <w:p>
      <w:pPr>
        <w:ind w:left="2386"/>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6" w:lineRule="exact"/>
        <w:rPr>
          <w:sz w:val="24"/>
          <w:szCs w:val="24"/>
          <w:color w:val="auto"/>
        </w:rPr>
      </w:pPr>
    </w:p>
    <w:p>
      <w:pPr>
        <w:sectPr>
          <w:pgSz w:w="11900" w:h="16838" w:orient="portrait"/>
          <w:cols w:equalWidth="0" w:num="3">
            <w:col w:w="2666" w:space="260"/>
            <w:col w:w="480" w:space="720"/>
            <w:col w:w="6099"/>
          </w:cols>
          <w:pgMar w:left="234" w:top="235" w:right="1440" w:bottom="1440" w:gutter="0" w:footer="0" w:header="0"/>
          <w:type w:val="continuous"/>
        </w:sectPr>
      </w:pPr>
    </w:p>
    <w:p>
      <w:pPr>
        <w:ind w:left="274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sectPr>
          <w:pgSz w:w="11900" w:h="16838" w:orient="portrait"/>
          <w:cols w:equalWidth="0" w:num="2">
            <w:col w:w="3686" w:space="720"/>
            <w:col w:w="5819"/>
          </w:cols>
          <w:pgMar w:left="234" w:top="235" w:right="1440" w:bottom="1440" w:gutter="0" w:footer="0" w:header="0"/>
          <w:type w:val="continuous"/>
        </w:sectPr>
      </w:pPr>
    </w:p>
    <w:p>
      <w:pPr>
        <w:ind w:left="6" w:right="3439" w:firstLine="824"/>
        <w:spacing w:after="0" w:line="250"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NOVEMBER 12, 1996:</w:t>
      </w:r>
    </w:p>
    <w:p>
      <w:pPr>
        <w:spacing w:after="0" w:line="175" w:lineRule="exact"/>
        <w:rPr>
          <w:sz w:val="24"/>
          <w:szCs w:val="24"/>
          <w:color w:val="auto"/>
        </w:rPr>
      </w:pPr>
    </w:p>
    <w:p>
      <w:pPr>
        <w:ind w:left="926"/>
        <w:spacing w:after="0"/>
        <w:tabs>
          <w:tab w:leader="none" w:pos="2906" w:val="left"/>
          <w:tab w:leader="none" w:pos="4646"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$.01 PAR VALUE</w:t>
      </w:r>
      <w:r>
        <w:rPr>
          <w:sz w:val="20"/>
          <w:szCs w:val="20"/>
          <w:color w:val="auto"/>
        </w:rPr>
        <w:tab/>
      </w:r>
      <w:r>
        <w:rPr>
          <w:rFonts w:ascii="Courier New" w:cs="Courier New" w:eastAsia="Courier New" w:hAnsi="Courier New"/>
          <w:sz w:val="15"/>
          <w:szCs w:val="15"/>
          <w:color w:val="auto"/>
        </w:rPr>
        <w:t>138,369,237 SHARES</w:t>
      </w:r>
    </w:p>
    <w:p>
      <w:pPr>
        <w:sectPr>
          <w:pgSz w:w="11900" w:h="16838" w:orient="portrait"/>
          <w:cols w:equalWidth="0" w:num="1">
            <w:col w:w="10225"/>
          </w:cols>
          <w:pgMar w:left="234" w:top="23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68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6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FINANCIAL INFORMATION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6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FINANCIAL STATEMENTS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529"/>
        </w:trPr>
        <w:tc>
          <w:tcPr>
            <w:tcW w:w="680" w:type="dxa"/>
            <w:vAlign w:val="bottom"/>
          </w:tcPr>
          <w:p>
            <w:pPr>
              <w:spacing w:after="0"/>
              <w:rPr>
                <w:sz w:val="24"/>
                <w:szCs w:val="24"/>
                <w:color w:val="auto"/>
              </w:rPr>
            </w:pPr>
          </w:p>
        </w:tc>
        <w:tc>
          <w:tcPr>
            <w:tcW w:w="5360" w:type="dxa"/>
            <w:vAlign w:val="bottom"/>
          </w:tcPr>
          <w:p>
            <w:pPr>
              <w:jc w:val="center"/>
              <w:ind w:left="524"/>
              <w:spacing w:after="0"/>
              <w:rPr>
                <w:sz w:val="20"/>
                <w:szCs w:val="20"/>
                <w:color w:val="auto"/>
              </w:rPr>
            </w:pPr>
            <w:r>
              <w:rPr>
                <w:rFonts w:ascii="Courier New" w:cs="Courier New" w:eastAsia="Courier New" w:hAnsi="Courier New"/>
                <w:sz w:val="15"/>
                <w:szCs w:val="15"/>
                <w:color w:val="auto"/>
              </w:rPr>
              <w:t>USA WASTE SERVICES, INC.</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680" w:type="dxa"/>
            <w:vAlign w:val="bottom"/>
          </w:tcPr>
          <w:p>
            <w:pPr>
              <w:spacing w:after="0"/>
              <w:rPr>
                <w:sz w:val="15"/>
                <w:szCs w:val="15"/>
                <w:color w:val="auto"/>
              </w:rPr>
            </w:pPr>
          </w:p>
        </w:tc>
        <w:tc>
          <w:tcPr>
            <w:tcW w:w="536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CONDENSED CONSOLIDATED BALANCE SHEETS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680" w:type="dxa"/>
            <w:vAlign w:val="bottom"/>
          </w:tcPr>
          <w:p>
            <w:pPr>
              <w:spacing w:after="0"/>
              <w:rPr>
                <w:sz w:val="15"/>
                <w:szCs w:val="15"/>
                <w:color w:val="auto"/>
              </w:rPr>
            </w:pPr>
          </w:p>
        </w:tc>
        <w:tc>
          <w:tcPr>
            <w:tcW w:w="5360" w:type="dxa"/>
            <w:vAlign w:val="bottom"/>
          </w:tcPr>
          <w:p>
            <w:pPr>
              <w:jc w:val="center"/>
              <w:ind w:left="504"/>
              <w:spacing w:after="0"/>
              <w:rPr>
                <w:sz w:val="20"/>
                <w:szCs w:val="20"/>
                <w:color w:val="auto"/>
              </w:rPr>
            </w:pPr>
            <w:r>
              <w:rPr>
                <w:rFonts w:ascii="Courier New" w:cs="Courier New" w:eastAsia="Courier New" w:hAnsi="Courier New"/>
                <w:sz w:val="15"/>
                <w:szCs w:val="15"/>
                <w:color w:val="auto"/>
              </w:rPr>
              <w:t>(In Thousands, Except Share and Par Value Amounts)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680" w:type="dxa"/>
            <w:vAlign w:val="bottom"/>
          </w:tcPr>
          <w:p>
            <w:pPr>
              <w:spacing w:after="0"/>
              <w:rPr>
                <w:sz w:val="15"/>
                <w:szCs w:val="15"/>
                <w:color w:val="auto"/>
              </w:rPr>
            </w:pPr>
          </w:p>
        </w:tc>
        <w:tc>
          <w:tcPr>
            <w:tcW w:w="536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705"/>
        </w:trPr>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6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6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2"/>
        </w:trPr>
        <w:tc>
          <w:tcPr>
            <w:tcW w:w="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14,108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21,058</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212,680</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136,247</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Notes and other receivables</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23,005</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15,704</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38,870</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20,101</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36,964</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33,026</w:t>
            </w:r>
          </w:p>
        </w:tc>
      </w:tr>
      <w:tr>
        <w:trPr>
          <w:trHeight w:val="176"/>
        </w:trPr>
        <w:tc>
          <w:tcPr>
            <w:tcW w:w="6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325,627</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226,136</w:t>
            </w:r>
          </w:p>
        </w:tc>
      </w:tr>
      <w:tr>
        <w:trPr>
          <w:trHeight w:val="352"/>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Notes and other receivables</w:t>
            </w:r>
          </w:p>
        </w:tc>
        <w:tc>
          <w:tcPr>
            <w:tcW w:w="180" w:type="dxa"/>
            <w:vAlign w:val="bottom"/>
          </w:tcPr>
          <w:p>
            <w:pPr>
              <w:spacing w:after="0"/>
              <w:rPr>
                <w:sz w:val="24"/>
                <w:szCs w:val="24"/>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20,504</w:t>
            </w:r>
          </w:p>
        </w:tc>
        <w:tc>
          <w:tcPr>
            <w:tcW w:w="540" w:type="dxa"/>
            <w:vAlign w:val="bottom"/>
          </w:tcPr>
          <w:p>
            <w:pPr>
              <w:spacing w:after="0"/>
              <w:rPr>
                <w:sz w:val="24"/>
                <w:szCs w:val="24"/>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19,907</w:t>
            </w:r>
          </w:p>
        </w:tc>
      </w:tr>
      <w:tr>
        <w:trPr>
          <w:trHeight w:val="176"/>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1,661,791</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1,319,199</w:t>
            </w:r>
          </w:p>
        </w:tc>
      </w:tr>
      <w:tr>
        <w:trPr>
          <w:trHeight w:val="176"/>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Excess of cost over net assets of acquired businesses, net</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420,658</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206,638</w:t>
            </w:r>
          </w:p>
        </w:tc>
      </w:tr>
      <w:tr>
        <w:trPr>
          <w:trHeight w:val="176"/>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Other intangible assets, net</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66,663</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55,567</w:t>
            </w:r>
          </w:p>
        </w:tc>
      </w:tr>
      <w:tr>
        <w:trPr>
          <w:trHeight w:val="176"/>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124,350</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87,087</w:t>
            </w:r>
          </w:p>
        </w:tc>
      </w:tr>
      <w:tr>
        <w:trPr>
          <w:trHeight w:val="176"/>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9,384</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19,023</w:t>
            </w:r>
          </w:p>
        </w:tc>
      </w:tr>
      <w:tr>
        <w:trPr>
          <w:trHeight w:val="176"/>
        </w:trPr>
        <w:tc>
          <w:tcPr>
            <w:tcW w:w="6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assets</w:t>
            </w:r>
          </w:p>
        </w:tc>
        <w:tc>
          <w:tcPr>
            <w:tcW w:w="17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$2,628,977</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$ 1,933,557</w:t>
            </w:r>
          </w:p>
        </w:tc>
      </w:tr>
      <w:tr>
        <w:trPr>
          <w:trHeight w:val="176"/>
        </w:trPr>
        <w:tc>
          <w:tcPr>
            <w:tcW w:w="6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81,717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64,437</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183,733</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67,198</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revenues</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19,399</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10,876</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24,964</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53,516</w:t>
            </w:r>
          </w:p>
        </w:tc>
      </w:tr>
      <w:tr>
        <w:trPr>
          <w:trHeight w:val="176"/>
        </w:trPr>
        <w:tc>
          <w:tcPr>
            <w:tcW w:w="6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309,813</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196,027</w:t>
            </w:r>
          </w:p>
        </w:tc>
      </w:tr>
      <w:tr>
        <w:trPr>
          <w:trHeight w:val="529"/>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180" w:type="dxa"/>
            <w:vAlign w:val="bottom"/>
          </w:tcPr>
          <w:p>
            <w:pPr>
              <w:spacing w:after="0"/>
              <w:rPr>
                <w:sz w:val="24"/>
                <w:szCs w:val="24"/>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1,001,467</w:t>
            </w:r>
          </w:p>
        </w:tc>
        <w:tc>
          <w:tcPr>
            <w:tcW w:w="540" w:type="dxa"/>
            <w:vAlign w:val="bottom"/>
          </w:tcPr>
          <w:p>
            <w:pPr>
              <w:spacing w:after="0"/>
              <w:rPr>
                <w:sz w:val="24"/>
                <w:szCs w:val="24"/>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678,225</w:t>
            </w:r>
          </w:p>
        </w:tc>
      </w:tr>
      <w:tr>
        <w:trPr>
          <w:trHeight w:val="176"/>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230,523</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151,683</w:t>
            </w:r>
          </w:p>
        </w:tc>
      </w:tr>
      <w:tr>
        <w:trPr>
          <w:trHeight w:val="176"/>
        </w:trPr>
        <w:tc>
          <w:tcPr>
            <w:tcW w:w="6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1,541,803</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1,025,935</w:t>
            </w:r>
          </w:p>
        </w:tc>
      </w:tr>
      <w:tr>
        <w:trPr>
          <w:trHeight w:val="176"/>
        </w:trPr>
        <w:tc>
          <w:tcPr>
            <w:tcW w:w="6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2"/>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$1.00 par value;</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60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10,000,000 shares authorized;</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60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none issued</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stock, $.01 par value;</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60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300,000,000 shares authorized; 138,343,184 and</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60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124,019,297 shares issued, respectively</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1,383</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1,240</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1,232,775</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1,041,573</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(131,875)</w:t>
            </w:r>
          </w:p>
        </w:tc>
        <w:tc>
          <w:tcPr>
            <w:tcW w:w="540" w:type="dxa"/>
            <w:vAlign w:val="bottom"/>
          </w:tcPr>
          <w:p>
            <w:pPr>
              <w:spacing w:after="0"/>
              <w:rPr>
                <w:sz w:val="15"/>
                <w:szCs w:val="15"/>
                <w:color w:val="auto"/>
              </w:rPr>
            </w:pP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(118,595)</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Foreign currency translation adjustment</w:t>
            </w:r>
          </w:p>
        </w:tc>
        <w:tc>
          <w:tcPr>
            <w:tcW w:w="18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(14,625)</w:t>
            </w:r>
          </w:p>
        </w:tc>
        <w:tc>
          <w:tcPr>
            <w:tcW w:w="540" w:type="dxa"/>
            <w:vAlign w:val="bottom"/>
          </w:tcPr>
          <w:p>
            <w:pPr>
              <w:spacing w:after="0"/>
              <w:rPr>
                <w:sz w:val="15"/>
                <w:szCs w:val="15"/>
                <w:color w:val="auto"/>
              </w:rPr>
            </w:pP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(14,777)</w:t>
            </w:r>
          </w:p>
        </w:tc>
      </w:tr>
      <w:tr>
        <w:trPr>
          <w:trHeight w:val="176"/>
        </w:trPr>
        <w:tc>
          <w:tcPr>
            <w:tcW w:w="6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Less treasury stock at cost, 23,485 shares and</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680" w:type="dxa"/>
            <w:vAlign w:val="bottom"/>
          </w:tcPr>
          <w:p>
            <w:pPr>
              <w:spacing w:after="0"/>
              <w:rPr>
                <w:sz w:val="15"/>
                <w:szCs w:val="15"/>
                <w:color w:val="auto"/>
              </w:rPr>
            </w:pP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138,810 shares, respectively</w:t>
            </w:r>
          </w:p>
        </w:tc>
        <w:tc>
          <w:tcPr>
            <w:tcW w:w="18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(484)</w:t>
            </w:r>
          </w:p>
        </w:tc>
        <w:tc>
          <w:tcPr>
            <w:tcW w:w="540" w:type="dxa"/>
            <w:vAlign w:val="bottom"/>
          </w:tcPr>
          <w:p>
            <w:pPr>
              <w:spacing w:after="0"/>
              <w:rPr>
                <w:sz w:val="15"/>
                <w:szCs w:val="15"/>
                <w:color w:val="auto"/>
              </w:rPr>
            </w:pP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(1,819)</w:t>
            </w:r>
          </w:p>
        </w:tc>
      </w:tr>
      <w:tr>
        <w:trPr>
          <w:trHeight w:val="176"/>
        </w:trPr>
        <w:tc>
          <w:tcPr>
            <w:tcW w:w="6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152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1,087,174</w:t>
            </w:r>
          </w:p>
        </w:tc>
        <w:tc>
          <w:tcPr>
            <w:tcW w:w="540" w:type="dxa"/>
            <w:vAlign w:val="bottom"/>
          </w:tcPr>
          <w:p>
            <w:pPr>
              <w:spacing w:after="0"/>
              <w:rPr>
                <w:sz w:val="15"/>
                <w:szCs w:val="15"/>
                <w:color w:val="auto"/>
              </w:rPr>
            </w:pP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907,622</w:t>
            </w:r>
          </w:p>
        </w:tc>
      </w:tr>
      <w:tr>
        <w:trPr>
          <w:trHeight w:val="176"/>
        </w:trPr>
        <w:tc>
          <w:tcPr>
            <w:tcW w:w="6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7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$2,628,977</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$ 1,933,557</w:t>
            </w:r>
          </w:p>
        </w:tc>
      </w:tr>
      <w:tr>
        <w:trPr>
          <w:trHeight w:val="176"/>
        </w:trPr>
        <w:tc>
          <w:tcPr>
            <w:tcW w:w="6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condensed consolidated financial statements.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4"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6"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6"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6"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440"/>
          </w:cols>
          <w:pgMar w:left="240" w:top="294"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760"/>
        <w:spacing w:after="0"/>
        <w:rPr>
          <w:sz w:val="20"/>
          <w:szCs w:val="20"/>
          <w:color w:val="auto"/>
        </w:rPr>
      </w:pPr>
      <w:r>
        <w:rPr>
          <w:rFonts w:ascii="Courier New" w:cs="Courier New" w:eastAsia="Courier New" w:hAnsi="Courier New"/>
          <w:sz w:val="15"/>
          <w:szCs w:val="15"/>
          <w:color w:val="auto"/>
        </w:rPr>
        <w:t>Three Months Ended</w:t>
      </w:r>
    </w:p>
    <w:p>
      <w:pPr>
        <w:spacing w:after="0" w:line="6" w:lineRule="exact"/>
        <w:rPr>
          <w:sz w:val="20"/>
          <w:szCs w:val="20"/>
          <w:color w:val="auto"/>
        </w:rPr>
      </w:pPr>
    </w:p>
    <w:p>
      <w:pPr>
        <w:jc w:val="center"/>
        <w:ind w:left="4840"/>
        <w:spacing w:after="0"/>
        <w:rPr>
          <w:sz w:val="20"/>
          <w:szCs w:val="20"/>
          <w:color w:val="auto"/>
        </w:rPr>
      </w:pPr>
      <w:r>
        <w:rPr>
          <w:rFonts w:ascii="Courier New" w:cs="Courier New" w:eastAsia="Courier New" w:hAnsi="Courier New"/>
          <w:sz w:val="15"/>
          <w:szCs w:val="15"/>
          <w:color w:val="auto"/>
        </w:rPr>
        <w:t>September 30,</w:t>
      </w:r>
    </w:p>
    <w:p>
      <w:pPr>
        <w:spacing w:after="0" w:line="6" w:lineRule="exact"/>
        <w:rPr>
          <w:sz w:val="20"/>
          <w:szCs w:val="20"/>
          <w:color w:val="auto"/>
        </w:rPr>
      </w:pPr>
    </w:p>
    <w:p>
      <w:pPr>
        <w:jc w:val="center"/>
        <w:ind w:left="4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left="4840"/>
        <w:spacing w:after="0"/>
        <w:tabs>
          <w:tab w:leader="none" w:pos="98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6" w:lineRule="exact"/>
        <w:rPr>
          <w:sz w:val="20"/>
          <w:szCs w:val="20"/>
          <w:color w:val="auto"/>
        </w:rPr>
      </w:pPr>
    </w:p>
    <w:p>
      <w:pPr>
        <w:jc w:val="center"/>
        <w:ind w:left="4660"/>
        <w:spacing w:after="0"/>
        <w:tabs>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Nine Months Ended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September 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6"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2">
            <w:col w:w="7700" w:space="720"/>
            <w:col w:w="2020"/>
          </w:cols>
          <w:pgMar w:left="240" w:top="294" w:right="12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(Restated)</w:t>
            </w: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(Restated)</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$ 352,754</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$ 262,434</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963,021</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$ 726,148</w:t>
            </w:r>
          </w:p>
        </w:tc>
      </w:tr>
      <w:tr>
        <w:trPr>
          <w:trHeight w:val="176"/>
        </w:trPr>
        <w:tc>
          <w:tcPr>
            <w:tcW w:w="466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Operating</w:t>
            </w: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186,487</w:t>
            </w:r>
          </w:p>
        </w:tc>
        <w:tc>
          <w:tcPr>
            <w:tcW w:w="400" w:type="dxa"/>
            <w:vAlign w:val="bottom"/>
          </w:tcPr>
          <w:p>
            <w:pPr>
              <w:spacing w:after="0"/>
              <w:rPr>
                <w:sz w:val="15"/>
                <w:szCs w:val="15"/>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145,668</w:t>
            </w:r>
          </w:p>
        </w:tc>
        <w:tc>
          <w:tcPr>
            <w:tcW w:w="5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522,698</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408,053</w:t>
            </w:r>
          </w:p>
        </w:tc>
      </w:tr>
      <w:tr>
        <w:trPr>
          <w:trHeight w:val="176"/>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General and administrative</w:t>
            </w: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41,704</w:t>
            </w:r>
          </w:p>
        </w:tc>
        <w:tc>
          <w:tcPr>
            <w:tcW w:w="400" w:type="dxa"/>
            <w:vAlign w:val="bottom"/>
          </w:tcPr>
          <w:p>
            <w:pPr>
              <w:spacing w:after="0"/>
              <w:rPr>
                <w:sz w:val="15"/>
                <w:szCs w:val="15"/>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34,441</w:t>
            </w:r>
          </w:p>
        </w:tc>
        <w:tc>
          <w:tcPr>
            <w:tcW w:w="5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118,557</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104,859</w:t>
            </w:r>
          </w:p>
        </w:tc>
      </w:tr>
      <w:tr>
        <w:trPr>
          <w:trHeight w:val="176"/>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41,353</w:t>
            </w:r>
          </w:p>
        </w:tc>
        <w:tc>
          <w:tcPr>
            <w:tcW w:w="400" w:type="dxa"/>
            <w:vAlign w:val="bottom"/>
          </w:tcPr>
          <w:p>
            <w:pPr>
              <w:spacing w:after="0"/>
              <w:rPr>
                <w:sz w:val="15"/>
                <w:szCs w:val="15"/>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30,331</w:t>
            </w:r>
          </w:p>
        </w:tc>
        <w:tc>
          <w:tcPr>
            <w:tcW w:w="5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111,157</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88,934</w:t>
            </w:r>
          </w:p>
        </w:tc>
      </w:tr>
      <w:tr>
        <w:trPr>
          <w:trHeight w:val="176"/>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Merger costs</w:t>
            </w: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82,556</w:t>
            </w:r>
          </w:p>
        </w:tc>
        <w:tc>
          <w:tcPr>
            <w:tcW w:w="400" w:type="dxa"/>
            <w:vAlign w:val="bottom"/>
          </w:tcPr>
          <w:p>
            <w:pPr>
              <w:spacing w:after="0"/>
              <w:rPr>
                <w:sz w:val="15"/>
                <w:szCs w:val="15"/>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120,656</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25,639</w:t>
            </w:r>
          </w:p>
        </w:tc>
      </w:tr>
      <w:tr>
        <w:trPr>
          <w:trHeight w:val="176"/>
        </w:trPr>
        <w:tc>
          <w:tcPr>
            <w:tcW w:w="4660" w:type="dxa"/>
            <w:vAlign w:val="bottom"/>
          </w:tcPr>
          <w:p>
            <w:pPr>
              <w:ind w:left="80"/>
              <w:spacing w:after="0"/>
              <w:rPr>
                <w:sz w:val="20"/>
                <w:szCs w:val="20"/>
                <w:color w:val="auto"/>
              </w:rPr>
            </w:pPr>
            <w:r>
              <w:rPr>
                <w:rFonts w:ascii="Courier New" w:cs="Courier New" w:eastAsia="Courier New" w:hAnsi="Courier New"/>
                <w:sz w:val="15"/>
                <w:szCs w:val="15"/>
                <w:color w:val="auto"/>
              </w:rPr>
              <w:t>Unusual items</w:t>
            </w: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50,848</w:t>
            </w:r>
          </w:p>
        </w:tc>
        <w:tc>
          <w:tcPr>
            <w:tcW w:w="400" w:type="dxa"/>
            <w:vAlign w:val="bottom"/>
          </w:tcPr>
          <w:p>
            <w:pPr>
              <w:spacing w:after="0"/>
              <w:rPr>
                <w:sz w:val="15"/>
                <w:szCs w:val="15"/>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63,800</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4,733</w:t>
            </w:r>
          </w:p>
        </w:tc>
      </w:tr>
      <w:tr>
        <w:trPr>
          <w:trHeight w:val="176"/>
        </w:trPr>
        <w:tc>
          <w:tcPr>
            <w:tcW w:w="466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4"/>
                <w:szCs w:val="24"/>
                <w:color w:val="auto"/>
              </w:rPr>
            </w:pP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402,948</w:t>
            </w:r>
          </w:p>
        </w:tc>
        <w:tc>
          <w:tcPr>
            <w:tcW w:w="400" w:type="dxa"/>
            <w:vAlign w:val="bottom"/>
          </w:tcPr>
          <w:p>
            <w:pPr>
              <w:spacing w:after="0"/>
              <w:rPr>
                <w:sz w:val="24"/>
                <w:szCs w:val="24"/>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210,440</w:t>
            </w:r>
          </w:p>
        </w:tc>
        <w:tc>
          <w:tcPr>
            <w:tcW w:w="560" w:type="dxa"/>
            <w:vAlign w:val="bottom"/>
          </w:tcPr>
          <w:p>
            <w:pPr>
              <w:spacing w:after="0"/>
              <w:rPr>
                <w:sz w:val="24"/>
                <w:szCs w:val="24"/>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936,868</w:t>
            </w:r>
          </w:p>
        </w:tc>
        <w:tc>
          <w:tcPr>
            <w:tcW w:w="36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632,218</w:t>
            </w:r>
          </w:p>
        </w:tc>
      </w:tr>
      <w:tr>
        <w:trPr>
          <w:trHeight w:val="176"/>
        </w:trPr>
        <w:tc>
          <w:tcPr>
            <w:tcW w:w="466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(50,194)</w:t>
            </w:r>
          </w:p>
        </w:tc>
        <w:tc>
          <w:tcPr>
            <w:tcW w:w="400" w:type="dxa"/>
            <w:vAlign w:val="bottom"/>
          </w:tcPr>
          <w:p>
            <w:pPr>
              <w:spacing w:after="0"/>
              <w:rPr>
                <w:sz w:val="24"/>
                <w:szCs w:val="24"/>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51,994</w:t>
            </w:r>
          </w:p>
        </w:tc>
        <w:tc>
          <w:tcPr>
            <w:tcW w:w="560" w:type="dxa"/>
            <w:vAlign w:val="bottom"/>
          </w:tcPr>
          <w:p>
            <w:pPr>
              <w:spacing w:after="0"/>
              <w:rPr>
                <w:sz w:val="24"/>
                <w:szCs w:val="24"/>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26,153</w:t>
            </w:r>
          </w:p>
        </w:tc>
        <w:tc>
          <w:tcPr>
            <w:tcW w:w="36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93,930</w:t>
            </w:r>
          </w:p>
        </w:tc>
      </w:tr>
      <w:tr>
        <w:trPr>
          <w:trHeight w:val="176"/>
        </w:trPr>
        <w:tc>
          <w:tcPr>
            <w:tcW w:w="466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4660" w:type="dxa"/>
            <w:vAlign w:val="bottom"/>
          </w:tcPr>
          <w:p>
            <w:pPr>
              <w:ind w:left="540"/>
              <w:spacing w:after="0"/>
              <w:rPr>
                <w:sz w:val="20"/>
                <w:szCs w:val="20"/>
                <w:color w:val="auto"/>
              </w:rPr>
            </w:pPr>
            <w:r>
              <w:rPr>
                <w:rFonts w:ascii="Courier New" w:cs="Courier New" w:eastAsia="Courier New" w:hAnsi="Courier New"/>
                <w:sz w:val="15"/>
                <w:szCs w:val="15"/>
                <w:color w:val="auto"/>
              </w:rPr>
              <w:t>Nonrecurring interest</w:t>
            </w: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r>
      <w:tr>
        <w:trPr>
          <w:trHeight w:val="176"/>
        </w:trPr>
        <w:tc>
          <w:tcPr>
            <w:tcW w:w="4660" w:type="dxa"/>
            <w:vAlign w:val="bottom"/>
          </w:tcPr>
          <w:p>
            <w:pPr>
              <w:ind w:left="540"/>
              <w:spacing w:after="0"/>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(11,520)</w:t>
            </w:r>
          </w:p>
        </w:tc>
        <w:tc>
          <w:tcPr>
            <w:tcW w:w="4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(12,731)</w:t>
            </w:r>
          </w:p>
        </w:tc>
        <w:tc>
          <w:tcPr>
            <w:tcW w:w="5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(33,977)</w:t>
            </w: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(37,917)</w:t>
            </w:r>
          </w:p>
        </w:tc>
      </w:tr>
      <w:tr>
        <w:trPr>
          <w:trHeight w:val="176"/>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rPr>
              <w:t>Interest and other income, net</w:t>
            </w: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3,328</w:t>
            </w:r>
          </w:p>
        </w:tc>
        <w:tc>
          <w:tcPr>
            <w:tcW w:w="400" w:type="dxa"/>
            <w:vAlign w:val="bottom"/>
          </w:tcPr>
          <w:p>
            <w:pPr>
              <w:spacing w:after="0"/>
              <w:rPr>
                <w:sz w:val="15"/>
                <w:szCs w:val="15"/>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1,961</w:t>
            </w:r>
          </w:p>
        </w:tc>
        <w:tc>
          <w:tcPr>
            <w:tcW w:w="5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8,868</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7,574</w:t>
            </w:r>
          </w:p>
        </w:tc>
      </w:tr>
      <w:tr>
        <w:trPr>
          <w:trHeight w:val="176"/>
        </w:trPr>
        <w:tc>
          <w:tcPr>
            <w:tcW w:w="466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spacing w:after="0"/>
              <w:rPr>
                <w:sz w:val="15"/>
                <w:szCs w:val="15"/>
                <w:color w:val="auto"/>
              </w:rPr>
            </w:pP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(8,192)</w:t>
            </w:r>
          </w:p>
        </w:tc>
        <w:tc>
          <w:tcPr>
            <w:tcW w:w="4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(10,770)</w:t>
            </w:r>
          </w:p>
        </w:tc>
        <w:tc>
          <w:tcPr>
            <w:tcW w:w="5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(25,109)</w:t>
            </w: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(41,337)</w:t>
            </w:r>
          </w:p>
        </w:tc>
      </w:tr>
      <w:tr>
        <w:trPr>
          <w:trHeight w:val="176"/>
        </w:trPr>
        <w:tc>
          <w:tcPr>
            <w:tcW w:w="466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for income taxes</w:t>
            </w: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(58,386)</w:t>
            </w:r>
          </w:p>
        </w:tc>
        <w:tc>
          <w:tcPr>
            <w:tcW w:w="400" w:type="dxa"/>
            <w:vAlign w:val="bottom"/>
          </w:tcPr>
          <w:p>
            <w:pPr>
              <w:spacing w:after="0"/>
              <w:rPr>
                <w:sz w:val="24"/>
                <w:szCs w:val="24"/>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41,224</w:t>
            </w:r>
          </w:p>
        </w:tc>
        <w:tc>
          <w:tcPr>
            <w:tcW w:w="560" w:type="dxa"/>
            <w:vAlign w:val="bottom"/>
          </w:tcPr>
          <w:p>
            <w:pPr>
              <w:spacing w:after="0"/>
              <w:rPr>
                <w:sz w:val="24"/>
                <w:szCs w:val="24"/>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1,044</w:t>
            </w:r>
          </w:p>
        </w:tc>
        <w:tc>
          <w:tcPr>
            <w:tcW w:w="360" w:type="dxa"/>
            <w:vAlign w:val="bottom"/>
          </w:tcPr>
          <w:p>
            <w:pPr>
              <w:spacing w:after="0"/>
              <w:rPr>
                <w:sz w:val="24"/>
                <w:szCs w:val="24"/>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52,593</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 taxes</w:t>
            </w: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(19,522)</w:t>
            </w:r>
          </w:p>
        </w:tc>
        <w:tc>
          <w:tcPr>
            <w:tcW w:w="400" w:type="dxa"/>
            <w:vAlign w:val="bottom"/>
          </w:tcPr>
          <w:p>
            <w:pPr>
              <w:spacing w:after="0"/>
              <w:rPr>
                <w:sz w:val="15"/>
                <w:szCs w:val="15"/>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16,490</w:t>
            </w:r>
          </w:p>
        </w:tc>
        <w:tc>
          <w:tcPr>
            <w:tcW w:w="5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14,324</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27,037</w:t>
            </w:r>
          </w:p>
        </w:tc>
      </w:tr>
      <w:tr>
        <w:trPr>
          <w:trHeight w:val="176"/>
        </w:trPr>
        <w:tc>
          <w:tcPr>
            <w:tcW w:w="466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(38,864)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24,734</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(13,280)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25,556</w:t>
            </w:r>
          </w:p>
        </w:tc>
      </w:tr>
      <w:tr>
        <w:trPr>
          <w:trHeight w:val="176"/>
        </w:trPr>
        <w:tc>
          <w:tcPr>
            <w:tcW w:w="466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w:t>
            </w:r>
          </w:p>
        </w:tc>
        <w:tc>
          <w:tcPr>
            <w:tcW w:w="14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(0.27)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0.22</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(0.10)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0.24</w:t>
            </w:r>
          </w:p>
        </w:tc>
      </w:tr>
      <w:tr>
        <w:trPr>
          <w:trHeight w:val="176"/>
        </w:trPr>
        <w:tc>
          <w:tcPr>
            <w:tcW w:w="466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common equivalent shares outstanding</w:t>
            </w: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142,664</w:t>
            </w:r>
          </w:p>
        </w:tc>
        <w:tc>
          <w:tcPr>
            <w:tcW w:w="400" w:type="dxa"/>
            <w:vAlign w:val="bottom"/>
          </w:tcPr>
          <w:p>
            <w:pPr>
              <w:spacing w:after="0"/>
              <w:rPr>
                <w:sz w:val="15"/>
                <w:szCs w:val="15"/>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112,167</w:t>
            </w:r>
          </w:p>
        </w:tc>
        <w:tc>
          <w:tcPr>
            <w:tcW w:w="5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138,262</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108,710</w:t>
            </w:r>
          </w:p>
        </w:tc>
      </w:tr>
      <w:tr>
        <w:trPr>
          <w:trHeight w:val="176"/>
        </w:trPr>
        <w:tc>
          <w:tcPr>
            <w:tcW w:w="466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440"/>
          </w:cols>
          <w:pgMar w:left="240" w:top="294" w:right="1219"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6"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CONDENSED CONSOLIDATED STATEMENT OF STOCKHOLDERS' EQUITY</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(In Thousands)</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Foreign</w:t>
            </w:r>
          </w:p>
        </w:tc>
        <w:tc>
          <w:tcPr>
            <w:tcW w:w="840" w:type="dxa"/>
            <w:vAlign w:val="bottom"/>
          </w:tcPr>
          <w:p>
            <w:pPr>
              <w:spacing w:after="0"/>
              <w:rPr>
                <w:sz w:val="14"/>
                <w:szCs w:val="14"/>
                <w:color w:val="auto"/>
              </w:rPr>
            </w:pPr>
          </w:p>
        </w:tc>
      </w:tr>
      <w:tr>
        <w:trPr>
          <w:trHeight w:val="176"/>
        </w:trPr>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c>
          <w:tcPr>
            <w:tcW w:w="110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Currency</w:t>
            </w:r>
          </w:p>
        </w:tc>
        <w:tc>
          <w:tcPr>
            <w:tcW w:w="840" w:type="dxa"/>
            <w:vAlign w:val="bottom"/>
          </w:tcPr>
          <w:p>
            <w:pPr>
              <w:spacing w:after="0"/>
              <w:rPr>
                <w:sz w:val="15"/>
                <w:szCs w:val="15"/>
                <w:color w:val="auto"/>
              </w:rPr>
            </w:pPr>
          </w:p>
        </w:tc>
      </w:tr>
      <w:tr>
        <w:trPr>
          <w:trHeight w:val="176"/>
        </w:trPr>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Preferred</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Common</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Paid-in</w:t>
            </w:r>
          </w:p>
        </w:tc>
        <w:tc>
          <w:tcPr>
            <w:tcW w:w="30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Accumulated Translation Treasury</w:t>
            </w:r>
          </w:p>
        </w:tc>
      </w:tr>
      <w:tr>
        <w:trPr>
          <w:trHeight w:val="176"/>
        </w:trPr>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Stock</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Stock</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Capital</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Deficit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Adjustment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Stock</w:t>
            </w:r>
          </w:p>
        </w:tc>
      </w:tr>
      <w:tr>
        <w:trPr>
          <w:trHeight w:val="176"/>
        </w:trPr>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1995</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$1,041,573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$(118,595)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$(14,777)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$(1,819)</w:t>
            </w:r>
          </w:p>
        </w:tc>
      </w:tr>
      <w:tr>
        <w:trPr>
          <w:trHeight w:val="352"/>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stock options exercised</w:t>
            </w:r>
          </w:p>
        </w:tc>
        <w:tc>
          <w:tcPr>
            <w:tcW w:w="280" w:type="dxa"/>
            <w:vAlign w:val="bottom"/>
          </w:tcPr>
          <w:p>
            <w:pPr>
              <w:spacing w:after="0"/>
              <w:rPr>
                <w:sz w:val="24"/>
                <w:szCs w:val="24"/>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13,849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stock warrants exercised</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3,686</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stock issued to qualified defined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6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contribution plan</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stock issued in purchase acquisitions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and</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development projects</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101,492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stock issued for acquisitions accounted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for as poolings of interests</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7,810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stock returned for acquisition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6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settlement</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(751)</w:t>
            </w: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stock issued for investment in company</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stock issued from treasury upon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exercise of stock options</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1,698</w:t>
            </w: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stock issued from treasury upon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exercise of stock warrants</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w:t>
            </w: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stock issued for conversion of</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4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subordinated debentures</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59,590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Common</w:t>
            </w:r>
          </w:p>
        </w:tc>
        <w:tc>
          <w:tcPr>
            <w:tcW w:w="3760" w:type="dxa"/>
            <w:vAlign w:val="bottom"/>
          </w:tcPr>
          <w:p>
            <w:pPr>
              <w:ind w:left="60"/>
              <w:spacing w:after="0"/>
              <w:rPr>
                <w:sz w:val="20"/>
                <w:szCs w:val="20"/>
                <w:color w:val="auto"/>
              </w:rPr>
            </w:pPr>
            <w:r>
              <w:rPr>
                <w:rFonts w:ascii="Courier New" w:cs="Courier New" w:eastAsia="Courier New" w:hAnsi="Courier New"/>
                <w:sz w:val="15"/>
                <w:szCs w:val="15"/>
                <w:color w:val="auto"/>
              </w:rPr>
              <w:t>stock issued for executive bonuses</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Restricted stock expense and forfeitures</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Below market value stock options</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Foreign currency translation adjustment</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3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(13,280)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Balance, September 30, 1996</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$1,383</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$1,232,775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$(131,875)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(484)</w:t>
            </w:r>
          </w:p>
        </w:tc>
      </w:tr>
      <w:tr>
        <w:trPr>
          <w:trHeight w:val="176"/>
        </w:trPr>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180"/>
          </w:cols>
          <w:pgMar w:left="240" w:top="294"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1"/>
        </w:trPr>
        <w:tc>
          <w:tcPr>
            <w:tcW w:w="604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529"/>
        </w:trPr>
        <w:tc>
          <w:tcPr>
            <w:tcW w:w="6040" w:type="dxa"/>
            <w:vAlign w:val="bottom"/>
          </w:tcPr>
          <w:p>
            <w:pPr>
              <w:ind w:left="2560"/>
              <w:spacing w:after="0"/>
              <w:rPr>
                <w:sz w:val="20"/>
                <w:szCs w:val="20"/>
                <w:color w:val="auto"/>
              </w:rPr>
            </w:pPr>
            <w:r>
              <w:rPr>
                <w:rFonts w:ascii="Courier New" w:cs="Courier New" w:eastAsia="Courier New" w:hAnsi="Courier New"/>
                <w:sz w:val="15"/>
                <w:szCs w:val="15"/>
                <w:color w:val="auto"/>
              </w:rPr>
              <w:t>USA WASTE SERVICES, INC.</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6"/>
        </w:trPr>
        <w:tc>
          <w:tcPr>
            <w:tcW w:w="6040" w:type="dxa"/>
            <w:vAlign w:val="bottom"/>
          </w:tcPr>
          <w:p>
            <w:pPr>
              <w:ind w:left="1460"/>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6040" w:type="dxa"/>
            <w:vAlign w:val="bottom"/>
          </w:tcPr>
          <w:p>
            <w:pPr>
              <w:ind w:left="3020"/>
              <w:spacing w:after="0"/>
              <w:rPr>
                <w:sz w:val="20"/>
                <w:szCs w:val="20"/>
                <w:color w:val="auto"/>
              </w:rPr>
            </w:pPr>
            <w:r>
              <w:rPr>
                <w:rFonts w:ascii="Courier New" w:cs="Courier New" w:eastAsia="Courier New" w:hAnsi="Courier New"/>
                <w:sz w:val="15"/>
                <w:szCs w:val="15"/>
                <w:color w:val="auto"/>
              </w:rPr>
              <w:t>(In Thousands)</w:t>
            </w: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6040" w:type="dxa"/>
            <w:vAlign w:val="bottom"/>
          </w:tcPr>
          <w:p>
            <w:pPr>
              <w:ind w:left="3100"/>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705"/>
        </w:trPr>
        <w:tc>
          <w:tcPr>
            <w:tcW w:w="6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6"/>
        </w:trPr>
        <w:tc>
          <w:tcPr>
            <w:tcW w:w="6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6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1996</w:t>
            </w: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6040" w:type="dxa"/>
            <w:vAlign w:val="bottom"/>
          </w:tcPr>
          <w:p>
            <w:pPr>
              <w:spacing w:after="0"/>
              <w:rPr>
                <w:sz w:val="15"/>
                <w:szCs w:val="15"/>
                <w:color w:val="auto"/>
              </w:rPr>
            </w:pPr>
          </w:p>
        </w:tc>
        <w:tc>
          <w:tcPr>
            <w:tcW w:w="18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(Restated)</w:t>
            </w:r>
          </w:p>
        </w:tc>
      </w:tr>
      <w:tr>
        <w:trPr>
          <w:trHeight w:val="352"/>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6"/>
        </w:trPr>
        <w:tc>
          <w:tcPr>
            <w:tcW w:w="6040" w:type="dxa"/>
            <w:vAlign w:val="bottom"/>
          </w:tcPr>
          <w:p>
            <w:pPr>
              <w:ind w:left="820"/>
              <w:spacing w:after="0"/>
              <w:rPr>
                <w:sz w:val="20"/>
                <w:szCs w:val="20"/>
                <w:color w:val="auto"/>
              </w:rPr>
            </w:pPr>
            <w:r>
              <w:rPr>
                <w:rFonts w:ascii="Courier New" w:cs="Courier New" w:eastAsia="Courier New" w:hAnsi="Courier New"/>
                <w:sz w:val="15"/>
                <w:szCs w:val="15"/>
                <w:color w:val="auto"/>
              </w:rPr>
              <w:t>Net cash provided by (used in) operating</w:t>
            </w: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6040" w:type="dxa"/>
            <w:vAlign w:val="bottom"/>
          </w:tcPr>
          <w:p>
            <w:pPr>
              <w:ind w:left="1460"/>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183,305</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 (10,037)</w:t>
            </w:r>
          </w:p>
        </w:tc>
      </w:tr>
      <w:tr>
        <w:trPr>
          <w:trHeight w:val="176"/>
        </w:trPr>
        <w:tc>
          <w:tcPr>
            <w:tcW w:w="6040" w:type="dxa"/>
            <w:vAlign w:val="bottom"/>
          </w:tcPr>
          <w:p>
            <w:pPr>
              <w:spacing w:after="0"/>
              <w:rPr>
                <w:sz w:val="15"/>
                <w:szCs w:val="15"/>
                <w:color w:val="auto"/>
              </w:rPr>
            </w:pPr>
          </w:p>
        </w:tc>
        <w:tc>
          <w:tcPr>
            <w:tcW w:w="18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36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(238,661)</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(20,029)</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(246,486)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(162,051)</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Loans and advances to others</w:t>
            </w:r>
          </w:p>
        </w:tc>
        <w:tc>
          <w:tcPr>
            <w:tcW w:w="36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(13,856)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(2,395)</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Collection of loans to others</w:t>
            </w:r>
          </w:p>
        </w:tc>
        <w:tc>
          <w:tcPr>
            <w:tcW w:w="36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13,134</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4,033</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assets</w:t>
            </w:r>
          </w:p>
        </w:tc>
        <w:tc>
          <w:tcPr>
            <w:tcW w:w="36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11,920</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8,927</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investments</w:t>
            </w:r>
          </w:p>
        </w:tc>
        <w:tc>
          <w:tcPr>
            <w:tcW w:w="360" w:type="dxa"/>
            <w:vAlign w:val="bottom"/>
          </w:tcPr>
          <w:p>
            <w:pPr>
              <w:spacing w:after="0"/>
              <w:rPr>
                <w:sz w:val="15"/>
                <w:szCs w:val="15"/>
                <w:color w:val="auto"/>
              </w:rPr>
            </w:pP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1,200</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Change in restricted assets</w:t>
            </w:r>
          </w:p>
        </w:tc>
        <w:tc>
          <w:tcPr>
            <w:tcW w:w="36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(25,975)</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4,285</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(4,268)</w:t>
            </w:r>
          </w:p>
        </w:tc>
      </w:tr>
      <w:tr>
        <w:trPr>
          <w:trHeight w:val="176"/>
        </w:trPr>
        <w:tc>
          <w:tcPr>
            <w:tcW w:w="6040" w:type="dxa"/>
            <w:vAlign w:val="bottom"/>
          </w:tcPr>
          <w:p>
            <w:pPr>
              <w:spacing w:after="0"/>
              <w:rPr>
                <w:sz w:val="15"/>
                <w:szCs w:val="15"/>
                <w:color w:val="auto"/>
              </w:rPr>
            </w:pPr>
          </w:p>
        </w:tc>
        <w:tc>
          <w:tcPr>
            <w:tcW w:w="18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ind w:left="820"/>
              <w:spacing w:after="0"/>
              <w:rPr>
                <w:sz w:val="20"/>
                <w:szCs w:val="20"/>
                <w:color w:val="auto"/>
              </w:rPr>
            </w:pPr>
            <w:r>
              <w:rPr>
                <w:rFonts w:ascii="Courier New" w:cs="Courier New" w:eastAsia="Courier New" w:hAnsi="Courier New"/>
                <w:sz w:val="15"/>
                <w:szCs w:val="15"/>
                <w:color w:val="auto"/>
              </w:rPr>
              <w:t>Net cash used in investing activities</w:t>
            </w:r>
          </w:p>
        </w:tc>
        <w:tc>
          <w:tcPr>
            <w:tcW w:w="36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(499,924)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(170,298)</w:t>
            </w:r>
          </w:p>
        </w:tc>
      </w:tr>
      <w:tr>
        <w:trPr>
          <w:trHeight w:val="176"/>
        </w:trPr>
        <w:tc>
          <w:tcPr>
            <w:tcW w:w="6040" w:type="dxa"/>
            <w:vAlign w:val="bottom"/>
          </w:tcPr>
          <w:p>
            <w:pPr>
              <w:spacing w:after="0"/>
              <w:rPr>
                <w:sz w:val="15"/>
                <w:szCs w:val="15"/>
                <w:color w:val="auto"/>
              </w:rPr>
            </w:pPr>
          </w:p>
        </w:tc>
        <w:tc>
          <w:tcPr>
            <w:tcW w:w="18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long-term debt</w:t>
            </w:r>
          </w:p>
        </w:tc>
        <w:tc>
          <w:tcPr>
            <w:tcW w:w="36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1,262,796</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485,637</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long-term debt</w:t>
            </w:r>
          </w:p>
        </w:tc>
        <w:tc>
          <w:tcPr>
            <w:tcW w:w="36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(972,154)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(389,303)</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common stock, net</w:t>
            </w:r>
          </w:p>
        </w:tc>
        <w:tc>
          <w:tcPr>
            <w:tcW w:w="360" w:type="dxa"/>
            <w:vAlign w:val="bottom"/>
          </w:tcPr>
          <w:p>
            <w:pPr>
              <w:spacing w:after="0"/>
              <w:rPr>
                <w:sz w:val="15"/>
                <w:szCs w:val="15"/>
                <w:color w:val="auto"/>
              </w:rPr>
            </w:pP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67,635</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stock options</w:t>
            </w:r>
          </w:p>
        </w:tc>
        <w:tc>
          <w:tcPr>
            <w:tcW w:w="36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15,081</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1,463</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warrants</w:t>
            </w:r>
          </w:p>
        </w:tc>
        <w:tc>
          <w:tcPr>
            <w:tcW w:w="36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3,957</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2,428</w:t>
            </w:r>
          </w:p>
        </w:tc>
      </w:tr>
      <w:tr>
        <w:trPr>
          <w:trHeight w:val="176"/>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(2,423)</w:t>
            </w:r>
          </w:p>
        </w:tc>
      </w:tr>
      <w:tr>
        <w:trPr>
          <w:trHeight w:val="176"/>
        </w:trPr>
        <w:tc>
          <w:tcPr>
            <w:tcW w:w="6040" w:type="dxa"/>
            <w:vAlign w:val="bottom"/>
          </w:tcPr>
          <w:p>
            <w:pPr>
              <w:spacing w:after="0"/>
              <w:rPr>
                <w:sz w:val="15"/>
                <w:szCs w:val="15"/>
                <w:color w:val="auto"/>
              </w:rPr>
            </w:pPr>
          </w:p>
        </w:tc>
        <w:tc>
          <w:tcPr>
            <w:tcW w:w="18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ind w:left="82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36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309,660</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165,437</w:t>
            </w:r>
          </w:p>
        </w:tc>
      </w:tr>
      <w:tr>
        <w:trPr>
          <w:trHeight w:val="176"/>
        </w:trPr>
        <w:tc>
          <w:tcPr>
            <w:tcW w:w="6040" w:type="dxa"/>
            <w:vAlign w:val="bottom"/>
          </w:tcPr>
          <w:p>
            <w:pPr>
              <w:spacing w:after="0"/>
              <w:rPr>
                <w:sz w:val="15"/>
                <w:szCs w:val="15"/>
                <w:color w:val="auto"/>
              </w:rPr>
            </w:pPr>
          </w:p>
        </w:tc>
        <w:tc>
          <w:tcPr>
            <w:tcW w:w="18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spacing w:after="0"/>
              <w:rPr>
                <w:sz w:val="20"/>
                <w:szCs w:val="20"/>
                <w:color w:val="auto"/>
              </w:rPr>
            </w:pPr>
            <w:r>
              <w:rPr>
                <w:rFonts w:ascii="Courier New" w:cs="Courier New" w:eastAsia="Courier New" w:hAnsi="Courier New"/>
                <w:sz w:val="15"/>
                <w:szCs w:val="15"/>
                <w:color w:val="auto"/>
              </w:rPr>
              <w:t>Effect of exchange rate on cash and cash equivalents</w:t>
            </w:r>
          </w:p>
        </w:tc>
        <w:tc>
          <w:tcPr>
            <w:tcW w:w="36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6"/>
        </w:trPr>
        <w:tc>
          <w:tcPr>
            <w:tcW w:w="6040" w:type="dxa"/>
            <w:vAlign w:val="bottom"/>
          </w:tcPr>
          <w:p>
            <w:pPr>
              <w:spacing w:after="0"/>
              <w:rPr>
                <w:sz w:val="15"/>
                <w:szCs w:val="15"/>
                <w:color w:val="auto"/>
              </w:rPr>
            </w:pPr>
          </w:p>
        </w:tc>
        <w:tc>
          <w:tcPr>
            <w:tcW w:w="18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spacing w:after="0"/>
              <w:rPr>
                <w:sz w:val="20"/>
                <w:szCs w:val="20"/>
                <w:color w:val="auto"/>
              </w:rPr>
            </w:pPr>
            <w:r>
              <w:rPr>
                <w:rFonts w:ascii="Courier New" w:cs="Courier New" w:eastAsia="Courier New" w:hAnsi="Courier New"/>
                <w:sz w:val="15"/>
                <w:szCs w:val="15"/>
                <w:color w:val="auto"/>
              </w:rPr>
              <w:t>Decrease in cash and cash equivalents</w:t>
            </w:r>
          </w:p>
        </w:tc>
        <w:tc>
          <w:tcPr>
            <w:tcW w:w="360" w:type="dxa"/>
            <w:vAlign w:val="bottom"/>
          </w:tcPr>
          <w:p>
            <w:pPr>
              <w:spacing w:after="0"/>
              <w:rPr>
                <w:sz w:val="15"/>
                <w:szCs w:val="15"/>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(6,950)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(14,978)</w:t>
            </w:r>
          </w:p>
        </w:tc>
      </w:tr>
      <w:tr>
        <w:trPr>
          <w:trHeight w:val="176"/>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360" w:type="dxa"/>
            <w:vAlign w:val="bottom"/>
          </w:tcPr>
          <w:p>
            <w:pPr>
              <w:spacing w:after="0"/>
              <w:rPr>
                <w:sz w:val="15"/>
                <w:szCs w:val="15"/>
                <w:color w:val="auto"/>
              </w:rPr>
            </w:pP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21,058</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39,967</w:t>
            </w:r>
          </w:p>
        </w:tc>
      </w:tr>
      <w:tr>
        <w:trPr>
          <w:trHeight w:val="176"/>
        </w:trPr>
        <w:tc>
          <w:tcPr>
            <w:tcW w:w="6040" w:type="dxa"/>
            <w:vAlign w:val="bottom"/>
          </w:tcPr>
          <w:p>
            <w:pPr>
              <w:spacing w:after="0"/>
              <w:rPr>
                <w:sz w:val="15"/>
                <w:szCs w:val="15"/>
                <w:color w:val="auto"/>
              </w:rPr>
            </w:pPr>
          </w:p>
        </w:tc>
        <w:tc>
          <w:tcPr>
            <w:tcW w:w="18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14,108</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24,989</w:t>
            </w:r>
          </w:p>
        </w:tc>
      </w:tr>
      <w:tr>
        <w:trPr>
          <w:trHeight w:val="176"/>
        </w:trPr>
        <w:tc>
          <w:tcPr>
            <w:tcW w:w="6040" w:type="dxa"/>
            <w:vAlign w:val="bottom"/>
          </w:tcPr>
          <w:p>
            <w:pPr>
              <w:spacing w:after="0"/>
              <w:rPr>
                <w:sz w:val="15"/>
                <w:szCs w:val="15"/>
                <w:color w:val="auto"/>
              </w:rPr>
            </w:pPr>
          </w:p>
        </w:tc>
        <w:tc>
          <w:tcPr>
            <w:tcW w:w="188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sectPr>
      </w:pPr>
    </w:p>
    <w:bookmarkStart w:id="5" w:name="page6"/>
    <w:bookmarkEnd w:id="5"/>
    <w:p>
      <w:pPr>
        <w:ind w:left="266"/>
        <w:spacing w:after="0"/>
        <w:rPr>
          <w:sz w:val="20"/>
          <w:szCs w:val="20"/>
          <w:color w:val="auto"/>
        </w:rPr>
      </w:pPr>
      <w:r>
        <w:rPr>
          <w:rFonts w:ascii="Courier New" w:cs="Courier New" w:eastAsia="Courier New" w:hAnsi="Courier New"/>
          <w:sz w:val="15"/>
          <w:szCs w:val="15"/>
          <w:color w:val="auto"/>
        </w:rPr>
        <w:t>6</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(Unaudited)</w:t>
      </w:r>
    </w:p>
    <w:p>
      <w:pPr>
        <w:spacing w:after="0" w:line="182" w:lineRule="exact"/>
        <w:rPr>
          <w:sz w:val="20"/>
          <w:szCs w:val="20"/>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The condensed consolidated balance sheets of USA Waste Services, Inc. and subsidiaries (the "Company") as of September 30, 1996 and December 31, 1995, the related condensed consolidated statements of operations for the three and nine months ended September 30, 1996 and 1995, the condensed consolidated statement of stockholders' equity for the nine months ended September 30, 1996, and the condensed consolidated statements of cash flows for the nine months ended September 30, 1996 and 1995 are unaudited. In the opinion of management, such financial statements include all adjustments, consisting only of normal recurring adjustments, necessary for a fair presentation of financial position, results of operations, and cash flows for the periods presented. The Company has restated the previously issued financial statements for the nine months ended September 30, 1995 to reflect the merger with Sanifill, Inc. ("Sanifill") consummated on August 30, 1996, accounted for using the pooling of interests method of accounting. The Company has also restated the previously issued financial statements for the three and nine months ended September 30, 1995 to reflect the merger with Western Waste Industries ("Western") consummated on May 7, 1996, accounted for using the pooling of interests method of accounting. In addition, certain 1995 amounts have been reclassed to conform to the 1996 presentation. The financial statements presented herein should be read in connection with the Company's Annual Report on Form 10-K for the year ended December 31, 1995, the Company's Joint Proxy Statement and Prospectus dated July 19, 1996, included in the Company's Registration Statement on Form S-4 filed in connection with the acquisition of Sanifill, and the supplemental consolidated financial statements and supplemental interim condensed consolidated financial statements and related notes thereto included in the Company's Current Report on Form 8-K dated November 12, 1996, filed in connection with the acquisition of Sanifill.</w:t>
      </w:r>
    </w:p>
    <w:p>
      <w:pPr>
        <w:spacing w:after="0" w:line="368" w:lineRule="exact"/>
        <w:rPr>
          <w:sz w:val="20"/>
          <w:szCs w:val="20"/>
          <w:color w:val="auto"/>
        </w:rPr>
      </w:pPr>
    </w:p>
    <w:p>
      <w:pPr>
        <w:ind w:left="366" w:hanging="366"/>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82"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On August 30, 1996, the Company consummated a merger agreement with Sanifill (the "Sanifill Merger") accounted for as a pooling of interests and, accordingly, the accompanying financial information has been restated to include the accounts and operations of Sanifill for all periods presented. Under the terms of the Sanifill Merger, the Company issued 1.70 shares of its common stock for each share of Sanifill outstanding common stock. The Sanifill Merger increased the Company's outstanding shares of common stock by approximately 43,414,000 shares and the Company assumed options under Sanifill's stock option plans equivalent to approximately 4,361,000 underlying shares of Company common stock. In the third quarter of 1996, the Company recognized approximately $80,000,000 in merger related costs associated with the Sanifill Merger.</w:t>
      </w:r>
    </w:p>
    <w:p>
      <w:pPr>
        <w:spacing w:after="0" w:line="175"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Combined and separate results of operations of the Company prior to consummation of the merger ("USA Waste") and Sanifill for the restated periods are as follows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USA Waste</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Sanifill</w:t>
            </w:r>
          </w:p>
        </w:tc>
        <w:tc>
          <w:tcPr>
            <w:tcW w:w="14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Adjustments</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Combined</w:t>
            </w:r>
          </w:p>
        </w:tc>
      </w:tr>
      <w:tr>
        <w:trPr>
          <w:trHeight w:val="176"/>
        </w:trPr>
        <w:tc>
          <w:tcPr>
            <w:tcW w:w="4760" w:type="dxa"/>
            <w:vAlign w:val="bottom"/>
          </w:tcPr>
          <w:p>
            <w:pPr>
              <w:spacing w:after="0"/>
              <w:rPr>
                <w:sz w:val="15"/>
                <w:szCs w:val="15"/>
                <w:color w:val="auto"/>
              </w:rPr>
            </w:pPr>
          </w:p>
        </w:tc>
        <w:tc>
          <w:tcPr>
            <w:tcW w:w="1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tcPr>
          <w:p>
            <w:pPr>
              <w:spacing w:after="0"/>
              <w:rPr>
                <w:sz w:val="20"/>
                <w:szCs w:val="20"/>
                <w:color w:val="auto"/>
              </w:rPr>
            </w:pPr>
            <w:r>
              <w:rPr>
                <w:rFonts w:ascii="Courier New" w:cs="Courier New" w:eastAsia="Courier New" w:hAnsi="Courier New"/>
                <w:sz w:val="15"/>
                <w:szCs w:val="15"/>
                <w:color w:val="auto"/>
              </w:rPr>
              <w:t>Six months ended June 30, 1996 (unaudited):</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Operating revenues</w:t>
            </w:r>
          </w:p>
        </w:tc>
        <w:tc>
          <w:tcPr>
            <w:tcW w:w="1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$ 428,861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$ 181,406</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$ 610,267</w:t>
            </w:r>
          </w:p>
        </w:tc>
      </w:tr>
      <w:tr>
        <w:trPr>
          <w:trHeight w:val="176"/>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Income before income taxes</w:t>
            </w:r>
          </w:p>
        </w:tc>
        <w:tc>
          <w:tcPr>
            <w:tcW w:w="1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26,827</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31,606</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997</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59,430</w:t>
            </w:r>
          </w:p>
        </w:tc>
      </w:tr>
      <w:tr>
        <w:trPr>
          <w:trHeight w:val="176"/>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36,633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18,964</w:t>
            </w:r>
          </w:p>
        </w:tc>
        <w:tc>
          <w:tcPr>
            <w:tcW w:w="28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(30,013)(a)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25,584</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Six months ended June 30, 1995 (unaudited):</w:t>
            </w:r>
          </w:p>
        </w:tc>
        <w:tc>
          <w:tcPr>
            <w:tcW w:w="1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Operating revenues</w:t>
            </w:r>
          </w:p>
        </w:tc>
        <w:tc>
          <w:tcPr>
            <w:tcW w:w="1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$ 348,594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$ 115,120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$ 463,714</w:t>
            </w:r>
          </w:p>
        </w:tc>
      </w:tr>
      <w:tr>
        <w:trPr>
          <w:trHeight w:val="176"/>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Income before income taxes</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(8,489)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18,884</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974</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11,369</w:t>
            </w:r>
          </w:p>
        </w:tc>
      </w:tr>
      <w:tr>
        <w:trPr>
          <w:trHeight w:val="176"/>
        </w:trPr>
        <w:tc>
          <w:tcPr>
            <w:tcW w:w="476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(18,763)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11,406</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8,179</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r>
    </w:tbl>
    <w:p>
      <w:pPr>
        <w:spacing w:after="0" w:line="200" w:lineRule="exact"/>
        <w:rPr>
          <w:sz w:val="20"/>
          <w:szCs w:val="20"/>
          <w:color w:val="auto"/>
        </w:rPr>
      </w:pPr>
    </w:p>
    <w:p>
      <w:pPr>
        <w:spacing w:after="0" w:line="334" w:lineRule="exact"/>
        <w:rPr>
          <w:sz w:val="20"/>
          <w:szCs w:val="20"/>
          <w:color w:val="auto"/>
        </w:rPr>
      </w:pPr>
    </w:p>
    <w:p>
      <w:pPr>
        <w:ind w:left="6" w:right="3179" w:firstLine="818"/>
        <w:spacing w:after="0" w:line="250" w:lineRule="auto"/>
        <w:tabs>
          <w:tab w:leader="none" w:pos="119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income taxes have been restated as though USA Waste and Sanifill had been combined from their inceptions.</w:t>
      </w:r>
    </w:p>
    <w:p>
      <w:pPr>
        <w:spacing w:after="0" w:line="175" w:lineRule="exact"/>
        <w:rPr>
          <w:sz w:val="20"/>
          <w:szCs w:val="20"/>
          <w:color w:val="auto"/>
        </w:rPr>
      </w:pPr>
    </w:p>
    <w:p>
      <w:pPr>
        <w:ind w:left="6" w:right="3359"/>
        <w:spacing w:after="0" w:line="249" w:lineRule="auto"/>
        <w:rPr>
          <w:sz w:val="20"/>
          <w:szCs w:val="20"/>
          <w:color w:val="auto"/>
        </w:rPr>
      </w:pPr>
      <w:r>
        <w:rPr>
          <w:rFonts w:ascii="Courier New" w:cs="Courier New" w:eastAsia="Courier New" w:hAnsi="Courier New"/>
          <w:sz w:val="15"/>
          <w:szCs w:val="15"/>
          <w:color w:val="auto"/>
        </w:rPr>
        <w:t>On May 15, 1996, the Company consummated a merger agreement with Grand Central, accounted for as a pooling of interests, pursuant to which the Company issued 2,067,605 shares of its common stock in exchange for all outstanding shares of Grand Central. The Company restated its previously issued financial statements for the three months ended March 31, 1996 to include the accounts and operations of Grand Central. Periods prior to 1996 were not restated as combined results are not materially different from results as presented. Related to this merger, the Company recognized $2,700,000 of merger costs in the second quarter of 1996.</w:t>
      </w:r>
    </w:p>
    <w:p>
      <w:pPr>
        <w:spacing w:after="0" w:line="175"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On May 31, 1996, July 19, 1996, and August 30, 1996, the Company consummated mergers accounted for as poolings of interests, pursuant to which the Company issued 900,001, 475,330, and 643,318 shares of its common stock in exchange for all outstanding shares of the acquired companies. Periods prior to consummation of the mergers were not restated to include the accounts and operations of the acquired companies as combined results are not materially different</w:t>
      </w:r>
    </w:p>
    <w:p>
      <w:pPr>
        <w:spacing w:after="0" w:line="35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4" w:top="294" w:right="1440" w:bottom="0" w:gutter="0" w:footer="0" w:header="0"/>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from the results as presented.</w:t>
      </w:r>
    </w:p>
    <w:p>
      <w:pPr>
        <w:spacing w:after="0" w:line="182" w:lineRule="exact"/>
        <w:rPr>
          <w:sz w:val="20"/>
          <w:szCs w:val="20"/>
          <w:color w:val="auto"/>
        </w:rPr>
      </w:pPr>
    </w:p>
    <w:p>
      <w:pPr>
        <w:ind w:left="6" w:right="740"/>
        <w:spacing w:after="0" w:line="249" w:lineRule="auto"/>
        <w:rPr>
          <w:sz w:val="20"/>
          <w:szCs w:val="20"/>
          <w:color w:val="auto"/>
        </w:rPr>
      </w:pPr>
      <w:r>
        <w:rPr>
          <w:rFonts w:ascii="Courier New" w:cs="Courier New" w:eastAsia="Courier New" w:hAnsi="Courier New"/>
          <w:sz w:val="15"/>
          <w:szCs w:val="15"/>
          <w:color w:val="auto"/>
        </w:rPr>
        <w:t>During the nine months ended September 30, 1996, the Company acquired 67 collection businesses, eleven landfills, 17 transfer stations, and three recycling businesses for approximately $238,661,000 in cash, $26,531,000 in liabilities incurred or debt assumed, and 3,985,448 shares of the Company's common stock. These acquisitions were accounted for under the purchase method of accounting. Included in these amounts is the acquisition of six collection businesses, five landfills, and six transfer stations of Philip Environmental, Inc., consummated on August 26, 1996, for approximately $60,000,000 in cash and 1,950,764 shares of the Company's common stock.</w:t>
      </w:r>
    </w:p>
    <w:p>
      <w:pPr>
        <w:spacing w:after="0" w:line="175" w:lineRule="exact"/>
        <w:rPr>
          <w:sz w:val="20"/>
          <w:szCs w:val="20"/>
          <w:color w:val="auto"/>
        </w:rPr>
      </w:pPr>
    </w:p>
    <w:p>
      <w:pPr>
        <w:jc w:val="both"/>
        <w:ind w:left="6" w:right="740"/>
        <w:spacing w:after="0" w:line="249" w:lineRule="auto"/>
        <w:rPr>
          <w:sz w:val="20"/>
          <w:szCs w:val="20"/>
          <w:color w:val="auto"/>
        </w:rPr>
      </w:pPr>
      <w:r>
        <w:rPr>
          <w:rFonts w:ascii="Courier New" w:cs="Courier New" w:eastAsia="Courier New" w:hAnsi="Courier New"/>
          <w:sz w:val="15"/>
          <w:szCs w:val="15"/>
          <w:color w:val="auto"/>
        </w:rPr>
        <w:t>The following summarized pro forma results of operations assumes 1996 and 1995 acquisitions accounted for as purchases occurred at the beginning of 1995 (in thousands, except per share amounts):</w:t>
      </w:r>
    </w:p>
    <w:p>
      <w:pPr>
        <w:spacing w:after="0" w:line="200" w:lineRule="exact"/>
        <w:rPr>
          <w:sz w:val="20"/>
          <w:szCs w:val="20"/>
          <w:color w:val="auto"/>
        </w:rPr>
      </w:pPr>
    </w:p>
    <w:p>
      <w:pPr>
        <w:spacing w:after="0" w:line="328"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6"/>
        </w:trPr>
        <w:tc>
          <w:tcPr>
            <w:tcW w:w="2700" w:type="dxa"/>
            <w:vAlign w:val="bottom"/>
          </w:tcPr>
          <w:p>
            <w:pPr>
              <w:spacing w:after="0"/>
              <w:rPr>
                <w:sz w:val="15"/>
                <w:szCs w:val="15"/>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00" w:type="dxa"/>
            <w:vAlign w:val="bottom"/>
          </w:tcPr>
          <w:p>
            <w:pPr>
              <w:spacing w:after="0"/>
              <w:rPr>
                <w:sz w:val="15"/>
                <w:szCs w:val="15"/>
                <w:color w:val="auto"/>
              </w:rPr>
            </w:pPr>
          </w:p>
        </w:tc>
        <w:tc>
          <w:tcPr>
            <w:tcW w:w="16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1996</w:t>
            </w:r>
          </w:p>
        </w:tc>
        <w:tc>
          <w:tcPr>
            <w:tcW w:w="160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2700" w:type="dxa"/>
            <w:vAlign w:val="bottom"/>
          </w:tcPr>
          <w:p>
            <w:pPr>
              <w:spacing w:after="0"/>
              <w:rPr>
                <w:sz w:val="15"/>
                <w:szCs w:val="15"/>
                <w:color w:val="auto"/>
              </w:rPr>
            </w:pP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352"/>
        </w:trPr>
        <w:tc>
          <w:tcPr>
            <w:tcW w:w="27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$1,076,971</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991,249</w:t>
            </w: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5,838</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46,273</w:t>
            </w: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0.04</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0.38</w:t>
            </w:r>
          </w:p>
        </w:tc>
      </w:tr>
    </w:tbl>
    <w:p>
      <w:pPr>
        <w:spacing w:after="0" w:line="357" w:lineRule="exact"/>
        <w:rPr>
          <w:sz w:val="20"/>
          <w:szCs w:val="20"/>
          <w:color w:val="auto"/>
        </w:rPr>
      </w:pPr>
    </w:p>
    <w:p>
      <w:pPr>
        <w:ind w:left="6" w:right="740"/>
        <w:spacing w:after="0" w:line="249" w:lineRule="auto"/>
        <w:rPr>
          <w:sz w:val="20"/>
          <w:szCs w:val="20"/>
          <w:color w:val="auto"/>
        </w:rPr>
      </w:pPr>
      <w:r>
        <w:rPr>
          <w:rFonts w:ascii="Courier New" w:cs="Courier New" w:eastAsia="Courier New" w:hAnsi="Courier New"/>
          <w:sz w:val="15"/>
          <w:szCs w:val="15"/>
          <w:color w:val="auto"/>
        </w:rPr>
        <w:t>The above pro forma financial information is based on certain assumptions and preliminary estimates which are subject to change. The above pro forma financial information reflects the consideration paid at closing for all acquisitions. It does not reflect the payments of any contingent consideration. If all contingent consideration agreed upon in the purchase transactions were required to be paid in full, it would materially affect the results reflected in the above pro forma financial information. The above pro forma financial information also does not reflect anticipated volume or price increases, synergies, or other operational improvements. The pro forma financial information does not purport to be indicative of the results which would actually have been obtained had the purchase transactions been completed on January 1, 1995 or which may be obtained in the future.</w:t>
      </w:r>
    </w:p>
    <w:p>
      <w:pPr>
        <w:spacing w:after="0" w:line="175" w:lineRule="exact"/>
        <w:rPr>
          <w:sz w:val="20"/>
          <w:szCs w:val="20"/>
          <w:color w:val="auto"/>
        </w:rPr>
      </w:pPr>
    </w:p>
    <w:p>
      <w:pPr>
        <w:ind w:left="366" w:hanging="366"/>
        <w:spacing w:after="0"/>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Credit facility:</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Revolving credit facility</w:t>
      </w:r>
    </w:p>
    <w:p>
      <w:pPr>
        <w:spacing w:after="0" w:line="6"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Term loan facility</w:t>
      </w:r>
    </w:p>
    <w:p>
      <w:pPr>
        <w:spacing w:after="0" w:line="6"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Sanifill credit facility</w:t>
      </w:r>
    </w:p>
    <w:p>
      <w:pPr>
        <w:spacing w:after="0" w:line="6"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Western credit facility</w:t>
      </w:r>
    </w:p>
    <w:p>
      <w:pPr>
        <w:spacing w:after="0" w:line="6" w:lineRule="exact"/>
        <w:rPr>
          <w:sz w:val="20"/>
          <w:szCs w:val="20"/>
          <w:color w:val="auto"/>
        </w:rPr>
      </w:pPr>
    </w:p>
    <w:p>
      <w:pPr>
        <w:ind w:left="1106" w:right="1740" w:hanging="457"/>
        <w:spacing w:after="0" w:line="248" w:lineRule="auto"/>
        <w:rPr>
          <w:sz w:val="20"/>
          <w:szCs w:val="20"/>
          <w:color w:val="auto"/>
        </w:rPr>
      </w:pPr>
      <w:r>
        <w:rPr>
          <w:rFonts w:ascii="Courier New" w:cs="Courier New" w:eastAsia="Courier New" w:hAnsi="Courier New"/>
          <w:sz w:val="15"/>
          <w:szCs w:val="15"/>
          <w:color w:val="auto"/>
        </w:rPr>
        <w:t>Senior notes, maturing in varying annual installments through June 2005, interest ranging from 7.29% to 8.44%</w:t>
      </w:r>
    </w:p>
    <w:p>
      <w:pPr>
        <w:spacing w:after="0" w:line="1" w:lineRule="exact"/>
        <w:rPr>
          <w:sz w:val="20"/>
          <w:szCs w:val="20"/>
          <w:color w:val="auto"/>
        </w:rPr>
      </w:pPr>
    </w:p>
    <w:p>
      <w:pPr>
        <w:ind w:left="646" w:right="1940"/>
        <w:spacing w:after="0" w:line="248" w:lineRule="auto"/>
        <w:rPr>
          <w:sz w:val="20"/>
          <w:szCs w:val="20"/>
          <w:color w:val="auto"/>
        </w:rPr>
      </w:pPr>
      <w:r>
        <w:rPr>
          <w:rFonts w:ascii="Courier New" w:cs="Courier New" w:eastAsia="Courier New" w:hAnsi="Courier New"/>
          <w:sz w:val="15"/>
          <w:szCs w:val="15"/>
          <w:color w:val="auto"/>
        </w:rPr>
        <w:t>Convertible subordinated debentures, interest at 5% Convertible subordinated debentures, interest at 7 1/2% Notes payable, maturing in varying amounts through October</w:t>
      </w:r>
    </w:p>
    <w:p>
      <w:pPr>
        <w:spacing w:after="0" w:line="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2010, interest ranging from 4% to 12%</w:t>
      </w:r>
    </w:p>
    <w:p>
      <w:pPr>
        <w:spacing w:after="0" w:line="6"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Note payable to bank, interest at 4.15%</w:t>
      </w:r>
    </w:p>
    <w:p>
      <w:pPr>
        <w:spacing w:after="0" w:line="6" w:lineRule="exact"/>
        <w:rPr>
          <w:sz w:val="20"/>
          <w:szCs w:val="20"/>
          <w:color w:val="auto"/>
        </w:rPr>
      </w:pPr>
    </w:p>
    <w:p>
      <w:pPr>
        <w:ind w:left="1106" w:right="1660" w:hanging="457"/>
        <w:spacing w:after="0" w:line="248" w:lineRule="auto"/>
        <w:rPr>
          <w:sz w:val="20"/>
          <w:szCs w:val="20"/>
          <w:color w:val="auto"/>
        </w:rPr>
      </w:pPr>
      <w:r>
        <w:rPr>
          <w:rFonts w:ascii="Courier New" w:cs="Courier New" w:eastAsia="Courier New" w:hAnsi="Courier New"/>
          <w:sz w:val="15"/>
          <w:szCs w:val="15"/>
          <w:color w:val="auto"/>
        </w:rPr>
        <w:t>Subordinated debt, maturing in varying monthly installments through January 2008, interest ranging from 7.25% to 10%</w:t>
      </w:r>
    </w:p>
    <w:p>
      <w:pPr>
        <w:spacing w:after="0" w:line="1" w:lineRule="exact"/>
        <w:rPr>
          <w:sz w:val="20"/>
          <w:szCs w:val="20"/>
          <w:color w:val="auto"/>
        </w:rPr>
      </w:pPr>
    </w:p>
    <w:p>
      <w:pPr>
        <w:jc w:val="both"/>
        <w:ind w:left="1106" w:right="1100" w:hanging="457"/>
        <w:spacing w:after="0" w:line="248" w:lineRule="auto"/>
        <w:rPr>
          <w:sz w:val="20"/>
          <w:szCs w:val="20"/>
          <w:color w:val="auto"/>
        </w:rPr>
      </w:pPr>
      <w:r>
        <w:rPr>
          <w:rFonts w:ascii="Courier New" w:cs="Courier New" w:eastAsia="Courier New" w:hAnsi="Courier New"/>
          <w:sz w:val="15"/>
          <w:szCs w:val="15"/>
          <w:color w:val="auto"/>
        </w:rPr>
        <w:t>Industrial revenue bonds, principal payable in annual installments, maturing in 1996-2021, variable interest rates (2.55% to 6.35% at September 30, 1996), enhanced by letters of credit</w:t>
      </w:r>
    </w:p>
    <w:p>
      <w:pPr>
        <w:spacing w:after="0" w:line="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Other</w:t>
      </w:r>
    </w:p>
    <w:p>
      <w:pPr>
        <w:spacing w:after="0" w:line="359"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Less current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As of December 31, 1995, the Company had borrowed $267,448,000 under its</w:t>
      </w:r>
    </w:p>
    <w:p>
      <w:pPr>
        <w:spacing w:after="0" w:line="6" w:lineRule="exact"/>
        <w:rPr>
          <w:sz w:val="20"/>
          <w:szCs w:val="20"/>
          <w:color w:val="auto"/>
        </w:rPr>
      </w:pPr>
    </w:p>
    <w:p>
      <w:pPr>
        <w:ind w:left="6" w:right="840"/>
        <w:spacing w:after="0" w:line="250" w:lineRule="auto"/>
        <w:rPr>
          <w:sz w:val="20"/>
          <w:szCs w:val="20"/>
          <w:color w:val="auto"/>
        </w:rPr>
      </w:pPr>
      <w:r>
        <w:rPr>
          <w:rFonts w:ascii="Courier New" w:cs="Courier New" w:eastAsia="Courier New" w:hAnsi="Courier New"/>
          <w:sz w:val="15"/>
          <w:szCs w:val="15"/>
          <w:color w:val="auto"/>
        </w:rPr>
        <w:t>$550,000,000 financing agreement, which consisted of a $300,000,000 five-year revolving credit and letter of credit facility and a $250,000,000 term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December 31,</w:t>
      </w:r>
    </w:p>
    <w:p>
      <w:pPr>
        <w:spacing w:after="0" w:line="6" w:lineRule="exact"/>
        <w:rPr>
          <w:sz w:val="20"/>
          <w:szCs w:val="20"/>
          <w:color w:val="auto"/>
        </w:rPr>
      </w:pPr>
    </w:p>
    <w:p>
      <w:pPr>
        <w:ind w:left="380"/>
        <w:spacing w:after="0"/>
        <w:tabs>
          <w:tab w:leader="none" w:pos="154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6" w:lineRule="exact"/>
        <w:rPr>
          <w:sz w:val="20"/>
          <w:szCs w:val="20"/>
          <w:color w:val="auto"/>
        </w:rPr>
      </w:pPr>
    </w:p>
    <w:p>
      <w:pPr>
        <w:ind w:left="100"/>
        <w:spacing w:after="0"/>
        <w:tabs>
          <w:tab w:leader="none" w:pos="1260" w:val="left"/>
        </w:tabs>
        <w:rPr>
          <w:sz w:val="20"/>
          <w:szCs w:val="20"/>
          <w:color w:val="auto"/>
        </w:rPr>
      </w:pPr>
      <w:r>
        <w:rPr>
          <w:rFonts w:ascii="Courier New" w:cs="Courier New" w:eastAsia="Courier New" w:hAnsi="Courier New"/>
          <w:sz w:val="15"/>
          <w:szCs w:val="15"/>
          <w:color w:val="auto"/>
        </w:rPr>
        <w:t>----------</w:t>
        <w:tab/>
        <w:t>----------</w:t>
      </w:r>
    </w:p>
    <w:p>
      <w:pPr>
        <w:spacing w:after="0" w:line="359" w:lineRule="exact"/>
        <w:rPr>
          <w:sz w:val="20"/>
          <w:szCs w:val="20"/>
          <w:color w:val="auto"/>
        </w:rPr>
      </w:pPr>
    </w:p>
    <w:p>
      <w:pPr>
        <w:ind w:left="460" w:hanging="271"/>
        <w:spacing w:after="0"/>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506,000   $   51,613</w:t>
      </w:r>
    </w:p>
    <w:p>
      <w:pPr>
        <w:spacing w:after="0" w:line="6" w:lineRule="exact"/>
        <w:rPr>
          <w:rFonts w:ascii="Courier New" w:cs="Courier New" w:eastAsia="Courier New" w:hAnsi="Courier New"/>
          <w:sz w:val="15"/>
          <w:szCs w:val="15"/>
          <w:color w:val="auto"/>
        </w:rPr>
      </w:pPr>
    </w:p>
    <w:p>
      <w:pPr>
        <w:ind w:left="1660" w:hanging="738"/>
        <w:spacing w:after="0"/>
        <w:tabs>
          <w:tab w:leader="none" w:pos="166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215,835</w:t>
      </w:r>
    </w:p>
    <w:p>
      <w:pPr>
        <w:spacing w:after="0" w:line="6" w:lineRule="exact"/>
        <w:rPr>
          <w:rFonts w:ascii="Courier New" w:cs="Courier New" w:eastAsia="Courier New" w:hAnsi="Courier New"/>
          <w:sz w:val="15"/>
          <w:szCs w:val="15"/>
          <w:color w:val="auto"/>
        </w:rPr>
      </w:pPr>
    </w:p>
    <w:p>
      <w:pPr>
        <w:ind w:left="1740" w:hanging="818"/>
        <w:spacing w:after="0"/>
        <w:tabs>
          <w:tab w:leader="none" w:pos="17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58,000</w:t>
      </w:r>
    </w:p>
    <w:p>
      <w:pPr>
        <w:spacing w:after="0" w:line="6" w:lineRule="exact"/>
        <w:rPr>
          <w:rFonts w:ascii="Courier New" w:cs="Courier New" w:eastAsia="Courier New" w:hAnsi="Courier New"/>
          <w:sz w:val="15"/>
          <w:szCs w:val="15"/>
          <w:color w:val="auto"/>
        </w:rPr>
      </w:pPr>
    </w:p>
    <w:p>
      <w:pPr>
        <w:ind w:left="1740" w:hanging="818"/>
        <w:spacing w:after="0"/>
        <w:tabs>
          <w:tab w:leader="none" w:pos="17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41,000</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106,947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109,416</w:t>
            </w:r>
          </w:p>
        </w:tc>
      </w:tr>
      <w:tr>
        <w:trPr>
          <w:trHeight w:val="176"/>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112,069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58,213</w:t>
            </w:r>
          </w:p>
        </w:tc>
      </w:tr>
      <w:tr>
        <w:trPr>
          <w:trHeight w:val="352"/>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51,644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41,554</w:t>
            </w:r>
          </w:p>
        </w:tc>
      </w:tr>
      <w:tr>
        <w:trPr>
          <w:trHeight w:val="176"/>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7,493</w:t>
            </w:r>
          </w:p>
        </w:tc>
      </w:tr>
      <w:tr>
        <w:trPr>
          <w:trHeight w:val="529"/>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163,230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125,374</w:t>
            </w:r>
          </w:p>
        </w:tc>
      </w:tr>
      <w:tr>
        <w:trPr>
          <w:trHeight w:val="176"/>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19,610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23,243</w:t>
            </w:r>
          </w:p>
        </w:tc>
      </w:tr>
      <w:tr>
        <w:trPr>
          <w:trHeight w:val="176"/>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1,026,431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731,741</w:t>
            </w:r>
          </w:p>
        </w:tc>
      </w:tr>
      <w:tr>
        <w:trPr>
          <w:trHeight w:val="176"/>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24,964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53,516</w:t>
            </w:r>
          </w:p>
        </w:tc>
      </w:tr>
      <w:tr>
        <w:trPr>
          <w:trHeight w:val="176"/>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$1,001,467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678,225</w:t>
            </w:r>
          </w:p>
        </w:tc>
      </w:tr>
      <w:tr>
        <w:trPr>
          <w:trHeight w:val="176"/>
        </w:trPr>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087" w:lineRule="exact"/>
        <w:rPr>
          <w:sz w:val="20"/>
          <w:szCs w:val="20"/>
          <w:color w:val="auto"/>
        </w:rPr>
      </w:pPr>
    </w:p>
    <w:p>
      <w:pPr>
        <w:sectPr>
          <w:pgSz w:w="11900" w:h="16838" w:orient="portrait"/>
          <w:cols w:equalWidth="0" w:num="2">
            <w:col w:w="7886" w:space="720"/>
            <w:col w:w="2380"/>
          </w:cols>
          <w:pgMar w:left="234" w:top="294" w:right="679" w:bottom="1440" w:gutter="0" w:footer="0" w:header="0"/>
        </w:sectPr>
      </w:pPr>
    </w:p>
    <w:p>
      <w:pPr>
        <w:spacing w:after="0" w:line="1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986"/>
          </w:cols>
          <w:pgMar w:left="234" w:top="294" w:right="679"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facility. Revolving credit loans under the credit facility were limited to $180,000,000 at December 31, 1995, less the amount of any future industrial revenue bonds enhanced by letters of credit under the credit facility. Loans bore interest at a rate based on the Eurodollar rate or the prime rate, plus a spread not to exceed 1.75% per annum (the applicable interest rate at December 31, 1995 was 7.31%). The credit facility was also used for letters of credit purposes with variable fees from 0.5% to 1.75% per annum (1.5% at December 31, 1995) charged on amounts issued. A commitment fee of up to 0.5% was required on the unused portion of the credit facility.</w:t>
      </w:r>
    </w:p>
    <w:p>
      <w:pPr>
        <w:spacing w:after="0" w:line="175"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On May 7, 1996, in connection with the merger with Western, the Company replaced its existing credit facility with a $750,000,000 senior revolving credit facility and retired amounts outstanding under Western's credit facility. The credit facility was used to refinance existing bank loans and letters of credit, to fund additional acquisitions, and for working capital. The credit facility was available for standby letters of credit of up to $300,000,000. Loans under the credit facility bore interest at a rate based on the Eurodollar rate plus a spread not to exceed 0.75% per annum (spread set at 0.405% per annum as of June 30, 1996). The credit facility required a facility fee not to exceed 0.375% per annum on the entire available credit facility (facility fee set at 0.22% per annum as of June 30, 1996). The credit facility contained financial covenants with respect to interest coverage and debt capitalization ratios. The credit facility also contained limitations on dividends, additional indebtedness, liens, and asset sales.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August 30, 1996, in connection with the Sanifill Merger, the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replaced the $750,000,000 senior revolving credit facility with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$1,200,000,000 senior revolving credit facility ("Credit Facility")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retired amounts under Sanifill's credit facility. The Credit Facility was used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refinance existing bank loans and letters of credit and will be used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 additional acquisitions and for working capital. The Credit Facility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for standby letters of credit of up to $400,000,000. Loans under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 bear interest at a rate based on the Eurodollar rate plus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spread not to exceed 0.75% per annum (spread initially set at 0.35% per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annum). The Credit Facility requires a facility fee not to exceed 0.375% per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annum on the entire available Credit Facility (facility fee initially set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0.20% per annum). The Credit Facility contains financial covenants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interest rate coverage and debt capitalization ratios. The Credit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also contains limitations on dividends, additional indebtedness,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liens, and asset sales. Principal reductions are not required over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five-year term of the Credit Facility.</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On March 4, 1996, Sanifill issued $115,000,000 of 5% convertible subordinated debentures, due on March 1, 2006. Interest is payable semi-annually in March and September. The debentures are convertible into shares of the Company's common stock at a conversion price of $28.31 per share. The debentures are subordinated in right of payment to all existing and future senior indebtedness, as defined. The debentures are redeemable after March 15, 1999 at the option of the Company at 102.5% of the principal amount, declining annually to par on March 1, 2002, plus accrued interest. Deferred offering costs of approximately $2,900,000 were incurred and are being amortized ratably over the life of the debentures. The proceeds were used to repay debt under Sanifill's credit facility.</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March 18, 1996, Sanifill called for redemption all of its $60,000,000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1/2% convertible subordinated debentures due June 1, 2006 at redemption price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104.5% of their face amount plus accrued interest from December 1, 1995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including, the redemption date of April 17, 1996. Alternatively, holders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debentures were allowed to convert their debentures into common stock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time prior to the close of business on April 10, 1996, at a conversion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equal to $28.82 per share (equivalent to $16.95 per share post Sanifill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Holders electing to convert received 34.7 shares of Sanifill's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for each $1,000 principal amount of debentures surrendered.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$60,000,000 of debentures were ultimately converted to approximately 2,100,000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Sanifill common stock (equivalent to 3,570,000 shares of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Deferred offering costs of approximately $1,700,000 were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as a reduction to additional paid-in capital.</w:t>
      </w:r>
    </w:p>
    <w:p>
      <w:pPr>
        <w:spacing w:after="0" w:line="182"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On August 30, 1996, the Company borrowed $60,000,000 from a Canadian bank to facilitate the acquisition of certain assets of Philip Environmental, Inc. (see Note 1). The note was paid off on October 15, 1996, through borrowings from the Credit Facility.</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Subsequent to December 31, 1995, the Company guaranteed specific obligations of two unconsolidated affiliates for up to $25,000,000. The Company is of the opinion that these unconsolidated affiliates will be able to perform under their respective obligations and that no payments will be required and, due to the Company's ability to assume a senior debt position, no losses will be incurred under such guarantees.</w:t>
      </w:r>
    </w:p>
    <w:p>
      <w:pPr>
        <w:sectPr>
          <w:pgSz w:w="11900" w:h="16838" w:orient="portrait"/>
          <w:cols w:equalWidth="0" w:num="1">
            <w:col w:w="10219"/>
          </w:cols>
          <w:pgMar w:left="240" w:top="294" w:right="1440" w:bottom="4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481" w:gutter="0" w:footer="0" w:header="0"/>
          <w:type w:val="continuous"/>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9</w:t>
      </w:r>
    </w:p>
    <w:p>
      <w:pPr>
        <w:spacing w:after="0" w:line="359" w:lineRule="exact"/>
        <w:rPr>
          <w:sz w:val="20"/>
          <w:szCs w:val="20"/>
          <w:color w:val="auto"/>
        </w:rPr>
      </w:pPr>
    </w:p>
    <w:p>
      <w:pPr>
        <w:ind w:left="366" w:hanging="366"/>
        <w:spacing w:after="0"/>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The difference in federal income taxes at the statutory rate and the provision for (benefit from) income taxes for the nine months ended September 30, 1996 is primarily due to non-deductible merger costs.</w:t>
      </w:r>
    </w:p>
    <w:p>
      <w:pPr>
        <w:spacing w:after="0" w:line="176" w:lineRule="exact"/>
        <w:rPr>
          <w:sz w:val="20"/>
          <w:szCs w:val="20"/>
          <w:color w:val="auto"/>
        </w:rPr>
      </w:pPr>
    </w:p>
    <w:p>
      <w:pPr>
        <w:ind w:left="366" w:hanging="366"/>
        <w:spacing w:after="0"/>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82" w:lineRule="exact"/>
        <w:rPr>
          <w:sz w:val="20"/>
          <w:szCs w:val="20"/>
          <w:color w:val="auto"/>
        </w:rPr>
      </w:pPr>
    </w:p>
    <w:p>
      <w:pPr>
        <w:ind w:left="6" w:right="3259"/>
        <w:spacing w:after="0" w:line="249" w:lineRule="auto"/>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75" w:lineRule="exact"/>
        <w:rPr>
          <w:sz w:val="20"/>
          <w:szCs w:val="20"/>
          <w:color w:val="auto"/>
        </w:rPr>
      </w:pPr>
    </w:p>
    <w:p>
      <w:pPr>
        <w:ind w:left="6" w:right="3439"/>
        <w:spacing w:after="0" w:line="250" w:lineRule="auto"/>
        <w:rPr>
          <w:sz w:val="20"/>
          <w:szCs w:val="20"/>
          <w:color w:val="auto"/>
        </w:rPr>
      </w:pPr>
      <w:r>
        <w:rPr>
          <w:rFonts w:ascii="Courier New" w:cs="Courier New" w:eastAsia="Courier New" w:hAnsi="Courier New"/>
          <w:sz w:val="15"/>
          <w:szCs w:val="15"/>
          <w:color w:val="auto"/>
        </w:rPr>
        <w:t>Litigation and investigation -- See Part II, Item 1, of this Form 10-Q for discussion of legal matters.</w:t>
      </w:r>
    </w:p>
    <w:p>
      <w:pPr>
        <w:spacing w:after="0" w:line="175"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$100,000,000 in umbrella insurance protection. The property policy provides insurance coverage for all of the Company's real and personal property.</w:t>
      </w:r>
    </w:p>
    <w:p>
      <w:pPr>
        <w:spacing w:after="0" w:line="175"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in which it has employees. The Company also currently has an environmental impairment liability ("EIL") insurance policy for certain of its landfills and transfer stations that provides coverage for property damages and/or bodily injuries to third parties caused by off-site pollution emanating from such landfills or transfer stations.</w:t>
      </w:r>
    </w:p>
    <w:p>
      <w:pPr>
        <w:spacing w:after="0" w:line="176"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This policy provides $5,000,000 of coverage per incident with a $10,000,000 aggregate limit. To date, the Company has not had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upon the Company's business or its financial condition. Additionally, continued availability of casualty and EIL insurance with sufficient limits at acceptable terms is an important aspect of obtaining revenue-producing waste service contracts.</w:t>
      </w:r>
    </w:p>
    <w:p>
      <w:pPr>
        <w:spacing w:after="0" w:line="175" w:lineRule="exact"/>
        <w:rPr>
          <w:sz w:val="20"/>
          <w:szCs w:val="20"/>
          <w:color w:val="auto"/>
        </w:rPr>
      </w:pPr>
    </w:p>
    <w:p>
      <w:pPr>
        <w:ind w:left="6" w:right="3079"/>
        <w:spacing w:after="0" w:line="248" w:lineRule="auto"/>
        <w:rPr>
          <w:sz w:val="20"/>
          <w:szCs w:val="20"/>
          <w:color w:val="auto"/>
        </w:rPr>
      </w:pPr>
      <w:r>
        <w:rPr>
          <w:rFonts w:ascii="Courier New" w:cs="Courier New" w:eastAsia="Courier New" w:hAnsi="Courier New"/>
          <w:sz w:val="15"/>
          <w:szCs w:val="15"/>
          <w:color w:val="auto"/>
        </w:rPr>
        <w:t>Employment agreements -- The Company has entered into employment agreements with certain of its officers. These employment agreements include provisions governing compensation and benefits to be paid upon termination of employment with the Company or certain changes in control of the Company. Under certain conditions, the agreements can be terminated by the Company or the officer. Upon termination of an agreement, the officer's compensation would continue at</w:t>
      </w:r>
    </w:p>
    <w:p>
      <w:pPr>
        <w:spacing w:after="0" w:line="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approximately 75% of his prior compensation for periods ranging from three to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five years. During the three to five year period, the officer would be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available to the Company on a part-time basis for consulting and also would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 be permitted to engage in any activities in direct competition with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Company. If these officers were to be terminated without cause during 1996 or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if certain officers elected to terminate their agreements, the aggregate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annual compensation on a part-time basis would be approximately $4,550,000. If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 change in control were to occur in 1996 and the officers were to elect to</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take the change in control payments, they would receive approximately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$11,201,000. As of September 30, 1996, the Company has not recorded any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accruals in the financial statements related to these employment agreements.</w:t>
      </w:r>
    </w:p>
    <w:p>
      <w:pPr>
        <w:spacing w:after="0" w:line="182" w:lineRule="exact"/>
        <w:rPr>
          <w:sz w:val="20"/>
          <w:szCs w:val="20"/>
          <w:color w:val="auto"/>
        </w:rPr>
      </w:pPr>
    </w:p>
    <w:p>
      <w:pPr>
        <w:ind w:left="366" w:hanging="366"/>
        <w:spacing w:after="0"/>
        <w:tabs>
          <w:tab w:leader="none" w:pos="3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Subsequent to September 30, 1996, the Company acquired twelve collection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businesses and one landfill for approximately $16,601,000 in cash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$12,512,000 in liabilities incurred or debt assumed under the purchase method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of accounting. The pro forma effect of the acquisitions is not material to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Company's financial position or results of operations.</w:t>
      </w:r>
    </w:p>
    <w:p>
      <w:pPr>
        <w:sectPr>
          <w:pgSz w:w="11900" w:h="16838" w:orient="portrait"/>
          <w:cols w:equalWidth="0" w:num="1">
            <w:col w:w="10225"/>
          </w:cols>
          <w:pgMar w:left="234"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4" w:top="294"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359" w:lineRule="exact"/>
        <w:rPr>
          <w:sz w:val="20"/>
          <w:szCs w:val="20"/>
          <w:color w:val="auto"/>
        </w:rPr>
      </w:pPr>
    </w:p>
    <w:p>
      <w:pPr>
        <w:ind w:left="820" w:right="3619" w:hanging="823"/>
        <w:spacing w:after="0" w:line="250" w:lineRule="auto"/>
        <w:tabs>
          <w:tab w:leader="none" w:pos="80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following discussion reviews the Company's operations for the three and nine months ended September 30, 1996 and 1995, and should be read in conjunction with the Company's condensed consolidated financial statements and related notes thereto included elsewhere herein, as well as the Company's consolidated financial statements and related notes thereto included in the Company's Annual Report on Form 10-K for the year ended December 31, 1995, the Company's Joint Proxy Statement and Prospectus dated July 19, 1996, included in the Company's Registration Statement on Form S-4 filed in connection with the acquisition of Sanifill, and the supplemental consolidated financial statements and supplemental interim condensed consolidated financial statements and related notes thereto included in the Company's Current Report on Form 8-K dated November 12, 1996, filed in connection with the acquisition of Sanifill.</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 provides non-hazardous solid waste management services, consisting of collection, transfer, disposal, recycling, and other miscellaneous services. Since August 1990, the Company has experienced significant growth principally through the acquisition and integration of solid waste businesses and is now the third largest non-hazardous solid waste company in North America. The Company conducts operations through subsidiaries in multiple locations throughout the United States, primarily, and in Canada, Puerto Rico, and Mexico. The Company owns or operates 94 landfills, 54 transfer stations, 114 collection companies, and 17 recycling companies serving more than 1,700,000 customers.</w:t>
      </w:r>
    </w:p>
    <w:p>
      <w:pPr>
        <w:spacing w:after="0" w:line="351"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Company's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revenues are recognized as services are actually provided. Fees for residential services are normally based on the type and frequency of service. Fees for commercial and industrial services are normally based on the type and frequency of service and the volume of solid waste collected.</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Company's revenues from its landfill operations consist of disposal fees (known as tipping fees) charged to third parties and are normally billed monthly. Tipping fees are based on the volume or weight of solid waste being disposed of at the Company's landfill sites. Fees are charged at transfer stations based on the volume of solid waste deposited, taking into account the Company's cost of loading, transporting, and disposing of the solid waste at a landfill. Intercompany revenues between the Company's landfill and collection operations have been eliminated in the financial statements presented herein.</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expenses are capitalized and depreciated over the estimated useful life of a site as capacity is consumed, and include acquisition, engineering, upgrading, construction, and permitting costs. All indirect development expenses, such as administrative salaries and general corporate overhead, are expensed in the period incurred.</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 for the various Condensed Consolidated Statements of Operations items:</w:t>
      </w:r>
    </w:p>
    <w:p>
      <w:pPr>
        <w:spacing w:after="0" w:line="200" w:lineRule="exact"/>
        <w:rPr>
          <w:sz w:val="20"/>
          <w:szCs w:val="20"/>
          <w:color w:val="auto"/>
        </w:rPr>
      </w:pPr>
    </w:p>
    <w:p>
      <w:pPr>
        <w:spacing w:after="0" w:line="32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8"/>
              </w:rPr>
              <w:t>to Period</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Period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to Period</w:t>
            </w:r>
          </w:p>
        </w:tc>
        <w:tc>
          <w:tcPr>
            <w:tcW w:w="180" w:type="dxa"/>
            <w:vAlign w:val="bottom"/>
          </w:tcPr>
          <w:p>
            <w:pPr>
              <w:spacing w:after="0"/>
              <w:rPr>
                <w:sz w:val="14"/>
                <w:szCs w:val="14"/>
                <w:color w:val="auto"/>
              </w:rPr>
            </w:pPr>
          </w:p>
        </w:tc>
      </w:tr>
      <w:tr>
        <w:trPr>
          <w:trHeight w:val="176"/>
        </w:trPr>
        <w:tc>
          <w:tcPr>
            <w:tcW w:w="4540" w:type="dxa"/>
            <w:vAlign w:val="bottom"/>
          </w:tcPr>
          <w:p>
            <w:pPr>
              <w:spacing w:after="0"/>
              <w:rPr>
                <w:sz w:val="15"/>
                <w:szCs w:val="15"/>
                <w:color w:val="auto"/>
              </w:rPr>
            </w:pPr>
          </w:p>
        </w:tc>
        <w:tc>
          <w:tcPr>
            <w:tcW w:w="260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Change for the</w:t>
            </w:r>
          </w:p>
        </w:tc>
        <w:tc>
          <w:tcPr>
            <w:tcW w:w="19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Change for the</w:t>
            </w: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26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Three Months Ended</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w:t>
            </w: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260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September 30,</w:t>
            </w:r>
          </w:p>
        </w:tc>
        <w:tc>
          <w:tcPr>
            <w:tcW w:w="19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September 30,</w:t>
            </w: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1996</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9"/>
              </w:rPr>
              <w:t>and 1995</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and 1995</w:t>
            </w: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26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540" w:type="dxa"/>
            <w:vAlign w:val="bottom"/>
          </w:tcPr>
          <w:p>
            <w:pPr>
              <w:spacing w:after="0"/>
              <w:rPr>
                <w:sz w:val="15"/>
                <w:szCs w:val="15"/>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r>
      <w:tr>
        <w:trPr>
          <w:trHeight w:val="352"/>
        </w:trPr>
        <w:tc>
          <w:tcPr>
            <w:tcW w:w="45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90,320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34.4</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$236,873</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32.6</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40,819</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28.0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114,647</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w:t>
            </w:r>
          </w:p>
        </w:tc>
        <w:tc>
          <w:tcPr>
            <w:tcW w:w="180" w:type="dxa"/>
            <w:vAlign w:val="bottom"/>
          </w:tcPr>
          <w:p>
            <w:pPr>
              <w:spacing w:after="0"/>
              <w:rPr>
                <w:sz w:val="15"/>
                <w:szCs w:val="15"/>
                <w:color w:val="auto"/>
              </w:rPr>
            </w:pPr>
          </w:p>
        </w:tc>
      </w:tr>
      <w:tr>
        <w:trPr>
          <w:trHeight w:val="176"/>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7,263</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21.1</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13,698</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spacing w:after="0"/>
              <w:rPr>
                <w:sz w:val="15"/>
                <w:szCs w:val="15"/>
                <w:color w:val="auto"/>
              </w:rPr>
            </w:pPr>
          </w:p>
        </w:tc>
      </w:tr>
      <w:tr>
        <w:trPr>
          <w:trHeight w:val="176"/>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11,022</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36.3</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22,221</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w:t>
            </w:r>
          </w:p>
        </w:tc>
        <w:tc>
          <w:tcPr>
            <w:tcW w:w="180" w:type="dxa"/>
            <w:vAlign w:val="bottom"/>
          </w:tcPr>
          <w:p>
            <w:pPr>
              <w:spacing w:after="0"/>
              <w:rPr>
                <w:sz w:val="15"/>
                <w:szCs w:val="15"/>
                <w:color w:val="auto"/>
              </w:rPr>
            </w:pPr>
          </w:p>
        </w:tc>
      </w:tr>
      <w:tr>
        <w:trPr>
          <w:trHeight w:val="176"/>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82,556</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95,017</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370.6</w:t>
            </w:r>
          </w:p>
        </w:tc>
        <w:tc>
          <w:tcPr>
            <w:tcW w:w="180" w:type="dxa"/>
            <w:vAlign w:val="bottom"/>
          </w:tcPr>
          <w:p>
            <w:pPr>
              <w:spacing w:after="0"/>
              <w:rPr>
                <w:sz w:val="15"/>
                <w:szCs w:val="15"/>
                <w:color w:val="auto"/>
              </w:rPr>
            </w:pPr>
          </w:p>
        </w:tc>
      </w:tr>
      <w:tr>
        <w:trPr>
          <w:trHeight w:val="176"/>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Unusual items</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50,848</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59,067</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1,248.0</w:t>
            </w: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192,508</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91.5</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304,650</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48.2</w:t>
            </w: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52"/>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(102,188)</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(67,777)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c>
          <w:tcPr>
            <w:tcW w:w="180" w:type="dxa"/>
            <w:vAlign w:val="bottom"/>
          </w:tcPr>
          <w:p>
            <w:pPr>
              <w:spacing w:after="0"/>
              <w:rPr>
                <w:sz w:val="24"/>
                <w:szCs w:val="24"/>
                <w:color w:val="auto"/>
              </w:rPr>
            </w:pP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Nonrecurring interest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r>
      <w:tr>
        <w:trPr>
          <w:trHeight w:val="176"/>
        </w:trPr>
        <w:tc>
          <w:tcPr>
            <w:tcW w:w="454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1,211</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(9.5)</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180" w:type="dxa"/>
            <w:vAlign w:val="bottom"/>
          </w:tcPr>
          <w:p>
            <w:pPr>
              <w:spacing w:after="0"/>
              <w:rPr>
                <w:sz w:val="15"/>
                <w:szCs w:val="15"/>
                <w:color w:val="auto"/>
              </w:rPr>
            </w:pPr>
          </w:p>
        </w:tc>
      </w:tr>
      <w:tr>
        <w:trPr>
          <w:trHeight w:val="176"/>
        </w:trPr>
        <w:tc>
          <w:tcPr>
            <w:tcW w:w="4540" w:type="dxa"/>
            <w:vAlign w:val="bottom"/>
          </w:tcPr>
          <w:p>
            <w:pPr>
              <w:ind w:left="180"/>
              <w:spacing w:after="0"/>
              <w:rPr>
                <w:sz w:val="20"/>
                <w:szCs w:val="20"/>
                <w:color w:val="auto"/>
              </w:rPr>
            </w:pPr>
            <w:r>
              <w:rPr>
                <w:rFonts w:ascii="Courier New" w:cs="Courier New" w:eastAsia="Courier New" w:hAnsi="Courier New"/>
                <w:sz w:val="15"/>
                <w:szCs w:val="15"/>
                <w:color w:val="auto"/>
              </w:rPr>
              <w:t>Interest and other income, net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1,367</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69.7</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1,294</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w:t>
            </w: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2,578</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(23.9)</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for income taxes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(99,610)</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(51,549)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(98.0)</w:t>
            </w: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 taxes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(36,012)</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(218.4)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(12,713)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45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(63,598)</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$(38,836)</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5"/>
                <w:szCs w:val="15"/>
                <w:color w:val="auto"/>
              </w:rPr>
              <w:t>(152.0)%</w:t>
            </w:r>
          </w:p>
        </w:tc>
      </w:tr>
      <w:tr>
        <w:trPr>
          <w:trHeight w:val="176"/>
        </w:trPr>
        <w:tc>
          <w:tcPr>
            <w:tcW w:w="454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11" w:name="page12"/>
    <w:bookmarkEnd w:id="11"/>
    <w:p>
      <w:pPr>
        <w:spacing w:after="0" w:line="4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12</w:t>
      </w:r>
    </w:p>
    <w:p>
      <w:pPr>
        <w:spacing w:after="0" w:line="359" w:lineRule="exact"/>
        <w:rPr>
          <w:sz w:val="20"/>
          <w:szCs w:val="20"/>
          <w:color w:val="auto"/>
        </w:rPr>
      </w:pPr>
    </w:p>
    <w:p>
      <w:pPr>
        <w:jc w:val="both"/>
        <w:ind w:right="3719"/>
        <w:spacing w:after="0" w:line="249"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components of the Condensed Consolidated Statements of Operations bear to operating revenues:</w:t>
      </w:r>
    </w:p>
    <w:p>
      <w:pPr>
        <w:spacing w:after="0" w:line="200" w:lineRule="exact"/>
        <w:rPr>
          <w:sz w:val="20"/>
          <w:szCs w:val="20"/>
          <w:color w:val="auto"/>
        </w:rPr>
      </w:pPr>
    </w:p>
    <w:p>
      <w:pPr>
        <w:spacing w:after="0" w:line="32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8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Three Months Ended</w:t>
            </w:r>
          </w:p>
        </w:tc>
        <w:tc>
          <w:tcPr>
            <w:tcW w:w="23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4580" w:type="dxa"/>
            <w:vAlign w:val="bottom"/>
          </w:tcPr>
          <w:p>
            <w:pPr>
              <w:spacing w:after="0"/>
              <w:rPr>
                <w:sz w:val="15"/>
                <w:szCs w:val="15"/>
                <w:color w:val="auto"/>
              </w:rPr>
            </w:pPr>
          </w:p>
        </w:tc>
        <w:tc>
          <w:tcPr>
            <w:tcW w:w="284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September 30,</w:t>
            </w:r>
          </w:p>
        </w:tc>
        <w:tc>
          <w:tcPr>
            <w:tcW w:w="2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4580" w:type="dxa"/>
            <w:vAlign w:val="bottom"/>
          </w:tcPr>
          <w:p>
            <w:pPr>
              <w:spacing w:after="0"/>
              <w:rPr>
                <w:sz w:val="15"/>
                <w:szCs w:val="15"/>
                <w:color w:val="auto"/>
              </w:rPr>
            </w:pPr>
          </w:p>
        </w:tc>
        <w:tc>
          <w:tcPr>
            <w:tcW w:w="28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1995</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580" w:type="dxa"/>
            <w:vAlign w:val="bottom"/>
          </w:tcPr>
          <w:p>
            <w:pPr>
              <w:ind w:left="460"/>
              <w:spacing w:after="0"/>
              <w:rPr>
                <w:sz w:val="20"/>
                <w:szCs w:val="20"/>
                <w:color w:val="auto"/>
              </w:rPr>
            </w:pPr>
            <w:r>
              <w:rPr>
                <w:rFonts w:ascii="Courier New" w:cs="Courier New" w:eastAsia="Courier New" w:hAnsi="Courier New"/>
                <w:sz w:val="15"/>
                <w:szCs w:val="15"/>
                <w:color w:val="auto"/>
              </w:rPr>
              <w:t>Landfill disposal</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29.8</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29.9</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28.9</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29.3</w:t>
            </w:r>
          </w:p>
        </w:tc>
      </w:tr>
      <w:tr>
        <w:trPr>
          <w:trHeight w:val="176"/>
        </w:trPr>
        <w:tc>
          <w:tcPr>
            <w:tcW w:w="4580" w:type="dxa"/>
            <w:vAlign w:val="bottom"/>
          </w:tcPr>
          <w:p>
            <w:pPr>
              <w:ind w:left="460"/>
              <w:spacing w:after="0"/>
              <w:rPr>
                <w:sz w:val="20"/>
                <w:szCs w:val="20"/>
                <w:color w:val="auto"/>
              </w:rPr>
            </w:pPr>
            <w:r>
              <w:rPr>
                <w:rFonts w:ascii="Courier New" w:cs="Courier New" w:eastAsia="Courier New" w:hAnsi="Courier New"/>
                <w:sz w:val="15"/>
                <w:szCs w:val="15"/>
                <w:color w:val="auto"/>
              </w:rPr>
              <w:t>Waste collection</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51.8</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50.5</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52.9</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51.7</w:t>
            </w:r>
          </w:p>
        </w:tc>
      </w:tr>
      <w:tr>
        <w:trPr>
          <w:trHeight w:val="176"/>
        </w:trPr>
        <w:tc>
          <w:tcPr>
            <w:tcW w:w="4580" w:type="dxa"/>
            <w:vAlign w:val="bottom"/>
          </w:tcPr>
          <w:p>
            <w:pPr>
              <w:ind w:left="460"/>
              <w:spacing w:after="0"/>
              <w:rPr>
                <w:sz w:val="20"/>
                <w:szCs w:val="20"/>
                <w:color w:val="auto"/>
              </w:rPr>
            </w:pPr>
            <w:r>
              <w:rPr>
                <w:rFonts w:ascii="Courier New" w:cs="Courier New" w:eastAsia="Courier New" w:hAnsi="Courier New"/>
                <w:sz w:val="15"/>
                <w:szCs w:val="15"/>
                <w:color w:val="auto"/>
              </w:rPr>
              <w:t>Transfer stations</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10.6</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w:t>
            </w:r>
          </w:p>
        </w:tc>
      </w:tr>
      <w:tr>
        <w:trPr>
          <w:trHeight w:val="176"/>
        </w:trPr>
        <w:tc>
          <w:tcPr>
            <w:tcW w:w="4580" w:type="dxa"/>
            <w:vAlign w:val="bottom"/>
          </w:tcPr>
          <w:p>
            <w:pPr>
              <w:ind w:left="46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4580" w:type="dxa"/>
            <w:vAlign w:val="bottom"/>
          </w:tcPr>
          <w:p>
            <w:pPr>
              <w:ind w:left="460"/>
              <w:spacing w:after="0"/>
              <w:rPr>
                <w:sz w:val="20"/>
                <w:szCs w:val="20"/>
                <w:color w:val="auto"/>
              </w:rPr>
            </w:pPr>
            <w:r>
              <w:rPr>
                <w:rFonts w:ascii="Courier New" w:cs="Courier New" w:eastAsia="Courier New" w:hAnsi="Courier New"/>
                <w:sz w:val="15"/>
                <w:szCs w:val="15"/>
                <w:color w:val="auto"/>
              </w:rPr>
              <w:t>Operating</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52.9</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55.5</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54.3</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56.2</w:t>
            </w:r>
          </w:p>
        </w:tc>
      </w:tr>
      <w:tr>
        <w:trPr>
          <w:trHeight w:val="176"/>
        </w:trPr>
        <w:tc>
          <w:tcPr>
            <w:tcW w:w="4580" w:type="dxa"/>
            <w:vAlign w:val="bottom"/>
          </w:tcPr>
          <w:p>
            <w:pPr>
              <w:ind w:left="460"/>
              <w:spacing w:after="0"/>
              <w:rPr>
                <w:sz w:val="20"/>
                <w:szCs w:val="20"/>
                <w:color w:val="auto"/>
              </w:rPr>
            </w:pPr>
            <w:r>
              <w:rPr>
                <w:rFonts w:ascii="Courier New" w:cs="Courier New" w:eastAsia="Courier New" w:hAnsi="Courier New"/>
                <w:sz w:val="15"/>
                <w:szCs w:val="15"/>
                <w:color w:val="auto"/>
              </w:rPr>
              <w:t>General and administrative</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11.8</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12.3</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14.4</w:t>
            </w:r>
          </w:p>
        </w:tc>
      </w:tr>
      <w:tr>
        <w:trPr>
          <w:trHeight w:val="176"/>
        </w:trPr>
        <w:tc>
          <w:tcPr>
            <w:tcW w:w="458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11.6</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w:t>
            </w:r>
          </w:p>
        </w:tc>
      </w:tr>
      <w:tr>
        <w:trPr>
          <w:trHeight w:val="176"/>
        </w:trPr>
        <w:tc>
          <w:tcPr>
            <w:tcW w:w="4580" w:type="dxa"/>
            <w:vAlign w:val="bottom"/>
          </w:tcPr>
          <w:p>
            <w:pPr>
              <w:ind w:left="460"/>
              <w:spacing w:after="0"/>
              <w:rPr>
                <w:sz w:val="20"/>
                <w:szCs w:val="20"/>
                <w:color w:val="auto"/>
              </w:rPr>
            </w:pPr>
            <w:r>
              <w:rPr>
                <w:rFonts w:ascii="Courier New" w:cs="Courier New" w:eastAsia="Courier New" w:hAnsi="Courier New"/>
                <w:sz w:val="15"/>
                <w:szCs w:val="15"/>
                <w:color w:val="auto"/>
              </w:rPr>
              <w:t>Merger costs</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23.4</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w:t>
            </w:r>
          </w:p>
        </w:tc>
      </w:tr>
      <w:tr>
        <w:trPr>
          <w:trHeight w:val="176"/>
        </w:trPr>
        <w:tc>
          <w:tcPr>
            <w:tcW w:w="4580" w:type="dxa"/>
            <w:vAlign w:val="bottom"/>
          </w:tcPr>
          <w:p>
            <w:pPr>
              <w:ind w:left="460"/>
              <w:spacing w:after="0"/>
              <w:rPr>
                <w:sz w:val="20"/>
                <w:szCs w:val="20"/>
                <w:color w:val="auto"/>
              </w:rPr>
            </w:pPr>
            <w:r>
              <w:rPr>
                <w:rFonts w:ascii="Courier New" w:cs="Courier New" w:eastAsia="Courier New" w:hAnsi="Courier New"/>
                <w:sz w:val="15"/>
                <w:szCs w:val="15"/>
                <w:color w:val="auto"/>
              </w:rPr>
              <w:t>Unusual items</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14.4</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6.6</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0.8</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114.2</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80.2</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97.3</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87.1</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580" w:type="dxa"/>
            <w:vAlign w:val="bottom"/>
          </w:tcPr>
          <w:p>
            <w:pPr>
              <w:ind w:left="46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4580" w:type="dxa"/>
            <w:vAlign w:val="bottom"/>
          </w:tcPr>
          <w:p>
            <w:pPr>
              <w:ind w:left="640"/>
              <w:spacing w:after="0"/>
              <w:rPr>
                <w:sz w:val="20"/>
                <w:szCs w:val="20"/>
                <w:color w:val="auto"/>
              </w:rPr>
            </w:pPr>
            <w:r>
              <w:rPr>
                <w:rFonts w:ascii="Courier New" w:cs="Courier New" w:eastAsia="Courier New" w:hAnsi="Courier New"/>
                <w:sz w:val="15"/>
                <w:szCs w:val="15"/>
                <w:color w:val="auto"/>
              </w:rPr>
              <w:t>Nonrecurring interest</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r>
      <w:tr>
        <w:trPr>
          <w:trHeight w:val="176"/>
        </w:trPr>
        <w:tc>
          <w:tcPr>
            <w:tcW w:w="4580" w:type="dxa"/>
            <w:vAlign w:val="bottom"/>
          </w:tcPr>
          <w:p>
            <w:pPr>
              <w:ind w:left="64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w:t>
            </w:r>
          </w:p>
        </w:tc>
      </w:tr>
      <w:tr>
        <w:trPr>
          <w:trHeight w:val="176"/>
        </w:trPr>
        <w:tc>
          <w:tcPr>
            <w:tcW w:w="4580" w:type="dxa"/>
            <w:vAlign w:val="bottom"/>
          </w:tcPr>
          <w:p>
            <w:pPr>
              <w:ind w:left="460"/>
              <w:spacing w:after="0"/>
              <w:rPr>
                <w:sz w:val="20"/>
                <w:szCs w:val="20"/>
                <w:color w:val="auto"/>
              </w:rPr>
            </w:pPr>
            <w:r>
              <w:rPr>
                <w:rFonts w:ascii="Courier New" w:cs="Courier New" w:eastAsia="Courier New" w:hAnsi="Courier New"/>
                <w:sz w:val="15"/>
                <w:szCs w:val="15"/>
                <w:color w:val="auto"/>
              </w:rPr>
              <w:t>Interest and other income, net</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0.9</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0.9</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for income taxes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(16.5)</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 taxes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r>
      <w:tr>
        <w:trPr>
          <w:trHeight w:val="176"/>
        </w:trPr>
        <w:tc>
          <w:tcPr>
            <w:tcW w:w="45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AND NINE MONTHS ENDED SEPTEMBER 30, 1996 AND 1995</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Revenues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revenues increased $90,320,000 or 34.4% and $236,873,000 or 32.6%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and nine months ended September 30, 1996, respectively,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the corresponding periods of 1995. The increase in operating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for the three months and nine months ended September 30, 1996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the corresponding periods in 1995 has been analyzed on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pre-Sanifill merger basis. Operating revenues for the Company, excluding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merged operations, increased $54,612,000 or 28.8% and $134,879,000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25.1% for the three and nine months ended September 30, 1996, respectively,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the corresponding periods of 1995. The Company's core solid waste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increased $56,500,000 and $140,400,000 for the three and nine month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periods ended September 30, 1996, respectively, of which $44,186,000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$102,850,000, respectively, relate to acquisitions during 1996 and the effect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acquisitions made during 1995. The remaining decreases are due to declines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non-core revenues. During the third quarter, operating revenues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disposal and collection operations increased 1.7% due to price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increases and 5.9% due to volume increases.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revenues for Sanifill increased $35,708,000 or 49.1%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$101,994,000 or 54.3% for the three and nine months ended September 30, 1996,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compared to the corresponding periods of 1995. Sanifill's domestic disposal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increased $13,587,000 and $39,013,000 for the three and nine months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1996, respectively, of which $10,547,000 and $24,513,000,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relate to acquisitions made during 1996 and the effect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made during 1995. Domestic collection operations increased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$17,787,000 and $55,756,000 for the three and nine months ended September 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respectively. Solid waste operations in Mexico and Canada account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remaining increases of $4,334,000 and $7,225,000 for the three and nine months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1996, respectively. With regard to the change in existing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disposal operations, Sanifill's "same-store" operating revenues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approximately 11%, consisting primarily of volume increases,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of 1996.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Costs and Expenses</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Operating costs and expenses increased $40,819,000 or 28.0% and $114,647,000 or 28.1% for the three and nine months ended September 30, 1996, respectively,</w:t>
      </w:r>
    </w:p>
    <w:p>
      <w:pPr>
        <w:sectPr>
          <w:pgSz w:w="11900" w:h="16881" w:orient="portrait"/>
          <w:cols w:equalWidth="0" w:num="1">
            <w:col w:w="10219"/>
          </w:cols>
          <w:pgMar w:left="240" w:top="294" w:right="1440" w:bottom="0" w:gutter="0" w:footer="0" w:header="0"/>
        </w:sectPr>
      </w:pPr>
    </w:p>
    <w:bookmarkStart w:id="12" w:name="page13"/>
    <w:bookmarkEnd w:id="12"/>
    <w:p>
      <w:pPr>
        <w:ind w:right="3359"/>
        <w:spacing w:after="0" w:line="249" w:lineRule="auto"/>
        <w:rPr>
          <w:sz w:val="20"/>
          <w:szCs w:val="20"/>
          <w:color w:val="auto"/>
        </w:rPr>
      </w:pPr>
      <w:r>
        <w:rPr>
          <w:rFonts w:ascii="Courier New" w:cs="Courier New" w:eastAsia="Courier New" w:hAnsi="Courier New"/>
          <w:sz w:val="15"/>
          <w:szCs w:val="15"/>
          <w:color w:val="auto"/>
        </w:rPr>
        <w:t>as compared to the corresponding periods of 1995. The increase in operating costs and expenses is primarily attributable to the impact of new business acquisitions, net of dispositions, made in 1996 and 1995 of $59,515,000 and $171,529,000 for the three and nine months ended September 30, 1996,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142"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359" w:lineRule="exact"/>
        <w:rPr>
          <w:sz w:val="20"/>
          <w:szCs w:val="20"/>
          <w:color w:val="auto"/>
        </w:rPr>
      </w:pPr>
    </w:p>
    <w:p>
      <w:pPr>
        <w:jc w:val="both"/>
        <w:ind w:right="3079"/>
        <w:spacing w:after="0" w:line="248" w:lineRule="auto"/>
        <w:rPr>
          <w:sz w:val="20"/>
          <w:szCs w:val="20"/>
          <w:color w:val="auto"/>
        </w:rPr>
      </w:pPr>
      <w:r>
        <w:rPr>
          <w:rFonts w:ascii="Courier New" w:cs="Courier New" w:eastAsia="Courier New" w:hAnsi="Courier New"/>
          <w:sz w:val="15"/>
          <w:szCs w:val="15"/>
          <w:color w:val="auto"/>
        </w:rPr>
        <w:t>Offsetting this increase is the effect of reduced operating costs and expenses for the existing operations of Chambers Development Company, Inc. ("Chambers") since the Company's merger with Chambers in June 1995, reduced operating costs resulting from the increased utilization of internal disposal from 37.0% and</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40.4% to 46.6% and 46.1% for the three and nine months ended September 30, 1996, respectively, and reduced operating costs for comparable operations resulting from synergies realized from tuck-in acquisitions and mergers with Sanifill, Western, and Chambers consummated in August 1996, May 1996, and June 1995, respectively.</w:t>
      </w:r>
    </w:p>
    <w:p>
      <w:pPr>
        <w:spacing w:after="0" w:line="176"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As a percentage of operating revenues, operating costs and expenses decreased from 55.5% and 56.2% for the three and nine months ended September 30, 1995, respectively, to 52.9% and 54.3% for the corresponding periods in 1996. This decrease occurred for the reasons described above.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General and administrative expenses increased $7,263,000 and $13,698,000 for the three and nine months ended September 30, 1996, respectively, compared to the corresponding 1995 periods, but decreased as a percentage of operating revenues. This is primarily the result of the Company's ability to integrate new business acquisitions without a proportionate increase in general and administrative expenses and cost reductions as a result of the mergers with Sanifill, Western, and Chambers consummated in August 1996, May 1996, and June 1995,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Depreciation and amortization increased $11,022,000 and $22,221,000 for the three and nine months ended September 30, 1996, respectively, compared to the corresponding periods of 1995 due primarily to the acquisition of new businesses. As a percentage of operating revenues, depreciation and amortization decreased for the nine months ended September 30, 1996 compared to the corresponding 1995 period due to improved utilization of equipment through the internal volume growth in the collection and disposal operations without a corresponding increase in equipment and facilities. For the three months ended September 30, 1996, depreciation and amortization as a percentage of operating revenues was virtually unchanged compared to the corresponding 1995 period.</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Costs</w:t>
      </w:r>
    </w:p>
    <w:p>
      <w:pPr>
        <w:spacing w:after="0" w:line="18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In the third quarter of 1996, the Company recognized $82,556,000 of merger costs, of which approximately $80,000,000 related to the acquisition of Sanifill and the remainder related to the acquisition of two landfills and a collection company. The $80,000,000 of merger costs related to Sanifill includes $9,500,000 of transaction costs, $20,000,000 of relocation, severance, and other termination benefits, $13,000,000 of costs relating to integrating operations, and $37,500,000 of disposal of duplicate facilities. In the second quarter of 1996, the Company incurred $35,000,000, $2,700,000, and $400,000 of merger costs related to the acquisitions of Western, Grand Central, and a collection company, respectively. The $35,000,000 of merger costs related to Western include $6,800,000 of transaction costs, $15,000,000 of severance and other termination benefits, and $13,200,000 of costs related to integrating operations. In the second quarter of 1995, the Company incurred $25,073,000 of merger costs related to the Chambers acquisition, including $11,900,000 of transaction costs, $9,473,000 of severance and other termination benefits, and $3,700,000 of costs related to integrating operations. An additional $566,000 of merger costs was incurred in the second quarter of 1995 related to the acquisition of a collection, materials recovery, and transfer station operation.</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Unusual Items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third quarter of 1996, the Company recognized unusual items of</w:t>
      </w:r>
    </w:p>
    <w:p>
      <w:pPr>
        <w:spacing w:after="0" w:line="6"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5"/>
          <w:szCs w:val="15"/>
          <w:color w:val="auto"/>
        </w:rPr>
        <w:t>$50,848,000, including $28,900,000 of operating losses and estimated losses related to the disposition of certain non-core business assets, $15,000,000 of operating losses and project reserves related to certain Mexico operations, and $6,948,000 of various other terminated projects. In the second quarter of 1996, unusual items include approximately $4,800,000 of retirement benefits associated with Western's pre-merger retirement plan and approximately $8,100,000 of estimated future losses related to municipal solid waste contracts in California as a result of the continuing decline in prices of recyclable materials. In 1995, unusual items represent $2,800,000 of severance and other termination benefits paid to former Chambers employees in connection with its pre-merger reorganization, $1,300,000 of estimated future losses associated with a New Jersey municipal solid waste contract, and $600,000 of shareholder litigation settlement costs.</w:t>
      </w:r>
    </w:p>
    <w:p>
      <w:pPr>
        <w:sectPr>
          <w:pgSz w:w="11900" w:h="16838" w:orient="portrait"/>
          <w:cols w:equalWidth="0" w:num="1">
            <w:col w:w="10219"/>
          </w:cols>
          <w:pgMar w:left="240" w:top="294" w:right="1440" w:bottom="6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658"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(Loss) from Operations</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For reasons discussed above, income (loss) from operations as a percent of operating revenues was (14.2)% and 2.7% for the three and nine months ended September 30, 1996, respectively, as compared to 19.8% and 12.9% in the respective 1995 periods. Income (loss) from recurring operations was 23.6% and 21.9% for the three and nine months ended September 30, 1996, respectively. The improvement in recurring operations is the result of economies of scale realized by the Company with respect to recent acquisitions and improvements in comparable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 consists of interest expense, interest income,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Interest expense, gross of amounts capitalized, decreased as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of the refinancing of Chambers pre-merger indebtedness and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existing indebtedness to lower rates at June 30, 1995,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$10,994,000 of nonrecurring interest incurred in the second quarter of 1995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relating to extension fees and other charges associated with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aforementioned debt refinancing by Chambers. For the three months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1996 compared to the corresponding 1995 period, the decrease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rates was entirely offset by the increase in indebtedness.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interest for the three and nine months ended September 30, 1996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$4,727,000 and $13,066,000, respectively, as compared to $3,184,000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$9,205,000 in the corresponding 1995 periods.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(Benefit from) Income Taxes</w:t>
      </w:r>
    </w:p>
    <w:p>
      <w:pPr>
        <w:spacing w:after="0" w:line="182"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The provision for (benefit from) income taxes decreased $36,012,000 and $12,713,000 for the three and nine months ended September 30, 1996, respectively, as compared to the corresponding periods of 1995. The decrease in the provision for (benefit from) income taxes in 1996 is the result of merger costs and unusual items.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w:t>
      </w:r>
    </w:p>
    <w:p>
      <w:pPr>
        <w:spacing w:after="0" w:line="182"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For the reasons discussed above, net income (loss) decreased $63,598,000 and $38,836,000 during the three and nine months ended September 30, 1996, respectively, as compared to the corresponding periods of 1995.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operations, and (iii) business acquisitions. The Company's strategy is to meet these capital needs first from internally generated funds and secondly from various financing sources available to the Company, including the issuance of its common stock. It is further part of the Company's strategy to minimize working capital while maintaining available commitments under bank credit agreements to fund any capital needs in excess of internally generated cash flow.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1996, the Company had working capital of $15,814,000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ratio of current assets to current liabilities of 1.05:1) and a cash balance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$14,108,000, which compares to working capital of $30,109,000 (a ratio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 to current liabilities of 1.15:1) and a cash balance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$21,058,000 as of December 31, 1995. For the first nine months of 1996,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from operations was approximately $183,305,000 and net cash from financing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was approximately $309,660,000. These funds were used primarily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 investments in other businesses of $238,661,000 and for capital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of approximately $246,486,000.</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Company's capital expenditure and working capital requirements have increased reflecting the Company's business strategy of growth through acquisitions and development projects. The Company intends to finance the remainder of its 1996 capital expenditures through internally generated cash flow and amounts available under its revolving credit facility. At September 30, 1996, the available line of credit for cash borrowings was $449,000,000.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August 30, 1996, in connection with the Sanifill Merger, the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replaced the $750,000,000 senior revolving credit facility with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$1,200,000,000 senior revolving credit facility ("Credit Facility")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retired amounts under Sanifill's credit facility. The Credit Facility was used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refinance existing bank loans and letters of credit and will be used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w:t>
      </w:r>
    </w:p>
    <w:p>
      <w:pPr>
        <w:sectPr>
          <w:pgSz w:w="11900" w:h="16838" w:orient="portrait"/>
          <w:cols w:equalWidth="0" w:num="1">
            <w:col w:w="10219"/>
          </w:cols>
          <w:pgMar w:left="240" w:top="294" w:right="1440" w:bottom="1440" w:gutter="0" w:footer="0" w:header="0"/>
        </w:sectPr>
      </w:pP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359"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additional acquisitions and for working capital. The Credit Facility is available for standby letters of credit of up to $400,000,000. Loans under the Credit Facility bear interest at a rate based on the Eurodollar rate plus a spread not to exceed 0.75% per annum (spread initially set at 0.35% per annum). The Credit Facility requires a facility fee not to exceed 0.375% per annum on the entire available Credit Facility (facility fee initially set at 0.20% per annum). The Credit Facility contains financial covenants with respect to interest rate coverage and debt capitalization ratios. The Credit Facility also contains limitations on dividends, additional indebtedness, liens, and asset sales. Principal reductions are not required over the five-year term of the Credit Facility. On October 11, 1996, the Company's corporate credit rating was increased which had the effect of reducing the spread under the Credit Facility to 0.30% per annum and the facility fee to 0.15% per annum, effective October 12, 1996.</w:t>
      </w:r>
    </w:p>
    <w:p>
      <w:pPr>
        <w:spacing w:after="0" w:line="18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Company's business plan is to grow through acquisitions as well as development projects. The Company has issued equity securities in business acquisitions and expects to do so in the future. Furthermore, the Company's future growth will depend greatly upon its ability to raise additional capital. The Company continually reviews various financing alternatives and depending upon market conditions could pursue the sale of debt and/or equity securities to help effectuate its business strategy. Management believes that it can arrange the necessary financing required to accomplish its business plan; however, to the extent the Company is not successful in its future financing strategies the Company's growth could be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Because the volumes of certain types of waste, such as yard clippings and construction debris, tend to be higher in the spring and summer, the Company experiences seasonal variations in its revenues. As a result, during spring and summer, the Company's revenues tend to be higher than its revenues in fall and winter. In addition, during the winter, harsh weather conditions often temporarily affect the Company's ability to collect, transport, and dispose of waste, as experienced by certain operating locations in the first quarter of 1996. The seasonal impact is often offset by revenues added through acquisitions such that the Company's reported revenues have historically reflected increases in period to period comparisons.</w:t>
      </w:r>
    </w:p>
    <w:p>
      <w:pPr>
        <w:spacing w:after="0" w:line="175"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35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PART II.</w:t>
        <w:tab/>
        <w:t>OTHER INFORMATION</w:t>
      </w:r>
    </w:p>
    <w:p>
      <w:pPr>
        <w:spacing w:after="0" w:line="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or about March 8, 1993, an action was filed in the United States District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Court for the Western District of Pennsylvania, captioned Option Resource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et al. v. Chambers Development Company, Inc., et al., Civil Action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93-354. This action was brought by a market maker in options in Chambers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two of its general partners and asserts federal securities law and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 claims alleging that Chambers, in publicly disseminated materials,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intentionally or negligently misstated its earnings and that Chambers'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and directors committed mismanagement and breach of fiduciary duties.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plaintiffs allege that, as a result of large amounts of put options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traded on the Chicago Board of Options Exchange between March 13 and March 18,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they engaged in offsetting transactions resulting in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$2,100,000 in losses. The plaintiffs in Option Resource Group had successfully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requested exclusion from a now settled class action of consolidated suits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instituted on similar claims ("Class Action") and Option Resource Group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continuing as a separate lawsuit. Discovery has been completed and a trial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January 2, 1997 has been set. Plaintiffs filed a motion for summary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judgment which is untimely under the court's case management procedures.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court has stayed responses to the motion for summary judgment. In response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discovery on damages, the plaintiffs reduced their damages claim to $433,000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alleged losses, plus interest and attorneys' fees, for a total damage claim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$658,000, as of August 21, 1995. The Company intends to continue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vigorously defend against this action. Management of the Company believes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ultimate resolution of such complaint will not have a material adverse effect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Company's financial position or results of operations.</w:t>
      </w:r>
    </w:p>
    <w:p>
      <w:pPr>
        <w:spacing w:after="0" w:line="182"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5"/>
          <w:szCs w:val="15"/>
          <w:color w:val="auto"/>
        </w:rPr>
        <w:t>On August 3, 1995, Frederick A. Moran and certain related persons and entities filed a lawsuit against Chambers Development Company, Inc., certain former officers and directors of Chambers, and Grant Thronton,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or about February 1, 1996, an action was filed in the Circuit Court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Cook County, Illinois, captioned Allabastro v. USA Waste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No. 96L01165. The case was subsequently removed to the United States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District Court for the Northern District of Illinois, Action No. 96-CV-1336.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plaintiff alleges to have entered into an oral agreement with the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brokerage services and is demanding a fee of $950,000 based on the alleged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and on common law for acting as a broker/advisor to the Company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1993 purchase of an Indiana landfill and hauling operation from Chambers.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the same facts, the plaintiff is also demanding an additional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$36,250,000 fee in connection with the June 1995 merger of Chambers with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The plaintiff is also seeking unspecified damages for acting as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advisor to the Company in its procurement of a landfill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renovation/operation contract in Charleston, West Virginia. Interest and other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are also demanded. The case is in the early stages of discovery.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filed its answer and intends to vigorously defend against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and management believes the ultimate resolution of this suit will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a material adverse effect on the Company's financial position or results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operations.</w:t>
      </w:r>
    </w:p>
    <w:p>
      <w:pPr>
        <w:spacing w:after="0" w:line="182"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5"/>
          <w:szCs w:val="15"/>
          <w:color w:val="auto"/>
        </w:rPr>
        <w:t>In or about August 1994, a case was filed against Western in the United States District Court for the Western District of Arkansas. This is an action originally filed by seven landowners who live near a landfill operated by Western in Miller County, Arkansas. The landowners allege that Western unlawfully received hazardous waste and that the pollutants from the waste received by Western had contaminated their property or threatened to contaminate their property in the future. The landowners seek an unspecified amount of damages based on the contamination or threat of contamination. In addition, the landowners seek to recover damages based on the devaluation of their property due to the stigma of being located near a disposal site for hazardous waste and based upon their fear of developing adverse health effects. In July 1995, 135 additional plaintiffs intervened and asserted claims similar to those raised by the original plaintiffs. Western and the other defendants have denied that any unlawful disposal of waste took place at the landfill. In or about June 1995, a case was filed by eight land owners who own property along a creek downstream from Western's Miller County landfill. Plaintiffs allege that their property has been contaminated by releases of hazardous substances from the landfill and other hazardous substance disposal sites operated by the other defendants. The Company believes it has valid defenses to the</w:t>
      </w:r>
    </w:p>
    <w:p>
      <w:pPr>
        <w:sectPr>
          <w:pgSz w:w="11900" w:h="16838" w:orient="portrait"/>
          <w:cols w:equalWidth="0" w:num="1">
            <w:col w:w="10219"/>
          </w:cols>
          <w:pgMar w:left="240" w:top="294" w:right="1440" w:bottom="311" w:gutter="0" w:footer="0" w:header="0"/>
        </w:sectPr>
      </w:pPr>
    </w:p>
    <w:bookmarkStart w:id="17" w:name="page18"/>
    <w:bookmarkEnd w:id="17"/>
    <w:p>
      <w:pPr>
        <w:ind w:left="2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318"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359" w:lineRule="exact"/>
        <w:rPr>
          <w:sz w:val="20"/>
          <w:szCs w:val="20"/>
          <w:color w:val="auto"/>
        </w:rPr>
      </w:pPr>
    </w:p>
    <w:p>
      <w:pPr>
        <w:jc w:val="both"/>
        <w:ind w:right="3259"/>
        <w:spacing w:after="0" w:line="249" w:lineRule="auto"/>
        <w:rPr>
          <w:sz w:val="20"/>
          <w:szCs w:val="20"/>
          <w:color w:val="auto"/>
        </w:rPr>
      </w:pPr>
      <w:r>
        <w:rPr>
          <w:rFonts w:ascii="Courier New" w:cs="Courier New" w:eastAsia="Courier New" w:hAnsi="Courier New"/>
          <w:sz w:val="15"/>
          <w:szCs w:val="15"/>
          <w:color w:val="auto"/>
        </w:rPr>
        <w:t>allegations and is vigorously defending the action, and management believes the ultimate resolution of this suit will not have a material adverse effect on the Company's financial position or results of operations.</w:t>
      </w:r>
    </w:p>
    <w:p>
      <w:pPr>
        <w:spacing w:after="0" w:line="176" w:lineRule="exact"/>
        <w:rPr>
          <w:sz w:val="20"/>
          <w:szCs w:val="20"/>
          <w:color w:val="auto"/>
        </w:rPr>
      </w:pPr>
    </w:p>
    <w:p>
      <w:pPr>
        <w:ind w:right="3079"/>
        <w:spacing w:after="0" w:line="248" w:lineRule="auto"/>
        <w:rPr>
          <w:sz w:val="20"/>
          <w:szCs w:val="20"/>
          <w:color w:val="auto"/>
        </w:rPr>
      </w:pPr>
      <w:r>
        <w:rPr>
          <w:rFonts w:ascii="Courier New" w:cs="Courier New" w:eastAsia="Courier New" w:hAnsi="Courier New"/>
          <w:sz w:val="15"/>
          <w:szCs w:val="15"/>
          <w:color w:val="auto"/>
        </w:rPr>
        <w:t>In late December 1994, a lawsuit was filed in Los Angeles County Superior Court by 24 plaintiffs. Western is among 19 named defendants. The complaint asserts causes of action for nuisance and trespass seeking damages for personal injuries and property damage. The complaint alleges that Western owns a parcel of property, acquired from Cadillac Fairview/California located in Torrance, California. The complaint alleges that Montrose Chemical Corporation and others manufactured DDT on property at or adjacent to the property owned by Western. The plaintiffs further allege that contaminants from this property escaped to plaintiff's property, injured plaintiff, and damaged the value of plaintiff's property. On June 29, 1995, this case was removed to the United States District Court. Western has filed an answer denying any liability. The Company believes it has valid defenses to the allegations and intends to vigorously contest the case and is contemplating filing a cross-complaint once its investigation of the facts is completed, and management believes the ultimate resolution of this suit will not have a material adverse effect on the Company's financial position or results of operations.</w:t>
      </w:r>
    </w:p>
    <w:p>
      <w:pPr>
        <w:spacing w:after="0" w:line="18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On or about February 2, 1995, a complaint was filed in a taxpayer lawsuit. The complaint does not name Western as a defendant. The plaintiffs allege that Riverside County and the other defendants, in connection with a contract with Western regarding the operation and management of the El Sobrante Landfill (the "Landfill") located within Riverside County (the "Agreement"), engaged in various improper actions, including the unlawful sale of public property, wasting public funds, and making an unconstitutional gift of public property and funds. The complaint seeks an order voiding the Agreement and an injunction ordering the other defendants to pay Riverside County allegedly unlawful revenues earned from the Landfill, to cease further dumping at the Landfill of out-of-county waste, return of alleged windfall profits, and limiting dumping fees charged to incounty residents. The complaint also seeks general damages of $10,000,000, special and punitive damages, attorneys' fees, and costs. The Company believes the taxpayer suit is based upon erroneous assumptions and that there are valid defenses available to Riverside County to each of the claims asserted in the complaint. The Company has now filed a motion to intervene in the litigation and will thereafter become a party to the lawsuit.</w:t>
      </w:r>
    </w:p>
    <w:p>
      <w:pPr>
        <w:spacing w:after="0" w:line="18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Recent newspaper articles have indicated that Western, either alone or with others engaged in the solid waste industry, may be a subject of an investigation by the United States government relating to political corruption. The Company has not, however, been charged with any wrongdoing and does not know whether such an investigation is, in fact, ongoing. Western has not been advised by the government that it is a target of any such investigation. Upon written inquiry under the Freedom of Information Act, Western was advised that there were no records of any such investigations.</w:t>
      </w:r>
    </w:p>
    <w:p>
      <w:pPr>
        <w:spacing w:after="0" w:line="175" w:lineRule="exact"/>
        <w:rPr>
          <w:sz w:val="20"/>
          <w:szCs w:val="20"/>
          <w:color w:val="auto"/>
        </w:rPr>
      </w:pPr>
    </w:p>
    <w:p>
      <w:pPr>
        <w:ind w:right="3259"/>
        <w:spacing w:after="0" w:line="248" w:lineRule="auto"/>
        <w:rPr>
          <w:sz w:val="20"/>
          <w:szCs w:val="20"/>
          <w:color w:val="auto"/>
        </w:rPr>
      </w:pPr>
      <w:r>
        <w:rPr>
          <w:rFonts w:ascii="Courier New" w:cs="Courier New" w:eastAsia="Courier New" w:hAnsi="Courier New"/>
          <w:sz w:val="15"/>
          <w:szCs w:val="15"/>
          <w:color w:val="auto"/>
        </w:rPr>
        <w:t>On or about August 20, 1996, an action was filed in Ontario Court (General Division), Canada, captioned Laidlaw Waste Systems (Canada) Ltd. ("Laidlaw") vs. Philip Environmental, Inc. and USA Waste Services, Inc., et. at., No.</w:t>
      </w:r>
    </w:p>
    <w:p>
      <w:pPr>
        <w:spacing w:after="0" w:line="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96-CO- 109675. Laidlaw filed this suit related to certain rights of first refusal that Laidlaw had on Quebec assets acquired by the Company from Philip Environmental, Inc. in August 1996. Laidlaw is seeking to have the court either set aside the acquisition or alternatively to award monetary damages (Laidlaw is seeking general damages of $100,000,000 and punitive damages of $25,000,000). The Company believes this suit is without merit and is vigorously defending against it. In addition, Philip Environmental, Inc. has agreed to indemnify the Company for all costs, fees, and damages incurred by the Company with respect to this suit.</w:t>
      </w:r>
    </w:p>
    <w:p>
      <w:pPr>
        <w:spacing w:after="0" w:line="175" w:lineRule="exact"/>
        <w:rPr>
          <w:sz w:val="20"/>
          <w:szCs w:val="20"/>
          <w:color w:val="auto"/>
        </w:rPr>
      </w:pPr>
    </w:p>
    <w:p>
      <w:pPr>
        <w:ind w:right="3179"/>
        <w:spacing w:after="0" w:line="248" w:lineRule="auto"/>
        <w:rPr>
          <w:sz w:val="20"/>
          <w:szCs w:val="20"/>
          <w:color w:val="auto"/>
        </w:rPr>
      </w:pPr>
      <w:r>
        <w:rPr>
          <w:rFonts w:ascii="Courier New" w:cs="Courier New" w:eastAsia="Courier New" w:hAnsi="Courier New"/>
          <w:sz w:val="15"/>
          <w:szCs w:val="15"/>
          <w:color w:val="auto"/>
        </w:rPr>
        <w:t>The Company is a party to various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w:t>
      </w:r>
    </w:p>
    <w:p>
      <w:pPr>
        <w:sectPr>
          <w:pgSz w:w="11900" w:h="16838" w:orient="portrait"/>
          <w:cols w:equalWidth="0" w:num="1">
            <w:col w:w="10219"/>
          </w:cols>
          <w:pgMar w:left="240" w:top="294" w:right="1440" w:bottom="1440" w:gutter="0" w:footer="0" w:header="0"/>
        </w:sectPr>
      </w:pP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35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2" w:lineRule="exact"/>
        <w:rPr>
          <w:sz w:val="20"/>
          <w:szCs w:val="20"/>
          <w:color w:val="auto"/>
        </w:rPr>
      </w:pPr>
    </w:p>
    <w:p>
      <w:pPr>
        <w:ind w:right="100"/>
        <w:spacing w:after="0" w:line="249" w:lineRule="auto"/>
        <w:rPr>
          <w:sz w:val="20"/>
          <w:szCs w:val="20"/>
          <w:color w:val="auto"/>
        </w:rPr>
      </w:pPr>
      <w:r>
        <w:rPr>
          <w:rFonts w:ascii="Courier New" w:cs="Courier New" w:eastAsia="Courier New" w:hAnsi="Courier New"/>
          <w:sz w:val="15"/>
          <w:szCs w:val="15"/>
          <w:color w:val="auto"/>
        </w:rPr>
        <w:t>At a special meeting of Stockholders of the Company held on August 27, 1996, proposals to (i) approve and adopt the Agreement and Plan of Merger dated as of June 22, 1996, by and among the Company, Quatro Acquisition Corp., and Sanifill, Inc., and (ii) approve an amendment to the Company's Restated Certificate of Incorporation to increase its authorized shares of common stock from 150,000,000 to 300,000,000 shares were submitted to a vote of the stockholders. Both proposals were adopted by the Company's stockholders, and the voting was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Votes</w:t>
            </w:r>
          </w:p>
        </w:tc>
        <w:tc>
          <w:tcPr>
            <w:tcW w:w="1380" w:type="dxa"/>
            <w:vAlign w:val="bottom"/>
          </w:tcPr>
          <w:p>
            <w:pPr>
              <w:spacing w:after="0"/>
              <w:rPr>
                <w:sz w:val="14"/>
                <w:szCs w:val="14"/>
                <w:color w:val="auto"/>
              </w:rPr>
            </w:pPr>
          </w:p>
        </w:tc>
      </w:tr>
      <w:tr>
        <w:trPr>
          <w:trHeight w:val="176"/>
        </w:trPr>
        <w:tc>
          <w:tcPr>
            <w:tcW w:w="2700" w:type="dxa"/>
            <w:vAlign w:val="bottom"/>
          </w:tcPr>
          <w:p>
            <w:pPr>
              <w:spacing w:after="0"/>
              <w:rPr>
                <w:sz w:val="15"/>
                <w:szCs w:val="15"/>
                <w:color w:val="auto"/>
              </w:rPr>
            </w:pP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Votes for</w:t>
            </w:r>
          </w:p>
        </w:tc>
        <w:tc>
          <w:tcPr>
            <w:tcW w:w="1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Against</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Abstentions</w:t>
            </w:r>
          </w:p>
        </w:tc>
      </w:tr>
      <w:tr>
        <w:trPr>
          <w:trHeight w:val="176"/>
        </w:trPr>
        <w:tc>
          <w:tcPr>
            <w:tcW w:w="2700" w:type="dxa"/>
            <w:vAlign w:val="bottom"/>
          </w:tcPr>
          <w:p>
            <w:pPr>
              <w:spacing w:after="0"/>
              <w:rPr>
                <w:sz w:val="15"/>
                <w:szCs w:val="15"/>
                <w:color w:val="auto"/>
              </w:rPr>
            </w:pP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w:t>
            </w:r>
          </w:p>
        </w:tc>
      </w:tr>
      <w:tr>
        <w:trPr>
          <w:trHeight w:val="352"/>
        </w:trPr>
        <w:tc>
          <w:tcPr>
            <w:tcW w:w="2700" w:type="dxa"/>
            <w:vAlign w:val="bottom"/>
          </w:tcPr>
          <w:p>
            <w:pPr>
              <w:spacing w:after="0"/>
              <w:rPr>
                <w:sz w:val="20"/>
                <w:szCs w:val="20"/>
                <w:color w:val="auto"/>
              </w:rPr>
            </w:pPr>
            <w:r>
              <w:rPr>
                <w:rFonts w:ascii="Courier New" w:cs="Courier New" w:eastAsia="Courier New" w:hAnsi="Courier New"/>
                <w:sz w:val="15"/>
                <w:szCs w:val="15"/>
                <w:color w:val="auto"/>
              </w:rPr>
              <w:t>Sanifill Merger</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70,453,908</w:t>
            </w:r>
          </w:p>
        </w:tc>
        <w:tc>
          <w:tcPr>
            <w:tcW w:w="1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180,560</w:t>
            </w:r>
          </w:p>
        </w:tc>
        <w:tc>
          <w:tcPr>
            <w:tcW w:w="138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106,101</w:t>
            </w: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Increase Authorized Shares</w:t>
            </w: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70,314,137</w:t>
            </w:r>
          </w:p>
        </w:tc>
        <w:tc>
          <w:tcPr>
            <w:tcW w:w="1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870,536</w:t>
            </w:r>
          </w:p>
        </w:tc>
        <w:tc>
          <w:tcPr>
            <w:tcW w:w="138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119,086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Broker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Non-Votes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563,190</w:t>
      </w:r>
    </w:p>
    <w:p>
      <w:pPr>
        <w:spacing w:after="0" w:line="6"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240" w:space="640"/>
            <w:col w:w="2339"/>
          </w:cols>
          <w:pgMar w:left="240" w:top="294" w:right="1440" w:bottom="1440" w:gutter="0" w:footer="0" w:header="0"/>
        </w:sectPr>
      </w:pPr>
    </w:p>
    <w:bookmarkStart w:id="20" w:name="page21"/>
    <w:bookmarkEnd w:id="20"/>
    <w:p>
      <w:pPr>
        <w:ind w:left="266"/>
        <w:spacing w:after="0"/>
        <w:rPr>
          <w:sz w:val="20"/>
          <w:szCs w:val="20"/>
          <w:color w:val="auto"/>
        </w:rPr>
      </w:pPr>
      <w:r>
        <w:rPr>
          <w:rFonts w:ascii="Courier New" w:cs="Courier New" w:eastAsia="Courier New" w:hAnsi="Courier New"/>
          <w:sz w:val="15"/>
          <w:szCs w:val="15"/>
          <w:color w:val="auto"/>
        </w:rPr>
        <w:t>19</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82" w:lineRule="exact"/>
        <w:rPr>
          <w:sz w:val="20"/>
          <w:szCs w:val="20"/>
          <w:color w:val="auto"/>
        </w:rPr>
      </w:pPr>
    </w:p>
    <w:p>
      <w:pPr>
        <w:ind w:left="546" w:hanging="546"/>
        <w:spacing w:after="0"/>
        <w:tabs>
          <w:tab w:leader="none" w:pos="54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exhibits to this report are listed in the Exhibit Index elsewhere herein.</w:t>
      </w:r>
    </w:p>
    <w:p>
      <w:pPr>
        <w:spacing w:after="0" w:line="182" w:lineRule="exact"/>
        <w:rPr>
          <w:sz w:val="20"/>
          <w:szCs w:val="20"/>
          <w:color w:val="auto"/>
        </w:rPr>
      </w:pPr>
    </w:p>
    <w:p>
      <w:pPr>
        <w:ind w:left="546" w:hanging="546"/>
        <w:spacing w:after="0"/>
        <w:tabs>
          <w:tab w:leader="none" w:pos="54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2" w:lineRule="exact"/>
        <w:rPr>
          <w:sz w:val="20"/>
          <w:szCs w:val="20"/>
          <w:color w:val="auto"/>
        </w:rPr>
      </w:pPr>
    </w:p>
    <w:p>
      <w:pPr>
        <w:jc w:val="both"/>
        <w:ind w:left="6" w:right="3079"/>
        <w:spacing w:after="0" w:line="249" w:lineRule="auto"/>
        <w:rPr>
          <w:sz w:val="20"/>
          <w:szCs w:val="20"/>
          <w:color w:val="auto"/>
        </w:rPr>
      </w:pPr>
      <w:r>
        <w:rPr>
          <w:rFonts w:ascii="Courier New" w:cs="Courier New" w:eastAsia="Courier New" w:hAnsi="Courier New"/>
          <w:sz w:val="15"/>
          <w:szCs w:val="15"/>
          <w:color w:val="auto"/>
        </w:rPr>
        <w:t>A report on Form 8-K dated September 3, 1996 was filed September 18, 1996. The Company filed information with respect to the consummation of its acquisition of Sanifill, Inc. and filed financial statements for Sanifill, Inc.</w:t>
      </w:r>
    </w:p>
    <w:p>
      <w:pPr>
        <w:spacing w:after="0" w:line="176"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A report on Form 8-K dated September 12, 1996 was filed September 25, 1996 and amended on Form 8-K/A filed November 13, 1996. The Company filed information with respect to 1996 individually insignificant acquisitions, which in aggregate were deemed significant for purposes of Regulation S-X.</w:t>
      </w:r>
    </w:p>
    <w:p>
      <w:pPr>
        <w:spacing w:after="0" w:line="176"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A report on Form 8-K dated November 12, 1996 was filed November 12, 1996. The Company filed restated supplemental financial statements of USA Waste Services, Inc. to include the financial statements of Sanifill,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5"/>
          </w:cols>
          <w:pgMar w:left="234" w:top="294"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35" w:lineRule="exact"/>
        <w:rPr>
          <w:sz w:val="20"/>
          <w:szCs w:val="20"/>
          <w:color w:val="auto"/>
        </w:rPr>
      </w:pPr>
    </w:p>
    <w:p>
      <w:pPr>
        <w:jc w:val="both"/>
        <w:ind w:right="3619"/>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November 14, 1996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BY:</w:t>
        <w:tab/>
        <w:t>/s/ Earl E. DeFrates</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 E. DeFrates,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ectPr>
          <w:pgSz w:w="11900" w:h="16838" w:orient="portrait"/>
          <w:cols w:equalWidth="0" w:num="2">
            <w:col w:w="2760" w:space="720"/>
            <w:col w:w="6739"/>
          </w:cols>
          <w:pgMar w:left="240" w:top="294" w:right="1440" w:bottom="1440" w:gutter="0" w:footer="0" w:header="0"/>
          <w:type w:val="continuous"/>
        </w:sectPr>
      </w:pPr>
    </w:p>
    <w:p>
      <w:pPr>
        <w:spacing w:after="0" w:line="15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November 14, 1996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BY:</w:t>
        <w:tab/>
        <w:t>/s/ Bruce E. Snyder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E. Snyder,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Controller,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Accounting Officer</w:t>
      </w:r>
    </w:p>
    <w:p>
      <w:pPr>
        <w:spacing w:after="0" w:line="200" w:lineRule="exact"/>
        <w:rPr>
          <w:sz w:val="20"/>
          <w:szCs w:val="20"/>
          <w:color w:val="auto"/>
        </w:rPr>
      </w:pPr>
    </w:p>
    <w:p>
      <w:pPr>
        <w:sectPr>
          <w:pgSz w:w="11900" w:h="16838" w:orient="portrait"/>
          <w:cols w:equalWidth="0" w:num="2">
            <w:col w:w="2760" w:space="720"/>
            <w:col w:w="6739"/>
          </w:cols>
          <w:pgMar w:left="240" w:top="29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type w:val="continuous"/>
        </w:sectPr>
      </w:pPr>
    </w:p>
    <w:bookmarkStart w:id="22" w:name="page23"/>
    <w:bookmarkEnd w:id="22"/>
    <w:p>
      <w:pPr>
        <w:ind w:left="266"/>
        <w:spacing w:after="0"/>
        <w:rPr>
          <w:sz w:val="20"/>
          <w:szCs w:val="20"/>
          <w:color w:val="auto"/>
        </w:rPr>
      </w:pPr>
      <w:r>
        <w:rPr>
          <w:rFonts w:ascii="Courier New" w:cs="Courier New" w:eastAsia="Courier New" w:hAnsi="Courier New"/>
          <w:sz w:val="15"/>
          <w:szCs w:val="15"/>
          <w:color w:val="auto"/>
        </w:rPr>
        <w:t>21</w:t>
      </w:r>
    </w:p>
    <w:p>
      <w:pPr>
        <w:spacing w:after="0" w:line="359"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USA WASTE SERVICES, INC.</w:t>
      </w:r>
    </w:p>
    <w:p>
      <w:pPr>
        <w:spacing w:after="0" w:line="182"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EXHIBIT INDEX</w:t>
      </w:r>
    </w:p>
    <w:p>
      <w:pPr>
        <w:spacing w:after="0" w:line="359"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Number and Description of Exhibit *</w:t>
      </w:r>
    </w:p>
    <w:p>
      <w:pPr>
        <w:spacing w:after="0" w:line="6"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566" w:hanging="558"/>
        <w:spacing w:after="0"/>
        <w:tabs>
          <w:tab w:leader="none" w:pos="15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82" w:lineRule="exact"/>
        <w:rPr>
          <w:sz w:val="20"/>
          <w:szCs w:val="20"/>
          <w:color w:val="auto"/>
        </w:rPr>
      </w:pPr>
    </w:p>
    <w:p>
      <w:pPr>
        <w:ind w:left="1566" w:hanging="558"/>
        <w:spacing w:after="0"/>
        <w:tabs>
          <w:tab w:leader="none" w:pos="15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82" w:lineRule="exact"/>
        <w:rPr>
          <w:sz w:val="20"/>
          <w:szCs w:val="20"/>
          <w:color w:val="auto"/>
        </w:rPr>
      </w:pPr>
    </w:p>
    <w:p>
      <w:pPr>
        <w:ind w:left="1566" w:hanging="558"/>
        <w:spacing w:after="0"/>
        <w:tabs>
          <w:tab w:leader="none" w:pos="15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82"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10None</w:t>
      </w:r>
    </w:p>
    <w:p>
      <w:pPr>
        <w:spacing w:after="0" w:line="182"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11Computation of Earnings (Loss) Per Common Share</w:t>
      </w:r>
    </w:p>
    <w:p>
      <w:pPr>
        <w:spacing w:after="0" w:line="182"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15None</w:t>
      </w:r>
    </w:p>
    <w:p>
      <w:pPr>
        <w:spacing w:after="0" w:line="182"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18None</w:t>
      </w:r>
    </w:p>
    <w:p>
      <w:pPr>
        <w:spacing w:after="0" w:line="182"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19None</w:t>
      </w:r>
    </w:p>
    <w:p>
      <w:pPr>
        <w:spacing w:after="0" w:line="182"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22None</w:t>
      </w:r>
    </w:p>
    <w:p>
      <w:pPr>
        <w:spacing w:after="0" w:line="182"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23None</w:t>
      </w:r>
    </w:p>
    <w:p>
      <w:pPr>
        <w:spacing w:after="0" w:line="182"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24None</w:t>
      </w:r>
    </w:p>
    <w:p>
      <w:pPr>
        <w:spacing w:after="0" w:line="182" w:lineRule="exact"/>
        <w:rPr>
          <w:rFonts w:ascii="Courier New" w:cs="Courier New" w:eastAsia="Courier New" w:hAnsi="Courier New"/>
          <w:sz w:val="15"/>
          <w:szCs w:val="15"/>
          <w:color w:val="auto"/>
        </w:rPr>
      </w:pPr>
    </w:p>
    <w:p>
      <w:pPr>
        <w:ind w:left="10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27Financial Data Schedule</w:t>
      </w:r>
    </w:p>
    <w:p>
      <w:pPr>
        <w:spacing w:after="0" w:line="182" w:lineRule="exact"/>
        <w:rPr>
          <w:sz w:val="20"/>
          <w:szCs w:val="20"/>
          <w:color w:val="auto"/>
        </w:rPr>
      </w:pPr>
    </w:p>
    <w:p>
      <w:pPr>
        <w:ind w:left="1566" w:hanging="558"/>
        <w:spacing w:after="0"/>
        <w:tabs>
          <w:tab w:leader="none" w:pos="1566"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7"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Exhibits not listed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5"/>
          </w:cols>
          <w:pgMar w:left="234" w:top="294" w:right="1440" w:bottom="1440" w:gutter="0" w:footer="0" w:header="0"/>
        </w:sectPr>
      </w:pPr>
    </w:p>
    <w:bookmarkStart w:id="23" w:name="page24"/>
    <w:bookmarkEnd w:id="23"/>
    <w:p>
      <w:pPr>
        <w:ind w:left="266"/>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ind w:left="6406"/>
        <w:spacing w:after="0"/>
        <w:rPr>
          <w:sz w:val="20"/>
          <w:szCs w:val="20"/>
          <w:color w:val="auto"/>
        </w:rPr>
      </w:pPr>
      <w:r>
        <w:rPr>
          <w:rFonts w:ascii="Courier New" w:cs="Courier New" w:eastAsia="Courier New" w:hAnsi="Courier New"/>
          <w:sz w:val="15"/>
          <w:szCs w:val="15"/>
          <w:color w:val="auto"/>
        </w:rPr>
        <w:t>EXHIBIT 11</w:t>
      </w:r>
    </w:p>
    <w:p>
      <w:pPr>
        <w:spacing w:after="0" w:line="359" w:lineRule="exact"/>
        <w:rPr>
          <w:sz w:val="20"/>
          <w:szCs w:val="20"/>
          <w:color w:val="auto"/>
        </w:rPr>
      </w:pPr>
    </w:p>
    <w:p>
      <w:pPr>
        <w:jc w:val="center"/>
        <w:ind w:right="4214"/>
        <w:spacing w:after="0"/>
        <w:rPr>
          <w:sz w:val="20"/>
          <w:szCs w:val="20"/>
          <w:color w:val="auto"/>
        </w:rPr>
      </w:pPr>
      <w:r>
        <w:rPr>
          <w:rFonts w:ascii="Courier New" w:cs="Courier New" w:eastAsia="Courier New" w:hAnsi="Courier New"/>
          <w:sz w:val="15"/>
          <w:szCs w:val="15"/>
          <w:color w:val="auto"/>
        </w:rPr>
        <w:t>USA WASTE SERVICES, INC.</w:t>
      </w:r>
    </w:p>
    <w:p>
      <w:pPr>
        <w:spacing w:after="0" w:line="6"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COMPUTATION OF EARNINGS (LOSS) PER COMMON SHARE</w:t>
      </w:r>
    </w:p>
    <w:p>
      <w:pPr>
        <w:spacing w:after="0" w:line="6"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35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THREE MONTHS ENDED</w:t>
            </w:r>
          </w:p>
        </w:tc>
        <w:tc>
          <w:tcPr>
            <w:tcW w:w="1600" w:type="dxa"/>
            <w:vAlign w:val="bottom"/>
          </w:tcPr>
          <w:p>
            <w:pPr>
              <w:ind w:left="600"/>
              <w:spacing w:after="0"/>
              <w:rPr>
                <w:sz w:val="20"/>
                <w:szCs w:val="20"/>
                <w:color w:val="auto"/>
              </w:rPr>
            </w:pPr>
            <w:r>
              <w:rPr>
                <w:rFonts w:ascii="Courier New" w:cs="Courier New" w:eastAsia="Courier New" w:hAnsi="Courier New"/>
                <w:sz w:val="15"/>
                <w:szCs w:val="15"/>
                <w:color w:val="auto"/>
                <w:w w:val="98"/>
              </w:rPr>
              <w:t>NINE MONTHS</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5400" w:type="dxa"/>
            <w:vAlign w:val="bottom"/>
          </w:tcPr>
          <w:p>
            <w:pPr>
              <w:spacing w:after="0"/>
              <w:rPr>
                <w:sz w:val="15"/>
                <w:szCs w:val="15"/>
                <w:color w:val="auto"/>
              </w:rPr>
            </w:pPr>
          </w:p>
        </w:tc>
        <w:tc>
          <w:tcPr>
            <w:tcW w:w="35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SEPTEMBER 30,</w:t>
            </w:r>
          </w:p>
        </w:tc>
        <w:tc>
          <w:tcPr>
            <w:tcW w:w="24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5400" w:type="dxa"/>
            <w:vAlign w:val="bottom"/>
          </w:tcPr>
          <w:p>
            <w:pPr>
              <w:spacing w:after="0"/>
              <w:rPr>
                <w:sz w:val="15"/>
                <w:szCs w:val="15"/>
                <w:color w:val="auto"/>
              </w:rPr>
            </w:pPr>
          </w:p>
        </w:tc>
        <w:tc>
          <w:tcPr>
            <w:tcW w:w="35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24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spacing w:after="0"/>
              <w:rPr>
                <w:sz w:val="15"/>
                <w:szCs w:val="15"/>
                <w:color w:val="auto"/>
              </w:rPr>
            </w:pPr>
          </w:p>
        </w:tc>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1995</w:t>
            </w:r>
          </w:p>
        </w:tc>
        <w:tc>
          <w:tcPr>
            <w:tcW w:w="1600" w:type="dxa"/>
            <w:vAlign w:val="bottom"/>
          </w:tcPr>
          <w:p>
            <w:pPr>
              <w:ind w:left="600"/>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r>
      <w:tr>
        <w:trPr>
          <w:trHeight w:val="176"/>
        </w:trPr>
        <w:tc>
          <w:tcPr>
            <w:tcW w:w="5400" w:type="dxa"/>
            <w:vAlign w:val="bottom"/>
          </w:tcPr>
          <w:p>
            <w:pPr>
              <w:spacing w:after="0"/>
              <w:rPr>
                <w:sz w:val="15"/>
                <w:szCs w:val="15"/>
                <w:color w:val="auto"/>
              </w:rPr>
            </w:pPr>
          </w:p>
        </w:tc>
        <w:tc>
          <w:tcPr>
            <w:tcW w:w="2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5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(Restated)</w:t>
            </w: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(Restated)</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2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2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($38,864)</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$24,734</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($13,280)</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$25,556</w:t>
            </w:r>
          </w:p>
        </w:tc>
      </w:tr>
      <w:tr>
        <w:trPr>
          <w:trHeight w:val="176"/>
        </w:trPr>
        <w:tc>
          <w:tcPr>
            <w:tcW w:w="5400" w:type="dxa"/>
            <w:vAlign w:val="bottom"/>
          </w:tcPr>
          <w:p>
            <w:pPr>
              <w:spacing w:after="0"/>
              <w:rPr>
                <w:sz w:val="15"/>
                <w:szCs w:val="15"/>
                <w:color w:val="auto"/>
              </w:rPr>
            </w:pP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Number of common shares outstanding</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138,343</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112,209</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138,343</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112,209</w:t>
            </w: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Effect of using weighted average common stock</w:t>
            </w:r>
          </w:p>
        </w:tc>
        <w:tc>
          <w:tcPr>
            <w:tcW w:w="2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540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2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(1,876)</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(4,185)</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(6,981)</w:t>
            </w: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Common stock equivalents (1)</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6,197</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4,143</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5,765</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3,482</w:t>
            </w:r>
          </w:p>
        </w:tc>
      </w:tr>
      <w:tr>
        <w:trPr>
          <w:trHeight w:val="176"/>
        </w:trPr>
        <w:tc>
          <w:tcPr>
            <w:tcW w:w="5400" w:type="dxa"/>
            <w:vAlign w:val="bottom"/>
          </w:tcPr>
          <w:p>
            <w:pPr>
              <w:spacing w:after="0"/>
              <w:rPr>
                <w:sz w:val="15"/>
                <w:szCs w:val="15"/>
                <w:color w:val="auto"/>
              </w:rPr>
            </w:pP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142,664</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112,167</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138,262</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108,710</w:t>
            </w:r>
          </w:p>
        </w:tc>
      </w:tr>
      <w:tr>
        <w:trPr>
          <w:trHeight w:val="176"/>
        </w:trPr>
        <w:tc>
          <w:tcPr>
            <w:tcW w:w="5400" w:type="dxa"/>
            <w:vAlign w:val="bottom"/>
          </w:tcPr>
          <w:p>
            <w:pPr>
              <w:spacing w:after="0"/>
              <w:rPr>
                <w:sz w:val="15"/>
                <w:szCs w:val="15"/>
                <w:color w:val="auto"/>
              </w:rPr>
            </w:pP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Earnings (loss) per common share</w:t>
            </w:r>
          </w:p>
        </w:tc>
        <w:tc>
          <w:tcPr>
            <w:tcW w:w="2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($0.27)</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$0.22</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($0.10)</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$0.24</w:t>
            </w:r>
          </w:p>
        </w:tc>
      </w:tr>
      <w:tr>
        <w:trPr>
          <w:trHeight w:val="176"/>
        </w:trPr>
        <w:tc>
          <w:tcPr>
            <w:tcW w:w="5400" w:type="dxa"/>
            <w:vAlign w:val="bottom"/>
          </w:tcPr>
          <w:p>
            <w:pPr>
              <w:spacing w:after="0"/>
              <w:rPr>
                <w:sz w:val="15"/>
                <w:szCs w:val="15"/>
                <w:color w:val="auto"/>
              </w:rPr>
            </w:pP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540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2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2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($38,864)</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$24,734</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($13,280)</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$25,556</w:t>
            </w:r>
          </w:p>
        </w:tc>
      </w:tr>
      <w:tr>
        <w:trPr>
          <w:trHeight w:val="176"/>
        </w:trPr>
        <w:tc>
          <w:tcPr>
            <w:tcW w:w="5400" w:type="dxa"/>
            <w:vAlign w:val="bottom"/>
          </w:tcPr>
          <w:p>
            <w:pPr>
              <w:spacing w:after="0"/>
              <w:rPr>
                <w:sz w:val="15"/>
                <w:szCs w:val="15"/>
                <w:color w:val="auto"/>
              </w:rPr>
            </w:pP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Number of common shares outstanding</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138,343</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112,209</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138,343</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112,209</w:t>
            </w: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Effect of using weighted average common stock</w:t>
            </w:r>
          </w:p>
        </w:tc>
        <w:tc>
          <w:tcPr>
            <w:tcW w:w="2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540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2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(1,877)</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(4,186)</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(6,981)</w:t>
            </w: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Common stock equivalents (1)</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6,411</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4,357</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6,022</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3,739</w:t>
            </w:r>
          </w:p>
        </w:tc>
      </w:tr>
      <w:tr>
        <w:trPr>
          <w:trHeight w:val="176"/>
        </w:trPr>
        <w:tc>
          <w:tcPr>
            <w:tcW w:w="5400" w:type="dxa"/>
            <w:vAlign w:val="bottom"/>
          </w:tcPr>
          <w:p>
            <w:pPr>
              <w:spacing w:after="0"/>
              <w:rPr>
                <w:sz w:val="15"/>
                <w:szCs w:val="15"/>
                <w:color w:val="auto"/>
              </w:rPr>
            </w:pP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142,877</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112,380</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138,519</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108,967</w:t>
            </w:r>
          </w:p>
        </w:tc>
      </w:tr>
      <w:tr>
        <w:trPr>
          <w:trHeight w:val="176"/>
        </w:trPr>
        <w:tc>
          <w:tcPr>
            <w:tcW w:w="5400" w:type="dxa"/>
            <w:vAlign w:val="bottom"/>
          </w:tcPr>
          <w:p>
            <w:pPr>
              <w:spacing w:after="0"/>
              <w:rPr>
                <w:sz w:val="15"/>
                <w:szCs w:val="15"/>
                <w:color w:val="auto"/>
              </w:rPr>
            </w:pP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Earnings (loss) per common share (2)</w:t>
            </w:r>
          </w:p>
        </w:tc>
        <w:tc>
          <w:tcPr>
            <w:tcW w:w="22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($0.27)</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$0.22</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($0.10)</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$0.23</w:t>
            </w:r>
          </w:p>
        </w:tc>
      </w:tr>
      <w:tr>
        <w:trPr>
          <w:trHeight w:val="176"/>
        </w:trPr>
        <w:tc>
          <w:tcPr>
            <w:tcW w:w="5400" w:type="dxa"/>
            <w:vAlign w:val="bottom"/>
          </w:tcPr>
          <w:p>
            <w:pPr>
              <w:spacing w:after="0"/>
              <w:rPr>
                <w:sz w:val="15"/>
                <w:szCs w:val="15"/>
                <w:color w:val="auto"/>
              </w:rPr>
            </w:pP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466" w:right="4580" w:hanging="466"/>
        <w:spacing w:after="0" w:line="250" w:lineRule="auto"/>
        <w:tabs>
          <w:tab w:leader="none" w:pos="4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equivalents were determined based on the "Treasury Stock Method", as set forth in Accounting Principles Board Opinion No. 15.</w:t>
      </w:r>
    </w:p>
    <w:p>
      <w:pPr>
        <w:spacing w:after="0" w:line="174" w:lineRule="exact"/>
        <w:rPr>
          <w:rFonts w:ascii="Courier New" w:cs="Courier New" w:eastAsia="Courier New" w:hAnsi="Courier New"/>
          <w:sz w:val="15"/>
          <w:szCs w:val="15"/>
          <w:color w:val="auto"/>
        </w:rPr>
      </w:pPr>
    </w:p>
    <w:p>
      <w:pPr>
        <w:ind w:left="466" w:right="4120" w:hanging="466"/>
        <w:spacing w:after="0" w:line="249" w:lineRule="auto"/>
        <w:tabs>
          <w:tab w:leader="none" w:pos="4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dilutive effect between primary and fully dilutive earnings (loss) per common share is less than 3% or is anti-dilutive for all periods presented and is therefore not disclosed in the consolidated statements of operations.</w:t>
      </w:r>
    </w:p>
    <w:p>
      <w:pPr>
        <w:sectPr>
          <w:pgSz w:w="11900" w:h="16838" w:orient="portrait"/>
          <w:cols w:equalWidth="0" w:num="1">
            <w:col w:w="11366"/>
          </w:cols>
          <w:pgMar w:left="234" w:top="142" w:right="299" w:bottom="1440" w:gutter="0" w:footer="0" w:header="0"/>
        </w:sectPr>
      </w:pPr>
    </w:p>
    <w:bookmarkStart w:id="24" w:name="page25"/>
    <w:bookmarkEnd w:id="24"/>
    <w:p>
      <w:pPr>
        <w:ind w:left="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right="3419"/>
        <w:spacing w:after="0" w:line="249"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USA WASTE SERVICES, INC. FOR THE NINE MONTHS ENDED SEPTEMBER 30, 1996 AND IS QUALIFIED IN ITS ENTIRETY BY REFERENCE TO SUCH FINANCIAL STATEMENTS.</w:t>
      </w:r>
    </w:p>
    <w:p>
      <w:pPr>
        <w:spacing w:after="0" w:line="200" w:lineRule="exact"/>
        <w:rPr>
          <w:sz w:val="20"/>
          <w:szCs w:val="20"/>
          <w:color w:val="auto"/>
        </w:rPr>
      </w:pPr>
    </w:p>
    <w:p>
      <w:pPr>
        <w:spacing w:after="0" w:line="328"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9-MOS</w:t>
      </w:r>
    </w:p>
    <w:p>
      <w:pPr>
        <w:spacing w:after="0" w:line="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DEC-31-1996</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JAN-01-1996</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SEP-30-1996</w:t>
      </w:r>
    </w:p>
    <w:p>
      <w:pPr>
        <w:spacing w:after="0" w:line="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14,108,000</w:t>
      </w:r>
    </w:p>
    <w:p>
      <w:pPr>
        <w:spacing w:after="0" w:line="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222,162,000</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(9,482,000)</w:t>
      </w:r>
    </w:p>
    <w:p>
      <w:pPr>
        <w:spacing w:after="0" w:line="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325,627,000</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2,233,611,000</w:t>
      </w:r>
    </w:p>
    <w:p>
      <w:pPr>
        <w:spacing w:after="0" w:line="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(571,820,000)</w:t>
      </w:r>
    </w:p>
    <w:p>
      <w:pPr>
        <w:spacing w:after="0" w:line="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2,628,977,000</w:t>
      </w:r>
    </w:p>
    <w:p>
      <w:pPr>
        <w:spacing w:after="0" w:line="6"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309,813,000</w:t>
      </w:r>
    </w:p>
    <w:p>
      <w:pPr>
        <w:spacing w:after="0" w:line="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1,001,467,000</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1,383,000</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1,085,791,000</w:t>
      </w:r>
    </w:p>
    <w:p>
      <w:pPr>
        <w:spacing w:after="0" w:line="6"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2,628,977,000</w:t>
      </w:r>
    </w:p>
    <w:p>
      <w:pPr>
        <w:spacing w:after="0" w:line="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963,021,000</w:t>
      </w:r>
    </w:p>
    <w:p>
      <w:pPr>
        <w:spacing w:after="0" w:line="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963,021,000</w:t>
      </w:r>
    </w:p>
    <w:p>
      <w:pPr>
        <w:spacing w:after="0" w:line="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522,698,000</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936,868,000</w:t>
      </w:r>
    </w:p>
    <w:p>
      <w:pPr>
        <w:spacing w:after="0" w:line="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(8,868,000)</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33,977,000</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1,044,000</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14,324,000</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(13,280,000)</w:t>
      </w:r>
    </w:p>
    <w:p>
      <w:pPr>
        <w:spacing w:after="0" w:line="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(13,280,000)</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(0.10)</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(0.10)</w:t>
      </w:r>
    </w:p>
    <w:sectPr>
      <w:pgSz w:w="11900" w:h="16838" w:orient="portrait"/>
      <w:cols w:equalWidth="0" w:num="1">
        <w:col w:w="10199"/>
      </w:cols>
      <w:pgMar w:left="260" w:top="4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
      <w:numFmt w:val="bullet"/>
      <w:start w:val="1"/>
    </w:lvl>
    <w:lvl w:ilvl="1">
      <w:lvlJc w:val="left"/>
      <w:lvlText w:val="--"/>
      <w:numFmt w:val="bullet"/>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4"/>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2"/>
      <w:numFmt w:val="bullet"/>
      <w:start w:val="1"/>
    </w:lvl>
  </w:abstractNum>
  <w:abstractNum w:abstractNumId="12">
    <w:nsid w:val="7FDCC233"/>
    <w:multiLevelType w:val="hybridMultilevel"/>
    <w:lvl w:ilvl="0">
      <w:lvlJc w:val="left"/>
      <w:lvlText w:val="3"/>
      <w:numFmt w:val="bullet"/>
      <w:start w:val="1"/>
    </w:lvl>
  </w:abstractNum>
  <w:abstractNum w:abstractNumId="13">
    <w:nsid w:val="1BEFD79F"/>
    <w:multiLevelType w:val="hybridMultilevel"/>
    <w:lvl w:ilvl="0">
      <w:lvlJc w:val="left"/>
      <w:lvlText w:val="4"/>
      <w:numFmt w:val="bullet"/>
      <w:start w:val="1"/>
    </w:lvl>
  </w:abstractNum>
  <w:abstractNum w:abstractNumId="14">
    <w:nsid w:val="41A7C4C9"/>
    <w:multiLevelType w:val="hybridMultilevel"/>
    <w:lvl w:ilvl="0">
      <w:lvlJc w:val="left"/>
      <w:lvlText w:val="-"/>
      <w:numFmt w:val="bullet"/>
      <w:start w:val="1"/>
    </w:lvl>
    <w:lvl w:ilvl="1">
      <w:lvlJc w:val="left"/>
      <w:lvlText w:val="%2"/>
      <w:numFmt w:val="decimal"/>
      <w:start w:val="99"/>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2019-12-20T04:51:44Z</dcterms:created>
  <dcterms:modified xsi:type="dcterms:W3CDTF">2019-12-20T04:51:44Z</dcterms:modified>
</cp:coreProperties>
</file>