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1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25, 2020</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Waste Management,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ectPr>
          <w:pgSz w:w="11900" w:h="16838" w:orient="portrait"/>
          <w:cols w:equalWidth="0" w:num="1">
            <w:col w:w="11240"/>
          </w:cols>
          <w:pgMar w:left="320" w:top="756" w:right="339" w:bottom="1440" w:gutter="0" w:footer="0" w:header="0"/>
        </w:sectPr>
      </w:pPr>
    </w:p>
    <w:p>
      <w:pPr>
        <w:spacing w:after="0" w:line="201"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8"/>
          <w:szCs w:val="18"/>
          <w:b w:val="1"/>
          <w:bCs w:val="1"/>
          <w:color w:val="auto"/>
        </w:rPr>
        <w:t>1-12154</w:t>
      </w:r>
    </w:p>
    <w:p>
      <w:pPr>
        <w:spacing w:after="0" w:line="31"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73-1309529</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040" w:space="720"/>
            <w:col w:w="3300" w:space="720"/>
            <w:col w:w="2460"/>
          </w:cols>
          <w:pgMar w:left="320" w:top="756" w:right="339" w:bottom="1440" w:gutter="0" w:footer="0" w:header="0"/>
          <w:type w:val="continuous"/>
        </w:sectPr>
      </w:pPr>
    </w:p>
    <w:p>
      <w:pPr>
        <w:spacing w:after="0" w:line="3"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8"/>
          <w:szCs w:val="18"/>
          <w:b w:val="1"/>
          <w:bCs w:val="1"/>
          <w:color w:val="auto"/>
        </w:rPr>
        <w:t>1001 Fannin, Houston, Texas</w:t>
      </w:r>
    </w:p>
    <w:p>
      <w:pPr>
        <w:spacing w:after="0" w:line="31"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77002</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5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328295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84"/>
        </w:trPr>
        <w:tc>
          <w:tcPr>
            <w:tcW w:w="39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Title of each class</w:t>
            </w:r>
          </w:p>
        </w:tc>
        <w:tc>
          <w:tcPr>
            <w:tcW w:w="37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Trading Symbol(s)</w:t>
            </w:r>
          </w:p>
        </w:tc>
        <w:tc>
          <w:tcPr>
            <w:tcW w:w="358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54"/>
        </w:trPr>
        <w:tc>
          <w:tcPr>
            <w:tcW w:w="3960" w:type="dxa"/>
            <w:vAlign w:val="bottom"/>
            <w:tcBorders>
              <w:left w:val="single" w:sz="8" w:color="auto"/>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r>
        <w:trPr>
          <w:trHeight w:val="264"/>
        </w:trPr>
        <w:tc>
          <w:tcPr>
            <w:tcW w:w="3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WM</w:t>
            </w:r>
          </w:p>
        </w:tc>
        <w:tc>
          <w:tcPr>
            <w:tcW w:w="3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New York Stock Exchange</w:t>
            </w:r>
          </w:p>
        </w:tc>
      </w:tr>
      <w:tr>
        <w:trPr>
          <w:trHeight w:val="54"/>
        </w:trPr>
        <w:tc>
          <w:tcPr>
            <w:tcW w:w="3960" w:type="dxa"/>
            <w:vAlign w:val="bottom"/>
            <w:tcBorders>
              <w:left w:val="single" w:sz="8" w:color="auto"/>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614045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Waste Management, Inc. (the “Company”) is filing this Current Report on Form 8-K to update its prior timing expectations with respect to the acquisition of Advanced Disposal Services, Inc. and the corresponding sale of regulatory divestitures to GFL Environmental, Inc. The Company now anticipates closing these transactions early in the fourth quarter of 2020, following the anticipated completion of the U.S. Department of Justice’s regulatory review of the acquisition.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filing contains “forward-looking statements” within the meaning of the U.S. federal securities laws about the Company and the acquisition and divestitures, including statements about timing and approvals of the pending transactions, which are made pursuant to the safe harbor provisions of the Private Securities Litigation Reform Act of 1995. Potential investors, stockholders, and other readers should view these statements with caution and should not place undue reliance on such statements. They are based on the facts and circumstances known to the Company as of the date the statements are made. These forward-looking statements are subject to risks and uncertainties that could cause actual results to be materially different from those set forth in such forward-looking statements, including but not limited to, general economic and capital markets conditions; public health risk and other impacts of COVID-19 or similar pandemic conditions; legal proceedings that may be instituted related to the transactions; unexpected costs, charges or expenses; and other risks and uncertainties described in the Company’s filings with the SEC, including Part I, Item 1A of its most recently filed Annual Report on Form 10-K and subsequent reports on Form 10-Q, which are incorporated herein by reference, and in other documents that the Company shall file or furnish with the SEC. Except to the extent required by law, the Company does not assume any obligation to update any forward-looking statement, including financial estimates and forecasts, after it has been made, whether as a result of new information, future events, circumstances or developments or otherwise.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54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648"/>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25, 2020</w:t>
            </w:r>
          </w:p>
        </w:tc>
        <w:tc>
          <w:tcPr>
            <w:tcW w:w="754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Charles C. Boettcher</w:t>
            </w:r>
          </w:p>
        </w:tc>
      </w:tr>
      <w:tr>
        <w:trPr>
          <w:trHeight w:val="191"/>
        </w:trPr>
        <w:tc>
          <w:tcPr>
            <w:tcW w:w="37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3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Charles C. Boettcher</w:t>
            </w:r>
          </w:p>
        </w:tc>
      </w:tr>
      <w:tr>
        <w:trPr>
          <w:trHeight w:val="216"/>
        </w:trPr>
        <w:tc>
          <w:tcPr>
            <w:tcW w:w="37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Corporate Development and Chief Legal</w:t>
            </w:r>
          </w:p>
        </w:tc>
      </w:tr>
      <w:tr>
        <w:trPr>
          <w:trHeight w:val="234"/>
        </w:trPr>
        <w:tc>
          <w:tcPr>
            <w:tcW w:w="37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r>
        <w:trPr>
          <w:trHeight w:val="648"/>
        </w:trPr>
        <w:tc>
          <w:tcPr>
            <w:tcW w:w="37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3</w:t>
            </w:r>
          </w:p>
        </w:tc>
        <w:tc>
          <w:tcPr>
            <w:tcW w:w="53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2020-09-25T15:11:27Z</dcterms:created>
  <dcterms:modified xsi:type="dcterms:W3CDTF">2020-09-25T15:11:27Z</dcterms:modified>
</cp:coreProperties>
</file>