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PROSPECTUS SUPPLEMENT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(To Prospectus dated September 22, 2006)</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215,000 SHARES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March 8, 2007, the last reported sale price of the common stock on the New York Stock Exchange was $33.84 per share.</w:t>
      </w:r>
    </w:p>
    <w:p>
      <w:pPr>
        <w:spacing w:after="0" w:line="62"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We are issuing the shares directly to a warrant holder upon exercise by such holder of eight currently outstanding warrants. The warrants, originally issued in 1997, entitle the holder to purchase an aggregate of 215,000 shares of our common stock at a purchase price of $19.3020 per share.</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use the net proceeds of approximately $4 million from the sale of the shares for general corporate purposes.</w:t>
      </w:r>
    </w:p>
    <w:p>
      <w:pPr>
        <w:spacing w:after="0" w:line="113"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of our periodic reports and incorporated in the prospectus dated September 22, 2006 by reference to the those reports.</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March 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248920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March 9, 2007</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2019-12-20T03:54:36Z</dcterms:created>
  <dcterms:modified xsi:type="dcterms:W3CDTF">2019-12-20T03:54:36Z</dcterms:modified>
</cp:coreProperties>
</file>