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Reed David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CAPITOL STREET, SUITE 3000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WASTE MANAGEMENT INC</w:t>
              </w:r>
            </w:hyperlink>
            <w:r>
              <w:rPr/>
              <w:t xml:space="preserve"> [ </w:t>
            </w:r>
            <w:r>
              <w:rPr>
                <w:rFonts w:ascii="Times;serif" w:hAnsi="Times;serif"/>
                <w:color w:val="0000FF"/>
                <w:sz w:val="24"/>
                <w:shd w:fill="FFFFFF" w:val="clear"/>
              </w:rPr>
              <w:t>WM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8"/>
        <w:gridCol w:w="907"/>
        <w:gridCol w:w="780"/>
        <w:gridCol w:w="602"/>
        <w:gridCol w:w="332"/>
        <w:gridCol w:w="1137"/>
        <w:gridCol w:w="403"/>
        <w:gridCol w:w="832"/>
        <w:gridCol w:w="1268"/>
        <w:gridCol w:w="938"/>
        <w:gridCol w:w="11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5,357.168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3,136.832</w:t>
            </w:r>
            <w:r>
              <w:rPr>
                <w:rFonts w:ascii="Times;serif" w:hAnsi="Times;serif"/>
                <w:color w:val="008000"/>
                <w:position w:val="7"/>
                <w:sz w:val="16"/>
                <w:sz w:val="20"/>
                <w:shd w:fill="FFFFFF" w:val="clear"/>
              </w:rPr>
              <w:t>(1)</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5,357.168</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5,357.168</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Cr77 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redeemed a 0.6057 fractional share for cash in connection with transferring shares of Common Stock to a new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7, 2026, the reporting person transferred 5,357.1680 shares of Common Stock to the Cr77 Revocable Trust for no consideration. The reporting person and his spouse are the trustees and the beneficiaries of the trust. The reporting person remains the beneficial owner of the securities held by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Courtney Tippy,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257" TargetMode="External"/><Relationship Id="rId5" Type="http://schemas.openxmlformats.org/officeDocument/2006/relationships/hyperlink" Target="http://www.sec.gov/cgi-bin/browse-edgar?action=getcompany&amp;CIK=00008237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3519</Characters>
  <CharactersWithSpaces>4091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