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2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0"/>
          <w:szCs w:val="40"/>
          <w:b w:val="1"/>
          <w:bCs w:val="1"/>
          <w:color w:val="auto"/>
        </w:rPr>
        <w:t>Waste Management, Inc.</w:t>
      </w:r>
    </w:p>
    <w:p>
      <w:pPr>
        <w:spacing w:after="0" w:line="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1020" w:hanging="652"/>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2" w:lineRule="exact"/>
        <w:rPr>
          <w:rFonts w:ascii="Times New Roman" w:cs="Times New Roman" w:eastAsia="Times New Roman" w:hAnsi="Times New Roman"/>
          <w:sz w:val="18"/>
          <w:szCs w:val="18"/>
          <w:color w:val="auto"/>
        </w:rPr>
      </w:pPr>
    </w:p>
    <w:p>
      <w:pPr>
        <w:ind w:left="1020" w:hanging="652"/>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52" w:lineRule="exact"/>
        <w:rPr>
          <w:rFonts w:ascii="Times New Roman" w:cs="Times New Roman" w:eastAsia="Times New Roman" w:hAnsi="Times New Roman"/>
          <w:sz w:val="18"/>
          <w:szCs w:val="18"/>
          <w:color w:val="auto"/>
        </w:rPr>
      </w:pPr>
    </w:p>
    <w:p>
      <w:pPr>
        <w:ind w:left="1020" w:hanging="652"/>
        <w:spacing w:after="0" w:line="282"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10" w:lineRule="exact"/>
        <w:rPr>
          <w:rFonts w:ascii="Times New Roman" w:cs="Times New Roman" w:eastAsia="Times New Roman" w:hAnsi="Times New Roman"/>
          <w:sz w:val="18"/>
          <w:szCs w:val="18"/>
          <w:color w:val="auto"/>
        </w:rPr>
      </w:pPr>
    </w:p>
    <w:p>
      <w:pPr>
        <w:ind w:left="1020" w:hanging="652"/>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1020" w:hanging="652"/>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73" w:lineRule="exact"/>
        <w:rPr>
          <w:rFonts w:ascii="MS PGothic" w:cs="MS PGothic" w:eastAsia="MS PGothic" w:hAnsi="MS PGothic"/>
          <w:sz w:val="18"/>
          <w:szCs w:val="18"/>
          <w:color w:val="auto"/>
        </w:rPr>
      </w:pPr>
    </w:p>
    <w:p>
      <w:pPr>
        <w:ind w:left="460" w:right="320" w:hanging="452"/>
        <w:spacing w:after="0" w:line="282" w:lineRule="auto"/>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0" w:lineRule="exact"/>
        <w:rPr>
          <w:rFonts w:ascii="MS PGothic" w:cs="MS PGothic" w:eastAsia="MS PGothic" w:hAnsi="MS PGothic"/>
          <w:sz w:val="18"/>
          <w:szCs w:val="18"/>
          <w:color w:val="auto"/>
        </w:rPr>
      </w:pPr>
    </w:p>
    <w:p>
      <w:pPr>
        <w:ind w:left="1020" w:hanging="652"/>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52" w:lineRule="exact"/>
        <w:rPr>
          <w:rFonts w:ascii="Times New Roman" w:cs="Times New Roman" w:eastAsia="Times New Roman" w:hAnsi="Times New Roman"/>
          <w:sz w:val="18"/>
          <w:szCs w:val="18"/>
          <w:color w:val="auto"/>
        </w:rPr>
      </w:pPr>
    </w:p>
    <w:p>
      <w:pPr>
        <w:ind w:left="1020" w:hanging="652"/>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52" w:lineRule="exact"/>
        <w:rPr>
          <w:rFonts w:ascii="Times New Roman" w:cs="Times New Roman" w:eastAsia="Times New Roman" w:hAnsi="Times New Roman"/>
          <w:sz w:val="18"/>
          <w:szCs w:val="18"/>
          <w:color w:val="auto"/>
        </w:rPr>
      </w:pPr>
    </w:p>
    <w:p>
      <w:pPr>
        <w:ind w:left="1020" w:hanging="652"/>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52" w:lineRule="exact"/>
        <w:rPr>
          <w:rFonts w:ascii="Times New Roman" w:cs="Times New Roman" w:eastAsia="Times New Roman" w:hAnsi="Times New Roman"/>
          <w:sz w:val="18"/>
          <w:szCs w:val="18"/>
          <w:color w:val="auto"/>
        </w:rPr>
      </w:pPr>
    </w:p>
    <w:p>
      <w:pPr>
        <w:ind w:left="1020" w:hanging="652"/>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648335</wp:posOffset>
            </wp:positionH>
            <wp:positionV relativeFrom="paragraph">
              <wp:posOffset>-3498215</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-3206750</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-2777490</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-2409190</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-2117090</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-719455</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-427990</wp:posOffset>
            </wp:positionV>
            <wp:extent cx="6603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-136525</wp:posOffset>
            </wp:positionV>
            <wp:extent cx="6603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154940</wp:posOffset>
            </wp:positionV>
            <wp:extent cx="66033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6" w:right="35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208280</wp:posOffset>
            </wp:positionV>
            <wp:extent cx="2478405" cy="875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840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1001 Fannin Street</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5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2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OF WASTE MANAGEMENT,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and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2017 at 11:00 a.m., Central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Maury Myers Conference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35" w:lineRule="exact"/>
        <w:rPr>
          <w:sz w:val="20"/>
          <w:szCs w:val="20"/>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w:t>
      </w:r>
    </w:p>
    <w:p>
      <w:pPr>
        <w:spacing w:after="0" w:line="130" w:lineRule="exact"/>
        <w:rPr>
          <w:rFonts w:ascii="Times New Roman" w:cs="Times New Roman" w:eastAsia="Times New Roman" w:hAnsi="Times New Roman"/>
          <w:sz w:val="18"/>
          <w:szCs w:val="18"/>
          <w:color w:val="auto"/>
        </w:rPr>
      </w:pPr>
    </w:p>
    <w:p>
      <w:pPr>
        <w:ind w:left="660" w:right="60" w:hanging="206"/>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ratify the appointment of Ernst &amp; Young LLP as our independent registered public accounting firm for the fiscal year ending December 31, 2017;</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approve our executive compensation;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regarding the frequency of the advisory vote on our executive compensation;</w:t>
      </w:r>
    </w:p>
    <w:p>
      <w:pPr>
        <w:spacing w:after="0" w:line="130"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stockholder proposal regarding a policy on acceleration of vesting of equity awards in the event of a change in control, if properly presented at the meeting;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other business that is properly raised at the meeting.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Only stockholders of record on March 15, 2017 may vote at the meeting.</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131445</wp:posOffset>
            </wp:positionV>
            <wp:extent cx="164655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76465" cy="561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61340"/>
                    </a:xfrm>
                    <a:prstGeom prst="rect">
                      <a:avLst/>
                    </a:prstGeom>
                    <a:noFill/>
                  </pic:spPr>
                </pic:pic>
              </a:graphicData>
            </a:graphic>
          </wp:anchor>
        </w:drawing>
      </w:r>
    </w:p>
    <w:p>
      <w:pPr>
        <w:spacing w:after="0" w:line="336" w:lineRule="exact"/>
        <w:rPr>
          <w:sz w:val="20"/>
          <w:szCs w:val="20"/>
          <w:color w:val="auto"/>
        </w:rPr>
      </w:pPr>
    </w:p>
    <w:p>
      <w:pPr>
        <w:ind w:left="260" w:right="32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MAY 12, 2017: This Notice of Annual Meeting and Proxy Statement and the Company’s Annual Report on Form 10-K for the year ended December 31, 2016 are available at www.wm.com.</w:t>
      </w:r>
    </w:p>
    <w:p>
      <w:pPr>
        <w:sectPr>
          <w:pgSz w:w="11900" w:h="16838" w:orient="portrait"/>
          <w:cols w:equalWidth="0" w:num="1">
            <w:col w:w="10960"/>
          </w:cols>
          <w:pgMar w:left="240" w:top="455" w:right="6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8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80" w:type="dxa"/>
            <w:vAlign w:val="bottom"/>
            <w:gridSpan w:val="15"/>
            <w:vMerge w:val="restart"/>
          </w:tcPr>
          <w:p>
            <w:pPr>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GENERAL INFORMATION</w:t>
              </w:r>
            </w:hyperlink>
          </w:p>
        </w:tc>
        <w:tc>
          <w:tcPr>
            <w:tcW w:w="8780" w:type="dxa"/>
            <w:vAlign w:val="bottom"/>
            <w:gridSpan w:val="28"/>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2280" w:type="dxa"/>
            <w:vAlign w:val="bottom"/>
            <w:tcBorders>
              <w:bottom w:val="single" w:sz="8" w:color="0000EE"/>
            </w:tcBorders>
            <w:gridSpan w:val="15"/>
            <w:vMerge w:val="continue"/>
          </w:tcPr>
          <w:p>
            <w:pPr>
              <w:spacing w:after="0"/>
              <w:rPr>
                <w:sz w:val="14"/>
                <w:szCs w:val="14"/>
                <w:color w:val="auto"/>
              </w:rPr>
            </w:pPr>
          </w:p>
        </w:tc>
        <w:tc>
          <w:tcPr>
            <w:tcW w:w="8780" w:type="dxa"/>
            <w:vAlign w:val="bottom"/>
            <w:gridSpan w:val="28"/>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60" w:type="dxa"/>
            <w:vAlign w:val="bottom"/>
            <w:gridSpan w:val="43"/>
          </w:tcPr>
          <w:p>
            <w:pPr>
              <w:spacing w:after="0" w:line="196" w:lineRule="exact"/>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BOARD OF DIRECTORS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Leadership Structure</w:t>
              </w:r>
            </w:hyperlink>
          </w:p>
        </w:tc>
        <w:tc>
          <w:tcPr>
            <w:tcW w:w="360" w:type="dxa"/>
            <w:vAlign w:val="bottom"/>
            <w:tcBorders>
              <w:top w:val="single" w:sz="8" w:color="0000EE"/>
            </w:tcBorders>
            <w:gridSpan w:val="5"/>
          </w:tcPr>
          <w:p>
            <w:pPr>
              <w:spacing w:after="0"/>
              <w:rPr>
                <w:sz w:val="17"/>
                <w:szCs w:val="17"/>
                <w:color w:val="auto"/>
              </w:rPr>
            </w:pPr>
          </w:p>
        </w:tc>
        <w:tc>
          <w:tcPr>
            <w:tcW w:w="900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Role in Risk Oversight</w:t>
              </w:r>
            </w:hyperlink>
          </w:p>
        </w:tc>
        <w:tc>
          <w:tcPr>
            <w:tcW w:w="920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w:anchor="page9">
              <w:r>
                <w:rPr>
                  <w:rFonts w:ascii="Times New Roman" w:cs="Times New Roman" w:eastAsia="Times New Roman" w:hAnsi="Times New Roman"/>
                  <w:sz w:val="18"/>
                  <w:szCs w:val="18"/>
                  <w:color w:val="0000EE"/>
                  <w:w w:val="98"/>
                </w:rPr>
                <w:t>Independence of Board Members</w:t>
              </w:r>
            </w:hyperlink>
          </w:p>
        </w:tc>
        <w:tc>
          <w:tcPr>
            <w:tcW w:w="846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42"/>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Meetings and Board Committees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Audit Committee</w:t>
              </w:r>
            </w:hyperlink>
          </w:p>
        </w:tc>
        <w:tc>
          <w:tcPr>
            <w:tcW w:w="850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Audit Committee Report</w:t>
              </w:r>
            </w:hyperlink>
          </w:p>
        </w:tc>
        <w:tc>
          <w:tcPr>
            <w:tcW w:w="908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Management Development and Compensation Committee</w:t>
              </w:r>
            </w:hyperlink>
          </w:p>
        </w:tc>
        <w:tc>
          <w:tcPr>
            <w:tcW w:w="668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42"/>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Compensation Committee Report</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Compensation Committee Interlocks and Insider Participation</w:t>
              </w:r>
            </w:hyperlink>
          </w:p>
        </w:tc>
        <w:tc>
          <w:tcPr>
            <w:tcW w:w="640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Nominating and Governance Committee</w:t>
              </w:r>
            </w:hyperlink>
          </w:p>
        </w:tc>
        <w:tc>
          <w:tcPr>
            <w:tcW w:w="794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42"/>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Related Party Transactions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Special Committee</w:t>
              </w:r>
            </w:hyperlink>
          </w:p>
        </w:tc>
        <w:tc>
          <w:tcPr>
            <w:tcW w:w="894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0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Board of Directors Governing Documents</w:t>
              </w:r>
            </w:hyperlink>
          </w:p>
        </w:tc>
        <w:tc>
          <w:tcPr>
            <w:tcW w:w="784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Non-Employee Director Compensation</w:t>
              </w:r>
            </w:hyperlink>
          </w:p>
        </w:tc>
        <w:tc>
          <w:tcPr>
            <w:tcW w:w="802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b w:val="1"/>
                <w:bCs w:val="1"/>
                <w:color w:val="0000EE"/>
                <w:w w:val="99"/>
              </w:rPr>
            </w:pPr>
            <w:hyperlink w:anchor="page19">
              <w:r>
                <w:rPr>
                  <w:rFonts w:ascii="Times New Roman" w:cs="Times New Roman" w:eastAsia="Times New Roman" w:hAnsi="Times New Roman"/>
                  <w:sz w:val="18"/>
                  <w:szCs w:val="18"/>
                  <w:b w:val="1"/>
                  <w:bCs w:val="1"/>
                  <w:color w:val="0000EE"/>
                  <w:w w:val="99"/>
                </w:rPr>
                <w:t>ELECTION OF DIRECTORS (Item 1 on the Proxy Card)</w:t>
              </w:r>
            </w:hyperlink>
          </w:p>
        </w:tc>
        <w:tc>
          <w:tcPr>
            <w:tcW w:w="656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1060" w:type="dxa"/>
            <w:vAlign w:val="bottom"/>
            <w:gridSpan w:val="43"/>
          </w:tcPr>
          <w:p>
            <w:pPr>
              <w:spacing w:after="0" w:line="19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DIRECTOR AND OFFICER STOCK OWNERSHIP</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43"/>
          </w:tcPr>
          <w:p>
            <w:pPr>
              <w:spacing w:after="0" w:line="196" w:lineRule="exact"/>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SECURITY OWNERSHIP OF CERTAIN BENEFICIAL OWNERS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43"/>
          </w:tcPr>
          <w:p>
            <w:pPr>
              <w:spacing w:after="0" w:line="196" w:lineRule="exact"/>
              <w:rPr>
                <w:rFonts w:ascii="Times New Roman" w:cs="Times New Roman" w:eastAsia="Times New Roman" w:hAnsi="Times New Roman"/>
                <w:sz w:val="18"/>
                <w:szCs w:val="18"/>
                <w:b w:val="1"/>
                <w:bCs w:val="1"/>
                <w:color w:val="0000EE"/>
              </w:rPr>
            </w:pPr>
            <w:hyperlink w:anchor="page25">
              <w:r>
                <w:rPr>
                  <w:rFonts w:ascii="Times New Roman" w:cs="Times New Roman" w:eastAsia="Times New Roman" w:hAnsi="Times New Roman"/>
                  <w:sz w:val="18"/>
                  <w:szCs w:val="18"/>
                  <w:b w:val="1"/>
                  <w:bCs w:val="1"/>
                  <w:color w:val="0000EE"/>
                </w:rPr>
                <w:t>SECTION 16(A) BENEFICIAL OWNERSHIP REPORTING COMPLIANCE</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b w:val="1"/>
                <w:bCs w:val="1"/>
                <w:color w:val="0000EE"/>
                <w:w w:val="99"/>
              </w:rPr>
            </w:pPr>
            <w:hyperlink w:anchor="page26">
              <w:r>
                <w:rPr>
                  <w:rFonts w:ascii="Times New Roman" w:cs="Times New Roman" w:eastAsia="Times New Roman" w:hAnsi="Times New Roman"/>
                  <w:sz w:val="18"/>
                  <w:szCs w:val="18"/>
                  <w:b w:val="1"/>
                  <w:bCs w:val="1"/>
                  <w:color w:val="0000EE"/>
                  <w:w w:val="99"/>
                </w:rPr>
                <w:t>EXECUTIVE OFFICERS</w:t>
              </w:r>
            </w:hyperlink>
          </w:p>
        </w:tc>
        <w:tc>
          <w:tcPr>
            <w:tcW w:w="4000" w:type="dxa"/>
            <w:vAlign w:val="bottom"/>
            <w:tcBorders>
              <w:top w:val="single" w:sz="8" w:color="0000EE"/>
            </w:tcBorders>
            <w:gridSpan w:val="28"/>
          </w:tcPr>
          <w:p>
            <w:pPr>
              <w:spacing w:after="0"/>
              <w:rPr>
                <w:sz w:val="17"/>
                <w:szCs w:val="17"/>
                <w:color w:val="auto"/>
              </w:rPr>
            </w:pPr>
          </w:p>
        </w:tc>
        <w:tc>
          <w:tcPr>
            <w:tcW w:w="50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b w:val="1"/>
                <w:bCs w:val="1"/>
                <w:color w:val="0000EE"/>
                <w:w w:val="98"/>
              </w:rPr>
            </w:pPr>
            <w:hyperlink w:anchor="page27">
              <w:r>
                <w:rPr>
                  <w:rFonts w:ascii="Times New Roman" w:cs="Times New Roman" w:eastAsia="Times New Roman" w:hAnsi="Times New Roman"/>
                  <w:sz w:val="18"/>
                  <w:szCs w:val="18"/>
                  <w:b w:val="1"/>
                  <w:bCs w:val="1"/>
                  <w:color w:val="0000EE"/>
                  <w:w w:val="98"/>
                </w:rPr>
                <w:t>EXECUTIVE COMPENSATION</w:t>
              </w:r>
            </w:hyperlink>
          </w:p>
        </w:tc>
        <w:tc>
          <w:tcPr>
            <w:tcW w:w="846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Compensation Discussion and Analysis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Executive Summary</w:t>
              </w:r>
            </w:hyperlink>
          </w:p>
        </w:tc>
        <w:tc>
          <w:tcPr>
            <w:tcW w:w="1340" w:type="dxa"/>
            <w:vAlign w:val="bottom"/>
            <w:tcBorders>
              <w:top w:val="single" w:sz="8" w:color="0000EE"/>
            </w:tcBorders>
            <w:gridSpan w:val="16"/>
          </w:tcPr>
          <w:p>
            <w:pPr>
              <w:spacing w:after="0"/>
              <w:rPr>
                <w:sz w:val="17"/>
                <w:szCs w:val="17"/>
                <w:color w:val="auto"/>
              </w:rPr>
            </w:pPr>
          </w:p>
        </w:tc>
        <w:tc>
          <w:tcPr>
            <w:tcW w:w="78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41"/>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Our Compensation Philosophy for Named Executive Officers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4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Overview of Elements of Our 2016 Compensation Program</w:t>
              </w:r>
            </w:hyperlink>
          </w:p>
        </w:tc>
        <w:tc>
          <w:tcPr>
            <w:tcW w:w="62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41"/>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How Named Executive Officer Compensation Decisions are Made</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Named Executives’ 2016 Compensation Program and Results</w:t>
              </w:r>
            </w:hyperlink>
          </w:p>
        </w:tc>
        <w:tc>
          <w:tcPr>
            <w:tcW w:w="340" w:type="dxa"/>
            <w:vAlign w:val="bottom"/>
            <w:tcBorders>
              <w:top w:val="single" w:sz="8" w:color="0000EE"/>
            </w:tcBorders>
          </w:tcPr>
          <w:p>
            <w:pPr>
              <w:spacing w:after="0"/>
              <w:rPr>
                <w:sz w:val="17"/>
                <w:szCs w:val="17"/>
                <w:color w:val="auto"/>
              </w:rPr>
            </w:pPr>
          </w:p>
        </w:tc>
        <w:tc>
          <w:tcPr>
            <w:tcW w:w="590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Other Compensation Policies and Practices</w:t>
              </w:r>
            </w:hyperlink>
          </w:p>
        </w:tc>
        <w:tc>
          <w:tcPr>
            <w:tcW w:w="758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b w:val="1"/>
                <w:bCs w:val="1"/>
                <w:color w:val="0000EE"/>
                <w:w w:val="99"/>
              </w:rPr>
            </w:pPr>
            <w:hyperlink w:anchor="page45">
              <w:r>
                <w:rPr>
                  <w:rFonts w:ascii="Times New Roman" w:cs="Times New Roman" w:eastAsia="Times New Roman" w:hAnsi="Times New Roman"/>
                  <w:sz w:val="18"/>
                  <w:szCs w:val="18"/>
                  <w:b w:val="1"/>
                  <w:bCs w:val="1"/>
                  <w:color w:val="0000EE"/>
                  <w:w w:val="99"/>
                </w:rPr>
                <w:t>Executive Compensation Tables</w:t>
              </w:r>
            </w:hyperlink>
          </w:p>
        </w:tc>
        <w:tc>
          <w:tcPr>
            <w:tcW w:w="842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w:anchor="page45">
              <w:r>
                <w:rPr>
                  <w:rFonts w:ascii="Times New Roman" w:cs="Times New Roman" w:eastAsia="Times New Roman" w:hAnsi="Times New Roman"/>
                  <w:sz w:val="18"/>
                  <w:szCs w:val="18"/>
                  <w:color w:val="0000EE"/>
                  <w:w w:val="98"/>
                </w:rPr>
                <w:t>Summary Compensation Table</w:t>
              </w:r>
            </w:hyperlink>
          </w:p>
        </w:tc>
        <w:tc>
          <w:tcPr>
            <w:tcW w:w="846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Grant of Plan-Based Awards in 2016</w:t>
              </w:r>
            </w:hyperlink>
          </w:p>
        </w:tc>
        <w:tc>
          <w:tcPr>
            <w:tcW w:w="804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Outstanding Equity Awards at December 31, 2016</w:t>
              </w:r>
            </w:hyperlink>
          </w:p>
        </w:tc>
        <w:tc>
          <w:tcPr>
            <w:tcW w:w="706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41"/>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Option Exercises and Stock Vested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Nonqualified Deferred Compensation in 2016</w:t>
              </w:r>
            </w:hyperlink>
          </w:p>
        </w:tc>
        <w:tc>
          <w:tcPr>
            <w:tcW w:w="738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700" w:type="dxa"/>
            <w:vAlign w:val="bottom"/>
            <w:gridSpan w:val="41"/>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Potential Payments Upon Termination or Change in Control</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2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Equity Compensation Plan Table</w:t>
              </w:r>
            </w:hyperlink>
          </w:p>
        </w:tc>
        <w:tc>
          <w:tcPr>
            <w:tcW w:w="638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820" w:type="dxa"/>
            <w:vAlign w:val="bottom"/>
            <w:gridSpan w:val="13"/>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b w:val="1"/>
                <w:bCs w:val="1"/>
                <w:color w:val="0000EE"/>
                <w:w w:val="99"/>
              </w:rPr>
            </w:pPr>
            <w:hyperlink w:anchor="page59">
              <w:r>
                <w:rPr>
                  <w:rFonts w:ascii="Times New Roman" w:cs="Times New Roman" w:eastAsia="Times New Roman" w:hAnsi="Times New Roman"/>
                  <w:sz w:val="18"/>
                  <w:szCs w:val="18"/>
                  <w:b w:val="1"/>
                  <w:bCs w:val="1"/>
                  <w:color w:val="0000EE"/>
                  <w:w w:val="99"/>
                </w:rPr>
                <w:t>RATIFICATION OF INDEPENDENT REGISTERED PUBLIC ACCOUNTING FIRM</w:t>
              </w:r>
            </w:hyperlink>
          </w:p>
        </w:tc>
        <w:tc>
          <w:tcPr>
            <w:tcW w:w="43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59">
              <w:r>
                <w:rPr>
                  <w:rFonts w:ascii="Times New Roman" w:cs="Times New Roman" w:eastAsia="Times New Roman" w:hAnsi="Times New Roman"/>
                  <w:sz w:val="18"/>
                  <w:szCs w:val="18"/>
                  <w:b w:val="1"/>
                  <w:bCs w:val="1"/>
                  <w:color w:val="0000EE"/>
                </w:rPr>
                <w:t>(Item 2 on the Proxy Card)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2300" w:type="dxa"/>
            <w:vAlign w:val="bottom"/>
            <w:gridSpan w:val="18"/>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b w:val="1"/>
                <w:bCs w:val="1"/>
                <w:color w:val="0000EE"/>
                <w:w w:val="99"/>
              </w:rPr>
            </w:pPr>
            <w:hyperlink w:anchor="page60">
              <w:r>
                <w:rPr>
                  <w:rFonts w:ascii="Times New Roman" w:cs="Times New Roman" w:eastAsia="Times New Roman" w:hAnsi="Times New Roman"/>
                  <w:sz w:val="18"/>
                  <w:szCs w:val="18"/>
                  <w:b w:val="1"/>
                  <w:bCs w:val="1"/>
                  <w:color w:val="0000EE"/>
                  <w:w w:val="99"/>
                </w:rPr>
                <w:t>ADVISORY VOTE ON EXECUTIVE COMPENSATION (Item 3 on the Proxy Card)</w:t>
              </w:r>
            </w:hyperlink>
          </w:p>
        </w:tc>
        <w:tc>
          <w:tcPr>
            <w:tcW w:w="44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032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b w:val="1"/>
                <w:bCs w:val="1"/>
                <w:color w:val="0000EE"/>
                <w:w w:val="99"/>
              </w:rPr>
            </w:pPr>
            <w:hyperlink w:anchor="page62">
              <w:r>
                <w:rPr>
                  <w:rFonts w:ascii="Times New Roman" w:cs="Times New Roman" w:eastAsia="Times New Roman" w:hAnsi="Times New Roman"/>
                  <w:sz w:val="18"/>
                  <w:szCs w:val="18"/>
                  <w:b w:val="1"/>
                  <w:bCs w:val="1"/>
                  <w:color w:val="0000EE"/>
                  <w:w w:val="99"/>
                </w:rPr>
                <w:t>ADVISORY VOTE ON FREQUENCY OF FUTURE ADVISORY VOTES ON EXECUTIVE COMPENSATION (Item 4 on the Proxy</w:t>
              </w:r>
            </w:hyperlink>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80" w:type="dxa"/>
            <w:vAlign w:val="bottom"/>
            <w:gridSpan w:val="42"/>
          </w:tcPr>
          <w:p>
            <w:pPr>
              <w:spacing w:after="0" w:line="196" w:lineRule="exact"/>
              <w:rPr>
                <w:rFonts w:ascii="Times New Roman" w:cs="Times New Roman" w:eastAsia="Times New Roman" w:hAnsi="Times New Roman"/>
                <w:sz w:val="18"/>
                <w:szCs w:val="18"/>
                <w:b w:val="1"/>
                <w:bCs w:val="1"/>
                <w:color w:val="0000EE"/>
              </w:rPr>
            </w:pPr>
            <w:hyperlink w:anchor="page62">
              <w:r>
                <w:rPr>
                  <w:rFonts w:ascii="Times New Roman" w:cs="Times New Roman" w:eastAsia="Times New Roman" w:hAnsi="Times New Roman"/>
                  <w:sz w:val="18"/>
                  <w:szCs w:val="18"/>
                  <w:b w:val="1"/>
                  <w:bCs w:val="1"/>
                  <w:color w:val="0000EE"/>
                </w:rPr>
                <w:t>Card)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980" w:type="dxa"/>
            <w:vAlign w:val="bottom"/>
            <w:gridSpan w:val="26"/>
          </w:tcPr>
          <w:p>
            <w:pPr>
              <w:spacing w:after="0" w:line="20" w:lineRule="exact"/>
              <w:rPr>
                <w:sz w:val="1"/>
                <w:szCs w:val="1"/>
                <w:color w:val="auto"/>
              </w:rPr>
            </w:pPr>
          </w:p>
        </w:tc>
        <w:tc>
          <w:tcPr>
            <w:tcW w:w="6500" w:type="dxa"/>
            <w:vAlign w:val="bottom"/>
            <w:gridSpan w:val="1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43"/>
          </w:tcPr>
          <w:p>
            <w:pPr>
              <w:spacing w:after="0" w:line="196" w:lineRule="exact"/>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STOCKHOLDER PROPOSAL (Item 5 on the Proxy Card)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b w:val="1"/>
                <w:bCs w:val="1"/>
                <w:color w:val="0000EE"/>
                <w:w w:val="98"/>
              </w:rPr>
            </w:pPr>
            <w:hyperlink w:anchor="page65">
              <w:r>
                <w:rPr>
                  <w:rFonts w:ascii="Times New Roman" w:cs="Times New Roman" w:eastAsia="Times New Roman" w:hAnsi="Times New Roman"/>
                  <w:sz w:val="18"/>
                  <w:szCs w:val="18"/>
                  <w:b w:val="1"/>
                  <w:bCs w:val="1"/>
                  <w:color w:val="0000EE"/>
                  <w:w w:val="98"/>
                </w:rPr>
                <w:t>OTHER MATTERS</w:t>
              </w:r>
            </w:hyperlink>
          </w:p>
        </w:tc>
        <w:tc>
          <w:tcPr>
            <w:tcW w:w="2980" w:type="dxa"/>
            <w:vAlign w:val="bottom"/>
            <w:tcBorders>
              <w:top w:val="single" w:sz="8" w:color="0000EE"/>
            </w:tcBorders>
            <w:gridSpan w:val="26"/>
          </w:tcPr>
          <w:p>
            <w:pPr>
              <w:spacing w:after="0"/>
              <w:rPr>
                <w:sz w:val="17"/>
                <w:szCs w:val="17"/>
                <w:color w:val="auto"/>
              </w:rPr>
            </w:pPr>
          </w:p>
        </w:tc>
        <w:tc>
          <w:tcPr>
            <w:tcW w:w="65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WASTE MANAGEMENT,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1001 Fannin Street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207"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Waste Management, Inc. is a holding company, and all operations are conducted by its subsidiaries. Our subsidiaries are operated and managed locally and focus on providing services in distinct geographic areas. Through our subsidiaries, we are North America’s leading provider of comprehensive waste management environmental services, and we are also a leading developer, operator and owner of landfill gas-to-energy facilities in the United States.</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Board of Directors is soliciting your proxy for the 2017 Annual Meeting of Stockholders and at any postponement or adjournment of the meeting. We are furnishing proxy materials to our stockholders primarily via the Internet. On March 24, 2017, we sent an electronic notice of how to access our proxy materials and our Annual Report to stockholders that have previously signed up to receive their proxy materials via the Internet. On March 24, 2017,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ectPr>
          <w:pgSz w:w="11900" w:h="16838" w:orient="portrait"/>
          <w:cols w:equalWidth="0" w:num="1">
            <w:col w:w="11420"/>
          </w:cols>
          <w:pgMar w:left="240" w:top="455" w:right="2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2017.</w:t>
      </w:r>
    </w:p>
    <w:p>
      <w:pPr>
        <w:spacing w:after="0" w:line="140"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majority of shares outstanding on the record date must be present in person or by proxy.</w:t>
      </w:r>
    </w:p>
    <w:p>
      <w:pPr>
        <w:spacing w:after="0" w:line="152"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Shares Outstanding</w:t>
      </w:r>
    </w:p>
    <w:p>
      <w:pPr>
        <w:spacing w:after="0" w:line="20" w:lineRule="exact"/>
        <w:rPr>
          <w:sz w:val="20"/>
          <w:szCs w:val="20"/>
          <w:color w:val="auto"/>
        </w:rPr>
      </w:pPr>
      <w:r>
        <w:rPr>
          <w:sz w:val="20"/>
          <w:szCs w:val="20"/>
          <w:color w:val="auto"/>
        </w:rPr>
        <w:br w:type="column"/>
      </w: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were 441,798,677 shares of Common Stock outstanding and entitled to vote as of March 15, 2017.</w:t>
      </w:r>
    </w:p>
    <w:p>
      <w:pPr>
        <w:spacing w:after="0" w:line="63"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Voting by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Internet, phone, or mail.</w:t>
      </w:r>
    </w:p>
    <w:p>
      <w:pPr>
        <w:spacing w:after="0" w:line="152"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Voting at the Meeting</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8"/>
          <w:szCs w:val="18"/>
          <w:color w:val="auto"/>
        </w:rPr>
        <w:t>Stockholders can vote in person during the meeting. Stockholders of record will be on a list held by the inspector of elections. Beneficial holders must obtain a proxy from their brokerage firm, bank, or other stockholder of record and present it to the inspector of elections with their ballot. Voting in person by a stockholder will replace any previous votes submitted by proxy.</w:t>
      </w:r>
    </w:p>
    <w:p>
      <w:pPr>
        <w:spacing w:after="0" w:line="82"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Changing Your Vote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Stockholders of record may revoke their proxy at any time before we vote it at the meeting by submitting a later-dated proxy via the Internet, by telephone, by mail, by delivering instructions to our Corporate Secretary before the annual meeting revoking the proxy or by voting in person at the annual meeting. If you hold shares through a bank or brokerage firm, you may revoke any prior voting instructions by contacting that firm.</w:t>
      </w:r>
    </w:p>
    <w:p>
      <w:pPr>
        <w:spacing w:after="0" w:line="116" w:lineRule="exact"/>
        <w:rPr>
          <w:sz w:val="20"/>
          <w:szCs w:val="20"/>
          <w:color w:val="auto"/>
        </w:rPr>
      </w:pPr>
    </w:p>
    <w:p>
      <w:pPr>
        <w:sectPr>
          <w:pgSz w:w="11900" w:h="16838" w:orient="portrait"/>
          <w:cols w:equalWidth="0" w:num="2">
            <w:col w:w="3620" w:space="720"/>
            <w:col w:w="7080"/>
          </w:cols>
          <w:pgMar w:left="240" w:top="455"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2500" w:type="dxa"/>
            <w:vAlign w:val="bottom"/>
          </w:tcPr>
          <w:p>
            <w:pPr>
              <w:spacing w:after="0"/>
              <w:rPr>
                <w:sz w:val="17"/>
                <w:szCs w:val="17"/>
                <w:color w:val="auto"/>
              </w:rPr>
            </w:pPr>
          </w:p>
        </w:tc>
        <w:tc>
          <w:tcPr>
            <w:tcW w:w="7560" w:type="dxa"/>
            <w:vAlign w:val="bottom"/>
          </w:tcPr>
          <w:p>
            <w:pPr>
              <w:spacing w:after="0"/>
              <w:rPr>
                <w:sz w:val="17"/>
                <w:szCs w:val="17"/>
                <w:color w:val="auto"/>
              </w:rPr>
            </w:pPr>
          </w:p>
        </w:tc>
      </w:tr>
      <w:tr>
        <w:trPr>
          <w:trHeight w:val="515"/>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Required to Adopt Proposals</w:t>
            </w: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Each share of our Common Stock outstanding on the record date is entitled to one vote on each of</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nine director nominees and one vote on each other matter. To be elected, a director must</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receive a majority of the votes cast with respect to that director at the meeting. This means that</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number of shares voted “for” a director must exceed 50% of the votes cast with respect to that</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 Each of the other proposals requires the favorable vote of a majority of the shares</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present, either by proxy or in person, and entitled to vote, except with respect to proposal 4, the</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frequency of future advisory votes on executive compensation, the alternative receiving a</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majority of the votes cast — every year, every two years or every three years — will be the</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frequency that stockholders approve. If none of the frequency alternatives receive a majority of</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votes cast, the alternative receiving the greatest number of votes cast will be the frequency</w:t>
            </w:r>
          </w:p>
        </w:tc>
      </w:tr>
      <w:tr>
        <w:trPr>
          <w:trHeight w:val="234"/>
        </w:trPr>
        <w:tc>
          <w:tcPr>
            <w:tcW w:w="1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that stockholders approve.</w:t>
            </w:r>
          </w:p>
        </w:tc>
      </w:tr>
      <w:tr>
        <w:trPr>
          <w:trHeight w:val="31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Abstentions and Broker Non-Votes</w:t>
            </w: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Abstentions will have no effect on the election of directors or the frequency of future advisory</w:t>
            </w:r>
          </w:p>
        </w:tc>
      </w:tr>
      <w:tr>
        <w:trPr>
          <w:trHeight w:val="212"/>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votes on executive compensation. For each of the other proposals, abstentions will have the same</w:t>
            </w:r>
          </w:p>
        </w:tc>
      </w:tr>
      <w:tr>
        <w:trPr>
          <w:trHeight w:val="238"/>
        </w:trPr>
        <w:tc>
          <w:tcPr>
            <w:tcW w:w="1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xml:space="preserve">effect as a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xml:space="preserve"> these matters because they are considered present and entitled to vote.</w:t>
            </w:r>
          </w:p>
        </w:tc>
      </w:tr>
      <w:tr>
        <w:trPr>
          <w:trHeight w:val="319"/>
        </w:trPr>
        <w:tc>
          <w:tcPr>
            <w:tcW w:w="1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If your shares are held by a broker, the broker will ask you how you want your shares to be voted.</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If you give the broker instructions, your shares must be voted as you direct. If you do not give</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instructions, one of two things can happen depending on the type of proposal. For the proposal to</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ratify selection of the Company’s independent registered public accounting firm, the broker may</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vote your shares at its discretion. But for all other proposals in this Proxy Statement, including the</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election of directors, the advisory vote on executive compensation, the vote on the frequency of</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future advisory votes on executive compensation and the stockholder proposal, the broker cannot</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vote your shares at all. When that happens, it is called a “broker non-vote.” Broker non-votes are</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counted in determining the presence of a quorum at the meeting, but they are not counted for</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purposes of calculating the shares present and entitled to vote on particular proposals at the</w:t>
            </w:r>
          </w:p>
        </w:tc>
      </w:tr>
      <w:tr>
        <w:trPr>
          <w:trHeight w:val="234"/>
        </w:trPr>
        <w:tc>
          <w:tcPr>
            <w:tcW w:w="1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meeting.</w:t>
            </w:r>
          </w:p>
        </w:tc>
      </w:tr>
      <w:tr>
        <w:trPr>
          <w:trHeight w:val="31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Voting Instructions</w:t>
            </w: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You may receive more than one proxy card depending on how you hold your shares. If you hold</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shares through a broker, your ability to vote by phone or over the Internet depends on your</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broker’s voting process. You should complete and return each proxy or other voting instruction</w:t>
            </w:r>
          </w:p>
        </w:tc>
      </w:tr>
      <w:tr>
        <w:trPr>
          <w:trHeight w:val="234"/>
        </w:trPr>
        <w:tc>
          <w:tcPr>
            <w:tcW w:w="1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request provided to you.</w:t>
            </w:r>
          </w:p>
        </w:tc>
      </w:tr>
      <w:tr>
        <w:trPr>
          <w:trHeight w:val="319"/>
        </w:trPr>
        <w:tc>
          <w:tcPr>
            <w:tcW w:w="1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If you complete and submit your proxy voting instructions, the persons named as proxies will</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follow your instructions. If you submit your proxy but do not give voting instructions, we will</w:t>
            </w:r>
          </w:p>
        </w:tc>
      </w:tr>
      <w:tr>
        <w:trPr>
          <w:trHeight w:val="234"/>
        </w:trPr>
        <w:tc>
          <w:tcPr>
            <w:tcW w:w="1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vote your shares as follows:</w:t>
            </w:r>
          </w:p>
        </w:tc>
      </w:tr>
      <w:tr>
        <w:trPr>
          <w:trHeight w:val="338"/>
        </w:trPr>
        <w:tc>
          <w:tcPr>
            <w:tcW w:w="1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our director candidates;</w:t>
            </w:r>
          </w:p>
        </w:tc>
      </w:tr>
      <w:tr>
        <w:trPr>
          <w:trHeight w:val="338"/>
        </w:trPr>
        <w:tc>
          <w:tcPr>
            <w:tcW w:w="1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ratification of the independent registered public accounting firm;</w:t>
            </w:r>
          </w:p>
        </w:tc>
      </w:tr>
      <w:tr>
        <w:trPr>
          <w:trHeight w:val="338"/>
        </w:trPr>
        <w:tc>
          <w:tcPr>
            <w:tcW w:w="1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approval of our executive compensation;</w:t>
            </w:r>
          </w:p>
        </w:tc>
      </w:tr>
      <w:tr>
        <w:trPr>
          <w:trHeight w:val="365"/>
        </w:trPr>
        <w:tc>
          <w:tcPr>
            <w:tcW w:w="1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5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2</w:t>
            </w:r>
          </w:p>
        </w:tc>
      </w:tr>
    </w:tbl>
    <w:p>
      <w:pPr>
        <w:ind w:left="180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Stockholder Proposals and Nominees for the 2018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220" w:hanging="172"/>
        <w:spacing w:after="0"/>
        <w:tabs>
          <w:tab w:leader="none" w:pos="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 </w:t>
      </w:r>
      <w:r>
        <w:rPr>
          <w:rFonts w:ascii="Times New Roman" w:cs="Times New Roman" w:eastAsia="Times New Roman" w:hAnsi="Times New Roman"/>
          <w:sz w:val="18"/>
          <w:szCs w:val="18"/>
          <w:color w:val="auto"/>
        </w:rPr>
        <w:t>conducting future advisory votes on executive compensation annually; and</w:t>
      </w:r>
    </w:p>
    <w:p>
      <w:pPr>
        <w:spacing w:after="0" w:line="130" w:lineRule="exact"/>
        <w:rPr>
          <w:rFonts w:ascii="Times New Roman" w:cs="Times New Roman" w:eastAsia="Times New Roman" w:hAnsi="Times New Roman"/>
          <w:sz w:val="18"/>
          <w:szCs w:val="18"/>
          <w:color w:val="auto"/>
        </w:rPr>
      </w:pPr>
    </w:p>
    <w:p>
      <w:pPr>
        <w:ind w:left="220" w:right="80" w:hanging="172"/>
        <w:spacing w:after="0" w:line="284" w:lineRule="auto"/>
        <w:tabs>
          <w:tab w:leader="none" w:pos="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AGAINST </w:t>
      </w:r>
      <w:r>
        <w:rPr>
          <w:rFonts w:ascii="Times New Roman" w:cs="Times New Roman" w:eastAsia="Times New Roman" w:hAnsi="Times New Roman"/>
          <w:sz w:val="18"/>
          <w:szCs w:val="18"/>
          <w:color w:val="auto"/>
        </w:rPr>
        <w:t>the stockholder proposal regarding a policy restricting accelerated vesting of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-1052195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you give us your proxy, any other matters that may properly come before the meeting will be voted at the discretion of the proxy holders.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Only stockholders, their proxy holders and our invited guests may attend the meeting. If you plan to attend, please bring identification and, if you hold shares in street name, bring your bank or broker statement showing your beneficial ownership of Waste Management stock in order to be admitted to the meeting. If you are planning to attend our annual meeting and require directions to the meeting, please contact our Corporate Secretary at 713-512-6200.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only items on the agenda for this year’s annual meeting are the items set out in the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will be no presentations.</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Eligible stockholders who wish to submit a proposal for inclusion in the proxy statement for our 2018 Annual Meeting should notify our Corporate Secretary at Waste Management, Inc., 1001 Fannin Street, Houston, Texas 77002. The written proposal must be received at our offices on or before November 24, 2017, and the stockholder must have been the registered or beneficial owner of (a) at least 1% of our outstanding Common Stock or (b) shares of our Common Stock with a market value of $2,000 for at least one year before submitting the proposal. The proposal must comply with the requirements set forth in the federal securities laws, including Rule 14a-8 under the Securities Exchange Act of 1934, as amended (the “Exchange Act”), in order to be included in the Company’s proxy statement and proxy card for the 2018 Annual Meeting.</w:t>
      </w:r>
    </w:p>
    <w:p>
      <w:pPr>
        <w:spacing w:after="0" w:line="9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In addition, the Company’s By-laws establish an advance notice procedure with regard to certain matters to be brought before an annual meeting of stockholders, including stockholder proposals that are not included in the Company’s proxy materials and nominations of persons for election as directors. In accordance with our By-laws, for a proposal or nominee not included in our proxy materials to be properly brought before the 2018 Annual Meeting, a stockholder’s notice must be delivered to or mailed and received by the Company not less than 120 days nor more than 150 days in advance of the first anniversary of the 2017 Annual Meeting. As a result, any such stockholder’s notice for the 2018 Annual Meeting shall be received no earlier than December 13, 2017 and no later than January 12, 2018 and must contain certain information specified in the Company’s By-laws. The stockholder’s notice should be delivered to our Corporate Secretary at Waste Management, Inc., 1001 Fannin Street, Houston, Texas 77002. A copy of our By-laws may be obtained free of charge by writing to our Corporate Secretary and is available in the “Corporate Governance” section of the “Investor Relations” page on our website at </w:t>
      </w:r>
      <w:r>
        <w:rPr>
          <w:rFonts w:ascii="Times New Roman" w:cs="Times New Roman" w:eastAsia="Times New Roman" w:hAnsi="Times New Roman"/>
          <w:sz w:val="17"/>
          <w:szCs w:val="17"/>
          <w:i w:val="1"/>
          <w:iCs w:val="1"/>
          <w:color w:val="auto"/>
        </w:rPr>
        <w:t>www.wm.com</w:t>
      </w:r>
      <w:r>
        <w:rPr>
          <w:rFonts w:ascii="Times New Roman" w:cs="Times New Roman" w:eastAsia="Times New Roman" w:hAnsi="Times New Roman"/>
          <w:sz w:val="17"/>
          <w:szCs w:val="17"/>
          <w:color w:val="auto"/>
        </w:rPr>
        <w:t>.</w:t>
      </w:r>
    </w:p>
    <w:p>
      <w:pPr>
        <w:spacing w:after="0" w:line="1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3820" w:space="520"/>
            <w:col w:w="7080"/>
          </w:cols>
          <w:pgMar w:left="240" w:top="45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184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515"/>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We pay the cost of preparing, assembling and mailing this proxy-soliciting material. In addition to</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use of the mail, proxies may be solicited personally, by Internet or telephone, or by Waste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Management officers and employees without additional compensation. We pay all costs of</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solicitation, including certain expenses of brokers and nominees who mail proxy materials to their</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customers or principals. Also, Innisfree M&amp;A Incorporated has been hired to help in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solicitation of proxies for the 2017 Annual Meeting for a fee of $15,000 plus associated costs and</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expenses.</w:t>
            </w:r>
          </w:p>
        </w:tc>
      </w:tr>
      <w:tr>
        <w:trPr>
          <w:trHeight w:val="31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Annual Report</w:t>
            </w: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 copy of our Annual Report on Form 10-K for the year ended December 31, 2016, which</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includes our financial statements for fiscal year 2016, is included with this Proxy Statement.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Annual Report on Form 10-K is not incorporated by reference into this Proxy Statement or</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deemed to be a part of the materials for the solicitation of proxies.</w:t>
            </w:r>
          </w:p>
        </w:tc>
      </w:tr>
      <w:tr>
        <w:trPr>
          <w:trHeight w:val="31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Householding Information</w:t>
            </w: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stockholders of record who have the same address and last name and do not participate in</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electronic delivery of proxy materials will receive only one copy of the Proxy Statement and</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Annual Report unless we are notified that one or more of these individuals wishes to receive</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separate copies. This procedure helps reduce our printing costs and postage fees.</w:t>
            </w:r>
          </w:p>
        </w:tc>
      </w:tr>
      <w:tr>
        <w:trPr>
          <w:trHeight w:val="319"/>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If you wish to receive a separate copy of this Proxy Statement and the Annual Report, please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contact: Waste Management, Inc., Corporate Secretary, 1001 Fannin Street, Houston, Texas</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77002, telephone 713-512-6200.</w:t>
            </w:r>
          </w:p>
        </w:tc>
      </w:tr>
      <w:tr>
        <w:trPr>
          <w:trHeight w:val="319"/>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If you do not wish to participate in householding in the future, and prefer to receive separate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copies of the proxy materials, please contact: Broadridge Financial Solutions, Attention</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Householding Department, 51 Mercedes Way, Edgewood, NY 11717, telephone 1-866-540-7095.</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If you are currently receiving multiple copies of proxy materials and wish to receive only one</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2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copy for your household, please contact Broadridge.</w:t>
            </w:r>
          </w:p>
        </w:tc>
      </w:tr>
      <w:tr>
        <w:trPr>
          <w:trHeight w:val="365"/>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4</w:t>
            </w:r>
          </w:p>
        </w:tc>
      </w:tr>
    </w:tbl>
    <w:p>
      <w:pPr>
        <w:ind w:left="246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B</w:t>
      </w:r>
      <w:r>
        <w:rPr>
          <w:rFonts w:ascii="Times New Roman" w:cs="Times New Roman" w:eastAsia="Times New Roman" w:hAnsi="Times New Roman"/>
          <w:sz w:val="23"/>
          <w:szCs w:val="23"/>
          <w:b w:val="1"/>
          <w:bCs w:val="1"/>
          <w:color w:val="auto"/>
        </w:rPr>
        <w:t>OARD OF</w:t>
      </w:r>
      <w:r>
        <w:rPr>
          <w:rFonts w:ascii="Times New Roman" w:cs="Times New Roman" w:eastAsia="Times New Roman" w:hAnsi="Times New Roman"/>
          <w:sz w:val="29"/>
          <w:szCs w:val="29"/>
          <w:b w:val="1"/>
          <w:bCs w:val="1"/>
          <w:color w:val="auto"/>
        </w:rPr>
        <w:t xml:space="preserve"> D</w:t>
      </w:r>
      <w:r>
        <w:rPr>
          <w:rFonts w:ascii="Times New Roman" w:cs="Times New Roman" w:eastAsia="Times New Roman" w:hAnsi="Times New Roman"/>
          <w:sz w:val="23"/>
          <w:szCs w:val="23"/>
          <w:b w:val="1"/>
          <w:bCs w:val="1"/>
          <w:color w:val="auto"/>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ind w:right="380" w:firstLine="456"/>
        <w:spacing w:after="0" w:line="313" w:lineRule="auto"/>
        <w:rPr>
          <w:sz w:val="20"/>
          <w:szCs w:val="20"/>
          <w:color w:val="auto"/>
        </w:rPr>
      </w:pPr>
      <w:r>
        <w:rPr>
          <w:rFonts w:ascii="Times New Roman" w:cs="Times New Roman" w:eastAsia="Times New Roman" w:hAnsi="Times New Roman"/>
          <w:sz w:val="17"/>
          <w:szCs w:val="17"/>
          <w:color w:val="auto"/>
        </w:rPr>
        <w:t>Our Board of Directors currently has nine members. Each member of our Board is elected annually. Mr. Bradbury (Brad) H. Anderson is the Non-Executive Chairman of the Board and presides over all meetings of the Board, including executive sessions that only non-employee directors attend.</w:t>
      </w:r>
    </w:p>
    <w:p>
      <w:pPr>
        <w:spacing w:after="0" w:line="3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Stockholders and interested parties wishing to communicate with the Board or the non-employee directors should address their communications to Mr. Brad Anderson, Non-Executive Chairman of the Board, c/o Waste Management, Inc., P.O. Box 53569, Houston, Texas 77052-3569.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separated the roles of Chairman of the Board and Chief Executive Officer at our Company in 2004. We believe that having a Non-Executive Chairman of the Board is in the best interests of the Company and stockholders, due in part to the ever-increasing demands made on boards of directors under federal securities laws, national stock exchange rules and other federal and state regulations. The Non-Executive Chairman’s responsibilities include leading full Board meetings and executive sessions and managing the Board function. On February 4, 2017, Mr. W. Robert Reum, the Company’s Chairman of the Board, passed away. The Board elected Mr. Brad Anderson to serve as Chairman of the Board effective February 27, 2017, due to his experience serving in board and executive leadership roles at large public companies, as well as his deep understanding of our Company and strategy. On the same date, Mr. Anderson was named to the Audit Committee of the Board, such that he now serves on all three Board committees.</w:t>
      </w:r>
    </w:p>
    <w:p>
      <w:pPr>
        <w:spacing w:after="0" w:line="8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separation of the positions allows our Chairman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in Risk Oversight</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ERM framework and processes are coordinated by an ERM Committee consisting of our Chief Financial Officer, Chief Operating Officer, Chief Legal Officer and head of Internal Audit. The ERM process is supported by Internal Audit conducting regular inquiries of our Company’s Senior Leadership Team and additional members of senior management. Internal Audit conducts these inquiries to identify and assess enterprise risks, including emerging risk and other key risks that may affect the execution of our strategic priorities or achievement of our long-term outlook. As a result of this process, we have grouped our risk focus across the following areas:</w:t>
      </w:r>
    </w:p>
    <w:p>
      <w:pPr>
        <w:spacing w:after="0" w:line="89" w:lineRule="exact"/>
        <w:rPr>
          <w:sz w:val="20"/>
          <w:szCs w:val="20"/>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w:t>
      </w:r>
    </w:p>
    <w:p>
      <w:pPr>
        <w:spacing w:after="0" w:line="11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ERM program and process continue to evolve with enhancements made annually. Board members are polled to collect their thoughts on significant enterprise risks facing our Company and how the reporting format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should be revised to improve management’s communication of enterprise risks to our Board. We assign champions across the aforementioned areas, who work with the ERM Committee to establish a more comprehensive risk mitigation strategy for identified enterprise risks. The ERM Committee will review the assessment of the risks in each area and the proposed mitigation strategy and determine what adjustments, additions, or changes are appropriate.</w:t>
      </w:r>
    </w:p>
    <w:p>
      <w:pPr>
        <w:spacing w:after="0" w:line="6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Board of Directors generally has seven regular meetings per year, five of which are in person, including one meeting that is dedicated specifically to strategic planning, and regular updates are given to our Board of Directors on all Company risks. At each of these meetings, our President and Chief Executive Officer; Chief Financial Officer and Chief Legal Officer are asked to report to our Board and, when appropriate, specific committees. Additionally, other members of management and employees are requested to attend meetings and present information, including those responsible for our Internal Audit, Environmental Audit, Business Ethics and Compliance, Human Resources, Government Affairs, Information Technology, Risk Management, Safety, Finance and Accounting functions.</w:t>
      </w:r>
    </w:p>
    <w:p>
      <w:pPr>
        <w:spacing w:after="0" w:line="8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One of the purposes of these presentations is to provide direct communication between members of our Board and members of management. The presentations provide members of our Board with the information necessary to understand our risk profile, including information regarding the specific risk environment, exposures affecting our operations and our plans to address such risks. In addition to communicating general updates of our operational and financial condition, management reports to our Board on a number of specific issues meant to inform our Board about our outlook and forecasts, and any impediments to meeting those or our strategies generally. These direct communications between management and our Board of Directors allow our Board to assess management’s evaluation and management of risk.</w:t>
      </w:r>
    </w:p>
    <w:p>
      <w:pPr>
        <w:spacing w:after="0" w:line="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Management is encouraged to communicate with our Board of Directors with respect to extraordinary risk issues or developments that may require more immediate attention between regularly scheduled Board meetings. Our Non-Executive Chairman of the Board facilitates communications with our Board of Directors as a whole and is integral in initiating the discussions among the independent Board members necessary to ensure management is adequately evaluating and managing our Company’s risks. These intra-Board communications are essential to our Board’s oversight function. Additionally, all members of our Board are invited to attend all committee meetings, regardless of whether the individual sits on the specific committee, and committee chairs report to the full Board. These practices ensure that all issues affecting our Company are considered in relation to each other; and by doing so, risks that affect one aspect of our Company can be taken into consideration when evaluating other risks.</w:t>
      </w:r>
    </w:p>
    <w:p>
      <w:pPr>
        <w:spacing w:after="0" w:line="8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addition, the Audit Committee is responsible for ensuring that an effective risk assessment process is in place, and quarterly reports are made to the Audit Committee on all financial and compliance risks in accordance with New York Stock Exchange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Board Members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each of the following eight non-employee director candidates is independent in accordance with the New York Stock Exchange listing standards: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Bradbury H. Anderson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Frank M. Clark, Jr.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Andrés R. Gluski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Patrick W. Gross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Victoria M. Holt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Kathleen M. Mazzarella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John C. Pope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Thomas H. Weidemeyer</w:t>
      </w:r>
    </w:p>
    <w:p>
      <w:pPr>
        <w:spacing w:after="0" w:line="9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Mr. James C. Fish, Jr., our President and Chief Executive Officer, is also a director of the Company. As an employee of the Company, Mr. Fish is not an “independent” director.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on our website. In addition to these categorical standards, our Board makes a subjective determination of independence considering relevant facts and circumstances.</w:t>
      </w:r>
    </w:p>
    <w:p>
      <w:pPr>
        <w:spacing w:after="0" w:line="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The AES Corporation and Proto Labs, Inc.</w:t>
      </w:r>
    </w:p>
    <w:p>
      <w:pPr>
        <w:spacing w:after="0" w:line="3"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Ms. Mazzarella, Mr. Gluski and Ms. Holt, respectively, are the chief executive officer of these entities. The Board concluded there are no transactions between the Company and any entity with which a non-employee director is affiliated that (a) are prohibited by our categorical standards of independence,</w:t>
      </w:r>
    </w:p>
    <w:p>
      <w:pPr>
        <w:ind w:firstLine="8"/>
        <w:spacing w:after="0" w:line="255"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material individually or in the aggregate or (c) in which any of the Company’s non-employee directors have or had a material direct or indirect interest. Accordingly, the Board has determined that each non-employee director candidate meets the categorical standards of independence and that there are no relationships that would affect independence.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Board Committees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Last year the Board held seven regular meetings and three special meetings, and each committee of the Board met independently as set forth below. Each director attended at least 75% of the meetings of the Board and the committees on which he or she served. In addition, all directors attended the 2016 Annual Meeting of Stockholders. Although we do not have a formal policy regarding director attendance at annual meetings, it has been longstanding practice that all directors attend unless there are unavoidable schedule conflicts or unforeseen circumstances.</w:t>
      </w:r>
    </w:p>
    <w:p>
      <w:pPr>
        <w:spacing w:after="0" w:line="7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Board appoints committees to help carry out its duties. Committee members take on greater responsibility for key issues, although all members of the Board are invited to attend all committee meetings and the committee reviews the results of its meetings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 In 2006, the Board appointed a Special Committee, as described below.</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Audit Committee</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Mr. Gross has been the Chairman of our Audit Committee since May 2010. The other members of our Audit Committee are Ms. Holt and Messrs. Anderson, Clark, Gluski and Weidemeyer. Mr. Reum also served on our Audit Committee until his passing in February 2017. Each member of our Audit Committee satisfies the additional New York Stock Exchange independence standards for audit committees set forth in Section 10A of the Exchange Act. Our Audit Committee held nine meetings in 2016.</w:t>
      </w:r>
    </w:p>
    <w:p>
      <w:pPr>
        <w:spacing w:after="0" w:line="7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Audit Committee Chairman Mr. Gross, and each of Messrs. Anderson, Clark and Gluski and Ms. Holt are audit committee financial experts as defined by the SEC based on a thorough review of their education and financial and public company experience.</w:t>
      </w:r>
    </w:p>
    <w:p>
      <w:pPr>
        <w:spacing w:after="0" w:line="5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Mr. Gross was a founder of American Management Systems where he was principal executive officer for over 30 years. Since 2001, he has served as Chairman of The Lovell Group, a private investment and advisory firm. Mr. Gross holds an MBA from the Stanford University Graduate School of Business, a master’s degree in engineering science from the University of Michigan and a bachelor’s degree in engineering science from Rensselaer Polytechnic Institute.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Mr. Anderson served as Vice Chairman and Chief Executive Officer of Best Buy Co., Inc. from 2002 to 2009. Mr. Anderson has also served on the Audit Committee of the Board of Directors for Carlson Company, Inc., a private company, and he has served on the Audit and Compliance Committee of the Board of Trustees for Mayo Clinic. Mr. Anderson holds a bachelor’s degree from the University of Denver.</w:t>
      </w:r>
    </w:p>
    <w:p>
      <w:pPr>
        <w:spacing w:after="0" w:line="68"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Mr. Clark served as Chairman and Chief Executive Officer of ComEd from November 2005 to February 2012 and President of ComEd from 2001 to 2005. Mr. Clark holds a LLB from DePaul University College of Law and a BBA from DePaul University.</w:t>
      </w:r>
    </w:p>
    <w:p>
      <w:pPr>
        <w:spacing w:after="0" w:line="54"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Mr. Gluski has served as President and Chief Executive Officer of The AES Corporation since 2011 and was Executive Vice President and Chief Operating Officer of The AES Corporation from 2007 to 2011. Mr. Gluski is a graduate of Wake Forest University and holds a PhD and MA in Economics from the University of Virginia.</w:t>
      </w:r>
    </w:p>
    <w:p>
      <w:pPr>
        <w:spacing w:after="0" w:line="6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Ms. Holt has served as President and Chief Executive Officer of Proto Labs, Inc. since February 2014 and was President and Chief Executive Officer of Spartech Corporation from 2010 to March 2013. Prior to joining Spartech, she served as Senior Vice President of PPG Industries, Inc. for over five years. Ms. Holt holds an MBA from Pace University and a bachelor’s degree in chemistry from Duke University.</w:t>
      </w:r>
    </w:p>
    <w:p>
      <w:pPr>
        <w:spacing w:after="0" w:line="68"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independent auditors and internal audit function. As part of its function, the Audit Committee reports the results of all of its reviews to the full Board. In fulfilling its duties, the Audit Committee, has the following responsibilities:</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Administrative Responsibilities</w:t>
      </w:r>
    </w:p>
    <w:p>
      <w:pPr>
        <w:spacing w:after="0" w:line="133" w:lineRule="exact"/>
        <w:rPr>
          <w:sz w:val="20"/>
          <w:szCs w:val="20"/>
          <w:color w:val="auto"/>
        </w:rPr>
      </w:pPr>
    </w:p>
    <w:p>
      <w:pPr>
        <w:ind w:left="660" w:hanging="20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to the Board, at least annually, all public company audit committee memberships by members of the Audit Committee;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 annual review of its performance relative to its charter and report the results of its evaluation to the full Board;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 orientation program for new Audit Committee members.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Financial Statements</w:t>
      </w:r>
    </w:p>
    <w:p>
      <w:pPr>
        <w:spacing w:after="0" w:line="133" w:lineRule="exact"/>
        <w:rPr>
          <w:sz w:val="20"/>
          <w:szCs w:val="20"/>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financial statements and Forms 10-K and 10-Q with management and the independent auditor;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all earnings press releases and discuss with management the type of earnings guidance that we provide to analysts and rating agencies;</w:t>
      </w:r>
    </w:p>
    <w:p>
      <w:pPr>
        <w:spacing w:after="0" w:line="130" w:lineRule="exact"/>
        <w:rPr>
          <w:rFonts w:ascii="Times New Roman" w:cs="Times New Roman" w:eastAsia="Times New Roman" w:hAnsi="Times New Roman"/>
          <w:sz w:val="18"/>
          <w:szCs w:val="18"/>
          <w:color w:val="auto"/>
        </w:rPr>
      </w:pPr>
    </w:p>
    <w:p>
      <w:pPr>
        <w:ind w:left="660" w:right="680" w:hanging="206"/>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Times New Roman" w:cs="Times New Roman" w:eastAsia="Times New Roman" w:hAnsi="Times New Roman"/>
          <w:sz w:val="18"/>
          <w:szCs w:val="18"/>
          <w:i w:val="1"/>
          <w:iCs w:val="1"/>
          <w:color w:val="auto"/>
        </w:rPr>
        <w:t>Communications with Audit Committees;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reporting, accounting and auditing practices with management, the independent auditor and our internal auditors;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management’s and the independent auditor’s assessment of the adequacy and effectiveness of internal controls over financial reporting;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executive officer certifications related to our reports and filings.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Independent Auditor</w:t>
      </w:r>
    </w:p>
    <w:p>
      <w:pPr>
        <w:spacing w:after="0" w:line="133" w:lineRule="exact"/>
        <w:rPr>
          <w:sz w:val="20"/>
          <w:szCs w:val="20"/>
          <w:color w:val="auto"/>
        </w:rPr>
      </w:pPr>
    </w:p>
    <w:p>
      <w:pPr>
        <w:ind w:left="660" w:hanging="20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independent auditor, determine the auditor’s compensation and replace the auditor if necessary;</w:t>
      </w:r>
    </w:p>
    <w:p>
      <w:pPr>
        <w:spacing w:after="0" w:line="130" w:lineRule="exact"/>
        <w:rPr>
          <w:rFonts w:ascii="Times New Roman" w:cs="Times New Roman" w:eastAsia="Times New Roman" w:hAnsi="Times New Roman"/>
          <w:sz w:val="18"/>
          <w:szCs w:val="18"/>
          <w:color w:val="auto"/>
        </w:rPr>
      </w:pPr>
    </w:p>
    <w:p>
      <w:pPr>
        <w:jc w:val="center"/>
        <w:ind w:left="5660" w:right="260" w:hanging="5206"/>
        <w:spacing w:after="0" w:line="454" w:lineRule="auto"/>
        <w:tabs>
          <w:tab w:leader="none" w:pos="6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of the independent auditor and establish our policies for hiring current or former employees of the independent auditor; 8</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200" w:hanging="206"/>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lead partner of our independent audit team and review a report, at least annually, describing the independent auditor’s internal control procedures;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services, including non-audit engagements, provided by the independent auditor.</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Internal Audit</w:t>
      </w:r>
    </w:p>
    <w:p>
      <w:pPr>
        <w:spacing w:after="0" w:line="133" w:lineRule="exact"/>
        <w:rPr>
          <w:sz w:val="20"/>
          <w:szCs w:val="20"/>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plans, staffing, reports and activities of the internal auditors; and</w:t>
      </w:r>
    </w:p>
    <w:p>
      <w:pPr>
        <w:spacing w:after="0" w:line="130" w:lineRule="exact"/>
        <w:rPr>
          <w:rFonts w:ascii="Times New Roman" w:cs="Times New Roman" w:eastAsia="Times New Roman" w:hAnsi="Times New Roman"/>
          <w:sz w:val="18"/>
          <w:szCs w:val="18"/>
          <w:color w:val="auto"/>
        </w:rPr>
      </w:pPr>
    </w:p>
    <w:p>
      <w:pPr>
        <w:ind w:left="660" w:right="280" w:hanging="206"/>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establish procedures for receiving, retaining and handling complaints, including anonymous complaints by our employees, regarding accounting, internal controls and auditing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80"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as of and for the year ended December 31, 2016 with management and the independent registered public accounting firm, and has taken the following steps in making its recommendation that the Company’s financial statements be included in its annual report:</w:t>
      </w:r>
    </w:p>
    <w:p>
      <w:pPr>
        <w:spacing w:after="0" w:line="82" w:lineRule="exact"/>
        <w:rPr>
          <w:sz w:val="20"/>
          <w:szCs w:val="20"/>
          <w:color w:val="auto"/>
        </w:rPr>
      </w:pPr>
    </w:p>
    <w:p>
      <w:pPr>
        <w:ind w:left="900" w:right="320" w:hanging="325"/>
        <w:spacing w:after="0" w:line="26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the Audit Committee discussed with Ernst &amp; Young, the Company’s independent registered public accounting firm for fiscal year 2016, those matters required to be discussed by Public Company Accounting Oversight Board (United States)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including information regarding the scope and results of the audit. These communications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discussions are intended to assist the Audit Committee in overseeing the financial reporting and disclosure process.</w:t>
      </w:r>
    </w:p>
    <w:p>
      <w:pPr>
        <w:spacing w:after="0" w:line="85"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85" w:lineRule="exact"/>
        <w:rPr>
          <w:rFonts w:ascii="Times New Roman" w:cs="Times New Roman" w:eastAsia="Times New Roman" w:hAnsi="Times New Roman"/>
          <w:sz w:val="18"/>
          <w:szCs w:val="18"/>
          <w:color w:val="auto"/>
        </w:rPr>
      </w:pPr>
    </w:p>
    <w:p>
      <w:pPr>
        <w:ind w:left="900" w:right="340" w:hanging="325"/>
        <w:spacing w:after="0" w:line="26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2016, as well as Ernst &amp; Young’s report regarding the effectiveness of internal control over financial reporting.</w:t>
      </w:r>
    </w:p>
    <w:p>
      <w:pPr>
        <w:spacing w:after="0" w:line="85" w:lineRule="exact"/>
        <w:rPr>
          <w:rFonts w:ascii="Times New Roman" w:cs="Times New Roman" w:eastAsia="Times New Roman" w:hAnsi="Times New Roman"/>
          <w:sz w:val="18"/>
          <w:szCs w:val="18"/>
          <w:color w:val="auto"/>
        </w:rPr>
      </w:pPr>
    </w:p>
    <w:p>
      <w:pPr>
        <w:ind w:left="900" w:right="20" w:hanging="325"/>
        <w:spacing w:after="0" w:line="26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the Audit Committee reviewed and discussed, with the Company’s management and Ernst &amp; Young, the Company’s audited consolidated balance sheet as of December 31, 2016, and consolidated statements of operations, comprehensive income, cash flows and changes in equity for the fiscal year ended December 31, 2016, including the quality, not just the acceptability, of the accounting principles, the reasonableness of significant judgments and the clarity of the disclosure.</w:t>
      </w:r>
    </w:p>
    <w:p>
      <w:pPr>
        <w:spacing w:after="0" w:line="72"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7"/>
          <w:szCs w:val="17"/>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68"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2016. The Committee has also approved the selection of Ernst &amp; Young LLP as the Company’s independent registered public accounting firm for fiscal year 2017.</w:t>
      </w:r>
    </w:p>
    <w:p>
      <w:pPr>
        <w:spacing w:after="0" w:line="17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19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 xml:space="preserve">Patrick W. Gross, </w:t>
      </w:r>
      <w:r>
        <w:rPr>
          <w:rFonts w:ascii="Times New Roman" w:cs="Times New Roman" w:eastAsia="Times New Roman" w:hAnsi="Times New Roman"/>
          <w:sz w:val="18"/>
          <w:szCs w:val="18"/>
          <w:i w:val="1"/>
          <w:iCs w:val="1"/>
          <w:color w:val="auto"/>
        </w:rPr>
        <w:t>Chairman</w:t>
      </w:r>
    </w:p>
    <w:p>
      <w:pPr>
        <w:spacing w:after="0" w:line="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Bradbury H. Anderson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Frank M. Clark, Jr.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Andrés R. Gluski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Victoria M. Holt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Thomas H. Weidemeyer</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Management Development and Compensation Committee</w:t>
      </w:r>
    </w:p>
    <w:p>
      <w:pPr>
        <w:spacing w:after="0" w:line="121"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Mr. Clark has served as the Chairman of our MD&amp;C Committee since May 2011. The other members of the Committee are Ms. Holt, Ms. Mazzarella and Messrs. Anderson, Gluski and Pope. Mr. Reum also served on our MD&amp;C Committee until his passing in February 2017. Each member of our MD&amp;C Committee is independent in accordance with the rules and regulations of the New York Stock Exchange. The MD&amp;C Committee held six regular meetings and four special meetings in 2016.</w:t>
      </w:r>
    </w:p>
    <w:p>
      <w:pPr>
        <w:spacing w:after="0" w:line="7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MD&amp;C Committee is responsible for overseeing all of our executive officer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82" w:lineRule="exact"/>
        <w:rPr>
          <w:sz w:val="20"/>
          <w:szCs w:val="20"/>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establish policies governing the compensation and benefits of all of our executives;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compensation of our executive officers and senior leadership team and set the bonus plan goals for those individuals;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 annual evaluation of our Chief Executive Officer by all independent directors to set his compensation;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administration of all of our equity-based incentive plans;</w:t>
      </w:r>
    </w:p>
    <w:p>
      <w:pPr>
        <w:spacing w:after="0" w:line="130" w:lineRule="exact"/>
        <w:rPr>
          <w:rFonts w:ascii="Times New Roman" w:cs="Times New Roman" w:eastAsia="Times New Roman" w:hAnsi="Times New Roman"/>
          <w:sz w:val="18"/>
          <w:szCs w:val="18"/>
          <w:color w:val="auto"/>
        </w:rPr>
      </w:pPr>
    </w:p>
    <w:p>
      <w:pPr>
        <w:ind w:left="660" w:right="780" w:hanging="206"/>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results of the stockholder advisory vote on executive compensation and consider any implications of such voting results on the Company’s compensation programs;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full Board new Company compensation and benefit plans or changes to our existing plans;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recommend to the Board the compensation paid to our non-employee directors;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of the MD&amp;C Committee’s compensation consultant annually;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 annual review of its performance relative to its charter and report the results of its evaluation to the full Board.</w:t>
      </w:r>
    </w:p>
    <w:p>
      <w:pPr>
        <w:spacing w:after="0" w:line="117"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 overseeing compensation matters, the MD&amp;C Committee may delegate authority for day-to-day administration and interpretation of the Company’s plans, including selection of participants, determination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award levels within plan parameters, and approval of award documents, to Company employees. However, the MD&amp;C Committee may not delegate any authority to Company employees under those plans for matters affecting the compensation and benefits of the executive officers. For additional information on the MD&amp;C Committee, see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beginning on page 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19" w:lineRule="exact"/>
        <w:rPr>
          <w:sz w:val="20"/>
          <w:szCs w:val="20"/>
          <w:color w:val="auto"/>
        </w:rPr>
      </w:pPr>
    </w:p>
    <w:p>
      <w:pPr>
        <w:ind w:firstLine="456"/>
        <w:spacing w:after="0" w:line="267" w:lineRule="auto"/>
        <w:rPr>
          <w:sz w:val="20"/>
          <w:szCs w:val="20"/>
          <w:color w:val="auto"/>
        </w:rPr>
      </w:pPr>
      <w:r>
        <w:rPr>
          <w:rFonts w:ascii="Times New Roman" w:cs="Times New Roman" w:eastAsia="Times New Roman" w:hAnsi="Times New Roman"/>
          <w:sz w:val="18"/>
          <w:szCs w:val="18"/>
          <w:color w:val="auto"/>
        </w:rPr>
        <w:t xml:space="preserve">The MD&amp;C Committee has reviewed and discussed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beginning on page 24, with management. Based on the review and discussions, the MD&amp;C Committee recommended to the Board of Directors that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be included in the Company’s Proxy Statement.</w:t>
      </w:r>
    </w:p>
    <w:p>
      <w:pPr>
        <w:spacing w:after="0" w:line="17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Management Development and Compensation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Committee of the Board of Directors</w:t>
      </w:r>
    </w:p>
    <w:p>
      <w:pPr>
        <w:spacing w:after="0" w:line="17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 xml:space="preserve">Frank M. Clark, Jr., </w:t>
      </w:r>
      <w:r>
        <w:rPr>
          <w:rFonts w:ascii="Times New Roman" w:cs="Times New Roman" w:eastAsia="Times New Roman" w:hAnsi="Times New Roman"/>
          <w:sz w:val="18"/>
          <w:szCs w:val="18"/>
          <w:i w:val="1"/>
          <w:iCs w:val="1"/>
          <w:color w:val="auto"/>
        </w:rPr>
        <w:t>Chairman</w:t>
      </w:r>
    </w:p>
    <w:p>
      <w:pPr>
        <w:spacing w:after="0" w:line="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Bradbury H. Anderson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Andrés R. Gluski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Victoria M. Holt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Kathleen M. Mazzarella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C. Pope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During 2016, Ms. Holt, Ms. Mazzarella and Messrs. Anderson, Clark, Gluski, Pope and Reum served on the MD&amp;C Committee. No member of the MD&amp;C Committee was an officer or employee of the Company during 2016; no member of the MD&amp;C Committee is a former officer of the Company; and during 2016, none of our executive officers served as a member of a board of directors or compensation committee of any entity that has one or more executive officers who serve on our Board of Directors or MD&amp;C Committee.</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Nominating and Governance Committee</w:t>
      </w:r>
    </w:p>
    <w:p>
      <w:pPr>
        <w:spacing w:after="0" w:line="121" w:lineRule="exact"/>
        <w:rPr>
          <w:sz w:val="20"/>
          <w:szCs w:val="20"/>
          <w:color w:val="auto"/>
        </w:rPr>
      </w:pPr>
    </w:p>
    <w:p>
      <w:pPr>
        <w:jc w:val="both"/>
        <w:ind w:right="260" w:firstLine="456"/>
        <w:spacing w:after="0" w:line="261" w:lineRule="auto"/>
        <w:rPr>
          <w:sz w:val="20"/>
          <w:szCs w:val="20"/>
          <w:color w:val="auto"/>
        </w:rPr>
      </w:pPr>
      <w:r>
        <w:rPr>
          <w:rFonts w:ascii="Times New Roman" w:cs="Times New Roman" w:eastAsia="Times New Roman" w:hAnsi="Times New Roman"/>
          <w:sz w:val="18"/>
          <w:szCs w:val="18"/>
          <w:color w:val="auto"/>
        </w:rPr>
        <w:t>Mr. Weidemeyer has served as the Chairman of our Nominating and Governance Committee since May 2011. The other members of the Committee include Ms. Mazzarella and Messrs. Anderson, Gross and Pope. Mr. Reum also served on our Nominating and Governance Committee until his passing in February 2017. Each member of our Nominating and Governance Committee is independent in accordance with the rules and regulations of the New York Stock Exchange. In 2016, the Nominating and Governance Committee met five times.</w:t>
      </w:r>
    </w:p>
    <w:p>
      <w:pPr>
        <w:spacing w:after="0" w:line="7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has a written charter that has been approved by the Board of Directors and can be found on our website. It is the duty of the Nominating and Governance Committee to oversee matters regarding corporate governance. In fulfilling its duties, the Nominating and Governance Committee has the following responsibilities:</w:t>
      </w:r>
    </w:p>
    <w:p>
      <w:pPr>
        <w:spacing w:after="0" w:line="82" w:lineRule="exact"/>
        <w:rPr>
          <w:sz w:val="20"/>
          <w:szCs w:val="20"/>
          <w:color w:val="auto"/>
        </w:rPr>
      </w:pPr>
    </w:p>
    <w:p>
      <w:pPr>
        <w:ind w:left="660" w:right="80" w:hanging="206"/>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the composition of our Board, including the nature and duties of each of our committees, in accordance with our Corporate Governance Guidelines;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charters of each of the committees and recommend directors to serve as committee chairs;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individual director’s performance in consultation with the Chairman of the Board and review the overall effectiveness of the Board;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retirement policies for the Board, the terms for directors and the proper ratio of employee directors to outside directors;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 annual review of its performance relative to its charter and report the results of its evaluation to the full Board;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620" w:hanging="206"/>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stockholder proposals received for inclusion in the Company’s proxy statement and recommend action to be taken with regard to the proposals to the Board;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recommend to the Board candidates to fill director vacancies.</w:t>
      </w:r>
    </w:p>
    <w:p>
      <w:pPr>
        <w:spacing w:after="0" w:line="11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Potential new director candidates are identified through various methods; the Nominating and Governance Committee welcomes suggestions from directors, members of management, and stockholders. From time to time, the Nominating and Governance Committee uses outside consultants to assist it with identifying potential director candidates. 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Committee uses a matrix of functional and industry experiences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typically include other members of the Board, representatives from senior levels of management and an outside consultant.</w:t>
      </w:r>
    </w:p>
    <w:p>
      <w:pPr>
        <w:spacing w:after="0" w:line="8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for consideration by the Nominating and Governance Committee, you should submit your candidate’s name, together with biographical information and his or her written consent to nomination to the Chairman of the Nominating and Governance Committee, Waste Management, Inc., 1001 Fannin Street, Houston, Texas 77002, between October 25, 2017 and November 26,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40" w:firstLine="456"/>
        <w:spacing w:after="0" w:line="276" w:lineRule="auto"/>
        <w:rPr>
          <w:sz w:val="20"/>
          <w:szCs w:val="20"/>
          <w:color w:val="auto"/>
        </w:rPr>
      </w:pPr>
      <w:r>
        <w:rPr>
          <w:rFonts w:ascii="Times New Roman" w:cs="Times New Roman" w:eastAsia="Times New Roman" w:hAnsi="Times New Roman"/>
          <w:sz w:val="17"/>
          <w:szCs w:val="17"/>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w:t>
      </w:r>
    </w:p>
    <w:p>
      <w:pPr>
        <w:spacing w:after="0" w:line="1" w:lineRule="exact"/>
        <w:rPr>
          <w:sz w:val="20"/>
          <w:szCs w:val="20"/>
          <w:color w:val="auto"/>
        </w:rPr>
      </w:pPr>
    </w:p>
    <w:p>
      <w:pPr>
        <w:ind w:right="220" w:firstLine="8"/>
        <w:spacing w:after="0" w:line="250"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 (iii) business travel and expenses, advances and reimbursements in the ordinary course of business;</w:t>
      </w:r>
    </w:p>
    <w:p>
      <w:pPr>
        <w:spacing w:after="0" w:line="1" w:lineRule="exact"/>
        <w:rPr>
          <w:rFonts w:ascii="Times New Roman" w:cs="Times New Roman" w:eastAsia="Times New Roman" w:hAnsi="Times New Roman"/>
          <w:sz w:val="18"/>
          <w:szCs w:val="18"/>
          <w:color w:val="auto"/>
        </w:rPr>
      </w:pPr>
    </w:p>
    <w:p>
      <w:pPr>
        <w:ind w:right="140" w:firstLine="8"/>
        <w:spacing w:after="0" w:line="254" w:lineRule="auto"/>
        <w:tabs>
          <w:tab w:leader="none" w:pos="3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 (vi)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78"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All executive officers and directors are required to notify the Chief Legal Officer or the Corporate Secretary as soon as practicable of any proposed transaction that they or their family members are considering entering into that involves the Company. The Chief Legal Officer will determine whether potential transactions or relationships constitute related party transactions that must be referred to the Nominating and Governance Committee.</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Governance Committee will review a detailed description of the transaction, including:</w:t>
      </w:r>
    </w:p>
    <w:p>
      <w:pPr>
        <w:spacing w:after="0" w:line="131" w:lineRule="exact"/>
        <w:rPr>
          <w:sz w:val="20"/>
          <w:szCs w:val="20"/>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purpose of the transaction;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the Company and to the relevant related party;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require a waiver of the Company’s Code of Conduct.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determining whether to approve a related party transaction, the Nominating and Governance Committee will consider, among other things, whether:</w:t>
      </w:r>
    </w:p>
    <w:p>
      <w:pPr>
        <w:spacing w:after="0" w:line="131" w:lineRule="exact"/>
        <w:rPr>
          <w:sz w:val="20"/>
          <w:szCs w:val="20"/>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related party transaction are fair to the Company and such terms would be reasonable in an arms-length transaction;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business reasons for the Company to enter into the related party transaction;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 transaction would impair the independence of any non-employee director;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 transaction would present an improper conflict of interest for any director or executive officer of the Company;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 transaction is material to the Company or the individual.</w:t>
      </w:r>
    </w:p>
    <w:p>
      <w:pPr>
        <w:spacing w:after="0" w:line="117"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Any member of the Nominating and Governance Committee who has an interest in a transaction presented for consideration will abstain from voting on the related party transaction.</w:t>
      </w:r>
    </w:p>
    <w:p>
      <w:pPr>
        <w:spacing w:after="0" w:line="5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Nominating and Governance Committee’s consideration of related party transactions and its determination of whether to approve such a transaction are reflected in the minutes of the Nominating and Governance Committee’s meetings. As discussed above under “Independence of Board Members,” the Company reviewed all transactions between the Company and each entity with which a non-employee director is affiliated, as well as all transactions between the Company and each entity with which an executive officer is affiliated, and the Company is not aware of any transactions in 2016 that are required to be disclosed.</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Special Committee</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Board of Directors appointed a Special Committee in November 2006 to make determinations regarding the Company’s obligation to provide indemnification when and as may be necessary. The Special Committee consists of Mr. Gross and Mr. Weidemeyer. The Special Committee held no meetings in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Governing Documents</w:t>
      </w:r>
    </w:p>
    <w:p>
      <w:pPr>
        <w:spacing w:after="0" w:line="121" w:lineRule="exact"/>
        <w:rPr>
          <w:sz w:val="20"/>
          <w:szCs w:val="20"/>
          <w:color w:val="auto"/>
        </w:rPr>
      </w:pPr>
    </w:p>
    <w:p>
      <w:pPr>
        <w:jc w:val="cente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Stockholders may obtain copies of our Corporate Governance Guidelines, the charters of the Audit Committee, the MD&amp;C Committee, and the Nominating and Governance Committee, and our Code of Conduct free of charge by contacting the Corporate Secretary, c/o Waste Management, Inc., 1001 Fannin Street, Houston, Texas 77002 or by accessing the “Corporate Governance” section of the “Investor Relations” page on our website at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non-employee director compensation program consists of equity awards and cash consideration. Director compensation is recommended annually by the MD&amp;C Committee, with the assistance of an independent third-party consultant, and set by action of the Board of Directors. Our non-employee director compensation was increased in 2014 and was held flat in 2015 and 2016.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Non-employee directors receive an annual grant of shares of Common Stock under the Company’s Stock Incentive Plan. The shares are fully vested at the time of grant; however, non-employee directors are required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hold all net shares until retirement and are subject to ownership guidelines, as discussed below. The grant of shares is generally made in two equal installments, and the number of shares issued is based on the market value of our Common Stock on the dates of grant, which historically have been January 15 and July 15 of each year (or, if not a business day, then the next following business day). The value of the annual stock award granted to non-employee directors in 2016 was $140,000. Accordingly, each non-employee director received a grant of Common Stock valued at $70,000 on January 15, 2016 and July 15, 2016 under the 2014 Stock Incentive Plan. Mr. Reum received an additional grant of Common Stock valued at $100,000 for his service as Non-Executive Chairman of the Board in 2016, which was also made in two equal installments on January 15 and July 15.</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All non-employee directors receive an annual cash retainer for Board service and additional cash retainers for serving as a committee chair. Directors do not receive meeting fees in addition to the retainers. The annual cash retainer is generally paid in advance in two equal installments in January and July of each year. The table below sets forth the cash retainers for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Retainer</w:t>
            </w:r>
          </w:p>
        </w:tc>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Chair Retainers</w:t>
            </w:r>
          </w:p>
        </w:tc>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$100,000 for Non-Executive Chairman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$25,000 for Audit Committee Chair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$20,000 for MD&amp;C Committee Chair</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Annual Retainers</w:t>
            </w:r>
          </w:p>
        </w:tc>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$15,000 for Nominating and Governance Committee Chair</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$10,000 for Special Committee (Paid only in years when convened; the Special Committee was not convened in</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 for Non-Employee Directors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non-employee directors are subject to ownership guidelines that establish a minimum ownership level and require that all net shares received in connection with a stock award, after selling shares to pay all applicable taxes, be held during their tenure as a director and for one year following termination of Board service. The MD&amp;C Committee amended the ownership guidelines for employees and directors in November 2016 to increase the assumed stock price from $40 per share to $60 per share, to better reflect recent sustained market prices for our Common Stock. As a result, non-employee directors are now required to hold 9,000 shares, valued at approximately five times the 2016 annual cash retainer for non-employee directors. There is no deadline set for non-employee directors to reach their ownership guideline; however, the MD&amp;C Committee performs regular reviews to confirm that all non-employee directors are in compliance or are showing sustained progress toward achievement of their ownership guideline. Each of Messrs. Anderson, Clark, Gross, Pope and Weidemeyer and Ms. Holt have reached the ownership guideline. Our two newest directors, Ms. Mazzarella and Mr. Gluski, are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cash paid, and stock awards issued, to the non-employee directors in 2016 in accordance with the descriptions set forth above:</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11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60" w:type="dxa"/>
            <w:vAlign w:val="bottom"/>
            <w:vMerge w:val="restart"/>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1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vMerge w:val="continue"/>
          </w:tcPr>
          <w:p>
            <w:pPr>
              <w:spacing w:after="0"/>
              <w:rPr>
                <w:sz w:val="15"/>
                <w:szCs w:val="15"/>
                <w:color w:val="auto"/>
              </w:rPr>
            </w:pPr>
          </w:p>
        </w:tc>
        <w:tc>
          <w:tcPr>
            <w:tcW w:w="706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Cash ($)</w:t>
            </w:r>
          </w:p>
        </w:tc>
        <w:tc>
          <w:tcPr>
            <w:tcW w:w="4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4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Bradbury H. Anderson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130,000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48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270,000</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Andrés R. Gluski</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W. Gross</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135,000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48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Victoria M. Holt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M. Mazzarella</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110,000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48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Pope</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Robert Reum</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210,000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48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H. Weidemeyer</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125,000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jc w:val="both"/>
        <w:ind w:left="460" w:hanging="452"/>
        <w:spacing w:after="0" w:line="26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the grant date fair value of stock awards granted in 2016,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40"/>
          </w:cols>
          <w:pgMar w:left="240" w:top="455" w:right="3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E</w:t>
      </w:r>
      <w:r>
        <w:rPr>
          <w:rFonts w:ascii="Times New Roman" w:cs="Times New Roman" w:eastAsia="Times New Roman" w:hAnsi="Times New Roman"/>
          <w:sz w:val="23"/>
          <w:szCs w:val="23"/>
          <w:b w:val="1"/>
          <w:bCs w:val="1"/>
          <w:color w:val="auto"/>
        </w:rPr>
        <w:t>LECTION OF</w:t>
      </w:r>
      <w:r>
        <w:rPr>
          <w:rFonts w:ascii="Times New Roman" w:cs="Times New Roman" w:eastAsia="Times New Roman" w:hAnsi="Times New Roman"/>
          <w:sz w:val="29"/>
          <w:szCs w:val="29"/>
          <w:b w:val="1"/>
          <w:bCs w:val="1"/>
          <w:color w:val="auto"/>
        </w:rPr>
        <w:t xml:space="preserve"> D</w:t>
      </w:r>
      <w:r>
        <w:rPr>
          <w:rFonts w:ascii="Times New Roman" w:cs="Times New Roman" w:eastAsia="Times New Roman" w:hAnsi="Times New Roman"/>
          <w:sz w:val="23"/>
          <w:szCs w:val="23"/>
          <w:b w:val="1"/>
          <w:bCs w:val="1"/>
          <w:color w:val="auto"/>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TEM</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5"/>
          <w:szCs w:val="15"/>
          <w:b w:val="1"/>
          <w:bCs w:val="1"/>
          <w:color w:val="auto"/>
        </w:rPr>
        <w:t>ON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ROXY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ARD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first item on the proxy card is the election of nine directors to serve until the 2018 Annual Meeting of Stockholders or until their respective successors have been duly elected and qualified. The Board has nominated the nine director candidates named below, and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By-laws provide that if the number of shares voted “for” any director nominee does not exceed 50% of the votes cast with respect to that director, he or she will tender his or her resignation to the Board of Directors. The Nominating and Governance Committee will then make a recommendation to the Board on whether to accept or reject the resignation, or whether other action should be taken.</w:t>
      </w:r>
    </w:p>
    <w:p>
      <w:pPr>
        <w:spacing w:after="0" w:line="8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table below shows all of our director nominees; their ages, terms of office on our Board; experience within at least the past five years; and qualifications our Board considered when inviting them to serve as a director as well as nominating them for re-election. We believe that, as a general matter, our directors’ past five years of experience gives an indication of the wealth of knowledge and experience these individuals have and that our Board considered; however, we have also indicated the specific skills and areas of expertise that makes each of these individuals a valuable member of our Board.</w:t>
      </w:r>
    </w:p>
    <w:p>
      <w:pPr>
        <w:spacing w:after="0" w:line="72" w:lineRule="exact"/>
        <w:rPr>
          <w:sz w:val="20"/>
          <w:szCs w:val="20"/>
          <w:color w:val="auto"/>
        </w:rPr>
      </w:pPr>
    </w:p>
    <w:p>
      <w:pPr>
        <w:ind w:right="240" w:firstLine="456"/>
        <w:spacing w:after="0" w:line="313" w:lineRule="auto"/>
        <w:rPr>
          <w:sz w:val="20"/>
          <w:szCs w:val="20"/>
          <w:color w:val="auto"/>
        </w:rPr>
      </w:pPr>
      <w:r>
        <w:rPr>
          <w:rFonts w:ascii="Times New Roman" w:cs="Times New Roman" w:eastAsia="Times New Roman" w:hAnsi="Times New Roman"/>
          <w:sz w:val="17"/>
          <w:szCs w:val="17"/>
          <w:color w:val="auto"/>
        </w:rPr>
        <w:t>Each of the director nominees currently serves on our Board of Directors. On November 10, 2016, Mr. Fish succeeded Mr. David P. Steiner as Chief Executive Officer of the Company, and Mr. Fish was also elected to the Board on that date. Mr. Steiner resigned from the Board on January 6, 2017.</w:t>
      </w:r>
    </w:p>
    <w:p>
      <w:pPr>
        <w:spacing w:after="0" w:line="30"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On February 4, 2017, Mr. W. Robert Reum, the Company’s Chairman of the Board, passed away. On February 27, 2017, Mr. Brad Anderson was elected to succeed Mr. Reum as Chairman of the Board.</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ectPr>
          <w:pgSz w:w="11900" w:h="16838" w:orient="portrait"/>
          <w:cols w:equalWidth="0" w:num="1">
            <w:col w:w="11380"/>
          </w:cols>
          <w:pgMar w:left="240" w:top="455" w:right="27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Bradbury H. Anderson, 67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of the Board since February 2017</w:t>
      </w:r>
    </w:p>
    <w:p>
      <w:pPr>
        <w:spacing w:after="0" w:line="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Vice Chairman and Chief Executive Officer — Best Buy Co., Inc. (multinational retailer of technology and entertainment products and services) from 2002 to 2009; President and Chief Operating Officer of Best Buy from 1991 to 2002.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General Mills, Inc. since 2007.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Carlson Company, Inc., a private company, since 2009.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Best Buy Co., Inc. from June 2013 to June 2016.</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Qualifications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Anderson served in the positions of chief executive officer and chief operating officer of a large public retail company for several years, during a customer segmentation transformation, which provided him with extensive knowledge of management and operations of large public companies, including experience implementing customer focused strategies. He also has over 20 years of experience as a member of a public company board of directors.</w:t>
      </w:r>
    </w:p>
    <w:p>
      <w:pPr>
        <w:sectPr>
          <w:pgSz w:w="11900" w:h="16838" w:orient="portrait"/>
          <w:cols w:equalWidth="0" w:num="2">
            <w:col w:w="5800" w:space="260"/>
            <w:col w:w="5320"/>
          </w:cols>
          <w:pgMar w:left="240" w:top="455" w:right="27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Frank M. Clark, Jr., 71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2002</w:t>
      </w:r>
    </w:p>
    <w:p>
      <w:pPr>
        <w:spacing w:after="0" w:line="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Chairman and Chief Executive Officer — ComEd (energy services company and subsidiary of Exelon Corporation) from 2005 to 2012; President — ComEd from 2001 to 2005.</w:t>
      </w:r>
    </w:p>
    <w:p>
      <w:pPr>
        <w:spacing w:after="0" w:line="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Executive Vice President and Chief of Staff — Exelon Corporation (public utility holding company) from 2004 to 2005; Senior Vice President — Exelon Corporation from 2001 to 2004.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Aetna, Inc. since 2006.</w:t>
      </w:r>
    </w:p>
    <w:p>
      <w:pPr>
        <w:spacing w:after="0" w:line="13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Director of BMO Financial Corp., a private company, from 2005 to December 2016.</w:t>
      </w:r>
    </w:p>
    <w:p>
      <w:pPr>
        <w:spacing w:after="0"/>
        <w:rPr>
          <w:sz w:val="20"/>
          <w:szCs w:val="20"/>
          <w:color w:val="auto"/>
        </w:rPr>
      </w:pPr>
      <w:r>
        <w:rPr>
          <w:rFonts w:ascii="Times New Roman" w:cs="Times New Roman" w:eastAsia="Times New Roman" w:hAnsi="Times New Roman"/>
          <w:sz w:val="18"/>
          <w:szCs w:val="18"/>
          <w:b w:val="1"/>
          <w:bCs w:val="1"/>
          <w:color w:val="auto"/>
        </w:rPr>
        <w:t>James C. Fish, Jr.,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right="1220"/>
        <w:spacing w:after="0" w:line="250" w:lineRule="auto"/>
        <w:rPr>
          <w:sz w:val="20"/>
          <w:szCs w:val="20"/>
          <w:color w:val="auto"/>
        </w:rPr>
      </w:pPr>
      <w:r>
        <w:rPr>
          <w:rFonts w:ascii="Times New Roman" w:cs="Times New Roman" w:eastAsia="Times New Roman" w:hAnsi="Times New Roman"/>
          <w:sz w:val="18"/>
          <w:szCs w:val="18"/>
          <w:b w:val="1"/>
          <w:bCs w:val="1"/>
          <w:color w:val="auto"/>
        </w:rPr>
        <w:t>Chief Executive Officer and Director since November 2016; President since July 2016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Financial Officer from July 2016 to November 2016.</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Executive Vice President and Chief Financial Officer from August 2012 to July 2016.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 Eastern Group from 2011 to August 2012.</w:t>
      </w:r>
    </w:p>
    <w:p>
      <w:pPr>
        <w:spacing w:after="0" w:line="13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Area Vice President — Pennsylvania and West Virginia Area from 2009 to 2011.</w:t>
      </w:r>
    </w:p>
    <w:p>
      <w:pPr>
        <w:spacing w:after="0" w:line="67" w:lineRule="exact"/>
        <w:rPr>
          <w:sz w:val="20"/>
          <w:szCs w:val="20"/>
          <w:color w:val="auto"/>
        </w:rPr>
      </w:pPr>
    </w:p>
    <w:p>
      <w:pPr>
        <w:jc w:val="both"/>
        <w:ind w:right="280"/>
        <w:spacing w:after="0" w:line="276" w:lineRule="auto"/>
        <w:rPr>
          <w:sz w:val="20"/>
          <w:szCs w:val="20"/>
          <w:color w:val="auto"/>
        </w:rPr>
      </w:pPr>
      <w:r>
        <w:rPr>
          <w:rFonts w:ascii="Times New Roman" w:cs="Times New Roman" w:eastAsia="Times New Roman" w:hAnsi="Times New Roman"/>
          <w:sz w:val="17"/>
          <w:szCs w:val="17"/>
          <w:color w:val="auto"/>
        </w:rPr>
        <w:t>Market Area General Manager — Western Pennsylvania/West Virginia from 2008 to 2009 and Rhode Island/Southern Massachusetts from 2006 to 2008.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Andrés R. Gluski,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January 2015</w:t>
      </w:r>
    </w:p>
    <w:p>
      <w:pPr>
        <w:spacing w:after="0" w:line="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President and Chief Executive Officer — The AES Corporation (global power company) since 2011; Executive Vice President and Chief Operating Officer — The AES Corporation from 2007 to 2011.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The AES Corporation since 2011.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AES Gener (Chile) since 2005.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Cliffs Natural Resources from 2011 to July 2014.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Qualifications</w:t>
      </w:r>
    </w:p>
    <w:p>
      <w:pPr>
        <w:spacing w:after="0" w:line="200" w:lineRule="exact"/>
        <w:rPr>
          <w:sz w:val="20"/>
          <w:szCs w:val="20"/>
          <w:color w:val="auto"/>
        </w:rPr>
      </w:pPr>
    </w:p>
    <w:p>
      <w:pPr>
        <w:spacing w:after="0" w:line="2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Clark served in executive positions at a large public utility company for over a decade, providing him with extensive experience and knowledge of large company management, operations and business critical functions. He also brings over 14 years of experience as a member of a public company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Mr. Fish is our President and Chief Executive Officer, having been promoted to the position of Chief Executive Officer and elected to our Board of Directors in November 2016. Mr. Fish joined the Company in 2001 and held several key positions with the Company prior to his promotion, including Executive Vice President and Chief Financial Officer, Senior Vice President for the Company’s Eastern Group, Area Vice President for the Pennsylvania and West Virginia Area and Vice President of Price Management. As a result, Mr. Fish has a broad and deep understanding of the Company and the strategic actions necessary to deliver shareholder value.</w:t>
      </w:r>
    </w:p>
    <w:p>
      <w:pPr>
        <w:spacing w:after="0" w:line="200" w:lineRule="exact"/>
        <w:rPr>
          <w:sz w:val="20"/>
          <w:szCs w:val="20"/>
          <w:color w:val="auto"/>
        </w:rPr>
      </w:pPr>
    </w:p>
    <w:p>
      <w:pPr>
        <w:spacing w:after="0" w:line="2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his tenure as President and CEO of the AES Corporation, a Fortune 200 company in the energy business, Mr. Gluski has led a major reorganization and cost savings program and construction program. Over the past twenty years, Mr. Gluski has served in executive positions in the electricity, telecoms and banking sectors and has been involved in many aspects of acquisitions, sales, financings and debt restructurings. He has served on boards of major corporations, as well as on President Obama’s Export Council and is the Chairman of the Americas Society and Council of the Americas.</w:t>
      </w:r>
    </w:p>
    <w:p>
      <w:pPr>
        <w:sectPr>
          <w:pgSz w:w="11900" w:h="16838" w:orient="portrait"/>
          <w:cols w:equalWidth="0" w:num="2">
            <w:col w:w="5800" w:space="260"/>
            <w:col w:w="534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Patrick W. Gross, 72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2006</w:t>
      </w:r>
    </w:p>
    <w:p>
      <w:pPr>
        <w:spacing w:after="0" w:line="9"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8"/>
          <w:szCs w:val="18"/>
          <w:color w:val="auto"/>
        </w:rPr>
        <w:t>Chairman — The Lovell Group (private investment and advisory firm) since 2001.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Capital One Financial Corporation since 1995.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Liquidity Services, Inc. since 2001.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Career Education Corporation since 2005.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Rosetta Stone, Inc. since 2009.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Taleo Corporation from 2006 to February 2012.</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Victoria M. Holt,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283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January 2013</w:t>
      </w:r>
    </w:p>
    <w:p>
      <w:pPr>
        <w:spacing w:after="0" w:line="9" w:lineRule="exact"/>
        <w:rPr>
          <w:sz w:val="20"/>
          <w:szCs w:val="20"/>
          <w:color w:val="auto"/>
        </w:rPr>
      </w:pPr>
    </w:p>
    <w:p>
      <w:pPr>
        <w:ind w:right="760"/>
        <w:spacing w:after="0" w:line="276" w:lineRule="auto"/>
        <w:rPr>
          <w:sz w:val="20"/>
          <w:szCs w:val="20"/>
          <w:color w:val="auto"/>
        </w:rPr>
      </w:pPr>
      <w:r>
        <w:rPr>
          <w:rFonts w:ascii="Times New Roman" w:cs="Times New Roman" w:eastAsia="Times New Roman" w:hAnsi="Times New Roman"/>
          <w:sz w:val="18"/>
          <w:szCs w:val="18"/>
          <w:color w:val="auto"/>
        </w:rPr>
        <w:t>President and Chief Executive Officer — Proto Labs, Inc. (online and technology-enabled quick-turn manufacturer) since February 2014.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Proto Labs, Inc. since February 2014.</w:t>
      </w:r>
    </w:p>
    <w:p>
      <w:pPr>
        <w:spacing w:after="0" w:line="13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President and Chief Executive Officer — Spartech Corporation (a leading producer of plastic sheet, compounds and packaging products) from 2010 to March 2013.</w:t>
      </w:r>
    </w:p>
    <w:p>
      <w:pPr>
        <w:spacing w:after="0" w:line="8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Senior Vice President, Glass and Fiber Glass, PPG Industries, Inc. (a coatings and specialty products company) from 2005 to 2010.</w:t>
      </w:r>
    </w:p>
    <w:p>
      <w:pPr>
        <w:spacing w:after="0" w:line="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Director of Watlow Electric Manufacturing Company, a private company, since December 2012.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Spartech Corporation from 2005 to March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Kathleen M. Mazzarella,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October 2015</w:t>
      </w:r>
    </w:p>
    <w:p>
      <w:pPr>
        <w:spacing w:after="0" w:line="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Chairman, President and Chief Executive Officer — Graybar Electric Company, Inc. (distributor of electrical, communications and data networking products and provider of related supply chain management and logistics services) since January 2013; President and Chief Executive Officer — Graybar Electric Company, Inc. from June 2012 to January 2013; Executive Vice President and Chief Operating Officer — Graybar Electric Company, Inc. from 2010 to June 2012.</w:t>
      </w:r>
    </w:p>
    <w:p>
      <w:pPr>
        <w:spacing w:after="0" w:line="9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Director of Federal Reserve Bank of St. Louis since January 2015; Chair of the Board since April 2016.</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Qualifications</w:t>
      </w:r>
    </w:p>
    <w:p>
      <w:pPr>
        <w:spacing w:after="0" w:line="200" w:lineRule="exact"/>
        <w:rPr>
          <w:sz w:val="20"/>
          <w:szCs w:val="20"/>
          <w:color w:val="auto"/>
        </w:rPr>
      </w:pPr>
    </w:p>
    <w:p>
      <w:pPr>
        <w:spacing w:after="0" w:line="253"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Mr. Gross was a founder of American Management Systems, Inc., a global business and information technology firm, where he was a principal executive officer for over 30 years. Mr. Gross was responsible for major corporate clients in providing IT-based applications and advanced data analytics. As a result, he has extensive experience in applying information technology, advanced analytics and risk management analytics in global companies. He has served on boards of major public and private corporations in distribution, technology and services sectors. His background, education and board service provide him with expertise in finance, accounting and cybersecurity.</w:t>
      </w:r>
    </w:p>
    <w:p>
      <w:pPr>
        <w:spacing w:after="0" w:line="200" w:lineRule="exact"/>
        <w:rPr>
          <w:sz w:val="20"/>
          <w:szCs w:val="20"/>
          <w:color w:val="auto"/>
        </w:rPr>
      </w:pP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Ms. Holt has served in executive positions at public companies for many years, providing her with extensive knowledge about operations, management, logistical requirements and measuring financial performance of large public companies. Her background and education provide her with expertise in applying environmental solutions critical to our Company’s strategy. She also has many years of experience serving on a public company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Ms. Mazzarella has experience serving as the chief executive of a large corporation, developing expertise in the areas of logistics and supply chain management. During her 37-year tenure at Graybar, Ms. Mazzarella has held executive-level positions in sales, human resources, strategic planning and marketing. This diverse background combined with her deep and valuable experience leading various aspects of a customer-focused business will help the Company achieve its strategy to know and service its customers better than anyone in the industry. She also has experience serving on private and non-profit boards.</w:t>
      </w:r>
    </w:p>
    <w:p>
      <w:pPr>
        <w:sectPr>
          <w:pgSz w:w="11900" w:h="16838" w:orient="portrait"/>
          <w:cols w:equalWidth="0" w:num="2">
            <w:col w:w="5800" w:space="260"/>
            <w:col w:w="536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00"/>
          </w:cols>
          <w:pgMar w:left="240" w:top="455" w:right="259" w:bottom="1440" w:gutter="0" w:footer="0" w:header="0"/>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C. Pope, 67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1997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 PFI Group (private investment firm) since 1994.</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Chairman of the Board — R.R. Donnelley &amp; Sons Company since May 2014; Director of R.R. Donnelley &amp; Sons Company, or predecessor companies, since 1996.</w:t>
      </w:r>
    </w:p>
    <w:p>
      <w:pPr>
        <w:spacing w:after="0" w:line="8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Director of The Kraft Heinz Company, or predecessor companies including Kraft Foods Group, Inc., since 2001.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Talgo S.A. since May 2015.</w:t>
      </w:r>
    </w:p>
    <w:p>
      <w:pPr>
        <w:spacing w:after="0" w:line="131"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Former Directorships: Con-way, Inc., or predecessor companies, from 2003 to October 2015; Dollar Thrifty Automotive Group, Inc. from 1997 to November 2012; and Navistar International Corporation from October 2012 to July 2013.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H. Weidemeyer,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since 2005</w:t>
      </w:r>
    </w:p>
    <w:p>
      <w:pPr>
        <w:spacing w:after="0" w:line="9"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8"/>
          <w:szCs w:val="18"/>
          <w:color w:val="auto"/>
        </w:rPr>
        <w:t>Chief Operating Officer — United Parcel Service, Inc. (package delivery and supply chain services company) from 2001 to 2003; Senior Vice President — United Parcel Service, Inc. from 1994 to 2003.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UPS Airlines (UPS owned airline) from 1994 to 2003.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NRG Energy, Inc. since 2003.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The Goodyear Tire &amp; Rubber Company since 2004.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Amsted Industries Incorporated since 2007.</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u w:val="single" w:color="auto"/>
          <w:color w:val="auto"/>
        </w:rPr>
        <w:t>Qualifications</w:t>
      </w:r>
    </w:p>
    <w:p>
      <w:pPr>
        <w:spacing w:after="0" w:line="200" w:lineRule="exact"/>
        <w:rPr>
          <w:sz w:val="20"/>
          <w:szCs w:val="20"/>
          <w:color w:val="auto"/>
        </w:rPr>
      </w:pPr>
    </w:p>
    <w:p>
      <w:pPr>
        <w:spacing w:after="0" w:line="2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his service on the boards of multiple major corporations, Mr. Pope served in executive operational and financial positions at large airline companies for almost 20 years, providing him with extensive experience and knowledge of management of large public companies with large-scale logistical challenges, high fixed-cost structure and significant capital requirements. His background, education and board service also provide him with expertise in finance and accounting. Mr. Pope has served on the board of directors for many public companies for over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Weidemeyer served in executive positions at a large public company for several years. His roles encompassed significant operational management responsibility, providing him knowledge and experience in an array of functional areas critical to large public companies, including supply chain and logistics management. Mr. Weidemeyer also has over 14 years of experience serving on the board of directors for public companies.</w:t>
      </w:r>
    </w:p>
    <w:p>
      <w:pPr>
        <w:spacing w:after="0" w:line="577" w:lineRule="exact"/>
        <w:rPr>
          <w:sz w:val="20"/>
          <w:szCs w:val="20"/>
          <w:color w:val="auto"/>
        </w:rPr>
      </w:pPr>
    </w:p>
    <w:p>
      <w:pPr>
        <w:sectPr>
          <w:pgSz w:w="11900" w:h="16838" w:orient="portrait"/>
          <w:cols w:equalWidth="0" w:num="2">
            <w:col w:w="5700" w:space="360"/>
            <w:col w:w="5340"/>
          </w:cols>
          <w:pgMar w:left="240" w:top="455" w:right="259" w:bottom="1440" w:gutter="0" w:footer="0" w:header="0"/>
          <w:type w:val="continuous"/>
        </w:sectPr>
      </w:pPr>
    </w:p>
    <w:p>
      <w:pPr>
        <w:ind w:right="6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 EACH OF THE NINE DIRECTOR NOMINEES.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D</w:t>
      </w:r>
      <w:r>
        <w:rPr>
          <w:rFonts w:ascii="Times New Roman" w:cs="Times New Roman" w:eastAsia="Times New Roman" w:hAnsi="Times New Roman"/>
          <w:sz w:val="23"/>
          <w:szCs w:val="23"/>
          <w:b w:val="1"/>
          <w:bCs w:val="1"/>
          <w:color w:val="auto"/>
        </w:rPr>
        <w:t>IRECTOR AND</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FFICER</w:t>
      </w:r>
      <w:r>
        <w:rPr>
          <w:rFonts w:ascii="Times New Roman" w:cs="Times New Roman" w:eastAsia="Times New Roman" w:hAnsi="Times New Roman"/>
          <w:sz w:val="29"/>
          <w:szCs w:val="29"/>
          <w:b w:val="1"/>
          <w:bCs w:val="1"/>
          <w:color w:val="auto"/>
        </w:rPr>
        <w:t xml:space="preserve"> S</w:t>
      </w:r>
      <w:r>
        <w:rPr>
          <w:rFonts w:ascii="Times New Roman" w:cs="Times New Roman" w:eastAsia="Times New Roman" w:hAnsi="Times New Roman"/>
          <w:sz w:val="23"/>
          <w:szCs w:val="23"/>
          <w:b w:val="1"/>
          <w:bCs w:val="1"/>
          <w:color w:val="auto"/>
        </w:rPr>
        <w:t>TOCK</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5"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adopted stock ownership guidelines for our non-employee directors based on the recommendation of the MD&amp;C Committee, as described in Non-Employee Director Compensation on page 14 of this Proxy Statement. Our executive officers, including Mr. Fish, are also subject to stock ownership guidelines, as described in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on page 39 of this Proxy Statement.</w:t>
      </w:r>
    </w:p>
    <w:p>
      <w:pPr>
        <w:spacing w:after="0" w:line="6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Security Ownership of Management table below shows the number of shares of Common Stock each director nominee and each executive officer named in the Summary Compensation Table on page 42 beneficially owned as of March 15, 2017, our record date for the annual meeting, as well as the number owned by all directors and currently serving executive officers as a group. These individuals, both individually and in the aggregate, own less than 1% of our outstanding shares as of the record date.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4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226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2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26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Stock Covered by</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vMerge w:val="continue"/>
          </w:tcPr>
          <w:p>
            <w:pPr>
              <w:spacing w:after="0"/>
              <w:rPr>
                <w:sz w:val="15"/>
                <w:szCs w:val="15"/>
                <w:color w:val="auto"/>
              </w:rPr>
            </w:pPr>
          </w:p>
        </w:tc>
        <w:tc>
          <w:tcPr>
            <w:tcW w:w="5120" w:type="dxa"/>
            <w:vAlign w:val="bottom"/>
            <w:tcBorders>
              <w:bottom w:val="single" w:sz="8" w:color="CCEEFF"/>
            </w:tcBorders>
            <w:vMerge w:val="continue"/>
          </w:tcPr>
          <w:p>
            <w:pPr>
              <w:spacing w:after="0"/>
              <w:rPr>
                <w:sz w:val="15"/>
                <w:szCs w:val="15"/>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Stock Owned</w:t>
            </w:r>
            <w:r>
              <w:rPr>
                <w:rFonts w:ascii="Times New Roman" w:cs="Times New Roman" w:eastAsia="Times New Roman" w:hAnsi="Times New Roman"/>
                <w:sz w:val="12"/>
                <w:szCs w:val="12"/>
                <w:b w:val="1"/>
                <w:bCs w:val="1"/>
                <w:color w:val="auto"/>
              </w:rPr>
              <w:t>(1)</w:t>
            </w:r>
          </w:p>
        </w:tc>
        <w:tc>
          <w:tcPr>
            <w:tcW w:w="8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Options</w:t>
            </w:r>
            <w:r>
              <w:rPr>
                <w:rFonts w:ascii="Times New Roman" w:cs="Times New Roman" w:eastAsia="Times New Roman" w:hAnsi="Times New Roman"/>
                <w:sz w:val="12"/>
                <w:szCs w:val="12"/>
                <w:b w:val="1"/>
                <w:bCs w:val="1"/>
                <w:color w:val="auto"/>
              </w:rPr>
              <w:t>(2)</w:t>
            </w:r>
          </w:p>
        </w:tc>
        <w:tc>
          <w:tcPr>
            <w:tcW w:w="8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2"/>
                <w:szCs w:val="12"/>
                <w:b w:val="1"/>
                <w:bCs w:val="1"/>
                <w:color w:val="auto"/>
              </w:rPr>
              <w:t>(3)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Bradbury H. Anderson</w:t>
            </w:r>
            <w:r>
              <w:rPr>
                <w:rFonts w:ascii="Times New Roman" w:cs="Times New Roman" w:eastAsia="Times New Roman" w:hAnsi="Times New Roman"/>
                <w:sz w:val="15"/>
                <w:szCs w:val="15"/>
                <w:color w:val="auto"/>
              </w:rPr>
              <w:t>(4)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20,159</w:t>
            </w: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M. Clark, Jr.</w:t>
            </w:r>
          </w:p>
        </w:tc>
        <w:tc>
          <w:tcPr>
            <w:tcW w:w="2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29,202</w:t>
            </w:r>
          </w:p>
        </w:tc>
        <w:tc>
          <w:tcPr>
            <w:tcW w:w="2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Andrés R. Gluski</w:t>
            </w:r>
          </w:p>
        </w:tc>
        <w:tc>
          <w:tcPr>
            <w:tcW w:w="20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6,182</w:t>
            </w:r>
          </w:p>
        </w:tc>
        <w:tc>
          <w:tcPr>
            <w:tcW w:w="22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W. Gross</w:t>
            </w:r>
          </w:p>
        </w:tc>
        <w:tc>
          <w:tcPr>
            <w:tcW w:w="2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22,177</w:t>
            </w:r>
          </w:p>
        </w:tc>
        <w:tc>
          <w:tcPr>
            <w:tcW w:w="2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Victoria M. Holt</w:t>
            </w:r>
          </w:p>
        </w:tc>
        <w:tc>
          <w:tcPr>
            <w:tcW w:w="20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12,284</w:t>
            </w:r>
          </w:p>
        </w:tc>
        <w:tc>
          <w:tcPr>
            <w:tcW w:w="22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M. Mazzarella</w:t>
            </w:r>
            <w:r>
              <w:rPr>
                <w:rFonts w:ascii="Times New Roman" w:cs="Times New Roman" w:eastAsia="Times New Roman" w:hAnsi="Times New Roman"/>
                <w:sz w:val="15"/>
                <w:szCs w:val="15"/>
                <w:color w:val="auto"/>
              </w:rPr>
              <w:t>(5)</w:t>
            </w:r>
          </w:p>
        </w:tc>
        <w:tc>
          <w:tcPr>
            <w:tcW w:w="2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4,094</w:t>
            </w:r>
          </w:p>
        </w:tc>
        <w:tc>
          <w:tcPr>
            <w:tcW w:w="2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Pope</w:t>
            </w:r>
            <w:r>
              <w:rPr>
                <w:rFonts w:ascii="Times New Roman" w:cs="Times New Roman" w:eastAsia="Times New Roman" w:hAnsi="Times New Roman"/>
                <w:sz w:val="15"/>
                <w:szCs w:val="15"/>
                <w:color w:val="auto"/>
              </w:rPr>
              <w:t>(6)</w:t>
            </w:r>
          </w:p>
        </w:tc>
        <w:tc>
          <w:tcPr>
            <w:tcW w:w="20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50,860</w:t>
            </w:r>
          </w:p>
        </w:tc>
        <w:tc>
          <w:tcPr>
            <w:tcW w:w="22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H. Weidemeyer</w:t>
            </w:r>
          </w:p>
        </w:tc>
        <w:tc>
          <w:tcPr>
            <w:tcW w:w="2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24,478</w:t>
            </w:r>
          </w:p>
        </w:tc>
        <w:tc>
          <w:tcPr>
            <w:tcW w:w="2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Fish, Jr.</w:t>
            </w:r>
          </w:p>
        </w:tc>
        <w:tc>
          <w:tcPr>
            <w:tcW w:w="20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146,267</w:t>
            </w:r>
          </w:p>
        </w:tc>
        <w:tc>
          <w:tcPr>
            <w:tcW w:w="22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43,839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Trevathan, Jr.</w:t>
            </w:r>
            <w:r>
              <w:rPr>
                <w:rFonts w:ascii="Times New Roman" w:cs="Times New Roman" w:eastAsia="Times New Roman" w:hAnsi="Times New Roman"/>
                <w:sz w:val="15"/>
                <w:szCs w:val="15"/>
                <w:color w:val="auto"/>
              </w:rPr>
              <w:t>(7)</w:t>
            </w:r>
          </w:p>
        </w:tc>
        <w:tc>
          <w:tcPr>
            <w:tcW w:w="2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345,962</w:t>
            </w:r>
          </w:p>
        </w:tc>
        <w:tc>
          <w:tcPr>
            <w:tcW w:w="2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77,547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M. Harris</w:t>
            </w:r>
            <w:r>
              <w:rPr>
                <w:rFonts w:ascii="Times New Roman" w:cs="Times New Roman" w:eastAsia="Times New Roman" w:hAnsi="Times New Roman"/>
                <w:sz w:val="15"/>
                <w:szCs w:val="15"/>
                <w:color w:val="auto"/>
              </w:rPr>
              <w:t>(8)</w:t>
            </w: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65,049</w:t>
            </w:r>
          </w:p>
        </w:tc>
        <w:tc>
          <w:tcPr>
            <w:tcW w:w="22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 Morris, Jr.</w:t>
            </w:r>
          </w:p>
        </w:tc>
        <w:tc>
          <w:tcPr>
            <w:tcW w:w="2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39,869</w:t>
            </w:r>
          </w:p>
        </w:tc>
        <w:tc>
          <w:tcPr>
            <w:tcW w:w="2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Steiner</w:t>
            </w:r>
            <w:r>
              <w:rPr>
                <w:rFonts w:ascii="Times New Roman" w:cs="Times New Roman" w:eastAsia="Times New Roman" w:hAnsi="Times New Roman"/>
                <w:sz w:val="15"/>
                <w:szCs w:val="15"/>
                <w:color w:val="auto"/>
              </w:rPr>
              <w:t>(9)</w:t>
            </w: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1,240,866</w:t>
            </w:r>
          </w:p>
        </w:tc>
        <w:tc>
          <w:tcPr>
            <w:tcW w:w="22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816,780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108,489</w:t>
            </w:r>
          </w:p>
        </w:tc>
        <w:tc>
          <w:tcPr>
            <w:tcW w:w="0" w:type="dxa"/>
            <w:vAlign w:val="bottom"/>
          </w:tcPr>
          <w:p>
            <w:pPr>
              <w:spacing w:after="0"/>
              <w:rPr>
                <w:sz w:val="1"/>
                <w:szCs w:val="1"/>
                <w:color w:val="auto"/>
              </w:rPr>
            </w:pPr>
          </w:p>
        </w:tc>
      </w:tr>
      <w:tr>
        <w:trPr>
          <w:trHeight w:val="198"/>
        </w:trPr>
        <w:tc>
          <w:tcPr>
            <w:tcW w:w="5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currently serving executive officers as a group</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(16 persons)</w:t>
            </w:r>
            <w:r>
              <w:rPr>
                <w:rFonts w:ascii="Times New Roman" w:cs="Times New Roman" w:eastAsia="Times New Roman" w:hAnsi="Times New Roman"/>
                <w:sz w:val="15"/>
                <w:szCs w:val="15"/>
                <w:color w:val="auto"/>
              </w:rPr>
              <w:t>(10)</w:t>
            </w:r>
          </w:p>
        </w:tc>
        <w:tc>
          <w:tcPr>
            <w:tcW w:w="2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825,710</w:t>
            </w:r>
          </w:p>
        </w:tc>
        <w:tc>
          <w:tcPr>
            <w:tcW w:w="2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150,487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40" w:hanging="452"/>
        <w:spacing w:after="0" w:line="25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reports beneficial ownership in accordance with Rule 13d-3 under the Exchange Act. The amounts reported above include 3,730 stock equivalents attributed to Mr. Fish, 2,098 stock equivalents attributable to Mr. Morris and 12,437 stock equivalents attributed to Mr. Steiner, based on their holdings in the Company’s 401(k) Retirement Savings Plan stock fund. The amounts reported above also include 42,992 shares of Common Stock deferred by Mr. Fish, 2,709 shares of Common Stock deferred by Mr. Trevathan and 506,302 shares of Common Stock deferred by Mr. Steiner. Deferred shares were earned on account of vested equity awards and pay out in shares of Common Stock after the executive’s departure from the Company pursuant to the Company’s 409A Deferral Plan.</w:t>
      </w:r>
    </w:p>
    <w:p>
      <w:pPr>
        <w:spacing w:after="0" w:line="9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number of options currently exercisable and options that will become exercisable within 60 days of our record date.</w:t>
      </w:r>
    </w:p>
    <w:p>
      <w:pPr>
        <w:spacing w:after="0" w:line="130" w:lineRule="exact"/>
        <w:rPr>
          <w:rFonts w:ascii="Times New Roman" w:cs="Times New Roman" w:eastAsia="Times New Roman" w:hAnsi="Times New Roman"/>
          <w:sz w:val="18"/>
          <w:szCs w:val="18"/>
          <w:color w:val="auto"/>
        </w:rPr>
      </w:pPr>
    </w:p>
    <w:p>
      <w:pPr>
        <w:ind w:left="460" w:hanging="452"/>
        <w:spacing w:after="0" w:line="25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actually invested in stock or funds. Phantom stock receives dividend equivalents, in the form of additional phantom stock, at the same time that holders of shares of Common Stock receive dividends. The value of the phantom stock is paid out, in cash, after the executive’s departure from the Company. Phantom stock is not considered as equity ownership for SEC disclosure purposes; we have provided supplemental disclosure of phantom stock in this table because it represents an investment risk based on the performance of our Common Stock.</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by Mr. Anderson includes 100 shares held by his wife.</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held by the Mazzarella Living Trust, a joint revocable trust for which Ms. Mazzarella and her husband serve as trustees.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by Mr. Pope includes 435 shares held in trusts for the benefit of his children.</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owned by Mr. Trevathan includes 170,171 shares that are pledged as security for a loan.</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34,478 shares held by the Jeff Harris Revocable Trust, for which Mr. Harris serves as trustee.</w:t>
      </w:r>
    </w:p>
    <w:p>
      <w:pPr>
        <w:spacing w:after="0" w:line="130" w:lineRule="exact"/>
        <w:rPr>
          <w:rFonts w:ascii="Times New Roman" w:cs="Times New Roman" w:eastAsia="Times New Roman" w:hAnsi="Times New Roman"/>
          <w:sz w:val="18"/>
          <w:szCs w:val="18"/>
          <w:color w:val="auto"/>
        </w:rPr>
      </w:pPr>
    </w:p>
    <w:p>
      <w:pPr>
        <w:ind w:left="460" w:right="60" w:hanging="452"/>
        <w:spacing w:after="0" w:line="26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information for Mr. Steiner is as of December 31, 2016, which is the last date Mr. Steiner verified his ownership following his departure from the Company. As of that date, the number of shares owned by Mr. Steiner included 343,294 shares pledged as security for a loan and held by Steiner Family Holdings, LLC, for which Mr. Steiner is the sole manager.</w:t>
      </w:r>
    </w:p>
    <w:p>
      <w:pPr>
        <w:spacing w:after="0" w:line="81" w:lineRule="exact"/>
        <w:rPr>
          <w:rFonts w:ascii="Times New Roman" w:cs="Times New Roman" w:eastAsia="Times New Roman" w:hAnsi="Times New Roman"/>
          <w:sz w:val="18"/>
          <w:szCs w:val="18"/>
          <w:color w:val="auto"/>
        </w:rPr>
      </w:pPr>
    </w:p>
    <w:p>
      <w:pPr>
        <w:ind w:left="460" w:hanging="452"/>
        <w:spacing w:after="0" w:line="261"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“All directors and currently serving executive officers as a group” are 5,828 stock equivalents attributable to the executive officers’ collective holdings in the Company’s 401(k) Retirement Savings Plan stock fund and 66,302 shares of Common Stock deferred on account of vested equity awards pursuant to the Company’s 409A Deferral Plan. Mr. Steiner departed the Company on November 10, 2016, and his ownership is not included in the total above.</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240" w:top="455" w:right="4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w:t>
      </w:r>
      <w:r>
        <w:rPr>
          <w:rFonts w:ascii="Times New Roman" w:cs="Times New Roman" w:eastAsia="Times New Roman" w:hAnsi="Times New Roman"/>
          <w:sz w:val="23"/>
          <w:szCs w:val="23"/>
          <w:b w:val="1"/>
          <w:bCs w:val="1"/>
          <w:color w:val="auto"/>
        </w:rPr>
        <w:t>ECURITY</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WNERSHIP OF</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ERTAIN</w:t>
      </w:r>
      <w:r>
        <w:rPr>
          <w:rFonts w:ascii="Times New Roman" w:cs="Times New Roman" w:eastAsia="Times New Roman" w:hAnsi="Times New Roman"/>
          <w:sz w:val="29"/>
          <w:szCs w:val="29"/>
          <w:b w:val="1"/>
          <w:bCs w:val="1"/>
          <w:color w:val="auto"/>
        </w:rPr>
        <w:t xml:space="preserve"> B</w:t>
      </w:r>
      <w:r>
        <w:rPr>
          <w:rFonts w:ascii="Times New Roman" w:cs="Times New Roman" w:eastAsia="Times New Roman" w:hAnsi="Times New Roman"/>
          <w:sz w:val="23"/>
          <w:szCs w:val="23"/>
          <w:b w:val="1"/>
          <w:bCs w:val="1"/>
          <w:color w:val="auto"/>
        </w:rPr>
        <w:t>ENEFICIAL</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information for persons known to us to beneficially own more than 5% of our Common Stock based on their filings with the SEC through March 15,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22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73"/>
        </w:trPr>
        <w:tc>
          <w:tcPr>
            <w:tcW w:w="9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520" w:type="dxa"/>
            <w:vAlign w:val="bottom"/>
            <w:tcBorders>
              <w:bottom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20" w:type="dxa"/>
            <w:vAlign w:val="bottom"/>
            <w:gridSpan w:val="3"/>
            <w:vMerge w:val="continue"/>
          </w:tcPr>
          <w:p>
            <w:pPr>
              <w:spacing w:after="0"/>
              <w:rPr>
                <w:sz w:val="12"/>
                <w:szCs w:val="12"/>
                <w:color w:val="auto"/>
              </w:rPr>
            </w:pPr>
          </w:p>
        </w:tc>
        <w:tc>
          <w:tcPr>
            <w:tcW w:w="1520" w:type="dxa"/>
            <w:vAlign w:val="bottom"/>
            <w:gridSpan w:val="2"/>
          </w:tcPr>
          <w:p>
            <w:pPr>
              <w:jc w:val="right"/>
              <w:ind w:right="763"/>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12"/>
                <w:szCs w:val="12"/>
                <w:b w:val="1"/>
                <w:bCs w:val="1"/>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w w:val="90"/>
              </w:rPr>
              <w:t>William H. Gates</w:t>
            </w:r>
          </w:p>
        </w:tc>
        <w:tc>
          <w:tcPr>
            <w:tcW w:w="8040" w:type="dxa"/>
            <w:vAlign w:val="bottom"/>
            <w:tcBorders>
              <w:top w:val="single" w:sz="8" w:color="CCEEFF"/>
            </w:tcBorders>
            <w:shd w:val="clear" w:color="auto" w:fill="CCEEFF"/>
          </w:tcPr>
          <w:p>
            <w:pPr>
              <w:ind w:left="140"/>
              <w:spacing w:after="0" w:line="178" w:lineRule="exact"/>
              <w:rPr>
                <w:sz w:val="20"/>
                <w:szCs w:val="20"/>
                <w:color w:val="auto"/>
              </w:rPr>
            </w:pPr>
            <w:r>
              <w:rPr>
                <w:rFonts w:ascii="Times New Roman" w:cs="Times New Roman" w:eastAsia="Times New Roman" w:hAnsi="Times New Roman"/>
                <w:sz w:val="18"/>
                <w:szCs w:val="18"/>
                <w:color w:val="auto"/>
              </w:rPr>
              <w:t>III</w:t>
            </w:r>
          </w:p>
        </w:tc>
        <w:tc>
          <w:tcPr>
            <w:tcW w:w="86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31,894,679</w:t>
            </w:r>
          </w:p>
        </w:tc>
        <w:tc>
          <w:tcPr>
            <w:tcW w:w="660" w:type="dxa"/>
            <w:vAlign w:val="bottom"/>
            <w:tcBorders>
              <w:top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w w:val="91"/>
              </w:rPr>
              <w:t>(2)</w:t>
            </w:r>
          </w:p>
        </w:tc>
        <w:tc>
          <w:tcPr>
            <w:tcW w:w="6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7.2</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One Microsoft Way</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Redmond, WA 98052</w:t>
            </w:r>
          </w:p>
        </w:tc>
        <w:tc>
          <w:tcPr>
            <w:tcW w:w="8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Vanguard Group</w:t>
            </w:r>
          </w:p>
        </w:tc>
        <w:tc>
          <w:tcPr>
            <w:tcW w:w="1520" w:type="dxa"/>
            <w:vAlign w:val="bottom"/>
            <w:gridSpan w:val="2"/>
          </w:tcPr>
          <w:p>
            <w:pPr>
              <w:jc w:val="right"/>
              <w:ind w:right="403"/>
              <w:spacing w:after="0"/>
              <w:rPr>
                <w:sz w:val="20"/>
                <w:szCs w:val="20"/>
                <w:color w:val="auto"/>
              </w:rPr>
            </w:pPr>
            <w:r>
              <w:rPr>
                <w:rFonts w:ascii="Times New Roman" w:cs="Times New Roman" w:eastAsia="Times New Roman" w:hAnsi="Times New Roman"/>
                <w:sz w:val="18"/>
                <w:szCs w:val="18"/>
                <w:color w:val="auto"/>
              </w:rPr>
              <w:t>30,962,986</w:t>
            </w:r>
            <w:r>
              <w:rPr>
                <w:rFonts w:ascii="Times New Roman" w:cs="Times New Roman" w:eastAsia="Times New Roman" w:hAnsi="Times New Roman"/>
                <w:sz w:val="15"/>
                <w:szCs w:val="15"/>
                <w:color w:val="auto"/>
              </w:rPr>
              <w:t>(3)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100 Vanguard Boulevard</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Malvern, PA 19355</w:t>
            </w: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BlackRock, Inc.</w:t>
            </w:r>
          </w:p>
        </w:tc>
        <w:tc>
          <w:tcPr>
            <w:tcW w:w="1520" w:type="dxa"/>
            <w:vAlign w:val="bottom"/>
            <w:gridSpan w:val="2"/>
            <w:shd w:val="clear" w:color="auto" w:fill="CCEEFF"/>
          </w:tcPr>
          <w:p>
            <w:pPr>
              <w:jc w:val="right"/>
              <w:ind w:right="403"/>
              <w:spacing w:after="0" w:line="198" w:lineRule="exact"/>
              <w:rPr>
                <w:sz w:val="20"/>
                <w:szCs w:val="20"/>
                <w:color w:val="auto"/>
              </w:rPr>
            </w:pPr>
            <w:r>
              <w:rPr>
                <w:rFonts w:ascii="Times New Roman" w:cs="Times New Roman" w:eastAsia="Times New Roman" w:hAnsi="Times New Roman"/>
                <w:sz w:val="18"/>
                <w:szCs w:val="18"/>
                <w:color w:val="auto"/>
              </w:rPr>
              <w:t>30,213,702</w:t>
            </w:r>
            <w:r>
              <w:rPr>
                <w:rFonts w:ascii="Times New Roman" w:cs="Times New Roman" w:eastAsia="Times New Roman" w:hAnsi="Times New Roman"/>
                <w:sz w:val="15"/>
                <w:szCs w:val="15"/>
                <w:color w:val="auto"/>
              </w:rPr>
              <w:t>(4)</w:t>
            </w:r>
          </w:p>
        </w:tc>
        <w:tc>
          <w:tcPr>
            <w:tcW w:w="6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55 East 52nd Street</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York, NY 10055</w:t>
            </w:r>
          </w:p>
        </w:tc>
        <w:tc>
          <w:tcPr>
            <w:tcW w:w="8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is calculated using the number of shares of Common Stock outstanding as of March 15, 2017.</w:t>
      </w:r>
    </w:p>
    <w:p>
      <w:pPr>
        <w:spacing w:after="0" w:line="130" w:lineRule="exact"/>
        <w:rPr>
          <w:rFonts w:ascii="Times New Roman" w:cs="Times New Roman" w:eastAsia="Times New Roman" w:hAnsi="Times New Roman"/>
          <w:sz w:val="18"/>
          <w:szCs w:val="18"/>
          <w:color w:val="auto"/>
        </w:rPr>
      </w:pPr>
    </w:p>
    <w:p>
      <w:pPr>
        <w:ind w:left="460" w:right="180" w:hanging="452"/>
        <w:spacing w:after="0" w:line="258"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13G/A filed with the SEC on February 12, 2016, which is the most recent Schedule 13G filed by the investor with respect to ownership of our Common Stock. Mr. Gates reports that he has sole voting and dispositive power over 13,261,007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89" w:lineRule="exact"/>
        <w:rPr>
          <w:rFonts w:ascii="Times New Roman" w:cs="Times New Roman" w:eastAsia="Times New Roman" w:hAnsi="Times New Roman"/>
          <w:sz w:val="18"/>
          <w:szCs w:val="18"/>
          <w:color w:val="auto"/>
        </w:rPr>
      </w:pPr>
    </w:p>
    <w:p>
      <w:pPr>
        <w:ind w:left="460" w:right="120" w:hanging="452"/>
        <w:spacing w:after="0" w:line="313" w:lineRule="auto"/>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on a Schedule 13G/A filed with the SEC on February 10, 2017. The Vanguard Group reports that it has sole or shared voting power over 756,533 shares of Common Stock and sole or shared dispositive power over 30,962,986 shares of Common Stock beneficially owned.</w:t>
      </w:r>
    </w:p>
    <w:p>
      <w:pPr>
        <w:spacing w:after="0" w:line="43" w:lineRule="exact"/>
        <w:rPr>
          <w:rFonts w:ascii="Times New Roman" w:cs="Times New Roman" w:eastAsia="Times New Roman" w:hAnsi="Times New Roman"/>
          <w:sz w:val="17"/>
          <w:szCs w:val="17"/>
          <w:color w:val="auto"/>
        </w:rPr>
      </w:pPr>
    </w:p>
    <w:p>
      <w:pPr>
        <w:ind w:left="460" w:right="420" w:hanging="452"/>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13G/A filed with the SEC on January 27, 2017. BlackRock, Inc. reports that it has sole voting power over 26,201,799 shares of Common Stock and sole dispositive power over 30,213,702 shares of Common Stock beneficially owned.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w:t>
      </w:r>
      <w:r>
        <w:rPr>
          <w:rFonts w:ascii="Times New Roman" w:cs="Times New Roman" w:eastAsia="Times New Roman" w:hAnsi="Times New Roman"/>
          <w:sz w:val="23"/>
          <w:szCs w:val="23"/>
          <w:b w:val="1"/>
          <w:bCs w:val="1"/>
          <w:color w:val="auto"/>
        </w:rPr>
        <w:t>ECTION</w:t>
      </w:r>
      <w:r>
        <w:rPr>
          <w:rFonts w:ascii="Times New Roman" w:cs="Times New Roman" w:eastAsia="Times New Roman" w:hAnsi="Times New Roman"/>
          <w:sz w:val="29"/>
          <w:szCs w:val="29"/>
          <w:b w:val="1"/>
          <w:bCs w:val="1"/>
          <w:color w:val="auto"/>
        </w:rPr>
        <w:t xml:space="preserve"> 16(A) B</w:t>
      </w:r>
      <w:r>
        <w:rPr>
          <w:rFonts w:ascii="Times New Roman" w:cs="Times New Roman" w:eastAsia="Times New Roman" w:hAnsi="Times New Roman"/>
          <w:sz w:val="23"/>
          <w:szCs w:val="23"/>
          <w:b w:val="1"/>
          <w:bCs w:val="1"/>
          <w:color w:val="auto"/>
        </w:rPr>
        <w:t>ENEFICIAL</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WNERSHIP</w:t>
      </w:r>
      <w:r>
        <w:rPr>
          <w:rFonts w:ascii="Times New Roman" w:cs="Times New Roman" w:eastAsia="Times New Roman" w:hAnsi="Times New Roman"/>
          <w:sz w:val="29"/>
          <w:szCs w:val="29"/>
          <w:b w:val="1"/>
          <w:bCs w:val="1"/>
          <w:color w:val="auto"/>
        </w:rPr>
        <w:t xml:space="preserve"> R</w:t>
      </w:r>
      <w:r>
        <w:rPr>
          <w:rFonts w:ascii="Times New Roman" w:cs="Times New Roman" w:eastAsia="Times New Roman" w:hAnsi="Times New Roman"/>
          <w:sz w:val="23"/>
          <w:szCs w:val="23"/>
          <w:b w:val="1"/>
          <w:bCs w:val="1"/>
          <w:color w:val="auto"/>
        </w:rPr>
        <w:t>EPORTING</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federal securities laws require our executive officers and directors to file reports of their holdings and transactions in our Common Stock with the SEC and the New York Stock Exchange. Based on a review of the forms and written representations from our executive officers and directors, we believe that all applicable requirements were complied with in 2016, except that (a) Mr. John Morris, Senior Vice President — Operations, failed to file a Form 5 in 2016 and instead filed a late Form 4 to disclose that his broker executed a discretionary purchase of our Common Stock in 2015 totaling 123 shares and</w:t>
      </w:r>
    </w:p>
    <w:p>
      <w:pPr>
        <w:spacing w:after="0" w:line="3" w:lineRule="exact"/>
        <w:rPr>
          <w:sz w:val="20"/>
          <w:szCs w:val="20"/>
          <w:color w:val="auto"/>
        </w:rPr>
      </w:pPr>
    </w:p>
    <w:p>
      <w:pPr>
        <w:ind w:right="200" w:firstLine="8"/>
        <w:spacing w:after="0" w:line="255"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David Steiner failed to file a Form 4 in December 2016 to disclose that he received a cash distribution from our 409A Deferral Plan triggered by his separation from service while he remained a director; instead, Mr. Steiner filed a Form 5 in 2017 to disclose the resulting reduction in his phantom stock holdings.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w:t>
      </w:r>
      <w:r>
        <w:rPr>
          <w:rFonts w:ascii="Times New Roman" w:cs="Times New Roman" w:eastAsia="Times New Roman" w:hAnsi="Times New Roman"/>
          <w:sz w:val="23"/>
          <w:szCs w:val="23"/>
          <w:b w:val="1"/>
          <w:bCs w:val="1"/>
          <w:color w:val="auto"/>
        </w:rPr>
        <w:t>XECUTIVE</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following is a listing of our current executive officers, other than Mr. Fish, whose age, experience and qualifications are included in the Director Nominees section of this Proxy Statement on page 17, their ages and business experience for at least the past five years. Unless otherwise specified, all prior positions listed below were with our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2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Held and Business Experience for Past Five Years</w:t>
            </w:r>
          </w:p>
        </w:tc>
        <w:tc>
          <w:tcPr>
            <w:tcW w:w="1800" w:type="dxa"/>
            <w:vAlign w:val="bottom"/>
            <w:tcBorders>
              <w:bottom w:val="single" w:sz="8" w:color="CCEEFF"/>
            </w:tcBorders>
          </w:tcPr>
          <w:p>
            <w:pPr>
              <w:spacing w:after="0"/>
              <w:rPr>
                <w:sz w:val="16"/>
                <w:szCs w:val="16"/>
                <w:color w:val="auto"/>
              </w:rPr>
            </w:pPr>
          </w:p>
        </w:tc>
      </w:tr>
      <w:tr>
        <w:trPr>
          <w:trHeight w:val="178"/>
        </w:trPr>
        <w:tc>
          <w:tcPr>
            <w:tcW w:w="36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Charles C. Boettcher</w:t>
            </w:r>
          </w:p>
        </w:tc>
        <w:tc>
          <w:tcPr>
            <w:tcW w:w="26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5620" w:type="dxa"/>
            <w:vAlign w:val="bottom"/>
            <w:gridSpan w:val="2"/>
            <w:shd w:val="clear" w:color="auto" w:fill="CCEEFF"/>
          </w:tcPr>
          <w:p>
            <w:pPr>
              <w:ind w:left="140"/>
              <w:spacing w:after="0" w:line="178" w:lineRule="exact"/>
              <w:rPr>
                <w:sz w:val="20"/>
                <w:szCs w:val="20"/>
                <w:color w:val="auto"/>
              </w:rPr>
            </w:pPr>
            <w:r>
              <w:rPr>
                <w:rFonts w:ascii="Times New Roman" w:cs="Times New Roman" w:eastAsia="Times New Roman" w:hAnsi="Times New Roman"/>
                <w:sz w:val="18"/>
                <w:szCs w:val="18"/>
                <w:color w:val="auto"/>
              </w:rPr>
              <w:t>•Senior Vice President and Chief Legal Officer since January 2017.</w:t>
            </w:r>
          </w:p>
        </w:tc>
        <w:tc>
          <w:tcPr>
            <w:tcW w:w="1800" w:type="dxa"/>
            <w:vAlign w:val="bottom"/>
            <w:shd w:val="clear" w:color="auto" w:fill="CCEEFF"/>
          </w:tcPr>
          <w:p>
            <w:pPr>
              <w:spacing w:after="0"/>
              <w:rPr>
                <w:sz w:val="15"/>
                <w:szCs w:val="15"/>
                <w:color w:val="auto"/>
              </w:rPr>
            </w:pPr>
          </w:p>
        </w:tc>
      </w:tr>
      <w:tr>
        <w:trPr>
          <w:trHeight w:val="216"/>
        </w:trPr>
        <w:tc>
          <w:tcPr>
            <w:tcW w:w="3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•Vice President and General Counsel from September 2016 to December 2016.</w:t>
            </w:r>
          </w:p>
        </w:tc>
      </w:tr>
      <w:tr>
        <w:trPr>
          <w:trHeight w:val="216"/>
        </w:trPr>
        <w:tc>
          <w:tcPr>
            <w:tcW w:w="3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Financial Officer and General Counsel of Oilfield Water Logistics,</w:t>
            </w:r>
          </w:p>
        </w:tc>
      </w:tr>
      <w:tr>
        <w:trPr>
          <w:trHeight w:val="216"/>
        </w:trPr>
        <w:tc>
          <w:tcPr>
            <w:tcW w:w="3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 produced water gathering, transportation and disposal company, from November 2015 to August</w:t>
            </w:r>
          </w:p>
        </w:tc>
      </w:tr>
      <w:tr>
        <w:trPr>
          <w:trHeight w:val="216"/>
        </w:trPr>
        <w:tc>
          <w:tcPr>
            <w:tcW w:w="3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2016.</w:t>
            </w:r>
          </w:p>
        </w:tc>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Chief Compliance Officer and Corporate Secretary of</w:t>
            </w:r>
          </w:p>
        </w:tc>
      </w:tr>
      <w:tr>
        <w:trPr>
          <w:trHeight w:val="216"/>
        </w:trPr>
        <w:tc>
          <w:tcPr>
            <w:tcW w:w="3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Eagle Rock Energy Partners, L.P., a master limited partnership engaged in the midstream gathering</w:t>
            </w:r>
          </w:p>
        </w:tc>
      </w:tr>
      <w:tr>
        <w:trPr>
          <w:trHeight w:val="216"/>
        </w:trPr>
        <w:tc>
          <w:tcPr>
            <w:tcW w:w="3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and processing, the upstream exploration and production and a mineral/royalties business, from</w:t>
            </w:r>
          </w:p>
        </w:tc>
      </w:tr>
      <w:tr>
        <w:trPr>
          <w:trHeight w:val="248"/>
        </w:trPr>
        <w:tc>
          <w:tcPr>
            <w:tcW w:w="38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August 2007 to October 2015.</w:t>
            </w:r>
          </w:p>
        </w:tc>
      </w:tr>
      <w:tr>
        <w:trPr>
          <w:trHeight w:val="198"/>
        </w:trPr>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Barry H. Caldwell</w:t>
            </w:r>
          </w:p>
        </w:tc>
        <w:tc>
          <w:tcPr>
            <w:tcW w:w="38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56</w:t>
            </w:r>
          </w:p>
        </w:tc>
        <w:tc>
          <w:tcPr>
            <w:tcW w:w="742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•Senior Vice President — Corporate Affairs and Chief People Officer since January 2017.</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•Senior Vice President — Corporate Affairs and Chief Legal Officer from November 2014 to</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December 2016.</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•Senior Vice President — Government Affairs and Corporate Communications from 2002 to</w:t>
            </w:r>
          </w:p>
        </w:tc>
      </w:tr>
      <w:tr>
        <w:trPr>
          <w:trHeight w:val="234"/>
        </w:trPr>
        <w:tc>
          <w:tcPr>
            <w:tcW w:w="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November 2014.</w:t>
            </w:r>
          </w:p>
        </w:tc>
      </w:tr>
      <w:tr>
        <w:trPr>
          <w:trHeight w:val="211"/>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M. Harris</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Vice President — Operations since July 2012.</w:t>
            </w:r>
          </w:p>
        </w:tc>
      </w:tr>
      <w:tr>
        <w:trPr>
          <w:trHeight w:val="216"/>
        </w:trPr>
        <w:tc>
          <w:tcPr>
            <w:tcW w:w="3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Vice President — Midwest Group from 2006 to July 2012.</w:t>
            </w:r>
          </w:p>
        </w:tc>
      </w:tr>
      <w:tr>
        <w:trPr>
          <w:trHeight w:val="248"/>
        </w:trPr>
        <w:tc>
          <w:tcPr>
            <w:tcW w:w="38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•Area Vice President — Michigan Market Area from 2000 to 2006.</w:t>
            </w:r>
          </w:p>
        </w:tc>
      </w:tr>
      <w:tr>
        <w:trPr>
          <w:trHeight w:val="198"/>
        </w:trPr>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John J. Morris, Jr.</w:t>
            </w:r>
          </w:p>
        </w:tc>
        <w:tc>
          <w:tcPr>
            <w:tcW w:w="38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47</w:t>
            </w:r>
          </w:p>
        </w:tc>
        <w:tc>
          <w:tcPr>
            <w:tcW w:w="742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•Senior Vice President — Operations since July 2012.</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Strategy Officer from March 2012 to July 2012.</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•Area Vice President — Greater Mid-Atlantic Area from 2011 to March 2012.</w:t>
            </w:r>
          </w:p>
        </w:tc>
      </w:tr>
      <w:tr>
        <w:trPr>
          <w:trHeight w:val="234"/>
        </w:trPr>
        <w:tc>
          <w:tcPr>
            <w:tcW w:w="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•Area Vice President — Waste Management of New Jersey from 2007 to 2011.</w:t>
            </w:r>
          </w:p>
        </w:tc>
      </w:tr>
      <w:tr>
        <w:trPr>
          <w:trHeight w:val="211"/>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Devina A. Rankin</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 since February 2017.</w:t>
            </w:r>
          </w:p>
        </w:tc>
      </w:tr>
      <w:tr>
        <w:trPr>
          <w:trHeight w:val="216"/>
        </w:trPr>
        <w:tc>
          <w:tcPr>
            <w:tcW w:w="3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•Vice President, Treasurer and Acting Chief Financial Officer from January 2017 to February 2017.</w:t>
            </w:r>
          </w:p>
        </w:tc>
      </w:tr>
      <w:tr>
        <w:trPr>
          <w:trHeight w:val="216"/>
        </w:trPr>
        <w:tc>
          <w:tcPr>
            <w:tcW w:w="3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•Vice President and Treasurer from August 2012 to January 2017.</w:t>
            </w:r>
          </w:p>
        </w:tc>
      </w:tr>
      <w:tr>
        <w:trPr>
          <w:trHeight w:val="248"/>
        </w:trPr>
        <w:tc>
          <w:tcPr>
            <w:tcW w:w="38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•Assistant Treasurer from 2010 to August 2012.</w:t>
            </w:r>
          </w:p>
        </w:tc>
      </w:tr>
      <w:tr>
        <w:trPr>
          <w:trHeight w:val="198"/>
        </w:trPr>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Darren K. Shade</w:t>
            </w:r>
          </w:p>
        </w:tc>
        <w:tc>
          <w:tcPr>
            <w:tcW w:w="38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742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•Vice President and Chief Accounting Officer since October 2016.</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•Vice President, Accounting from July 2016 to October 2016.</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 Midstream Planning and Budgeting, Phillips 66 Company, a downstream oil and gas</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company, from December 2015 to June 2016.</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•Senior Consultant, Accounting Policy, Phillips 66 Company, from July 2013 to November 2015.</w:t>
            </w:r>
          </w:p>
        </w:tc>
      </w:tr>
      <w:tr>
        <w:trPr>
          <w:trHeight w:val="216"/>
        </w:trPr>
        <w:tc>
          <w:tcPr>
            <w:tcW w:w="3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•Senior Manager in the Audit and Assurance Practice, Ernst &amp; Young LLP from October 2004 to</w:t>
            </w:r>
          </w:p>
        </w:tc>
      </w:tr>
      <w:tr>
        <w:trPr>
          <w:trHeight w:val="234"/>
        </w:trPr>
        <w:tc>
          <w:tcPr>
            <w:tcW w:w="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June 2013.</w:t>
            </w:r>
          </w:p>
        </w:tc>
      </w:tr>
      <w:tr>
        <w:trPr>
          <w:trHeight w:val="211"/>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Trevathan, Jr.</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 Vice President and Chief Operating Officer since July 2012.</w:t>
            </w:r>
          </w:p>
        </w:tc>
      </w:tr>
      <w:tr>
        <w:trPr>
          <w:trHeight w:val="248"/>
        </w:trPr>
        <w:tc>
          <w:tcPr>
            <w:tcW w:w="38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 Vice President — Growth, Innovation and Field Support from 2011 to July 2012.</w:t>
            </w:r>
          </w:p>
        </w:tc>
      </w:tr>
      <w:tr>
        <w:trPr>
          <w:trHeight w:val="365"/>
        </w:trPr>
        <w:tc>
          <w:tcPr>
            <w:tcW w:w="3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23</w:t>
            </w:r>
          </w:p>
        </w:tc>
        <w:tc>
          <w:tcPr>
            <w:tcW w:w="366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E</w:t>
      </w:r>
      <w:r>
        <w:rPr>
          <w:rFonts w:ascii="Times New Roman" w:cs="Times New Roman" w:eastAsia="Times New Roman" w:hAnsi="Times New Roman"/>
          <w:sz w:val="23"/>
          <w:szCs w:val="23"/>
          <w:b w:val="1"/>
          <w:bCs w:val="1"/>
          <w:color w:val="auto"/>
        </w:rPr>
        <w:t>XECUTIVE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OMPENSATION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2016 aligned with the Company’s 2016 financial goals and performance. The Compensation Discussion and Analysis helps readers better understand the information found in the Summary Compensation Table and other accompanying tables located in this Proxy Statement.</w:t>
      </w:r>
    </w:p>
    <w:p>
      <w:pPr>
        <w:spacing w:after="0" w:line="7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focuses on our executive pay program as it relates to the following executive officers, whom we refer to as the “named executive officers” or “named executives”:</w:t>
      </w:r>
    </w:p>
    <w:p>
      <w:pPr>
        <w:spacing w:after="0" w:line="67" w:lineRule="exact"/>
        <w:rPr>
          <w:sz w:val="20"/>
          <w:szCs w:val="20"/>
          <w:color w:val="auto"/>
        </w:rPr>
      </w:pPr>
    </w:p>
    <w:p>
      <w:pPr>
        <w:ind w:left="660" w:right="20" w:hanging="206"/>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 Fish, Jr. — President and Chief Executive Officer since November 2016; President and Chief Financial Officer from July 2016 to November 2016 and Executive Vice President and Chief Financial Officer from August 2012 to July 2016. Mr. Fish served as our principal financial officer throughout 2016.</w:t>
      </w:r>
    </w:p>
    <w:p>
      <w:pPr>
        <w:spacing w:after="0" w:line="8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E. Trevathan, Jr. — Executive Vice President and Chief Operating Officer since July 2012.</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Jeff M. Harris — Senior Vice President — Operations since July 2012.</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 J. Morris, Jr. — Senior Vice President — Operations since July 2012.</w:t>
      </w:r>
    </w:p>
    <w:p>
      <w:pPr>
        <w:spacing w:after="0" w:line="130" w:lineRule="exact"/>
        <w:rPr>
          <w:rFonts w:ascii="Times New Roman" w:cs="Times New Roman" w:eastAsia="Times New Roman" w:hAnsi="Times New Roman"/>
          <w:sz w:val="18"/>
          <w:szCs w:val="18"/>
          <w:color w:val="auto"/>
        </w:rPr>
      </w:pPr>
    </w:p>
    <w:p>
      <w:pPr>
        <w:ind w:left="660" w:right="380" w:hanging="206"/>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David P. Steiner — Former Chief Executive Officer, serving from 2004 to November 2016 and former President, serving from 2010 to July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objective of our executive compensation program is to attract, retain, reward and incentivize exceptional,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 The following key structural elements and policies further the objective of our executive compensation program:</w:t>
      </w:r>
    </w:p>
    <w:p>
      <w:pPr>
        <w:spacing w:after="0" w:line="85" w:lineRule="exact"/>
        <w:rPr>
          <w:sz w:val="20"/>
          <w:szCs w:val="20"/>
          <w:color w:val="auto"/>
        </w:rPr>
      </w:pPr>
    </w:p>
    <w:p>
      <w:pPr>
        <w:ind w:left="660" w:right="120" w:hanging="206"/>
        <w:spacing w:after="0" w:line="25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executive compensation is linked to Company performance, through annual cash incentive performance criteria and long-term equity-based incentive awards. As a result, our executive compensation program provides for a significant difference in total compensation in periods of above-target Company performance as compared to periods of below-target Company performance. Performance-based annual cash incentive and long-term equity-based incentive awards comprised approximately 87% of total 2016 target compensation for our former Chief Executive Officer, while approximately 78% of the 2016 target compensation opportunities for our other named executives was performance-based (in each case, as established in February 2016 before Mr. Steiner’s departure and Mr. Fish’s promotions);</w:t>
      </w:r>
    </w:p>
    <w:p>
      <w:pPr>
        <w:spacing w:after="0" w:line="93" w:lineRule="exact"/>
        <w:rPr>
          <w:rFonts w:ascii="Times New Roman" w:cs="Times New Roman" w:eastAsia="Times New Roman" w:hAnsi="Times New Roman"/>
          <w:sz w:val="18"/>
          <w:szCs w:val="18"/>
          <w:color w:val="auto"/>
        </w:rPr>
      </w:pPr>
    </w:p>
    <w:p>
      <w:pPr>
        <w:ind w:left="660" w:right="220" w:hanging="206"/>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target (as established in February 2016), approximately 71% of total compensation of our former Chief Executive Officer was tied to long-term equity awards, and approximately 57% of total compensation of our other named executives was tied to long-term equity awards, which aligns executives’ interests with those of stockholders;</w:t>
      </w:r>
    </w:p>
    <w:p>
      <w:pPr>
        <w:spacing w:after="0" w:line="8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direct compensation opportunities for named executive officers are targeted to fall in a range around the competitive median;</w:t>
      </w:r>
    </w:p>
    <w:p>
      <w:pPr>
        <w:spacing w:after="0" w:line="130" w:lineRule="exact"/>
        <w:rPr>
          <w:rFonts w:ascii="Times New Roman" w:cs="Times New Roman" w:eastAsia="Times New Roman" w:hAnsi="Times New Roman"/>
          <w:sz w:val="18"/>
          <w:szCs w:val="18"/>
          <w:color w:val="auto"/>
        </w:rPr>
      </w:pPr>
    </w:p>
    <w:p>
      <w:pPr>
        <w:ind w:left="660" w:right="60" w:hanging="206"/>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include threshold, target and maximum payouts correlating to a range of performance goals and are based on a variety of indicators of performance, which limits risk-taking behavior;</w:t>
      </w:r>
    </w:p>
    <w:p>
      <w:pPr>
        <w:spacing w:after="0" w:line="67" w:lineRule="exact"/>
        <w:rPr>
          <w:rFonts w:ascii="Times New Roman" w:cs="Times New Roman" w:eastAsia="Times New Roman" w:hAnsi="Times New Roman"/>
          <w:sz w:val="18"/>
          <w:szCs w:val="18"/>
          <w:color w:val="auto"/>
        </w:rPr>
      </w:pPr>
    </w:p>
    <w:p>
      <w:pPr>
        <w:ind w:left="660" w:right="180" w:hanging="206"/>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220" w:hanging="206"/>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are subject to stock ownership requirements, which we believe demonstrates a commitment to, and confidence in, the Company’s long-term prospects;</w:t>
      </w:r>
    </w:p>
    <w:p>
      <w:pPr>
        <w:spacing w:after="0" w:line="67" w:lineRule="exact"/>
        <w:rPr>
          <w:rFonts w:ascii="Times New Roman" w:cs="Times New Roman" w:eastAsia="Times New Roman" w:hAnsi="Times New Roman"/>
          <w:sz w:val="18"/>
          <w:szCs w:val="18"/>
          <w:color w:val="auto"/>
        </w:rPr>
      </w:pPr>
    </w:p>
    <w:p>
      <w:pPr>
        <w:ind w:left="660" w:right="500" w:hanging="206"/>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clawback provisions in its equity award agreements and recent employment agreements, and has adopted a clawback policy applicable to annual incentive compensation, designed to recoup compensation when cause and/or misconduct are found;</w:t>
      </w:r>
    </w:p>
    <w:p>
      <w:pPr>
        <w:spacing w:after="0" w:line="67"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67"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a policy that prohibits it from entering into new agreements with executive officers that provide for certain death benefits or tax gross-up payments.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2016 Company Performance and Compensation Results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recognize that the waste industry is changing, and we believe we are uniquely equipped to meet the challenges of our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7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with the current state of our strategy taking into account economic conditions, the regulatory environment, asset and resource availability and technology. We believe that focused differentiation in our industry, driven by capitalizing on our extensive, well-placed network of assets, will deliver profitable growth and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that execution of our strategy will deliver stockholder value and leadership in a dynamic industry.</w:t>
      </w:r>
    </w:p>
    <w:p>
      <w:pPr>
        <w:spacing w:after="0" w:line="77"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Company had a very successful 2016, carrying forward our momentum from 2015 by generating strong earnings and cash flow. Our commitment to executing on our strategies of disciplined profitable volume growth and controlling costs, through focused differentiation and continuous improvement, drove these impressive results in 2016 and have built a strong foundation to produce solid earnings and generate further growth in 2017. This growth, combined with our commitment to maintain a strong balance sheet, supports the Company’s continued focus on investing in our business, paying dividends, pursuing attractive opportunities for strategic growth through acquisitions and considering the market for share repurchases. In December 2016, we announced that our Board of Directors expects to increase the quarterly dividend from $0.41 to $0.425 per share for dividends declared in 2017, which is a 3.7% increase from the quarterly dividends we declared in 2016. This is a further reflection of our strong and consistent cash flows and marks the 14th consecutive year of dividend increases. All quarterly dividends will be declared at the discretion of our Board of Directors.</w:t>
      </w:r>
    </w:p>
    <w:p>
      <w:pPr>
        <w:spacing w:after="0" w:line="77"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 line with the Company’s financial results, the Company exceeded target on each of the performance measures applicable to incentive compensation earned in 2016. Following is a summary of the 2016 compensation program results:</w:t>
      </w:r>
    </w:p>
    <w:p>
      <w:pPr>
        <w:spacing w:after="0" w:line="67" w:lineRule="exact"/>
        <w:rPr>
          <w:sz w:val="20"/>
          <w:szCs w:val="20"/>
          <w:color w:val="auto"/>
        </w:rPr>
      </w:pPr>
    </w:p>
    <w:p>
      <w:pPr>
        <w:ind w:left="660" w:hanging="206"/>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MD&amp;C Committee approved a three percent increase in the base salaries of named executive officers, consistent with our Company-wide budget and compensation philosophy, and driven by competitive market data, internal pay equity considerations and individual performance;</w:t>
      </w:r>
    </w:p>
    <w:p>
      <w:pPr>
        <w:spacing w:after="0" w:line="67" w:lineRule="exact"/>
        <w:rPr>
          <w:rFonts w:ascii="Times New Roman" w:cs="Times New Roman" w:eastAsia="Times New Roman" w:hAnsi="Times New Roman"/>
          <w:sz w:val="18"/>
          <w:szCs w:val="18"/>
          <w:color w:val="auto"/>
        </w:rPr>
      </w:pPr>
    </w:p>
    <w:p>
      <w:pPr>
        <w:ind w:left="660" w:right="100" w:hanging="206"/>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on annual cash incentive performance measures for named executive officers exceeded the target, but was below the maximum performance level, for all three measures. As a result, each of the named executives received an annual cash incentive payment for fiscal year 2016 equal to 144.95% of target;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220" w:hanging="206"/>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generated cash provided by operating activities, for purposes of the performance goal associated with half of our performance share units (“PSUs”) granted in 2014, of $4.208 billion, exceeding the maximum performance level of $3.922 billion for the three-year performance period ended December 31, 2016. This performance resulted in a 200% payout on these PSUs in shares of Common Stock; and</w:t>
      </w:r>
    </w:p>
    <w:p>
      <w:pPr>
        <w:spacing w:after="0" w:line="81" w:lineRule="exact"/>
        <w:rPr>
          <w:rFonts w:ascii="Times New Roman" w:cs="Times New Roman" w:eastAsia="Times New Roman" w:hAnsi="Times New Roman"/>
          <w:sz w:val="18"/>
          <w:szCs w:val="18"/>
          <w:color w:val="auto"/>
        </w:rPr>
      </w:pPr>
    </w:p>
    <w:p>
      <w:pPr>
        <w:ind w:left="660" w:right="120" w:hanging="206"/>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remaining half of the PSUs granted in 2014 with a three-year performance period ended December 31, 2016 that was subject to total shareholder return relative to the S&amp;P 500, the performance of the Company’s Common Stock on this measure exceeded the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resulting in a maximum 200% payout on these PSUs in shares of Common Stock. This performance directly benefited our stockholders, delivering total shareholder return of 73.47% over the three-year performance period and translating into a percentile rank relative to the S&amp;P 500 of 88.81%.</w:t>
      </w:r>
    </w:p>
    <w:p>
      <w:pPr>
        <w:spacing w:after="0" w:line="7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2016 results continue to reinforce our emphasis on performance-based compensation, as we believe the performance criteria underlying our incentive compensation successfully drove outstanding performance in key areas and correlated with total shareholder return. The MD&amp;C Committee strives to establish performance goals that are challenging, but attainable. Accordingly, the MD&amp;C Committee believes that the above-target payouts on incentive awards for 2016 is the result of the named executives exhibiting tremendous dedication and discipline in tackling challenges and delivering results. The MD&amp;C Committee remains dedicated to the principle that executive compensation should be substantially linked to Company performance, and the compensation of the Company’s executive officers set forth in the Summary Compensation Table of this Proxy Statement evidences this commitment to pay for performance in a year when performance exceeded expectations.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Consideration of Stockholder Advisory Vote</w:t>
      </w:r>
    </w:p>
    <w:p>
      <w:pPr>
        <w:spacing w:after="0" w:line="121" w:lineRule="exact"/>
        <w:rPr>
          <w:sz w:val="20"/>
          <w:szCs w:val="20"/>
          <w:color w:val="auto"/>
        </w:rPr>
      </w:pPr>
    </w:p>
    <w:p>
      <w:pPr>
        <w:ind w:right="460" w:firstLine="456"/>
        <w:spacing w:after="0" w:line="261" w:lineRule="auto"/>
        <w:rPr>
          <w:sz w:val="20"/>
          <w:szCs w:val="20"/>
          <w:color w:val="auto"/>
        </w:rPr>
      </w:pPr>
      <w:r>
        <w:rPr>
          <w:rFonts w:ascii="Times New Roman" w:cs="Times New Roman" w:eastAsia="Times New Roman" w:hAnsi="Times New Roman"/>
          <w:sz w:val="18"/>
          <w:szCs w:val="18"/>
          <w:color w:val="auto"/>
        </w:rPr>
        <w:t>When establishing 2016 compensation for the named executives, the MD&amp;C Committee noted the results of the advisory stockholder votes on executive compensation, with at least 96% of shares present and entitled to vote at the annual meeting voting in favor of the Company’s executive compensation every year since the advisory vote on compensation was implemented. Accordingly, the results of the stockholder advisory vote have not caused the MD&amp;C Committee to recommend any changes to our compensation practices.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2017 Compensation Program Preview</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MD&amp;C Committee continually reviews our compensation program to ensure that it is clearly aligned with the business strategy and best supports the accomplishment of our goals. The MD&amp;C Committee is pleased with the results that were delivered under the 2014 — 2016 compensation program design, which recognized the need to improve the Company’s financial results while continuing our focus on pricing, capital allocation and cost control. As a result, the MD&amp;C Committee has approved continuing to keep the 2017 annual cash and long-term incentive compensation program design consistent with the 2014 — 2016 compensation program design, with an adjustment only to the weighting of the respective annual cash incentive performance metrics. This consistency reinforces the MD&amp;C Committee’s efforts to maintain a compensation program that is straightforward and easy to communicate and understand.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Philosophy for Named Executive Officers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compensation philosophy is designed to:</w:t>
      </w:r>
    </w:p>
    <w:p>
      <w:pPr>
        <w:spacing w:after="0" w:line="131" w:lineRule="exact"/>
        <w:rPr>
          <w:sz w:val="20"/>
          <w:szCs w:val="20"/>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exceptional employees through competitive compensation opportunities;</w:t>
      </w:r>
    </w:p>
    <w:p>
      <w:pPr>
        <w:spacing w:after="0" w:line="130"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and reward performance through substantial at-risk performance-based compensation, while discouraging excessive risk-taking behavior;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decision makers’ long-term interests with those of our stockholders through emphasis on equity ownership.</w:t>
      </w:r>
    </w:p>
    <w:p>
      <w:pPr>
        <w:spacing w:after="0" w:line="117"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Additionally, our compensation philosophy is intended to encourage executives to embrace the Company’s strategy and to lead the Company in setting aspirations that will continue to drive exemplary performance.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With respect to our named executive officers, the MD&amp;C Committee believes that total direct compensation at target should be in a range around the competitive median according to the following:</w:t>
      </w:r>
    </w:p>
    <w:p>
      <w:pPr>
        <w:spacing w:after="0" w:line="67" w:lineRule="exact"/>
        <w:rPr>
          <w:sz w:val="20"/>
          <w:szCs w:val="20"/>
          <w:color w:val="auto"/>
        </w:rPr>
      </w:pPr>
    </w:p>
    <w:p>
      <w:pPr>
        <w:ind w:left="660" w:right="520" w:hanging="206"/>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should be paid within a range of plus or minus 10% around the competitive median, but attention must be given to individual circumstances, including strategic importance of the named executive’s role, the executive’s experience and individual performance;</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short-term and long-term incentive opportunities should generally be set at the competitive median;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direct compensation opportunities should generally be within a range of plus or minus 20% around the competitive median.</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80"/>
          </w:cols>
          <w:pgMar w:left="24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Elements of Our 2016 Compensation Program</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Timing</w:t>
            </w:r>
          </w:p>
        </w:tc>
        <w:tc>
          <w:tcPr>
            <w:tcW w:w="180" w:type="dxa"/>
            <w:vAlign w:val="bottom"/>
          </w:tcPr>
          <w:p>
            <w:pPr>
              <w:spacing w:after="0"/>
              <w:rPr>
                <w:sz w:val="16"/>
                <w:szCs w:val="16"/>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20" w:type="dxa"/>
            <w:vAlign w:val="bottom"/>
          </w:tcPr>
          <w:p>
            <w:pPr>
              <w:spacing w:after="0"/>
              <w:rPr>
                <w:sz w:val="16"/>
                <w:szCs w:val="16"/>
                <w:color w:val="auto"/>
              </w:rPr>
            </w:pPr>
          </w:p>
        </w:tc>
        <w:tc>
          <w:tcPr>
            <w:tcW w:w="27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220" w:type="dxa"/>
            <w:vAlign w:val="bottom"/>
          </w:tcPr>
          <w:p>
            <w:pPr>
              <w:spacing w:after="0"/>
              <w:rPr>
                <w:sz w:val="16"/>
                <w:szCs w:val="16"/>
                <w:color w:val="auto"/>
              </w:rPr>
            </w:pPr>
          </w:p>
        </w:tc>
        <w:tc>
          <w:tcPr>
            <w:tcW w:w="596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4"/>
                <w:szCs w:val="14"/>
                <w:b w:val="1"/>
                <w:bCs w:val="1"/>
                <w:color w:val="auto"/>
              </w:rPr>
              <w:t>Key Features</w:t>
            </w:r>
          </w:p>
        </w:tc>
        <w:tc>
          <w:tcPr>
            <w:tcW w:w="0" w:type="dxa"/>
            <w:vAlign w:val="bottom"/>
          </w:tcPr>
          <w:p>
            <w:pPr>
              <w:spacing w:after="0"/>
              <w:rPr>
                <w:sz w:val="1"/>
                <w:szCs w:val="1"/>
                <w:color w:val="auto"/>
              </w:rPr>
            </w:pPr>
          </w:p>
        </w:tc>
      </w:tr>
      <w:tr>
        <w:trPr>
          <w:trHeight w:val="237"/>
        </w:trPr>
        <w:tc>
          <w:tcPr>
            <w:tcW w:w="10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spacing w:after="0"/>
              <w:rPr>
                <w:sz w:val="20"/>
                <w:szCs w:val="20"/>
                <w:color w:val="auto"/>
              </w:rPr>
            </w:pPr>
          </w:p>
        </w:tc>
        <w:tc>
          <w:tcPr>
            <w:tcW w:w="2940" w:type="dxa"/>
            <w:vAlign w:val="bottom"/>
            <w:tcBorders>
              <w:bottom w:val="single" w:sz="8" w:color="auto"/>
            </w:tcBorders>
            <w:gridSpan w:val="2"/>
          </w:tcPr>
          <w:p>
            <w:pPr>
              <w:spacing w:after="0"/>
              <w:rPr>
                <w:sz w:val="20"/>
                <w:szCs w:val="20"/>
                <w:color w:val="auto"/>
              </w:rPr>
            </w:pPr>
          </w:p>
        </w:tc>
        <w:tc>
          <w:tcPr>
            <w:tcW w:w="5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shd w:val="clear" w:color="auto" w:fill="D8D8D8"/>
          </w:tcPr>
          <w:p>
            <w:pPr>
              <w:ind w:left="160"/>
              <w:spacing w:after="0" w:line="138" w:lineRule="exact"/>
              <w:rPr>
                <w:sz w:val="20"/>
                <w:szCs w:val="20"/>
                <w:color w:val="auto"/>
              </w:rPr>
            </w:pPr>
            <w:r>
              <w:rPr>
                <w:rFonts w:ascii="Times New Roman" w:cs="Times New Roman" w:eastAsia="Times New Roman" w:hAnsi="Times New Roman"/>
                <w:sz w:val="15"/>
                <w:szCs w:val="15"/>
                <w:color w:val="auto"/>
              </w:rPr>
              <w:t>Current</w:t>
            </w:r>
          </w:p>
        </w:tc>
        <w:tc>
          <w:tcPr>
            <w:tcW w:w="1480" w:type="dxa"/>
            <w:vAlign w:val="bottom"/>
            <w:tcBorders>
              <w:right w:val="single" w:sz="8" w:color="auto"/>
            </w:tcBorders>
            <w:gridSpan w:val="3"/>
          </w:tcPr>
          <w:p>
            <w:pPr>
              <w:ind w:left="60"/>
              <w:spacing w:after="0" w:line="138" w:lineRule="exact"/>
              <w:rPr>
                <w:sz w:val="20"/>
                <w:szCs w:val="20"/>
                <w:color w:val="auto"/>
              </w:rPr>
            </w:pPr>
            <w:r>
              <w:rPr>
                <w:rFonts w:ascii="Times New Roman" w:cs="Times New Roman" w:eastAsia="Times New Roman" w:hAnsi="Times New Roman"/>
                <w:sz w:val="15"/>
                <w:szCs w:val="15"/>
                <w:color w:val="auto"/>
              </w:rPr>
              <w:t>Base Salary</w:t>
            </w:r>
          </w:p>
        </w:tc>
        <w:tc>
          <w:tcPr>
            <w:tcW w:w="294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5"/>
                <w:szCs w:val="15"/>
                <w:color w:val="auto"/>
              </w:rPr>
              <w:t>To attract and retain executives with a</w:t>
            </w:r>
          </w:p>
        </w:tc>
        <w:tc>
          <w:tcPr>
            <w:tcW w:w="596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Adjustments to base salary primarily consider competitive market data and the executive’s</w:t>
            </w:r>
          </w:p>
        </w:tc>
        <w:tc>
          <w:tcPr>
            <w:tcW w:w="0" w:type="dxa"/>
            <w:vAlign w:val="bottom"/>
          </w:tcPr>
          <w:p>
            <w:pPr>
              <w:spacing w:after="0"/>
              <w:rPr>
                <w:sz w:val="1"/>
                <w:szCs w:val="1"/>
                <w:color w:val="auto"/>
              </w:rPr>
            </w:pPr>
          </w:p>
        </w:tc>
      </w:tr>
      <w:tr>
        <w:trPr>
          <w:trHeight w:val="179"/>
        </w:trPr>
        <w:tc>
          <w:tcPr>
            <w:tcW w:w="1080" w:type="dxa"/>
            <w:vAlign w:val="bottom"/>
            <w:tcBorders>
              <w:left w:val="single" w:sz="8" w:color="auto"/>
              <w:bottom w:val="single" w:sz="8" w:color="auto"/>
              <w:right w:val="single" w:sz="8" w:color="auto"/>
            </w:tcBorders>
            <w:shd w:val="clear" w:color="auto" w:fill="D8D8D8"/>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color w:val="auto"/>
              </w:rPr>
              <w:t>competitive level of regular income</w:t>
            </w:r>
          </w:p>
        </w:tc>
        <w:tc>
          <w:tcPr>
            <w:tcW w:w="5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individual performance and responsibilities.</w:t>
            </w:r>
          </w:p>
        </w:tc>
        <w:tc>
          <w:tcPr>
            <w:tcW w:w="0" w:type="dxa"/>
            <w:vAlign w:val="bottom"/>
          </w:tcPr>
          <w:p>
            <w:pPr>
              <w:spacing w:after="0"/>
              <w:rPr>
                <w:sz w:val="1"/>
                <w:szCs w:val="1"/>
                <w:color w:val="auto"/>
              </w:rPr>
            </w:pPr>
          </w:p>
        </w:tc>
      </w:tr>
      <w:tr>
        <w:trPr>
          <w:trHeight w:val="156"/>
        </w:trPr>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shd w:val="clear" w:color="auto" w:fill="D8D8D8"/>
          </w:tcPr>
          <w:p>
            <w:pPr>
              <w:ind w:left="160"/>
              <w:spacing w:after="0" w:line="138" w:lineRule="exact"/>
              <w:rPr>
                <w:sz w:val="20"/>
                <w:szCs w:val="20"/>
                <w:color w:val="auto"/>
              </w:rPr>
            </w:pPr>
            <w:r>
              <w:rPr>
                <w:rFonts w:ascii="Times New Roman" w:cs="Times New Roman" w:eastAsia="Times New Roman" w:hAnsi="Times New Roman"/>
                <w:sz w:val="15"/>
                <w:szCs w:val="15"/>
                <w:color w:val="auto"/>
              </w:rPr>
              <w:t>Short-Term</w:t>
            </w:r>
          </w:p>
        </w:tc>
        <w:tc>
          <w:tcPr>
            <w:tcW w:w="1480" w:type="dxa"/>
            <w:vAlign w:val="bottom"/>
            <w:tcBorders>
              <w:right w:val="single" w:sz="8" w:color="auto"/>
            </w:tcBorders>
            <w:gridSpan w:val="3"/>
          </w:tcPr>
          <w:p>
            <w:pPr>
              <w:ind w:left="60"/>
              <w:spacing w:after="0" w:line="138" w:lineRule="exact"/>
              <w:rPr>
                <w:sz w:val="20"/>
                <w:szCs w:val="20"/>
                <w:color w:val="auto"/>
              </w:rPr>
            </w:pPr>
            <w:r>
              <w:rPr>
                <w:rFonts w:ascii="Times New Roman" w:cs="Times New Roman" w:eastAsia="Times New Roman" w:hAnsi="Times New Roman"/>
                <w:sz w:val="15"/>
                <w:szCs w:val="15"/>
                <w:color w:val="auto"/>
              </w:rPr>
              <w:t>Annual</w:t>
            </w:r>
          </w:p>
        </w:tc>
        <w:tc>
          <w:tcPr>
            <w:tcW w:w="294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5"/>
                <w:szCs w:val="15"/>
                <w:color w:val="auto"/>
              </w:rPr>
              <w:t>To encourage and reward contributions to</w:t>
            </w:r>
          </w:p>
        </w:tc>
        <w:tc>
          <w:tcPr>
            <w:tcW w:w="596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Cash incentives are targeted at a percentage of base salary and range from zero to 200% of</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Times New Roman" w:cs="Times New Roman" w:eastAsia="Times New Roman" w:hAnsi="Times New Roman"/>
                <w:sz w:val="15"/>
                <w:szCs w:val="15"/>
                <w:color w:val="auto"/>
              </w:rPr>
              <w:t>Performance</w:t>
            </w:r>
          </w:p>
        </w:tc>
        <w:tc>
          <w:tcPr>
            <w:tcW w:w="1480" w:type="dxa"/>
            <w:vAlign w:val="bottom"/>
            <w:tcBorders>
              <w:right w:val="single" w:sz="8" w:color="auto"/>
            </w:tcBorders>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Cash</w:t>
            </w: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our annual financial objectives through</w:t>
            </w: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target based on the following equally-weighted performance measures:</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Times New Roman" w:cs="Times New Roman" w:eastAsia="Times New Roman" w:hAnsi="Times New Roman"/>
                <w:sz w:val="15"/>
                <w:szCs w:val="15"/>
                <w:color w:val="auto"/>
              </w:rPr>
              <w:t>Incentive</w:t>
            </w:r>
          </w:p>
        </w:tc>
        <w:tc>
          <w:tcPr>
            <w:tcW w:w="1480" w:type="dxa"/>
            <w:vAlign w:val="bottom"/>
            <w:tcBorders>
              <w:right w:val="single" w:sz="8" w:color="auto"/>
            </w:tcBorders>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Incentive</w:t>
            </w: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performance-based compensation subject to</w:t>
            </w:r>
          </w:p>
        </w:tc>
        <w:tc>
          <w:tcPr>
            <w:tcW w:w="5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  Income from Operations Margin – defined as Income from Operations as a percentage of</w:t>
            </w: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shd w:val="clear" w:color="auto" w:fill="D8D8D8"/>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9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auto"/>
              </w:rPr>
              <w:t>challenging, yet attainable, objective and</w:t>
            </w:r>
          </w:p>
        </w:tc>
        <w:tc>
          <w:tcPr>
            <w:tcW w:w="5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transparent metrics</w:t>
            </w:r>
          </w:p>
        </w:tc>
        <w:tc>
          <w:tcPr>
            <w:tcW w:w="5960" w:type="dxa"/>
            <w:vAlign w:val="bottom"/>
            <w:tcBorders>
              <w:right w:val="single" w:sz="8" w:color="auto"/>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Revenue – motivates executives to control costs and operate efficiently while focusing on</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yield;</w:t>
            </w:r>
          </w:p>
        </w:tc>
        <w:tc>
          <w:tcPr>
            <w:tcW w:w="0" w:type="dxa"/>
            <w:vAlign w:val="bottom"/>
          </w:tcPr>
          <w:p>
            <w:pPr>
              <w:spacing w:after="0"/>
              <w:rPr>
                <w:sz w:val="1"/>
                <w:szCs w:val="1"/>
                <w:color w:val="auto"/>
              </w:rPr>
            </w:pPr>
          </w:p>
        </w:tc>
      </w:tr>
      <w:tr>
        <w:trPr>
          <w:trHeight w:val="217"/>
        </w:trPr>
        <w:tc>
          <w:tcPr>
            <w:tcW w:w="1080" w:type="dxa"/>
            <w:vAlign w:val="bottom"/>
            <w:tcBorders>
              <w:left w:val="single" w:sz="8" w:color="auto"/>
              <w:right w:val="single" w:sz="8" w:color="auto"/>
            </w:tcBorders>
            <w:shd w:val="clear" w:color="auto" w:fill="D8D8D8"/>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  Income from Operations, excluding Depreciation and Amortization – designed to</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encourage balanced growth and profitability; and</w:t>
            </w:r>
          </w:p>
        </w:tc>
        <w:tc>
          <w:tcPr>
            <w:tcW w:w="0" w:type="dxa"/>
            <w:vAlign w:val="bottom"/>
          </w:tcPr>
          <w:p>
            <w:pPr>
              <w:spacing w:after="0"/>
              <w:rPr>
                <w:sz w:val="1"/>
                <w:szCs w:val="1"/>
                <w:color w:val="auto"/>
              </w:rPr>
            </w:pPr>
          </w:p>
        </w:tc>
      </w:tr>
      <w:tr>
        <w:trPr>
          <w:trHeight w:val="247"/>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  Cost Measure – defined as Operating Expense, less depreciation, depletion and</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60" w:type="dxa"/>
            <w:vAlign w:val="bottom"/>
            <w:tcBorders>
              <w:right w:val="single" w:sz="8" w:color="auto"/>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as a percentage of Net Revenue, both less fuel– designed to support cost</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control innovation initiatives.</w:t>
            </w:r>
          </w:p>
        </w:tc>
        <w:tc>
          <w:tcPr>
            <w:tcW w:w="0" w:type="dxa"/>
            <w:vAlign w:val="bottom"/>
          </w:tcPr>
          <w:p>
            <w:pPr>
              <w:spacing w:after="0"/>
              <w:rPr>
                <w:sz w:val="1"/>
                <w:szCs w:val="1"/>
                <w:color w:val="auto"/>
              </w:rPr>
            </w:pPr>
          </w:p>
        </w:tc>
      </w:tr>
      <w:tr>
        <w:trPr>
          <w:trHeight w:val="247"/>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The MD&amp;C Committee has discretion to increase or decrease an individual’s payment by up to</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25% based on individual performance, but such modifier has never been used to increase a</w:t>
            </w:r>
          </w:p>
        </w:tc>
        <w:tc>
          <w:tcPr>
            <w:tcW w:w="0" w:type="dxa"/>
            <w:vAlign w:val="bottom"/>
          </w:tcPr>
          <w:p>
            <w:pPr>
              <w:spacing w:after="0"/>
              <w:rPr>
                <w:sz w:val="1"/>
                <w:szCs w:val="1"/>
                <w:color w:val="auto"/>
              </w:rPr>
            </w:pPr>
          </w:p>
        </w:tc>
      </w:tr>
      <w:tr>
        <w:trPr>
          <w:trHeight w:val="193"/>
        </w:trPr>
        <w:tc>
          <w:tcPr>
            <w:tcW w:w="1080" w:type="dxa"/>
            <w:vAlign w:val="bottom"/>
            <w:tcBorders>
              <w:left w:val="single" w:sz="8" w:color="auto"/>
              <w:bottom w:val="single" w:sz="8" w:color="auto"/>
              <w:right w:val="single" w:sz="8" w:color="auto"/>
            </w:tcBorders>
            <w:shd w:val="clear" w:color="auto" w:fill="D8D8D8"/>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payment to a named executive.</w:t>
            </w:r>
          </w:p>
        </w:tc>
        <w:tc>
          <w:tcPr>
            <w:tcW w:w="0" w:type="dxa"/>
            <w:vAlign w:val="bottom"/>
          </w:tcPr>
          <w:p>
            <w:pPr>
              <w:spacing w:after="0"/>
              <w:rPr>
                <w:sz w:val="1"/>
                <w:szCs w:val="1"/>
                <w:color w:val="auto"/>
              </w:rPr>
            </w:pPr>
          </w:p>
        </w:tc>
      </w:tr>
      <w:tr>
        <w:trPr>
          <w:trHeight w:val="156"/>
        </w:trPr>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shd w:val="clear" w:color="auto" w:fill="D8D8D8"/>
          </w:tcPr>
          <w:p>
            <w:pPr>
              <w:ind w:left="160"/>
              <w:spacing w:after="0" w:line="138" w:lineRule="exact"/>
              <w:rPr>
                <w:sz w:val="20"/>
                <w:szCs w:val="20"/>
                <w:color w:val="auto"/>
              </w:rPr>
            </w:pPr>
            <w:r>
              <w:rPr>
                <w:rFonts w:ascii="Times New Roman" w:cs="Times New Roman" w:eastAsia="Times New Roman" w:hAnsi="Times New Roman"/>
                <w:sz w:val="15"/>
                <w:szCs w:val="15"/>
                <w:color w:val="auto"/>
              </w:rPr>
              <w:t>Long-Term</w:t>
            </w:r>
          </w:p>
        </w:tc>
        <w:tc>
          <w:tcPr>
            <w:tcW w:w="1480" w:type="dxa"/>
            <w:vAlign w:val="bottom"/>
            <w:tcBorders>
              <w:right w:val="single" w:sz="8" w:color="auto"/>
            </w:tcBorders>
            <w:gridSpan w:val="3"/>
          </w:tcPr>
          <w:p>
            <w:pPr>
              <w:ind w:left="60"/>
              <w:spacing w:after="0" w:line="138" w:lineRule="exact"/>
              <w:rPr>
                <w:sz w:val="20"/>
                <w:szCs w:val="20"/>
                <w:color w:val="auto"/>
              </w:rPr>
            </w:pPr>
            <w:r>
              <w:rPr>
                <w:rFonts w:ascii="Times New Roman" w:cs="Times New Roman" w:eastAsia="Times New Roman" w:hAnsi="Times New Roman"/>
                <w:sz w:val="15"/>
                <w:szCs w:val="15"/>
                <w:color w:val="auto"/>
              </w:rPr>
              <w:t>Performance</w:t>
            </w:r>
          </w:p>
        </w:tc>
        <w:tc>
          <w:tcPr>
            <w:tcW w:w="294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5"/>
                <w:szCs w:val="15"/>
                <w:color w:val="auto"/>
              </w:rPr>
              <w:t>To encourage and reward building long-</w:t>
            </w:r>
          </w:p>
        </w:tc>
        <w:tc>
          <w:tcPr>
            <w:tcW w:w="596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Number of shares delivered range from zero to 200% of the initial target grant based on</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Times New Roman" w:cs="Times New Roman" w:eastAsia="Times New Roman" w:hAnsi="Times New Roman"/>
                <w:sz w:val="15"/>
                <w:szCs w:val="15"/>
                <w:color w:val="auto"/>
              </w:rPr>
              <w:t>Performance</w:t>
            </w:r>
          </w:p>
        </w:tc>
        <w:tc>
          <w:tcPr>
            <w:tcW w:w="1480" w:type="dxa"/>
            <w:vAlign w:val="bottom"/>
            <w:tcBorders>
              <w:right w:val="single" w:sz="8" w:color="auto"/>
            </w:tcBorders>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Share Units</w:t>
            </w: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term stockholder value through successful</w:t>
            </w: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performance over a three-year performance period.</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5"/>
                <w:szCs w:val="15"/>
                <w:color w:val="auto"/>
              </w:rPr>
              <w:t>Incentives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strategy execution;</w:t>
            </w:r>
          </w:p>
        </w:tc>
        <w:tc>
          <w:tcPr>
            <w:tcW w:w="5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Payout on half of each executive’s PSUs granted in 2016 is dependent on cash flow generation,</w:t>
            </w:r>
          </w:p>
        </w:tc>
        <w:tc>
          <w:tcPr>
            <w:tcW w:w="0" w:type="dxa"/>
            <w:vAlign w:val="bottom"/>
          </w:tcPr>
          <w:p>
            <w:pPr>
              <w:spacing w:after="0"/>
              <w:rPr>
                <w:sz w:val="1"/>
                <w:szCs w:val="1"/>
                <w:color w:val="auto"/>
              </w:rPr>
            </w:pPr>
          </w:p>
        </w:tc>
      </w:tr>
      <w:tr>
        <w:trPr>
          <w:trHeight w:val="85"/>
        </w:trPr>
        <w:tc>
          <w:tcPr>
            <w:tcW w:w="1080" w:type="dxa"/>
            <w:vAlign w:val="bottom"/>
            <w:tcBorders>
              <w:left w:val="single" w:sz="8" w:color="auto"/>
              <w:right w:val="single" w:sz="8" w:color="auto"/>
            </w:tcBorders>
            <w:shd w:val="clear" w:color="auto" w:fill="D8D8D8"/>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2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To retain executives; and</w:t>
            </w: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defined as cash provided by operating activities with certain exclusions, which continues our</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To increase stockholder alignment through</w:t>
            </w: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focus on capital discipline, while also aligning the Company with stockholders’ free cash flow</w:t>
            </w: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shd w:val="clear" w:color="auto" w:fill="D8D8D8"/>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5960" w:type="dxa"/>
            <w:vAlign w:val="bottom"/>
            <w:tcBorders>
              <w:right w:val="single" w:sz="8" w:color="auto"/>
            </w:tcBorders>
          </w:tcPr>
          <w:p>
            <w:pPr>
              <w:spacing w:after="0" w:line="152" w:lineRule="exact"/>
              <w:rPr>
                <w:sz w:val="20"/>
                <w:szCs w:val="20"/>
                <w:color w:val="auto"/>
              </w:rPr>
            </w:pPr>
            <w:r>
              <w:rPr>
                <w:rFonts w:ascii="Times New Roman" w:cs="Times New Roman" w:eastAsia="Times New Roman" w:hAnsi="Times New Roman"/>
                <w:sz w:val="15"/>
                <w:szCs w:val="15"/>
                <w:color w:val="auto"/>
              </w:rPr>
              <w:t>expectations.</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executives’ stock ownership</w:t>
            </w:r>
          </w:p>
        </w:tc>
        <w:tc>
          <w:tcPr>
            <w:tcW w:w="5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Payout on the remaining half of the PSUs granted in 2016 is dependent on total shareholder</w:t>
            </w:r>
          </w:p>
        </w:tc>
        <w:tc>
          <w:tcPr>
            <w:tcW w:w="0" w:type="dxa"/>
            <w:vAlign w:val="bottom"/>
          </w:tcPr>
          <w:p>
            <w:pPr>
              <w:spacing w:after="0"/>
              <w:rPr>
                <w:sz w:val="1"/>
                <w:szCs w:val="1"/>
                <w:color w:val="auto"/>
              </w:rPr>
            </w:pPr>
          </w:p>
        </w:tc>
      </w:tr>
      <w:tr>
        <w:trPr>
          <w:trHeight w:val="95"/>
        </w:trPr>
        <w:tc>
          <w:tcPr>
            <w:tcW w:w="1080" w:type="dxa"/>
            <w:vAlign w:val="bottom"/>
            <w:tcBorders>
              <w:left w:val="single" w:sz="8" w:color="auto"/>
              <w:right w:val="single" w:sz="8" w:color="auto"/>
            </w:tcBorders>
            <w:shd w:val="clear" w:color="auto" w:fill="D8D8D8"/>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return (“TSR”) relative to other companies in the S&amp;P 500 over the three-year performance</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period.</w:t>
            </w:r>
          </w:p>
        </w:tc>
        <w:tc>
          <w:tcPr>
            <w:tcW w:w="0" w:type="dxa"/>
            <w:vAlign w:val="bottom"/>
          </w:tcPr>
          <w:p>
            <w:pPr>
              <w:spacing w:after="0"/>
              <w:rPr>
                <w:sz w:val="1"/>
                <w:szCs w:val="1"/>
                <w:color w:val="auto"/>
              </w:rPr>
            </w:pPr>
          </w:p>
        </w:tc>
      </w:tr>
      <w:tr>
        <w:trPr>
          <w:trHeight w:val="247"/>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PSUs earn dividend equivalents that are paid at the end of the performance period based on the</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number of shares earned.</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Recipients can defer the receipt of shares, in which case such shares of Common Stock will be</w:t>
            </w:r>
          </w:p>
        </w:tc>
        <w:tc>
          <w:tcPr>
            <w:tcW w:w="0" w:type="dxa"/>
            <w:vAlign w:val="bottom"/>
          </w:tcPr>
          <w:p>
            <w:pPr>
              <w:spacing w:after="0"/>
              <w:rPr>
                <w:sz w:val="1"/>
                <w:szCs w:val="1"/>
                <w:color w:val="auto"/>
              </w:rPr>
            </w:pPr>
          </w:p>
        </w:tc>
      </w:tr>
      <w:tr>
        <w:trPr>
          <w:trHeight w:val="193"/>
        </w:trPr>
        <w:tc>
          <w:tcPr>
            <w:tcW w:w="1080" w:type="dxa"/>
            <w:vAlign w:val="bottom"/>
            <w:tcBorders>
              <w:left w:val="single" w:sz="8" w:color="auto"/>
              <w:bottom w:val="single" w:sz="8" w:color="D8D8D8"/>
              <w:right w:val="single" w:sz="8" w:color="auto"/>
            </w:tcBorders>
            <w:shd w:val="clear" w:color="auto" w:fill="D8D8D8"/>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paid out, without interest, at the end of the deferral period.</w:t>
            </w: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shd w:val="clear" w:color="auto" w:fill="D8D8D8"/>
          </w:tcPr>
          <w:p>
            <w:pPr>
              <w:spacing w:after="0"/>
              <w:rPr>
                <w:sz w:val="12"/>
                <w:szCs w:val="12"/>
                <w:color w:val="auto"/>
              </w:rPr>
            </w:pPr>
          </w:p>
        </w:tc>
        <w:tc>
          <w:tcPr>
            <w:tcW w:w="1480" w:type="dxa"/>
            <w:vAlign w:val="bottom"/>
            <w:tcBorders>
              <w:right w:val="single" w:sz="8" w:color="auto"/>
            </w:tcBorders>
            <w:gridSpan w:val="3"/>
          </w:tcPr>
          <w:p>
            <w:pPr>
              <w:ind w:left="60"/>
              <w:spacing w:after="0" w:line="138" w:lineRule="exact"/>
              <w:rPr>
                <w:sz w:val="20"/>
                <w:szCs w:val="20"/>
                <w:color w:val="auto"/>
              </w:rPr>
            </w:pPr>
            <w:r>
              <w:rPr>
                <w:rFonts w:ascii="Times New Roman" w:cs="Times New Roman" w:eastAsia="Times New Roman" w:hAnsi="Times New Roman"/>
                <w:sz w:val="15"/>
                <w:szCs w:val="15"/>
                <w:color w:val="auto"/>
              </w:rPr>
              <w:t>Stock</w:t>
            </w:r>
          </w:p>
        </w:tc>
        <w:tc>
          <w:tcPr>
            <w:tcW w:w="294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5"/>
                <w:szCs w:val="15"/>
                <w:color w:val="auto"/>
              </w:rPr>
              <w:t>To support the growth element of the</w:t>
            </w:r>
          </w:p>
        </w:tc>
        <w:tc>
          <w:tcPr>
            <w:tcW w:w="596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Stock options vest in 25% increments on the first two anniversaries of the date of grant and the</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480" w:type="dxa"/>
            <w:vAlign w:val="bottom"/>
            <w:tcBorders>
              <w:right w:val="single" w:sz="8" w:color="auto"/>
            </w:tcBorders>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Options</w:t>
            </w: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Company’s strategy and encourage and</w:t>
            </w: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remaining 50% vest on the third anniversary.</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reward stock price appreciation over the</w:t>
            </w:r>
          </w:p>
        </w:tc>
        <w:tc>
          <w:tcPr>
            <w:tcW w:w="5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Exercise price is the average of the high and low market price of our Common Stock on the</w:t>
            </w: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shd w:val="clear" w:color="auto" w:fill="D8D8D8"/>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9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auto"/>
              </w:rPr>
              <w:t>long-term;</w:t>
            </w:r>
          </w:p>
        </w:tc>
        <w:tc>
          <w:tcPr>
            <w:tcW w:w="5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To retain executives; and</w:t>
            </w:r>
          </w:p>
        </w:tc>
        <w:tc>
          <w:tcPr>
            <w:tcW w:w="5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date of grant.</w:t>
            </w:r>
          </w:p>
        </w:tc>
        <w:tc>
          <w:tcPr>
            <w:tcW w:w="0" w:type="dxa"/>
            <w:vAlign w:val="bottom"/>
          </w:tcPr>
          <w:p>
            <w:pPr>
              <w:spacing w:after="0"/>
              <w:rPr>
                <w:sz w:val="1"/>
                <w:szCs w:val="1"/>
                <w:color w:val="auto"/>
              </w:rPr>
            </w:pPr>
          </w:p>
        </w:tc>
      </w:tr>
      <w:tr>
        <w:trPr>
          <w:trHeight w:val="131"/>
        </w:trPr>
        <w:tc>
          <w:tcPr>
            <w:tcW w:w="1080" w:type="dxa"/>
            <w:vAlign w:val="bottom"/>
            <w:tcBorders>
              <w:left w:val="single" w:sz="8" w:color="auto"/>
              <w:right w:val="single" w:sz="8" w:color="auto"/>
            </w:tcBorders>
            <w:shd w:val="clear" w:color="auto" w:fill="D8D8D8"/>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940" w:type="dxa"/>
            <w:vAlign w:val="bottom"/>
            <w:gridSpan w:val="2"/>
            <w:vMerge w:val="continue"/>
          </w:tcPr>
          <w:p>
            <w:pPr>
              <w:spacing w:after="0"/>
              <w:rPr>
                <w:sz w:val="11"/>
                <w:szCs w:val="11"/>
                <w:color w:val="auto"/>
              </w:rPr>
            </w:pPr>
          </w:p>
        </w:tc>
        <w:tc>
          <w:tcPr>
            <w:tcW w:w="5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Stock options have a term of ten years.</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shd w:val="clear" w:color="auto" w:fill="D8D8D8"/>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To increase stockholder alignment through</w:t>
            </w:r>
          </w:p>
        </w:tc>
        <w:tc>
          <w:tcPr>
            <w:tcW w:w="5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80" w:type="dxa"/>
            <w:vAlign w:val="bottom"/>
            <w:tcBorders>
              <w:left w:val="single" w:sz="8" w:color="auto"/>
              <w:right w:val="single" w:sz="8" w:color="auto"/>
            </w:tcBorders>
            <w:shd w:val="clear" w:color="auto" w:fill="D8D8D8"/>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5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080" w:type="dxa"/>
            <w:vAlign w:val="bottom"/>
            <w:tcBorders>
              <w:left w:val="single" w:sz="8" w:color="auto"/>
              <w:bottom w:val="single" w:sz="8" w:color="D8D8D8"/>
              <w:right w:val="single" w:sz="8" w:color="auto"/>
            </w:tcBorders>
            <w:shd w:val="clear" w:color="auto" w:fill="D8D8D8"/>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2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color w:val="auto"/>
              </w:rPr>
              <w:t>executives’ stock ownership</w:t>
            </w:r>
          </w:p>
        </w:tc>
        <w:tc>
          <w:tcPr>
            <w:tcW w:w="5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80" w:type="dxa"/>
            <w:vAlign w:val="bottom"/>
            <w:tcBorders>
              <w:left w:val="single" w:sz="8" w:color="auto"/>
              <w:right w:val="single" w:sz="8" w:color="auto"/>
            </w:tcBorders>
            <w:shd w:val="clear" w:color="auto" w:fill="D8D8D8"/>
          </w:tcPr>
          <w:p>
            <w:pPr>
              <w:spacing w:after="0"/>
              <w:rPr>
                <w:sz w:val="12"/>
                <w:szCs w:val="12"/>
                <w:color w:val="auto"/>
              </w:rPr>
            </w:pPr>
          </w:p>
        </w:tc>
        <w:tc>
          <w:tcPr>
            <w:tcW w:w="1480" w:type="dxa"/>
            <w:vAlign w:val="bottom"/>
            <w:tcBorders>
              <w:right w:val="single" w:sz="8" w:color="auto"/>
            </w:tcBorders>
            <w:gridSpan w:val="3"/>
          </w:tcPr>
          <w:p>
            <w:pPr>
              <w:ind w:left="60"/>
              <w:spacing w:after="0" w:line="138" w:lineRule="exact"/>
              <w:rPr>
                <w:sz w:val="20"/>
                <w:szCs w:val="20"/>
                <w:color w:val="auto"/>
              </w:rPr>
            </w:pPr>
            <w:r>
              <w:rPr>
                <w:rFonts w:ascii="Times New Roman" w:cs="Times New Roman" w:eastAsia="Times New Roman" w:hAnsi="Times New Roman"/>
                <w:sz w:val="15"/>
                <w:szCs w:val="15"/>
                <w:color w:val="auto"/>
              </w:rPr>
              <w:t>Restricted</w:t>
            </w:r>
          </w:p>
        </w:tc>
        <w:tc>
          <w:tcPr>
            <w:tcW w:w="294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5"/>
                <w:szCs w:val="15"/>
                <w:color w:val="auto"/>
              </w:rPr>
              <w:t>Used on a limited basis (e.g. promotion and</w:t>
            </w:r>
          </w:p>
        </w:tc>
        <w:tc>
          <w:tcPr>
            <w:tcW w:w="5960" w:type="dxa"/>
            <w:vAlign w:val="bottom"/>
            <w:tcBorders>
              <w:right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Restricted stock units (“RSUs”) were granted to Mr. Fish in 2016 in connection with his</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480" w:type="dxa"/>
            <w:vAlign w:val="bottom"/>
            <w:tcBorders>
              <w:right w:val="single" w:sz="8" w:color="auto"/>
            </w:tcBorders>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Stock Units</w:t>
            </w: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new hire) to make awards that encourage</w:t>
            </w:r>
          </w:p>
        </w:tc>
        <w:tc>
          <w:tcPr>
            <w:tcW w:w="596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promotion to Chief Executive Officer.</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and reward long-term performance and</w:t>
            </w:r>
          </w:p>
        </w:tc>
        <w:tc>
          <w:tcPr>
            <w:tcW w:w="5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Vesting over a three-year period aids retention.</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D8D8D8"/>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increase alignment with stockholders</w:t>
            </w:r>
          </w:p>
        </w:tc>
        <w:tc>
          <w:tcPr>
            <w:tcW w:w="59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080" w:type="dxa"/>
            <w:vAlign w:val="bottom"/>
            <w:tcBorders>
              <w:left w:val="single" w:sz="8" w:color="auto"/>
              <w:bottom w:val="single" w:sz="8" w:color="auto"/>
              <w:right w:val="single" w:sz="8" w:color="auto"/>
            </w:tcBorders>
            <w:shd w:val="clear" w:color="auto" w:fill="D8D8D8"/>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Dividends on RSUs accrue and are paid in cash upon vesting.</w:t>
            </w:r>
          </w:p>
        </w:tc>
        <w:tc>
          <w:tcPr>
            <w:tcW w:w="0" w:type="dxa"/>
            <w:vAlign w:val="bottom"/>
          </w:tcPr>
          <w:p>
            <w:pPr>
              <w:spacing w:after="0"/>
              <w:rPr>
                <w:sz w:val="1"/>
                <w:szCs w:val="1"/>
                <w:color w:val="auto"/>
              </w:rPr>
            </w:pPr>
          </w:p>
        </w:tc>
      </w:tr>
      <w:tr>
        <w:trPr>
          <w:trHeight w:val="358"/>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440"/>
          </w:cols>
          <w:pgMar w:left="240" w:top="455" w:right="2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Post-Employment and Change in Control Compensation</w:t>
      </w:r>
      <w:r>
        <w:rPr>
          <w:rFonts w:ascii="Times New Roman" w:cs="Times New Roman" w:eastAsia="Times New Roman" w:hAnsi="Times New Roman"/>
          <w:sz w:val="18"/>
          <w:szCs w:val="18"/>
          <w:color w:val="auto"/>
        </w:rPr>
        <w:t>. The post-employment compensation our named executives receive is based on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individual equity award agreements, retirement plan documents and employment agreements. Our equity award agreements generally provide that an executive forfeits unvested awards if he or she voluntarily terminates employment. We enter into employment agreements with our named executive officers to provide a form of protection for the Company through restrictive covenant provisions. Employment agreements also aid in retention of senior leadership by providing the individual with comfort that he will be treated fairly in the event of a termination not for cause or under a change in control situation. The change in control provision included in each named executive officer’s agreement requires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Our stock option awards are also subject to double trigger vesting in the event of a change in control situation. Performance share units are paid out in cash on a prorated basis based on actual results achieved through the end of the fiscal quarter prior to a change in control. Thereafter, the executive would typically receive a replacement award from the successor entity. RSUs, which are not routinely a component of our executive compensation program, vest upon a change in control, unless the successor entity converts the awards to equivalent grants in the successor. Provided, however, such converted RSU awards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7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Deferral Plan</w:t>
      </w:r>
      <w:r>
        <w:rPr>
          <w:rFonts w:ascii="Times New Roman" w:cs="Times New Roman" w:eastAsia="Times New Roman" w:hAnsi="Times New Roman"/>
          <w:sz w:val="18"/>
          <w:szCs w:val="18"/>
          <w:color w:val="auto"/>
        </w:rPr>
        <w:t>. Each of our named executive officers is eligible to participate in our 409A Deferral Savings Plan and may elect to defer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portions of their base salary and cash incentives in excess of the annual compensation limit established under Section 401(a)(17) of the Internal Revenue Code of 1986, as amended, the “Limit.” As of 2016, the Limit was $265,000. The plan provides that eligible employees may defer for payment at a future date (i) up to 25% of base salary and up to 100% of annual cash incentives payable after the aggregate of such compensation components reaches the Limit;</w:t>
      </w:r>
    </w:p>
    <w:p>
      <w:pPr>
        <w:spacing w:after="0" w:line="2" w:lineRule="exact"/>
        <w:rPr>
          <w:sz w:val="20"/>
          <w:szCs w:val="20"/>
          <w:color w:val="auto"/>
        </w:rPr>
      </w:pPr>
    </w:p>
    <w:p>
      <w:pPr>
        <w:ind w:right="60" w:firstLine="8"/>
        <w:spacing w:after="0" w:line="251"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RSUs; and (iii) receipt of any PSUs. The Company match provided under the 409A Deferral Plan is dollar for dollar on the employee’s deferrals, up to 3% of the employee’s aggregate base salary and cash incentives in excess of the Limit, and fifty cents on the dollar on the employee’s deferrals, up to 6% of the employee’s aggregate base salary and cash incentives in excess of the Limit.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to eligible employees equal to dividends that would have been payable on the shares deferred. Participating employees generally can elect to receive distributions commencing six months after the employee leaves the Company in the form of annual installments or a lump sum payment. We believe that providing a program that allows and encourages planning for retirement is a key factor in our ability to attract and retain talent. Additional details on the plan can be found in the Nonqualified Deferred Compensation table and the footnotes to the table beginning on page 48.</w:t>
      </w:r>
    </w:p>
    <w:p>
      <w:pPr>
        <w:spacing w:after="0" w:line="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Perquisites</w:t>
      </w:r>
      <w:r>
        <w:rPr>
          <w:rFonts w:ascii="Times New Roman" w:cs="Times New Roman" w:eastAsia="Times New Roman" w:hAnsi="Times New Roman"/>
          <w:sz w:val="18"/>
          <w:szCs w:val="18"/>
          <w:color w:val="auto"/>
        </w:rPr>
        <w:t>. The Company permits the President and Chief Executive Officer to use the Company’s aircraft for business and personal travel whenever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possible; provided, however, that personal use of the Company aircraft attributed to him that results in incremental cost to the Company shall not exceed 90 hours during any calendar year without approval from the Chairman of the MD&amp;C Committee. Use of the Company’s aircraft is permitted for other employees’ personal use only with Chief Executive Officer approval in special circumstances, which seldom occurs. The value of our named executives’ personal use of the Company’s aircraft is treated as taxable income to the respective executive in accordance with IRS regulations using the Standard Industry Fare Level formula. This is a different amount than we disclose in the Summary Compensation Table, which is based on the SEC requirement to report the incremental cost to us of their use. We also reimburse the cost of physical examinations for our senior executives, as we believe it is beneficial to the Company to facilitate its executives receiving preventive healthcare. Other than as described in this section, we have eliminated all perquisites for our named executive officers.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Named Executive Officer Compensation Decisions are Made</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6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performance share unit calculations; reviews the individual annual cash incentive targets for the current year as a percent of base salary for each of the named executive officers; and makes decisions on granting long-term equity awards.</w:t>
      </w:r>
    </w:p>
    <w:p>
      <w:pPr>
        <w:spacing w:after="0" w:line="79"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Compensation Consultant</w:t>
      </w:r>
      <w:r>
        <w:rPr>
          <w:rFonts w:ascii="Times New Roman" w:cs="Times New Roman" w:eastAsia="Times New Roman" w:hAnsi="Times New Roman"/>
          <w:sz w:val="18"/>
          <w:szCs w:val="18"/>
          <w:color w:val="auto"/>
        </w:rPr>
        <w:t>. The MD&amp;C Committee uses several resources in its analysis of the appropriate compensation for the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w:t>
      </w:r>
    </w:p>
    <w:p>
      <w:pPr>
        <w:spacing w:after="0" w:line="1" w:lineRule="exact"/>
        <w:rPr>
          <w:sz w:val="20"/>
          <w:szCs w:val="20"/>
          <w:color w:val="auto"/>
        </w:rPr>
      </w:pPr>
    </w:p>
    <w:p>
      <w:pPr>
        <w:jc w:val="both"/>
        <w:ind w:right="440"/>
        <w:spacing w:after="0" w:line="255" w:lineRule="auto"/>
        <w:rPr>
          <w:sz w:val="20"/>
          <w:szCs w:val="20"/>
          <w:color w:val="auto"/>
        </w:rPr>
      </w:pPr>
      <w:r>
        <w:rPr>
          <w:rFonts w:ascii="Times New Roman" w:cs="Times New Roman" w:eastAsia="Times New Roman" w:hAnsi="Times New Roman"/>
          <w:sz w:val="18"/>
          <w:szCs w:val="18"/>
          <w:color w:val="auto"/>
        </w:rPr>
        <w:t>Cook &amp; Co., Inc. as its independent consultant since 2002. The Company makes regular payments to Frederic 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78" w:lineRule="exact"/>
        <w:rPr>
          <w:sz w:val="20"/>
          <w:szCs w:val="20"/>
          <w:color w:val="auto"/>
        </w:rPr>
      </w:pPr>
    </w:p>
    <w:p>
      <w:pPr>
        <w:ind w:right="160" w:firstLine="456"/>
        <w:spacing w:after="0" w:line="269" w:lineRule="auto"/>
        <w:rPr>
          <w:sz w:val="20"/>
          <w:szCs w:val="20"/>
          <w:color w:val="auto"/>
        </w:rPr>
      </w:pPr>
      <w:r>
        <w:rPr>
          <w:rFonts w:ascii="Times New Roman" w:cs="Times New Roman" w:eastAsia="Times New Roman" w:hAnsi="Times New Roman"/>
          <w:sz w:val="17"/>
          <w:szCs w:val="17"/>
          <w:color w:val="auto"/>
        </w:rPr>
        <w:t>In addition to services related to executive compensation, Frederic W. Cook also provides the MD&amp;C Committee information and advice with respect to compensation of the independent directors. Frederic 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Frederic W. Cook in light of SEC rules and New York Stock Exchange listing standards. In connection with this process, the MD&amp;C Committee has reviewed, among other items, a letter from Frederic W. Cook addressing the independence of Frederic W. Cook and the members of the consulting team serving the MD&amp;C Committee, including the following factors:</w:t>
      </w:r>
    </w:p>
    <w:p>
      <w:pPr>
        <w:ind w:firstLine="8"/>
        <w:spacing w:after="0" w:line="253" w:lineRule="auto"/>
        <w:tabs>
          <w:tab w:leader="none" w:pos="2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 provided to us by Frederic W. Cook; (ii) fees paid by us as a percentage of Frederic W. Cook’s total revenue; (iii) policies or procedures of Frederic W. Cook that are designed to prevent conflicts of interest; (iv) any business or personal relationships between the senior advisor of the consulting team with a member of the MD&amp;C Committee; (v) any Company stock owned by the senior advisor or any member of his immediate family and (vi) any business or personal relationships between our executive officers and the senior advisor. The MD&amp;C Committee reviewed these considerations and concluded that the work performed by Frederic W. Cook and its senior advisor involved in the engagement did not raise any conflict of interest.</w:t>
      </w:r>
    </w:p>
    <w:p>
      <w:pPr>
        <w:spacing w:after="0" w:line="77"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Role of CEO and Human Resources</w:t>
      </w:r>
      <w:r>
        <w:rPr>
          <w:rFonts w:ascii="Times New Roman" w:cs="Times New Roman" w:eastAsia="Times New Roman" w:hAnsi="Times New Roman"/>
          <w:sz w:val="18"/>
          <w:szCs w:val="18"/>
          <w:color w:val="auto"/>
        </w:rPr>
        <w:t>. Our President and Chief Executive Officer contributes to compensation determinations by assessing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 other named executive officers and providing these assessments with recommendations to the MD&amp;C Committee. Personnel within the Company’s Human Resources Department assist the MD&amp;C Committee by working with the independent consultant to provide information requested by the MD&amp;C Committee and assisting it in designing and administering the Company’s compensation programs.</w:t>
      </w:r>
    </w:p>
    <w:p>
      <w:pPr>
        <w:spacing w:after="0" w:line="72"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Peer Company Comparisons</w:t>
      </w:r>
      <w:r>
        <w:rPr>
          <w:rFonts w:ascii="Times New Roman" w:cs="Times New Roman" w:eastAsia="Times New Roman" w:hAnsi="Times New Roman"/>
          <w:sz w:val="18"/>
          <w:szCs w:val="18"/>
          <w:color w:val="auto"/>
        </w:rPr>
        <w:t>. The MD&amp;C Committee uses compensation information of comparison groups of companies to gauge the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which is relevant for attracting and retaining key talent and for ensuring that the Company’s compensation practices are aligned with prevalent practices. For purposes of establishing the 2016 executive compensation program, the MD&amp;C Committee considered a competitive analysis of total direct compensation levels and compensation mixes for our executive officers during the second half of 2015, using information from:</w:t>
      </w:r>
    </w:p>
    <w:p>
      <w:pPr>
        <w:spacing w:after="0" w:line="88" w:lineRule="exact"/>
        <w:rPr>
          <w:sz w:val="20"/>
          <w:szCs w:val="20"/>
          <w:color w:val="auto"/>
        </w:rPr>
      </w:pPr>
    </w:p>
    <w:p>
      <w:pPr>
        <w:ind w:left="660" w:right="10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Size-adjusted median compensation data from two general industry surveys in which management annually participates; the Aon Hewitt 2015 Total Compensation Measurement (TCM) survey and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80" w:right="320"/>
        <w:spacing w:after="0" w:line="266" w:lineRule="auto"/>
        <w:rPr>
          <w:sz w:val="20"/>
          <w:szCs w:val="20"/>
          <w:color w:val="auto"/>
        </w:rPr>
      </w:pPr>
      <w:r>
        <w:rPr>
          <w:rFonts w:ascii="Times New Roman" w:cs="Times New Roman" w:eastAsia="Times New Roman" w:hAnsi="Times New Roman"/>
          <w:sz w:val="18"/>
          <w:szCs w:val="18"/>
          <w:color w:val="auto"/>
        </w:rPr>
        <w:t>Towers Watson 2015 Compensation Data Bank (CDB) survey. The Aon Hewitt TCM survey includes 401 companies ranging in size from $30 million to over $100 billion in annual revenue. The Towers Watson CDB survey includes 465 organizations ranging in size from $100 million to over $100 billion in annual revenue. Data selected from these surveys is scoped based on Company revenue; and</w:t>
      </w:r>
    </w:p>
    <w:p>
      <w:pPr>
        <w:spacing w:after="0" w:line="82" w:lineRule="exact"/>
        <w:rPr>
          <w:sz w:val="20"/>
          <w:szCs w:val="20"/>
          <w:color w:val="auto"/>
        </w:rPr>
      </w:pPr>
    </w:p>
    <w:p>
      <w:pPr>
        <w:ind w:left="46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Median compensation data from a comparison group of 18 publicly traded U.S. companies, described below.</w:t>
      </w:r>
    </w:p>
    <w:p>
      <w:pPr>
        <w:spacing w:after="0" w:line="117"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 Classifications. These industry classifications are meant to provide a collection of companies in industries that share similar characteristics with Waste Management.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 Prior to establishing compensation for 2016, the MD&amp;C Committee received a statistical analysis of the growth profile, profitability profile, size and shareholder return of all companies in the comparison group to verify that the Company is appropriately positioned versus the comparison group. The comparison group used for consideration of 2016 compensation follows, including the Company’s composite percentile ranking among the companies in the comparison group based on statistical measures. For purposes of this table, “size” is based on numerous factors as of December 31, 2014; “profitability” and “growth” are based on numerous factors measured over a one-year period and three-year period ended December 31, 2014; and “TSR” is based on the companies’ average TSR percentile ranking for a one-year period and three year-period as of December 31, 2014. This table is provided to reflect how the MD&amp;C Committee confirmed that the Company was appropriately positioned within its peer group for purposes of establishing 2016 compensation during 2015; as a result, the information that follows does not reflect the Company’s performance for 2015 or 2016.</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Composite Percentile Rank</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Size</w:t>
            </w:r>
          </w:p>
        </w:tc>
        <w:tc>
          <w:tcPr>
            <w:tcW w:w="15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Profitability</w:t>
            </w:r>
          </w:p>
        </w:tc>
        <w:tc>
          <w:tcPr>
            <w:tcW w:w="1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Growth</w:t>
            </w:r>
          </w:p>
        </w:tc>
        <w:tc>
          <w:tcPr>
            <w:tcW w:w="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TSR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Electric Power</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58%</w:t>
            </w: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33%</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46%</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Avis Budget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82%</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 Robinson WW</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59%</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CSX</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60%</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68%</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Entergy</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40%</w:t>
            </w: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28%</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49%</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FedEx</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41%</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49%</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Grainger (WW)</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65%</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53%</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Halliburton</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73%</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69%</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Hertz</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30%</w:t>
            </w: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47%</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91%</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NextEra Energy</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70%</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44%</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59%</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Norfolk Southern</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54%</w:t>
            </w: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62%</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Republic Services</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Ryder System</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Southern</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74%</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54%</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Southwest Airlines</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52%</w:t>
            </w: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48%</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84%</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Sysco</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51%</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47%</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35%</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Union Pacific</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88%</w:t>
            </w: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87%</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70%</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UPS</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79%</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78%</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Waste Management</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46%</w:t>
            </w: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52%</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31%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For purposes of each of the named executives, the general industry data and the comparison group data are blended when composing the competitive analysis, when possible, such that the combined general industry data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the comparison group are each weighted 50%. Competitive compensation analysis for the other executive officers consists only of an average of size-adjusted median general industry survey data.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 The competitive analysis showed that 2016 total direct compensation opportunities were above the competitive median, but within the desired range around the competitive median, for Mr. Steiner, our President and Chief Executive Officer at the time. The competitive analysis also showed that 2016 total direct compensation opportunities did not exceed the median for our other named executive officers, on average.</w:t>
      </w:r>
    </w:p>
    <w:p>
      <w:pPr>
        <w:spacing w:after="0" w:line="187"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Allocation of Compensation Elements and Tally Sheets</w:t>
      </w:r>
      <w:r>
        <w:rPr>
          <w:rFonts w:ascii="Times New Roman" w:cs="Times New Roman" w:eastAsia="Times New Roman" w:hAnsi="Times New Roman"/>
          <w:sz w:val="18"/>
          <w:szCs w:val="18"/>
          <w:color w:val="auto"/>
        </w:rPr>
        <w:t>. The MD&amp;C Committee considers the forms in which total compensation will be paid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charts display the allocation of total 2016 target compensation (as established in February 2016 before Mr. Steiner’s departure and</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Mr. Fish’s promotions) among base salary, annual cash incentive and long-term incentives for (a) our former Chief Executive Officer and (b) our other named executives, on average. These charts reflect the MD&amp;C Committee’s 2016 desired total mix of target compensation for named executives, which includes approximately 57% of total compensation derived from long-term equity awards, while long-term equity awards comprised approximately 71% of</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Mr. Steiner’s total target compensation. These charts also reflect that approximately 87% of Mr. Steiner’s total target compensation opportunities awarded in 2016 were performance-based, while approximately 78% of the total target compensation established in February 2016 for the other named executives was performance-based. We consider stock options granted under our long-term incentive plan to be performance-based because their value will increase as the market value of our Common Stock increases.</w:t>
      </w:r>
    </w:p>
    <w:p>
      <w:pPr>
        <w:spacing w:after="0" w:line="206" w:lineRule="exact"/>
        <w:rPr>
          <w:sz w:val="20"/>
          <w:szCs w:val="20"/>
          <w:color w:val="auto"/>
        </w:rPr>
      </w:pPr>
    </w:p>
    <w:p>
      <w:pPr>
        <w:ind w:left="1880"/>
        <w:spacing w:after="0"/>
        <w:tabs>
          <w:tab w:leader="none" w:pos="7500" w:val="left"/>
        </w:tabs>
        <w:rPr>
          <w:sz w:val="20"/>
          <w:szCs w:val="20"/>
          <w:color w:val="auto"/>
        </w:rPr>
      </w:pPr>
      <w:r>
        <w:rPr>
          <w:rFonts w:ascii="Times New Roman" w:cs="Times New Roman" w:eastAsia="Times New Roman" w:hAnsi="Times New Roman"/>
          <w:sz w:val="14"/>
          <w:szCs w:val="14"/>
          <w:b w:val="1"/>
          <w:bCs w:val="1"/>
          <w:color w:val="auto"/>
        </w:rPr>
        <w:t>Former Chief Executive Officer</w:t>
      </w:r>
      <w:r>
        <w:rPr>
          <w:sz w:val="20"/>
          <w:szCs w:val="20"/>
          <w:color w:val="auto"/>
        </w:rPr>
        <w:tab/>
      </w:r>
      <w:r>
        <w:rPr>
          <w:rFonts w:ascii="Times New Roman" w:cs="Times New Roman" w:eastAsia="Times New Roman" w:hAnsi="Times New Roman"/>
          <w:sz w:val="14"/>
          <w:szCs w:val="14"/>
          <w:b w:val="1"/>
          <w:bCs w:val="1"/>
          <w:color w:val="auto"/>
        </w:rPr>
        <w:t>Other Named Executives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1233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Internal Pay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MD&amp;C Committee considers the differentials between compensation of the named executive officers. The MD&amp;C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also reviews compensation comparisons between the President and Chief Executive Officer and the other executive officers, while recognizing the additional responsibilities of the President and Chief Executive Officer and that such differentials will increase in periods of above-target performance and decrease in times of below-target performance. Based on these considerations, the MD&amp;C Committee confirms that the compensation paid to the President and Chief Executive Officer is reasonable compared to that of the other executive officers.</w:t>
      </w:r>
    </w:p>
    <w:p>
      <w:pPr>
        <w:spacing w:after="0" w:line="7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Policy on Calculation Adjustments</w:t>
      </w:r>
      <w:r>
        <w:rPr>
          <w:rFonts w:ascii="Times New Roman" w:cs="Times New Roman" w:eastAsia="Times New Roman" w:hAnsi="Times New Roman"/>
          <w:sz w:val="18"/>
          <w:szCs w:val="18"/>
          <w:color w:val="auto"/>
        </w:rPr>
        <w:t>. In 2014, the MD&amp;C Committee adopted a policy on calculation adjustments that affect payouts under annual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short-term gains and protect current incentive opportunities. To ensure the integrity of the adjustments, the MD&amp;C Committee has adopted guidelines that are generally consistent with the Company’s guidelines for reporting adjusted non-GAAP earnings to the investment community, while retaining discretion to evaluate all adjustments, both income and expense, as circumstances warrant. Additionally, the MD&amp;C Committee has determined that potential adjustments arising from a single transaction or event generally should be disregarded unless, taken together, they change the calculated award payout by at least five percent.</w:t>
      </w:r>
    </w:p>
    <w:p>
      <w:pPr>
        <w:spacing w:after="0" w:line="77"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Tax and Accounting Matters</w:t>
      </w:r>
      <w:r>
        <w:rPr>
          <w:rFonts w:ascii="Times New Roman" w:cs="Times New Roman" w:eastAsia="Times New Roman" w:hAnsi="Times New Roman"/>
          <w:sz w:val="18"/>
          <w:szCs w:val="18"/>
          <w:color w:val="auto"/>
        </w:rPr>
        <w:t>. Section 162(m) of the Internal Revenue Code of 1985, as amended (“Code Section 162(m)”), denies a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 for federal income tax purposes for certain compensation in excess of $1 million per person paid in any year to our President and Chief Executive Officer and our other three highest paid executives other than our principal financial officer. “Performance-based” compensation meeting specified standards is deductible without regard to the $1 million cap. We design our compensation plans to be tax efficient for the Company where possible. However, our MD&amp;C Committee reserves the right to structure the compensation of our executive officers without regard for whether the compensation is fully deductible if, in the MD&amp;C Committee’s judgment, it is in the best interests of the Company and stockholders to do so.</w:t>
      </w:r>
    </w:p>
    <w:p>
      <w:pPr>
        <w:spacing w:after="0" w:line="7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Section 409A of the Internal Revenue Code of 1986, as amended (“Code Section 409A”), generally provides that any deferred compensation arrangement which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account for equity-based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2016 Compensation Program and Results — Long-Term Equity Incentives”), this “value” will differ from the grant date fair value of awards calculated pursuant to ASC Topic 718.</w:t>
      </w:r>
    </w:p>
    <w:p>
      <w:pPr>
        <w:spacing w:after="0" w:line="78"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Risk Assessment</w:t>
      </w:r>
      <w:r>
        <w:rPr>
          <w:rFonts w:ascii="Times New Roman" w:cs="Times New Roman" w:eastAsia="Times New Roman" w:hAnsi="Times New Roman"/>
          <w:sz w:val="18"/>
          <w:szCs w:val="18"/>
          <w:color w:val="auto"/>
        </w:rPr>
        <w:t>. The MD&amp;C Committee uses the structural elements set forth in the Executive Summary earlier to establish compensation that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sufficient incentives for named executive officers to drive results while avoiding unnecessary or excessive risk taking that could harm the long-term value of the Company. During 2016,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Consideration of Stockholder Advisory Vote on Executive Compensation</w:t>
      </w:r>
      <w:r>
        <w:rPr>
          <w:rFonts w:ascii="Times New Roman" w:cs="Times New Roman" w:eastAsia="Times New Roman" w:hAnsi="Times New Roman"/>
          <w:sz w:val="18"/>
          <w:szCs w:val="18"/>
          <w:color w:val="auto"/>
        </w:rPr>
        <w:t>. The MD&amp;C Committee reviews the results of the stockholder advisory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executive compensation and considers any implications of such voting results on the Company’s compensation programs. In light of the very high percentage of shares present and entitled to vote at the annual meeting voting in favor of the Company’s executive compensation the past six years, the results of the stockholder advisory votes have not caused the MD&amp;C Committee to recommend any changes to our compensation practices.</w:t>
      </w:r>
    </w:p>
    <w:p>
      <w:pPr>
        <w:spacing w:after="0" w:line="7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Promotion of Mr. Fish and Departure of Mr. Steiner</w:t>
      </w:r>
      <w:r>
        <w:rPr>
          <w:rFonts w:ascii="Times New Roman" w:cs="Times New Roman" w:eastAsia="Times New Roman" w:hAnsi="Times New Roman"/>
          <w:sz w:val="18"/>
          <w:szCs w:val="18"/>
          <w:color w:val="auto"/>
        </w:rPr>
        <w:t>. As a result of the Company’s succession planning process, in July 2016, Mr. Fish was promoted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President and Chief Financial Officer, reporting to Mr. Steiner, who remained Chief Executive Officer. Mr. Fish’s annual base salary was increased to $700,000, effective upon the date of his promotion. Then, in November 2016, Mr. Fish succeeded Mr. Steiner and was promoted to President and Chief Executive Officer and elected to the Board of Directors. In connection with such promotion, his annual base salary was further increased to $1 million, effective upon this promotion, and his target annual cash incentive was increased to 135% of his base salary in effect for the year. Please see “Named Executives’ 2016 Compensation Program and Results — Annual Cash Incentive” for more information about the calculation of Mr. Fish’s annual cash incentive payment for 2016. Additionally, on November 11, 2016, the Company granted Mr. Fish an award of 15,625 RSUs under the Company’s 2014 Stock Incentive Plan, with each RSU to convert to one share of Common Stock upon vesting. One-third of the RSUs granted to Mr. Fish vest on each of the first, second and third anniversaries of the date of grant.</w:t>
      </w:r>
    </w:p>
    <w:p>
      <w:pPr>
        <w:spacing w:after="0" w:line="8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When establishing compensation increases in connection with Mr. Fish’s promotions in 2016, the MD&amp;C Committee considered the responsibilities of the position, the compensation level of his predecessor and the competitive analysis prepared when 2016 executive compensation was established. In particular, the promotional grant of RSUs to Mr. Fish was made in light of his increased responsibilities, in order to encourage and reward long-term performance, and in order to promote retention and increase alignment with stockholders. The MD&amp;C Committee anticipates that grants of RSUs to executives will continue to be made on a limited basis in cases such as a significant promotion and increased responsibilities and to attract new hires, and that RSUs will not be a routine component of executive compensation.</w:t>
      </w:r>
    </w:p>
    <w:p>
      <w:pPr>
        <w:spacing w:after="0" w:line="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Mr. Steiner’s employment agreement, his departure from the Company was treated as termination without cause by the Company and entitled him to certain payments and benefits provided for in his employment agreement. Mr. Steiner’s outstanding PSU awards were prorated as of the last date of his employment, with any payout on such PSUs dependent on actual performance at the end of the applicable performance period. The Company also entered into a separation agreement with Mr. Steiner, setting forth additional terms of his departure from the Company. With respect to Mr. Steiner’s unexercised stock options, the separation agreement provides that Mr. Steiner’s departure from the Company shall be considered “Retirement” pursuant to the terms of the applicable award agreements. For accounting purposes, the Company’s agreement to retirement treatment for Mr. Steiner’s unexercised stock options resulted in a non-cash charge of $9.9 million in the first quarter of 2017. The separation agreement also expanded the post-employment covenants in Mr. Steiner’s employment agreement, including, but not limited to, the inclusion of a release and a “standstill” that were not required by his employment agreement. See “Potential Payments Upon Termination or Change-in-Control — Payments and Obligations Associated with the Departure of Mr. Steiner” for more information.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Executives’ 2016 Compensation Program and Results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Base Salary</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In February 2016, the MD&amp;C Committee approved a three percent increase to the base salaries of named executive officers, consistent with our Company-wide budget and compensation philosophy and driven by competitive market data, internal pay equity considerations and individual performance relative to the executive’s responsibilities and contributions. The table below shows 2015 annual base salary and 2016 annual base salary (effective as of March 27, 2016) for each of our named executive officers.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662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r>
              <w:rPr>
                <w:rFonts w:ascii="Times New Roman" w:cs="Times New Roman" w:eastAsia="Times New Roman" w:hAnsi="Times New Roman"/>
                <w:sz w:val="15"/>
                <w:szCs w:val="15"/>
                <w:color w:val="auto"/>
              </w:rPr>
              <w:t>(1)</w:t>
            </w:r>
          </w:p>
        </w:tc>
        <w:tc>
          <w:tcPr>
            <w:tcW w:w="6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623,150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p>
        </w:tc>
        <w:tc>
          <w:tcPr>
            <w:tcW w:w="6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661,500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681,500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Harris</w:t>
            </w:r>
          </w:p>
        </w:tc>
        <w:tc>
          <w:tcPr>
            <w:tcW w:w="6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613,000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Morris</w:t>
            </w:r>
          </w:p>
        </w:tc>
        <w:tc>
          <w:tcPr>
            <w:tcW w:w="6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597,500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Steiner</w:t>
            </w:r>
          </w:p>
        </w:tc>
        <w:tc>
          <w:tcPr>
            <w:tcW w:w="6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40" w:hanging="452"/>
        <w:spacing w:after="0" w:line="261"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Fish’s base salary was subsequently increased to $700,000 upon his promotion to President and Chief Financial Officer in July 2016 and was further increased to $1 million upon his promotion to President and Chief Executive Officer in November 2016, in each case, effective upon the date of promotion. Please see “How Named Executive Officer Compensation Decisions are Made — Promotion of Mr. Fish and Departure of Mr. Steiner” for additional information.</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Annual Cash Incentive</w:t>
      </w:r>
    </w:p>
    <w:p>
      <w:pPr>
        <w:spacing w:after="0" w:line="133" w:lineRule="exact"/>
        <w:rPr>
          <w:sz w:val="20"/>
          <w:szCs w:val="20"/>
          <w:color w:val="auto"/>
        </w:rPr>
      </w:pPr>
    </w:p>
    <w:p>
      <w:pPr>
        <w:ind w:left="660" w:right="380" w:hanging="206"/>
        <w:spacing w:after="0" w:line="267" w:lineRule="auto"/>
        <w:tabs>
          <w:tab w:leader="none" w:pos="66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Annual cash incentives were dependent on the following equally-weighted performance measures: Income from Operations as a percentage of Revenue, or Income from Operations Margin; Income from Operations, excluding Depreciation and Amortization; and Operating Expense, less depreciation, depletion and amortization, as a percentage of Net Revenue, both less fuel, or Cost Measure.</w:t>
      </w:r>
    </w:p>
    <w:p>
      <w:pPr>
        <w:spacing w:after="0" w:line="78" w:lineRule="exact"/>
        <w:rPr>
          <w:rFonts w:ascii="Times New Roman" w:cs="Times New Roman" w:eastAsia="Times New Roman" w:hAnsi="Times New Roman"/>
          <w:sz w:val="18"/>
          <w:szCs w:val="18"/>
          <w:i w:val="1"/>
          <w:iCs w:val="1"/>
          <w:color w:val="auto"/>
        </w:rPr>
      </w:pPr>
    </w:p>
    <w:p>
      <w:pPr>
        <w:ind w:left="660" w:hanging="206"/>
        <w:spacing w:after="0"/>
        <w:tabs>
          <w:tab w:leader="none" w:pos="66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of the named executives received an annual cash incentive payment in March 2017 for fiscal year 2016 equal to 144.95% of target.</w:t>
      </w:r>
    </w:p>
    <w:p>
      <w:pPr>
        <w:spacing w:after="0" w:line="11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MD&amp;C Committee develops financial performance measures for annual cash incentive awards to drive improvements in business operations, as well as support and fund the long-term strategy of the Company. The MD&amp;C Committee found that the Income from Operations Margin performance measure continues to keep the Company focused on cost control, operational improvements and yield, while the Income from Operations, excluding Depreciation and Amortization, performance measure encourages balanced focus on growth and profitability. Finally, the MD&amp;C Committee maintained the Cost Measure in 2016 and its focus on operating cost control, after successfully driving reductions in operating cost the prior years. When setting threshold, target and maximum performance measure levels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and expected costs. The MD&amp;C Committee believes these financial performance measures support and align with the strategy of the Company and are appropriate indicators of our progress toward the Company’s goals.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details the performance measures set by the MD&amp;C Committee for purposes of the named executive officers’ annual cash incentive for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7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49"/>
        </w:trPr>
        <w:tc>
          <w:tcPr>
            <w:tcW w:w="5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7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r>
      <w:tr>
        <w:trPr>
          <w:trHeight w:val="173"/>
        </w:trPr>
        <w:tc>
          <w:tcPr>
            <w:tcW w:w="5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(60% Payment)</w:t>
            </w:r>
          </w:p>
        </w:tc>
        <w:tc>
          <w:tcPr>
            <w:tcW w:w="17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(100% Payment)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(200% Payment)</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Margin</w:t>
            </w:r>
          </w:p>
        </w:tc>
        <w:tc>
          <w:tcPr>
            <w:tcW w:w="8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16.9%</w:t>
            </w:r>
          </w:p>
        </w:tc>
        <w:tc>
          <w:tcPr>
            <w:tcW w:w="5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Income from Operations excluding Depreciation and Amortization</w:t>
            </w:r>
          </w:p>
        </w:tc>
        <w:tc>
          <w:tcPr>
            <w:tcW w:w="840" w:type="dxa"/>
            <w:vAlign w:val="bottom"/>
          </w:tcPr>
          <w:p>
            <w:pPr>
              <w:spacing w:after="0"/>
              <w:rPr>
                <w:sz w:val="18"/>
                <w:szCs w:val="18"/>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$3.458 billion</w:t>
            </w:r>
          </w:p>
        </w:tc>
        <w:tc>
          <w:tcPr>
            <w:tcW w:w="17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$3.68 billion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$3.902 billion</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Measure</w:t>
            </w:r>
          </w:p>
        </w:tc>
        <w:tc>
          <w:tcPr>
            <w:tcW w:w="194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8"/>
              </w:rPr>
              <w:t>60.3%</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59.5%</w:t>
            </w:r>
          </w:p>
        </w:tc>
      </w:tr>
      <w:tr>
        <w:trPr>
          <w:trHeight w:val="365"/>
        </w:trPr>
        <w:tc>
          <w:tcPr>
            <w:tcW w:w="5140" w:type="dxa"/>
            <w:vAlign w:val="bottom"/>
          </w:tcPr>
          <w:p>
            <w:pPr>
              <w:spacing w:after="0"/>
              <w:rPr>
                <w:sz w:val="24"/>
                <w:szCs w:val="24"/>
                <w:color w:val="auto"/>
              </w:rPr>
            </w:pPr>
          </w:p>
        </w:tc>
        <w:tc>
          <w:tcPr>
            <w:tcW w:w="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9"/>
              </w:rPr>
              <w:t>35</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performance achieved on each of the annual cash incentive performance measures and the payout earned on account of such performance.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0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Income from Operations, excluding</w:t>
            </w: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gridSpan w:val="4"/>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Income from Operations</w:t>
            </w:r>
          </w:p>
        </w:tc>
        <w:tc>
          <w:tcPr>
            <w:tcW w:w="220" w:type="dxa"/>
            <w:vAlign w:val="bottom"/>
          </w:tcPr>
          <w:p>
            <w:pPr>
              <w:spacing w:after="0"/>
              <w:rPr>
                <w:sz w:val="13"/>
                <w:szCs w:val="13"/>
                <w:color w:val="auto"/>
              </w:rPr>
            </w:pPr>
          </w:p>
        </w:tc>
        <w:tc>
          <w:tcPr>
            <w:tcW w:w="3700" w:type="dxa"/>
            <w:vAlign w:val="bottom"/>
            <w:gridSpan w:val="4"/>
          </w:tcPr>
          <w:p>
            <w:pPr>
              <w:jc w:val="center"/>
              <w:ind w:right="1220"/>
              <w:spacing w:after="0" w:line="160" w:lineRule="exact"/>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460" w:type="dxa"/>
            <w:vAlign w:val="bottom"/>
          </w:tcPr>
          <w:p>
            <w:pPr>
              <w:spacing w:after="0"/>
              <w:rPr>
                <w:sz w:val="13"/>
                <w:szCs w:val="13"/>
                <w:color w:val="auto"/>
              </w:rPr>
            </w:pPr>
          </w:p>
        </w:tc>
        <w:tc>
          <w:tcPr>
            <w:tcW w:w="100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Cost Measure</w:t>
            </w: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Margin (weighted 1/3)</w:t>
            </w:r>
          </w:p>
        </w:tc>
        <w:tc>
          <w:tcPr>
            <w:tcW w:w="220" w:type="dxa"/>
            <w:vAlign w:val="bottom"/>
          </w:tcPr>
          <w:p>
            <w:pPr>
              <w:spacing w:after="0"/>
              <w:rPr>
                <w:sz w:val="14"/>
                <w:szCs w:val="14"/>
                <w:color w:val="auto"/>
              </w:rPr>
            </w:pPr>
          </w:p>
        </w:tc>
        <w:tc>
          <w:tcPr>
            <w:tcW w:w="1960" w:type="dxa"/>
            <w:vAlign w:val="bottom"/>
            <w:gridSpan w:val="2"/>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(weighted 1/3)</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 1/3)</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Payout Earned</w:t>
            </w:r>
          </w:p>
        </w:tc>
        <w:tc>
          <w:tcPr>
            <w:tcW w:w="0" w:type="dxa"/>
            <w:vAlign w:val="bottom"/>
          </w:tcPr>
          <w:p>
            <w:pPr>
              <w:spacing w:after="0"/>
              <w:rPr>
                <w:sz w:val="1"/>
                <w:szCs w:val="1"/>
                <w:color w:val="auto"/>
              </w:rPr>
            </w:pPr>
          </w:p>
        </w:tc>
      </w:tr>
      <w:tr>
        <w:trPr>
          <w:trHeight w:val="117"/>
        </w:trPr>
        <w:tc>
          <w:tcPr>
            <w:tcW w:w="74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4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Payout</w:t>
            </w:r>
          </w:p>
        </w:tc>
        <w:tc>
          <w:tcPr>
            <w:tcW w:w="10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60" w:type="dxa"/>
            <w:vAlign w:val="bottom"/>
            <w:tcBorders>
              <w:top w:val="single" w:sz="8" w:color="auto"/>
            </w:tcBorders>
            <w:vMerge w:val="restart"/>
          </w:tcPr>
          <w:p>
            <w:pPr>
              <w:spacing w:after="0"/>
              <w:rPr>
                <w:sz w:val="10"/>
                <w:szCs w:val="10"/>
                <w:color w:val="auto"/>
              </w:rPr>
            </w:pPr>
          </w:p>
        </w:tc>
        <w:tc>
          <w:tcPr>
            <w:tcW w:w="74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Payout</w:t>
            </w:r>
          </w:p>
        </w:tc>
        <w:tc>
          <w:tcPr>
            <w:tcW w:w="1000" w:type="dxa"/>
            <w:vAlign w:val="bottom"/>
          </w:tcPr>
          <w:p>
            <w:pPr>
              <w:spacing w:after="0"/>
              <w:rPr>
                <w:sz w:val="10"/>
                <w:szCs w:val="10"/>
                <w:color w:val="auto"/>
              </w:rPr>
            </w:pPr>
          </w:p>
        </w:tc>
        <w:tc>
          <w:tcPr>
            <w:tcW w:w="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0" w:type="dxa"/>
            <w:vAlign w:val="bottom"/>
            <w:tcBorders>
              <w:top w:val="single" w:sz="8" w:color="auto"/>
            </w:tcBorders>
            <w:vMerge w:val="restart"/>
          </w:tcPr>
          <w:p>
            <w:pPr>
              <w:spacing w:after="0"/>
              <w:rPr>
                <w:sz w:val="10"/>
                <w:szCs w:val="10"/>
                <w:color w:val="auto"/>
              </w:rPr>
            </w:pPr>
          </w:p>
        </w:tc>
        <w:tc>
          <w:tcPr>
            <w:tcW w:w="54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Payout</w:t>
            </w:r>
          </w:p>
        </w:tc>
        <w:tc>
          <w:tcPr>
            <w:tcW w:w="1000" w:type="dxa"/>
            <w:vAlign w:val="bottom"/>
          </w:tcPr>
          <w:p>
            <w:pPr>
              <w:spacing w:after="0"/>
              <w:rPr>
                <w:sz w:val="10"/>
                <w:szCs w:val="10"/>
                <w:color w:val="auto"/>
              </w:rPr>
            </w:pPr>
          </w:p>
        </w:tc>
        <w:tc>
          <w:tcPr>
            <w:tcW w:w="12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(as a percentage</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0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0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0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Target)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17.72%</w:t>
            </w:r>
          </w:p>
        </w:tc>
        <w:tc>
          <w:tcPr>
            <w:tcW w:w="8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136.89%</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3.713 billion</w:t>
            </w:r>
          </w:p>
        </w:tc>
        <w:tc>
          <w:tcPr>
            <w:tcW w:w="8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114.93%</w:t>
            </w:r>
          </w:p>
        </w:tc>
        <w:tc>
          <w:tcPr>
            <w:tcW w:w="146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59.58%</w:t>
            </w:r>
          </w:p>
        </w:tc>
        <w:tc>
          <w:tcPr>
            <w:tcW w:w="1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183.04%</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144.95%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As discussed above, the MD&amp;C Committee has discretion to make adjustments to the performance calculations for unusual or otherwise non-operational matters in line with its policy on calculation adjustments. The calculation of 2016 annual cash incentive performance measures was made on a basis consistent with the Company’s reporting of its 2016 financial results, including exclusion of asset impairments and unusual items. The 2016 cash incentive performance calculations were not otherwise adjusted.</w:t>
      </w:r>
    </w:p>
    <w:p>
      <w:pPr>
        <w:spacing w:after="0" w:line="72"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Target annual cash incentives are a specified percentage of the executives’ base salary. The following table shows each named executive’s target percentage of base salary for 2016 and annual cash incentive for 2016 paid in March 2017.</w:t>
      </w:r>
    </w:p>
    <w:p>
      <w:pPr>
        <w:spacing w:after="0" w:line="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120" w:type="dxa"/>
            <w:vAlign w:val="bottom"/>
            <w:gridSpan w:val="2"/>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w w:val="99"/>
              </w:rPr>
              <w:t>Target Percentage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9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5940" w:type="dxa"/>
            <w:vAlign w:val="bottom"/>
          </w:tcPr>
          <w:p>
            <w:pPr>
              <w:spacing w:after="0"/>
              <w:rPr>
                <w:sz w:val="15"/>
                <w:szCs w:val="15"/>
                <w:color w:val="auto"/>
              </w:rPr>
            </w:pP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of Base Salary</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For 2016</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r>
              <w:rPr>
                <w:rFonts w:ascii="Times New Roman" w:cs="Times New Roman" w:eastAsia="Times New Roman" w:hAnsi="Times New Roman"/>
                <w:sz w:val="15"/>
                <w:szCs w:val="15"/>
                <w:color w:val="auto"/>
              </w:rPr>
              <w:t>(2)</w:t>
            </w:r>
          </w:p>
        </w:tc>
        <w:tc>
          <w:tcPr>
            <w:tcW w:w="59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1,013,304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p>
        </w:tc>
        <w:tc>
          <w:tcPr>
            <w:tcW w:w="806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882,920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Harris</w:t>
            </w:r>
            <w:r>
              <w:rPr>
                <w:rFonts w:ascii="Times New Roman" w:cs="Times New Roman" w:eastAsia="Times New Roman" w:hAnsi="Times New Roman"/>
                <w:sz w:val="15"/>
                <w:szCs w:val="15"/>
                <w:color w:val="auto"/>
              </w:rPr>
              <w:t>(3)</w:t>
            </w:r>
          </w:p>
        </w:tc>
        <w:tc>
          <w:tcPr>
            <w:tcW w:w="80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773,906</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Morris</w:t>
            </w:r>
            <w:r>
              <w:rPr>
                <w:rFonts w:ascii="Times New Roman" w:cs="Times New Roman" w:eastAsia="Times New Roman" w:hAnsi="Times New Roman"/>
                <w:sz w:val="15"/>
                <w:szCs w:val="15"/>
                <w:color w:val="auto"/>
              </w:rPr>
              <w:t>(3)</w:t>
            </w:r>
          </w:p>
        </w:tc>
        <w:tc>
          <w:tcPr>
            <w:tcW w:w="806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754,350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Steiner</w:t>
            </w:r>
            <w:r>
              <w:rPr>
                <w:rFonts w:ascii="Times New Roman" w:cs="Times New Roman" w:eastAsia="Times New Roman" w:hAnsi="Times New Roman"/>
                <w:sz w:val="15"/>
                <w:szCs w:val="15"/>
                <w:color w:val="auto"/>
              </w:rPr>
              <w:t>(4)</w:t>
            </w:r>
          </w:p>
        </w:tc>
        <w:tc>
          <w:tcPr>
            <w:tcW w:w="806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2,133,895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40" w:hanging="452"/>
        <w:spacing w:after="0" w:line="28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increases for 2016 were not implemented until March 27, 2016. The calculations of annual cash incentive payouts, as a percentage of base salary, were made using the named executive’s actual base salary received in 2016.</w:t>
      </w:r>
    </w:p>
    <w:p>
      <w:pPr>
        <w:spacing w:after="0" w:line="67" w:lineRule="exact"/>
        <w:rPr>
          <w:rFonts w:ascii="Times New Roman" w:cs="Times New Roman" w:eastAsia="Times New Roman" w:hAnsi="Times New Roman"/>
          <w:sz w:val="18"/>
          <w:szCs w:val="18"/>
          <w:color w:val="auto"/>
        </w:rPr>
      </w:pPr>
    </w:p>
    <w:p>
      <w:pPr>
        <w:ind w:left="460" w:right="80" w:hanging="452"/>
        <w:spacing w:after="0" w:line="258"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Mr. Fish’s promotion to President and Chief Executive Officer in November 2016, his target percentage of base salary for annual cash incentive payments was increased from 90% to 135%. Mr. Fish’s annual cash incentive payment for 2016 was prorated between his time spent as Executive Vice President and Chief Financial Officer, President and Chief Financial Officer and President and Chief Executive Officer, in each case calculated using the applicable salary and target percentage of base salary for each position. This calculation yielded a 99% target percentage of base salary, which was applied to Mr. Fish’s base salary received in 2016.</w:t>
      </w:r>
    </w:p>
    <w:p>
      <w:pPr>
        <w:spacing w:after="0" w:line="89" w:lineRule="exact"/>
        <w:rPr>
          <w:rFonts w:ascii="Times New Roman" w:cs="Times New Roman" w:eastAsia="Times New Roman" w:hAnsi="Times New Roman"/>
          <w:sz w:val="18"/>
          <w:szCs w:val="18"/>
          <w:color w:val="auto"/>
        </w:rPr>
      </w:pPr>
    </w:p>
    <w:p>
      <w:pPr>
        <w:ind w:left="460" w:right="300" w:hanging="452"/>
        <w:spacing w:after="0" w:line="266"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2016, the target percentage of base salary was increased from 80% to 90% for Messrs. Harris and Morris, yielding an 88% target percentage of base salary for the full year of 2016. These changes were made to better position the executives around the competitive median and to reflect their contributions.</w:t>
      </w:r>
    </w:p>
    <w:p>
      <w:pPr>
        <w:spacing w:after="0" w:line="81" w:lineRule="exact"/>
        <w:rPr>
          <w:rFonts w:ascii="Times New Roman" w:cs="Times New Roman" w:eastAsia="Times New Roman" w:hAnsi="Times New Roman"/>
          <w:sz w:val="18"/>
          <w:szCs w:val="18"/>
          <w:color w:val="auto"/>
        </w:rPr>
      </w:pPr>
    </w:p>
    <w:p>
      <w:pPr>
        <w:ind w:left="460" w:right="40" w:hanging="452"/>
        <w:spacing w:after="0" w:line="28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his employment agreement, Mr. Steiner was entitled to an annual cash incentive payment, payable to the same extent and at the same time payments were made to other senior executives, prorated as of the last day of his employment with the Company.</w:t>
      </w:r>
    </w:p>
    <w:p>
      <w:pPr>
        <w:spacing w:after="0" w:line="50"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Equity Incentives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Our equity awards are designed to hold individuals accountable for long-term decisions by rewarding the success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2016 annual long-term incentive award, the MD&amp;C Committee decided to grant both PSUs comprising 80% of each named executive’s award and stock options comprising 20% of each named executive’s award, consistent with prior years. Payout on half of each named executives’ PSUs granted in 2016 is dependent on cash flow generation. Payout on the remaining half of PSUs granted in 2016 is dependent on total shareholder return relative to the S&amp;P 500. Meanwhile, stock options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encourage focus on increasing the market value of our stock. Before determining the actual number of PSUs and stock options that were granted to each of the named executives in 2016, the MD&amp;C Committee established a target dollar amount for each named executive’s annual total long-term equity incentive award. The values chosen were based primarily on the comparison information for the competitive market and an analysis of the named executives’ responsibility for meeting the Company’s strategic objectives. Target dollar amounts for equity incentive awards will vary from grant date fair values calculated for accounting purposes.</w:t>
      </w:r>
    </w:p>
    <w:p>
      <w:pPr>
        <w:spacing w:after="0" w:line="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Dollar Values of Annual</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Long-Term Equity Incentives</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7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Set by the Committee</w:t>
            </w: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7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Target)</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p>
        </w:tc>
        <w:tc>
          <w:tcPr>
            <w:tcW w:w="7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p>
        </w:tc>
        <w:tc>
          <w:tcPr>
            <w:tcW w:w="7200" w:type="dxa"/>
            <w:vAlign w:val="bottom"/>
            <w:gridSpan w:val="2"/>
          </w:tcPr>
          <w:p>
            <w:pPr>
              <w:ind w:left="70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Harris</w:t>
            </w:r>
          </w:p>
        </w:tc>
        <w:tc>
          <w:tcPr>
            <w:tcW w:w="7200" w:type="dxa"/>
            <w:vAlign w:val="bottom"/>
            <w:gridSpan w:val="2"/>
            <w:shd w:val="clear" w:color="auto" w:fill="CCEEFF"/>
          </w:tcPr>
          <w:p>
            <w:pPr>
              <w:ind w:left="70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Morris</w:t>
            </w:r>
          </w:p>
        </w:tc>
        <w:tc>
          <w:tcPr>
            <w:tcW w:w="7200" w:type="dxa"/>
            <w:vAlign w:val="bottom"/>
            <w:gridSpan w:val="2"/>
          </w:tcPr>
          <w:p>
            <w:pPr>
              <w:ind w:left="70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Steiner</w:t>
            </w:r>
          </w:p>
        </w:tc>
        <w:tc>
          <w:tcPr>
            <w:tcW w:w="7200" w:type="dxa"/>
            <w:vAlign w:val="bottom"/>
            <w:gridSpan w:val="2"/>
            <w:shd w:val="clear" w:color="auto" w:fill="CCEEFF"/>
          </w:tcPr>
          <w:p>
            <w:pPr>
              <w:ind w:left="70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7,250,000</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Share Units</w:t>
      </w:r>
    </w:p>
    <w:p>
      <w:pPr>
        <w:spacing w:after="0" w:line="131" w:lineRule="exact"/>
        <w:rPr>
          <w:sz w:val="20"/>
          <w:szCs w:val="20"/>
          <w:color w:val="auto"/>
        </w:rPr>
      </w:pPr>
    </w:p>
    <w:p>
      <w:pPr>
        <w:ind w:left="660" w:hanging="206"/>
        <w:spacing w:after="0"/>
        <w:tabs>
          <w:tab w:leader="none" w:pos="6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Named executives were granted new PSUs with a three-year performance period ending December 31, 2018.</w:t>
      </w:r>
    </w:p>
    <w:p>
      <w:pPr>
        <w:spacing w:after="0" w:line="130" w:lineRule="exact"/>
        <w:rPr>
          <w:rFonts w:ascii="Times New Roman" w:cs="Times New Roman" w:eastAsia="Times New Roman" w:hAnsi="Times New Roman"/>
          <w:sz w:val="18"/>
          <w:szCs w:val="18"/>
          <w:i w:val="1"/>
          <w:iCs w:val="1"/>
          <w:color w:val="auto"/>
        </w:rPr>
      </w:pPr>
    </w:p>
    <w:p>
      <w:pPr>
        <w:ind w:left="660" w:right="220" w:hanging="206"/>
        <w:spacing w:after="0" w:line="284" w:lineRule="auto"/>
        <w:tabs>
          <w:tab w:leader="none" w:pos="6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Payout on half of each named executive’s PSUs granted in 2016 is dependent on cash flow generation, and payout on the remaining half of PSUs granted in 2016 is dependent on total shareholder return relative to the S&amp;P 500.</w:t>
      </w:r>
    </w:p>
    <w:p>
      <w:pPr>
        <w:spacing w:after="0" w:line="63" w:lineRule="exact"/>
        <w:rPr>
          <w:rFonts w:ascii="Times New Roman" w:cs="Times New Roman" w:eastAsia="Times New Roman" w:hAnsi="Times New Roman"/>
          <w:sz w:val="18"/>
          <w:szCs w:val="18"/>
          <w:i w:val="1"/>
          <w:iCs w:val="1"/>
          <w:color w:val="auto"/>
        </w:rPr>
      </w:pPr>
    </w:p>
    <w:p>
      <w:pPr>
        <w:ind w:left="660" w:right="380" w:hanging="206"/>
        <w:spacing w:after="0" w:line="284" w:lineRule="auto"/>
        <w:tabs>
          <w:tab w:leader="none" w:pos="6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Named executives received a 200% payout in shares of Common Stock with respect to the half of the PSUs granted in 2014 with a performance period ended December 31, 2016 that were dependent on cash flow generation.</w:t>
      </w:r>
    </w:p>
    <w:p>
      <w:pPr>
        <w:spacing w:after="0" w:line="63" w:lineRule="exact"/>
        <w:rPr>
          <w:rFonts w:ascii="Times New Roman" w:cs="Times New Roman" w:eastAsia="Times New Roman" w:hAnsi="Times New Roman"/>
          <w:sz w:val="18"/>
          <w:szCs w:val="18"/>
          <w:i w:val="1"/>
          <w:iCs w:val="1"/>
          <w:color w:val="auto"/>
        </w:rPr>
      </w:pPr>
    </w:p>
    <w:p>
      <w:pPr>
        <w:ind w:left="660" w:right="380" w:hanging="206"/>
        <w:spacing w:after="0" w:line="284" w:lineRule="auto"/>
        <w:tabs>
          <w:tab w:leader="none" w:pos="66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Named executives received a 200% payout in shares of Common Stock with respect to the half of the PSUs granted in 2014 with a performance period ended December 31, 2016 that were subject to total shareholder return relative to the S&amp;P 500.</w:t>
      </w:r>
    </w:p>
    <w:p>
      <w:pPr>
        <w:spacing w:after="0" w:line="5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PSUs Granted in 2016</w:t>
      </w:r>
      <w:r>
        <w:rPr>
          <w:rFonts w:ascii="Times New Roman" w:cs="Times New Roman" w:eastAsia="Times New Roman" w:hAnsi="Times New Roman"/>
          <w:sz w:val="18"/>
          <w:szCs w:val="18"/>
          <w:color w:val="auto"/>
        </w:rPr>
        <w:t>. Performance share units are granted to our named executive officers annually to align compensation with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long-term financial goals and to increase stockholder alignment through stock ownership. Performance share units provide an immediate retention value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PSUs granted, depending on the Company’s three-year performance against pre-established targets.</w:t>
      </w:r>
    </w:p>
    <w:p>
      <w:pPr>
        <w:spacing w:after="0" w:line="74"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MD&amp;C Committee determined the number of PSUs that were granted to each of the named executives in 2016 by taking the targeted dollar amounts established for total long-term equity incentives (set forth in the table above) and multiplying by 80%. Those values were then divided by the average of the high and low price of our Common Stock over the 30 trading days preceding the date of the MD&amp;C Committee meeting at which the grants were approved to determine the number of PSUs granted. The number of PSUs granted in 2016 are shown in the table below.</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808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808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p>
        </w:tc>
        <w:tc>
          <w:tcPr>
            <w:tcW w:w="80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p>
        </w:tc>
        <w:tc>
          <w:tcPr>
            <w:tcW w:w="8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25,926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Harris</w:t>
            </w:r>
          </w:p>
        </w:tc>
        <w:tc>
          <w:tcPr>
            <w:tcW w:w="8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22,222</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Morris</w:t>
            </w:r>
          </w:p>
        </w:tc>
        <w:tc>
          <w:tcPr>
            <w:tcW w:w="8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22,222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Steiner</w:t>
            </w:r>
            <w:r>
              <w:rPr>
                <w:rFonts w:ascii="Times New Roman" w:cs="Times New Roman" w:eastAsia="Times New Roman" w:hAnsi="Times New Roman"/>
                <w:sz w:val="15"/>
                <w:szCs w:val="15"/>
                <w:color w:val="auto"/>
              </w:rPr>
              <w:t>(1)</w:t>
            </w:r>
          </w:p>
        </w:tc>
        <w:tc>
          <w:tcPr>
            <w:tcW w:w="8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107,408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5620" w:right="2820" w:hanging="5612"/>
        <w:spacing w:after="0" w:line="454" w:lineRule="auto"/>
        <w:tabs>
          <w:tab w:leader="none" w:pos="4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Steiner’s outstanding PSUs were subsequently prorated as of his last day of employment with the Company. 37</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7"/>
          <w:szCs w:val="17"/>
          <w:color w:val="auto"/>
        </w:rPr>
        <w:t>Half of each named executive’s PSUs included in the table set forth above are subject to a cash flow generation performance measure; the cash flow generation performance measure requires focus on capital discipline and strengthens alignment with stockholders’ free cash flow expectations. For purposes of these PSUs, we generally define cash flow as cash provided by operating activities, with the following exclusions: capital expenditures for purposes of internal growth; costs associated with labor disruptions; and strategic acquisition, restructuring, and transformation and reorganization costs. The table below shows the required achievement of the cash flow generation performance measure and the corresponding potential payouts under our PSUs granted in 2016.</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6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4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5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6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5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3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5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200" w:type="dxa"/>
            <w:vAlign w:val="bottom"/>
            <w:tcBorders>
              <w:bottom w:val="single" w:sz="8" w:color="CCEEFF"/>
            </w:tcBorders>
          </w:tcPr>
          <w:p>
            <w:pPr>
              <w:spacing w:after="0"/>
              <w:rPr>
                <w:sz w:val="12"/>
                <w:szCs w:val="12"/>
                <w:color w:val="auto"/>
              </w:rPr>
            </w:pPr>
          </w:p>
        </w:tc>
      </w:tr>
      <w:tr>
        <w:trPr>
          <w:trHeight w:val="21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$ 3.934 billion</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$ 4.234 billion</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$ 4.564 billion</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9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remaining half of each named executive’s PSUs are subject to total shareholder return relative to the S&amp;P 500. This measure directly correlates executive compensation with creation of shareholder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PSUs granted in 2016.</w:t>
      </w:r>
    </w:p>
    <w:p>
      <w:pPr>
        <w:spacing w:after="0" w:line="83"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1300" w:type="dxa"/>
            <w:vAlign w:val="bottom"/>
            <w:vMerge w:val="restart"/>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20" w:type="dxa"/>
            <w:vAlign w:val="bottom"/>
            <w:vMerge w:val="restart"/>
          </w:tcPr>
          <w:p>
            <w:pPr>
              <w:spacing w:after="0"/>
              <w:rPr>
                <w:sz w:val="16"/>
                <w:szCs w:val="16"/>
                <w:color w:val="auto"/>
              </w:rPr>
            </w:pPr>
          </w:p>
        </w:tc>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 Return Relative to the S&amp;P 500</w:t>
            </w:r>
          </w:p>
        </w:tc>
        <w:tc>
          <w:tcPr>
            <w:tcW w:w="2340" w:type="dxa"/>
            <w:vAlign w:val="bottom"/>
            <w:gridSpan w:val="3"/>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310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320" w:type="dxa"/>
            <w:vAlign w:val="bottom"/>
            <w:gridSpan w:val="2"/>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gridSpan w:val="4"/>
            <w:shd w:val="clear" w:color="auto" w:fill="CCEEFF"/>
          </w:tcPr>
          <w:p>
            <w:pPr>
              <w:jc w:val="center"/>
              <w:ind w:right="1948"/>
              <w:spacing w:after="0" w:line="196" w:lineRule="exact"/>
              <w:rPr>
                <w:sz w:val="20"/>
                <w:szCs w:val="20"/>
                <w:color w:val="auto"/>
              </w:rPr>
            </w:pPr>
            <w:r>
              <w:rPr>
                <w:rFonts w:ascii="Times New Roman" w:cs="Times New Roman" w:eastAsia="Times New Roman" w:hAnsi="Times New Roman"/>
                <w:sz w:val="18"/>
                <w:szCs w:val="18"/>
                <w:color w:val="auto"/>
                <w:w w:val="99"/>
              </w:rPr>
              <w:t>75</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percentile (Maximum)</w:t>
            </w:r>
          </w:p>
        </w:tc>
        <w:tc>
          <w:tcPr>
            <w:tcW w:w="2260" w:type="dxa"/>
            <w:vAlign w:val="bottom"/>
            <w:gridSpan w:val="2"/>
            <w:shd w:val="clear" w:color="auto" w:fill="CCEEFF"/>
          </w:tcPr>
          <w:p>
            <w:pPr>
              <w:jc w:val="center"/>
              <w:ind w:left="1754"/>
              <w:spacing w:after="0" w:line="196" w:lineRule="exact"/>
              <w:rPr>
                <w:sz w:val="20"/>
                <w:szCs w:val="20"/>
                <w:color w:val="auto"/>
              </w:rPr>
            </w:pPr>
            <w:r>
              <w:rPr>
                <w:rFonts w:ascii="Times New Roman" w:cs="Times New Roman" w:eastAsia="Times New Roman" w:hAnsi="Times New Roman"/>
                <w:sz w:val="18"/>
                <w:szCs w:val="18"/>
                <w:color w:val="auto"/>
                <w:w w:val="99"/>
              </w:rPr>
              <w:t>200%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4"/>
          </w:tcPr>
          <w:p>
            <w:pPr>
              <w:jc w:val="center"/>
              <w:ind w:right="1948"/>
              <w:spacing w:after="0"/>
              <w:rPr>
                <w:sz w:val="20"/>
                <w:szCs w:val="20"/>
                <w:color w:val="auto"/>
              </w:rPr>
            </w:pPr>
            <w:r>
              <w:rPr>
                <w:rFonts w:ascii="Times New Roman" w:cs="Times New Roman" w:eastAsia="Times New Roman" w:hAnsi="Times New Roman"/>
                <w:sz w:val="18"/>
                <w:szCs w:val="18"/>
                <w:color w:val="auto"/>
                <w:w w:val="99"/>
              </w:rPr>
              <w:t>50</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color w:val="auto"/>
                <w:w w:val="99"/>
              </w:rPr>
              <w:t xml:space="preserve"> percentile (Target)</w:t>
            </w:r>
          </w:p>
        </w:tc>
        <w:tc>
          <w:tcPr>
            <w:tcW w:w="2260" w:type="dxa"/>
            <w:vAlign w:val="bottom"/>
            <w:gridSpan w:val="2"/>
          </w:tcPr>
          <w:p>
            <w:pPr>
              <w:jc w:val="center"/>
              <w:ind w:left="1754"/>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4"/>
            <w:shd w:val="clear" w:color="auto" w:fill="CCEEFF"/>
          </w:tcPr>
          <w:p>
            <w:pPr>
              <w:jc w:val="center"/>
              <w:ind w:right="1948"/>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(Threshold)</w:t>
            </w:r>
          </w:p>
        </w:tc>
        <w:tc>
          <w:tcPr>
            <w:tcW w:w="2260" w:type="dxa"/>
            <w:vAlign w:val="bottom"/>
            <w:gridSpan w:val="2"/>
            <w:shd w:val="clear" w:color="auto" w:fill="CCEEFF"/>
          </w:tcPr>
          <w:p>
            <w:pPr>
              <w:jc w:val="center"/>
              <w:ind w:left="1754"/>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If actual performance falls between performance levels for either of the PSU performance measures, then the number of PSUs earned will be interpolated between the two performance levels, rounded to the nearest 0.1%.</w:t>
      </w:r>
    </w:p>
    <w:p>
      <w:pPr>
        <w:spacing w:after="0" w:line="54"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7"/>
          <w:szCs w:val="17"/>
          <w:color w:val="auto"/>
        </w:rPr>
        <w:t>The different performance measure levels are determined based on an analysis of historical performance and current projections and trends. The MD&amp;C Committee uses this analysis and modeling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affecting the Company for 2016 and beyond, including general economic and market conditions and economic indicators for future periods, to ensure that the cash flow targets align with the Company’s long-range strategic plan.</w:t>
      </w:r>
    </w:p>
    <w:p>
      <w:pPr>
        <w:spacing w:after="0" w:line="5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Payout on PSUs for the Performance Period Ended December 31, 2016</w:t>
      </w:r>
      <w:r>
        <w:rPr>
          <w:rFonts w:ascii="Times New Roman" w:cs="Times New Roman" w:eastAsia="Times New Roman" w:hAnsi="Times New Roman"/>
          <w:sz w:val="18"/>
          <w:szCs w:val="18"/>
          <w:color w:val="auto"/>
        </w:rPr>
        <w:t>. Half of the PSUs granted in 2014 with the performance period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2016 were subject to the cash flow generation performance measure, and the remaining half of the PSUs granted in 2014 were subject to total shareholder return relative to the S&amp;P 500. For the three-year performance period ended December 31, 2016, the Company generated cash provided by operating activities of $4.208 billion, exceeding the maximum of $3.922 billion; this performance level yielded a 200% payout in shares of Common Stock that were issued in February 2017. With respect to the PSUs with a three-year performance period ended December 31, 2016 that were subject to total shareholder return relative to the S&amp;P 500, the performance of the Company’s Common Stock on this measure translated into a percentile rank relative to the S&amp;P 500 of 88.81%, resulting in a 200% payout in shares of Common Stock that were issued in February 2017. As discussed above, the MD&amp;C Committee had discretion to make adjustments to the 2016 performance calculations for unusual or otherwise non-operational matters, but in line with the MD&amp;C Committee’s policy on calculation adjustments adopted in 2014, no adjustments were made to the 2016 performance calculations for PSUs.</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240" w:top="455" w:right="3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MD&amp;C Committee believes use of stock options is appropriate to support the growth element of the Company’s strategy.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options made to the named executive officers in the first quarter of 2016 in connection with the annual grant of long-term equity awards was based on the targeted dollar amounts established for total long-term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818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8180" w:type="dxa"/>
            <w:vAlign w:val="bottom"/>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p>
        </w:tc>
        <w:tc>
          <w:tcPr>
            <w:tcW w:w="8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p>
        </w:tc>
        <w:tc>
          <w:tcPr>
            <w:tcW w:w="8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54,517</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Harris</w:t>
            </w:r>
          </w:p>
        </w:tc>
        <w:tc>
          <w:tcPr>
            <w:tcW w:w="8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46,729</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Morris</w:t>
            </w:r>
          </w:p>
        </w:tc>
        <w:tc>
          <w:tcPr>
            <w:tcW w:w="8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46,729</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Steiner</w:t>
            </w:r>
          </w:p>
        </w:tc>
        <w:tc>
          <w:tcPr>
            <w:tcW w:w="8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225,857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stock options will vest in 25% increments on the first two anniversaries of the date of grant and the remaining 50% will vest on the third anniversary. The exercise price of the options granted in 2016 is $56.235, which is the average of the high and low market price of our Common Stock on the date of grant, and the options have a term of ten years. We account for our employee stock options under the fair value method of accounting using a Black-Scholes methodology to measure stock option expense at the date of grant. The fair value of the stock options at the date of grant is amortized to expense over the vesting period less expected forfeitures, except for stock options granted to retirement-eligible employees, for which expense is fully recognized at the time of grant.</w:t>
      </w:r>
    </w:p>
    <w:p>
      <w:pPr>
        <w:spacing w:after="0" w:line="78"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MD&amp;C Committee approved an award of 15,625 RSUs to Mr. Fish upon his promotion to President and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in November 2016. This promotional grant of RSUs to Mr. Fish was made in consideration of his increased responsibilities and the competitive compensation analysis, in order to encourage and reward long-term performance, and in order to promote retention and increase alignment with stockholders. The MD&amp;C Committee anticipates that grants of RSUs to executives will continue to be made on a limited basis in cases such as a significant promotion and increased responsibilities and to attract new hires, and that RSUs will not be a routine component of executive compensation.</w:t>
      </w:r>
    </w:p>
    <w:p>
      <w:pPr>
        <w:spacing w:after="0" w:line="7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One-third of the RSUs granted to Mr. Fish vest on each of the first, second and third anniversaries of the date of grant. Dividends on the RSUs will accrue and be paid in cash upon vesting. The RSUs may not be voted or sold until vested. Unvested RSUs are subject to forfeiture in the event of voluntary or for-cause termination. RSUs will be prorated upon an employee’s retirement or involuntary termination other than for cause, and RSUs immediately vest in the event of an employee’s death or disability.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119"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Stock Ownership Guidelines and Holding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All of our currently serving named executive officers are subject to stock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We instituted 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executives to reach their ownership requirements, the MD&amp;C Committee monitors ownership levels to confirm that executives are making sustained progress toward achievement of their ownership guidelines.</w:t>
      </w:r>
    </w:p>
    <w:p>
      <w:pPr>
        <w:spacing w:after="0" w:line="77"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Additionally, our stock ownership guidelines contain holding requirements. Executives with a title of Senior Vice President or higher, which includes all of our currently serving named executives, must hold 100% of all net shares acquired through the Company’s long-term incentive plans for at least one year, and those individuals must continue to hold 100% of all such net shares until the individual’s ownership guideline requirement is achieved. Designated Vice Presidents must hold 50% of all net shares acquired through the Company’s long-term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incentive plans for at least one year, and those individuals must continue to hold 50% of all such net shares until the individual’s ownership guideline requirement is achieved. Once achieved, the requisite stock ownership level must continue to be retained throughout the executive’s employment with the Company. Our MD&amp;C Committee believes these holding periods discourage executives from taking actions in an effort to gain from short-term or otherwise fleeting increases in the market value of our stock.</w:t>
      </w:r>
    </w:p>
    <w:p>
      <w:pPr>
        <w:spacing w:after="0" w:line="7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MD&amp;C Committee regularly reviews its ownership guidelines to ensure that the appropriate share ownership requirements are in place. Guidelines are expressed as a fixed number of shares and were revised in November 2016 to account for the Company’s recent sustained Common Stock market value. The ownership requirement of Mr. Fish, our President and Chief Executive Officer, was approximately 7.2 times base salary, using his base salary as of December 31, 2016 and an assumed $60 per share stock price. Using the closing price of the Company’s Common Stock on March 15, 2017, the ownership requirement of our President and Chief Executive Officer is approximately 8.9 times his base salary as of December 31, 2016. Shares owned outright, vested RSUs and PSUs that have been deferred, stock equivalents based on holdings in the Company’s 401(k) Retirement Savings Plan and phantom stock held in the Company’s 409A Deferral Plan count toward meeting the targeted ownership requirements. PSUs, RSUs and restricted stock, if any, do not count toward meeting the requirement until they are vested or earned.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outlines the ownership requirements and attainment of those requirements for the currently serving named executive officers.</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36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Attainment as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360" w:type="dxa"/>
            <w:vAlign w:val="bottom"/>
          </w:tcPr>
          <w:p>
            <w:pPr>
              <w:spacing w:after="0"/>
              <w:rPr>
                <w:sz w:val="12"/>
                <w:szCs w:val="12"/>
                <w:color w:val="auto"/>
              </w:rPr>
            </w:pPr>
          </w:p>
        </w:tc>
        <w:tc>
          <w:tcPr>
            <w:tcW w:w="2360" w:type="dxa"/>
            <w:vAlign w:val="bottom"/>
            <w:gridSpan w:val="2"/>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Requirement</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60" w:type="dxa"/>
            <w:vAlign w:val="bottom"/>
            <w:tcBorders>
              <w:bottom w:val="single" w:sz="8" w:color="auto"/>
            </w:tcBorders>
            <w:vMerge w:val="continue"/>
          </w:tcPr>
          <w:p>
            <w:pPr>
              <w:spacing w:after="0"/>
              <w:rPr>
                <w:sz w:val="15"/>
                <w:szCs w:val="15"/>
                <w:color w:val="auto"/>
              </w:rPr>
            </w:pPr>
          </w:p>
        </w:tc>
        <w:tc>
          <w:tcPr>
            <w:tcW w:w="53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15, 2017</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Fish</w:t>
            </w:r>
          </w:p>
        </w:tc>
        <w:tc>
          <w:tcPr>
            <w:tcW w:w="5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120,500</w:t>
            </w:r>
          </w:p>
        </w:tc>
        <w:tc>
          <w:tcPr>
            <w:tcW w:w="1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Trevathan</w:t>
            </w:r>
            <w:r>
              <w:rPr>
                <w:rFonts w:ascii="Times New Roman" w:cs="Times New Roman" w:eastAsia="Times New Roman" w:hAnsi="Times New Roman"/>
                <w:sz w:val="15"/>
                <w:szCs w:val="15"/>
                <w:color w:val="auto"/>
              </w:rPr>
              <w:t>(1)</w:t>
            </w:r>
          </w:p>
        </w:tc>
        <w:tc>
          <w:tcPr>
            <w:tcW w:w="772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31,000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Harris</w:t>
            </w:r>
          </w:p>
        </w:tc>
        <w:tc>
          <w:tcPr>
            <w:tcW w:w="772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18,000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Mr. Morris</w:t>
            </w:r>
          </w:p>
        </w:tc>
        <w:tc>
          <w:tcPr>
            <w:tcW w:w="772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18,000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80" w:hanging="452"/>
        <w:spacing w:after="0" w:line="266"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does not include 170,171 shares that are pledged as security for a loan. The Company has a policy prohibiting pledges of Company securities by executive officers without Board-level approval (which was obtained in the case of Mr. Trevathan) and requiring that such pledged shares are not required to meet the executive’s ownership requirement under the ownership guidelines.</w:t>
      </w:r>
    </w:p>
    <w:p>
      <w:pPr>
        <w:spacing w:after="0" w:line="68"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As discussed under “Director and Officer Stock Ownership,” the MD&amp;C Committee also establishes ownership guidelines for the independent directors and performs regular reviews to ensure all independent directors are in compliance or are showing sustained progress toward achievement of their ownership guideline.</w:t>
      </w:r>
    </w:p>
    <w:p>
      <w:pPr>
        <w:spacing w:after="0" w:line="6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Policy Limiting Severance Benefits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MD&amp;C Committee has approved an Executive Officer Severance Policy that generally provides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not enter into new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w:t>
      </w:r>
    </w:p>
    <w:p>
      <w:pPr>
        <w:spacing w:after="0" w:line="72"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Policy Limiting Death Benefits and Gross-up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adopted a “Policy Limiting Certain Compensation Practices,”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provides that the Company will not enter into new compensation arrangements that would obligate the Company to pay a death benefit or gross-up payment to an executive officer unless such arrangement receives stockholder approval. The policy is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w:t>
      </w:r>
    </w:p>
    <w:p>
      <w:pPr>
        <w:spacing w:after="0" w:line="75" w:lineRule="exact"/>
        <w:rPr>
          <w:sz w:val="20"/>
          <w:szCs w:val="20"/>
          <w:color w:val="auto"/>
        </w:rPr>
      </w:pPr>
    </w:p>
    <w:p>
      <w:pPr>
        <w:ind w:right="240" w:firstLine="456"/>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Insider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maintains an insider trading policy that prohibits directors, executive officers and other “designated insiders”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engaging in most transactions involving the Company’s Common</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Stock during periods, determined by the Company, that those individuals are most likely to be aware of material, non-public information. “Designated insiders” are employees who have been designated as such for purposes of the Company’s insider trading policy because they are likely to have access to material non-public information; this group currently includes approximately 125 employees, primarily in a wide range of financial, accounting and managerial positions. Directors, executive officers and other designated insiders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Further, as noted above, the Company has adopted a policy prohibiting pledges of Company securities by executive officers without Board-level approval and requiring that such pledged shares are not required to meet the executive’s ownership requirement under the ownership guidelines.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60"/>
          </w:cols>
          <w:pgMar w:left="240" w:top="455" w:right="2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w:t>
      </w:r>
      <w:r>
        <w:rPr>
          <w:rFonts w:ascii="Times New Roman" w:cs="Times New Roman" w:eastAsia="Times New Roman" w:hAnsi="Times New Roman"/>
          <w:sz w:val="23"/>
          <w:szCs w:val="23"/>
          <w:b w:val="1"/>
          <w:bCs w:val="1"/>
          <w:color w:val="auto"/>
        </w:rPr>
        <w:t>XECUTIVE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XECUTIVE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ABLES</w:t>
      </w:r>
    </w:p>
    <w:p>
      <w:pPr>
        <w:spacing w:after="0" w:line="229" w:lineRule="exact"/>
        <w:rPr>
          <w:sz w:val="20"/>
          <w:szCs w:val="20"/>
          <w:color w:val="auto"/>
        </w:rPr>
      </w:pPr>
    </w:p>
    <w:p>
      <w:pPr>
        <w:ind w:right="140" w:firstLine="456"/>
        <w:spacing w:after="0" w:line="272" w:lineRule="auto"/>
        <w:rPr>
          <w:sz w:val="20"/>
          <w:szCs w:val="20"/>
          <w:color w:val="auto"/>
        </w:rPr>
      </w:pPr>
      <w:r>
        <w:rPr>
          <w:rFonts w:ascii="Times New Roman" w:cs="Times New Roman" w:eastAsia="Times New Roman" w:hAnsi="Times New Roman"/>
          <w:sz w:val="17"/>
          <w:szCs w:val="17"/>
          <w:color w:val="auto"/>
        </w:rPr>
        <w:t>We are required to present compensation information in the tabular format prescribed by the SEC. This format, including the tables’ column headings, may be different from the way we describe or consider elements and components of compensation internally. The Compensation Discussion and Analysis contains a discussion that should be read in conjunction with these tables to gain a complete understanding of our executive compensation philosophy, programs and decisions. Information pertaining to Mr. Steiner, our former President and Chief Executive Officer, is included in the following tables in accordance with SEC rules, although his employment with the Company ended in November 2016. Mr. Fish was promoted from Executive Vice President and Chief Financial Officer to President and Chief Financial Officer in July 2016, and he was further promoted to President and Chief Executive Officer in November 2016. Mr. Fish remained the Company’s principal financial officer throughout 2016. Please see “Compensation Discussion and Analysis — How Named Executive Officer Compensation Decisions are Made — Promotion of Mr. Fish and Departure of Mr. Steiner” for additional information.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5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88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580" w:type="dxa"/>
            <w:vAlign w:val="bottom"/>
            <w:vMerge w:val="continue"/>
          </w:tcPr>
          <w:p>
            <w:pPr>
              <w:spacing w:after="0"/>
              <w:rPr>
                <w:sz w:val="15"/>
                <w:szCs w:val="15"/>
                <w:color w:val="auto"/>
              </w:rPr>
            </w:pPr>
          </w:p>
        </w:tc>
        <w:tc>
          <w:tcPr>
            <w:tcW w:w="2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(4)</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4"/>
        </w:trPr>
        <w:tc>
          <w:tcPr>
            <w:tcW w:w="4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James C. Fish, Jr.</w:t>
            </w:r>
          </w:p>
        </w:tc>
        <w:tc>
          <w:tcPr>
            <w:tcW w:w="20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580" w:type="dxa"/>
            <w:vAlign w:val="bottom"/>
            <w:tcBorders>
              <w:bottom w:val="single" w:sz="8" w:color="7F7F7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200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840" w:type="dxa"/>
            <w:vAlign w:val="bottom"/>
            <w:tcBorders>
              <w:bottom w:val="single" w:sz="8" w:color="7F7F7F"/>
            </w:tcBorders>
            <w:shd w:val="clear" w:color="auto" w:fill="CCEEFF"/>
          </w:tcPr>
          <w:p>
            <w:pPr>
              <w:spacing w:after="0"/>
              <w:rPr>
                <w:sz w:val="16"/>
                <w:szCs w:val="16"/>
                <w:color w:val="auto"/>
              </w:rPr>
            </w:pPr>
          </w:p>
        </w:tc>
        <w:tc>
          <w:tcPr>
            <w:tcW w:w="110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0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705,996</w:t>
            </w:r>
          </w:p>
        </w:tc>
        <w:tc>
          <w:tcPr>
            <w:tcW w:w="88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3,104,074</w:t>
            </w:r>
          </w:p>
        </w:tc>
        <w:tc>
          <w:tcPr>
            <w:tcW w:w="84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344,002</w:t>
            </w:r>
          </w:p>
        </w:tc>
        <w:tc>
          <w:tcPr>
            <w:tcW w:w="11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1,013,304</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59,482</w:t>
            </w:r>
          </w:p>
        </w:tc>
        <w:tc>
          <w:tcPr>
            <w:tcW w:w="88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5,226,858</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0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631,865</w:t>
            </w:r>
          </w:p>
        </w:tc>
        <w:tc>
          <w:tcPr>
            <w:tcW w:w="88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1,727,621</w:t>
            </w:r>
          </w:p>
        </w:tc>
        <w:tc>
          <w:tcPr>
            <w:tcW w:w="84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334,123</w:t>
            </w:r>
          </w:p>
        </w:tc>
        <w:tc>
          <w:tcPr>
            <w:tcW w:w="11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595,320</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49,060</w:t>
            </w:r>
          </w:p>
        </w:tc>
        <w:tc>
          <w:tcPr>
            <w:tcW w:w="88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3,337,989</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0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552,635</w:t>
            </w:r>
          </w:p>
        </w:tc>
        <w:tc>
          <w:tcPr>
            <w:tcW w:w="8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1,278,954</w:t>
            </w: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295,956</w:t>
            </w:r>
          </w:p>
        </w:tc>
        <w:tc>
          <w:tcPr>
            <w:tcW w:w="11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816,830</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36,319</w:t>
            </w: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2,980,694</w:t>
            </w:r>
          </w:p>
        </w:tc>
        <w:tc>
          <w:tcPr>
            <w:tcW w:w="0" w:type="dxa"/>
            <w:vAlign w:val="bottom"/>
          </w:tcPr>
          <w:p>
            <w:pPr>
              <w:spacing w:after="0"/>
              <w:rPr>
                <w:sz w:val="1"/>
                <w:szCs w:val="1"/>
                <w:color w:val="auto"/>
              </w:rPr>
            </w:pPr>
          </w:p>
        </w:tc>
      </w:tr>
      <w:tr>
        <w:trPr>
          <w:trHeight w:val="117"/>
        </w:trPr>
        <w:tc>
          <w:tcPr>
            <w:tcW w:w="45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James E. Trevathan, Jr.</w:t>
            </w:r>
          </w:p>
        </w:tc>
        <w:tc>
          <w:tcPr>
            <w:tcW w:w="20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580" w:type="dxa"/>
            <w:vAlign w:val="bottom"/>
            <w:tcBorders>
              <w:bottom w:val="single" w:sz="8" w:color="7F7F7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Executive Vice President and Chief Operating Officer</w:t>
            </w:r>
          </w:p>
        </w:tc>
        <w:tc>
          <w:tcPr>
            <w:tcW w:w="200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840" w:type="dxa"/>
            <w:vAlign w:val="bottom"/>
            <w:tcBorders>
              <w:bottom w:val="single" w:sz="8" w:color="7F7F7F"/>
            </w:tcBorders>
            <w:shd w:val="clear" w:color="auto" w:fill="CCEEFF"/>
          </w:tcPr>
          <w:p>
            <w:pPr>
              <w:spacing w:after="0"/>
              <w:rPr>
                <w:sz w:val="16"/>
                <w:szCs w:val="16"/>
                <w:color w:val="auto"/>
              </w:rPr>
            </w:pPr>
          </w:p>
        </w:tc>
        <w:tc>
          <w:tcPr>
            <w:tcW w:w="110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0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676,885</w:t>
            </w:r>
          </w:p>
        </w:tc>
        <w:tc>
          <w:tcPr>
            <w:tcW w:w="88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2,055,089</w:t>
            </w:r>
          </w:p>
        </w:tc>
        <w:tc>
          <w:tcPr>
            <w:tcW w:w="84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344,002</w:t>
            </w:r>
          </w:p>
        </w:tc>
        <w:tc>
          <w:tcPr>
            <w:tcW w:w="11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882,920</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79,740</w:t>
            </w:r>
          </w:p>
        </w:tc>
        <w:tc>
          <w:tcPr>
            <w:tcW w:w="88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4,038,636</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0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678,462</w:t>
            </w:r>
          </w:p>
        </w:tc>
        <w:tc>
          <w:tcPr>
            <w:tcW w:w="88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1,727,621</w:t>
            </w:r>
          </w:p>
        </w:tc>
        <w:tc>
          <w:tcPr>
            <w:tcW w:w="84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334,123</w:t>
            </w:r>
          </w:p>
        </w:tc>
        <w:tc>
          <w:tcPr>
            <w:tcW w:w="11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638,623</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77,368</w:t>
            </w:r>
          </w:p>
        </w:tc>
        <w:tc>
          <w:tcPr>
            <w:tcW w:w="88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3,456,197</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0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621,923</w:t>
            </w:r>
          </w:p>
        </w:tc>
        <w:tc>
          <w:tcPr>
            <w:tcW w:w="8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1,278,954</w:t>
            </w: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295,956</w:t>
            </w:r>
          </w:p>
        </w:tc>
        <w:tc>
          <w:tcPr>
            <w:tcW w:w="11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918,083</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60,961</w:t>
            </w: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3,175,877</w:t>
            </w:r>
          </w:p>
        </w:tc>
        <w:tc>
          <w:tcPr>
            <w:tcW w:w="0" w:type="dxa"/>
            <w:vAlign w:val="bottom"/>
          </w:tcPr>
          <w:p>
            <w:pPr>
              <w:spacing w:after="0"/>
              <w:rPr>
                <w:sz w:val="1"/>
                <w:szCs w:val="1"/>
                <w:color w:val="auto"/>
              </w:rPr>
            </w:pPr>
          </w:p>
        </w:tc>
      </w:tr>
      <w:tr>
        <w:trPr>
          <w:trHeight w:val="117"/>
        </w:trPr>
        <w:tc>
          <w:tcPr>
            <w:tcW w:w="45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Jeff M. Harris</w:t>
            </w:r>
          </w:p>
        </w:tc>
        <w:tc>
          <w:tcPr>
            <w:tcW w:w="20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580" w:type="dxa"/>
            <w:vAlign w:val="bottom"/>
            <w:tcBorders>
              <w:bottom w:val="single" w:sz="8" w:color="7F7F7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Senior Vice President — Operations</w:t>
            </w:r>
          </w:p>
        </w:tc>
        <w:tc>
          <w:tcPr>
            <w:tcW w:w="200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840" w:type="dxa"/>
            <w:vAlign w:val="bottom"/>
            <w:tcBorders>
              <w:bottom w:val="single" w:sz="8" w:color="7F7F7F"/>
            </w:tcBorders>
            <w:shd w:val="clear" w:color="auto" w:fill="CCEEFF"/>
          </w:tcPr>
          <w:p>
            <w:pPr>
              <w:spacing w:after="0"/>
              <w:rPr>
                <w:sz w:val="16"/>
                <w:szCs w:val="16"/>
                <w:color w:val="auto"/>
              </w:rPr>
            </w:pPr>
          </w:p>
        </w:tc>
        <w:tc>
          <w:tcPr>
            <w:tcW w:w="110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0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608,846</w:t>
            </w:r>
          </w:p>
        </w:tc>
        <w:tc>
          <w:tcPr>
            <w:tcW w:w="88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1,761,482</w:t>
            </w:r>
          </w:p>
        </w:tc>
        <w:tc>
          <w:tcPr>
            <w:tcW w:w="84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294,860</w:t>
            </w:r>
          </w:p>
        </w:tc>
        <w:tc>
          <w:tcPr>
            <w:tcW w:w="11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773,906</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54,163</w:t>
            </w:r>
          </w:p>
        </w:tc>
        <w:tc>
          <w:tcPr>
            <w:tcW w:w="88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3,493,257</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0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610,124</w:t>
            </w:r>
          </w:p>
        </w:tc>
        <w:tc>
          <w:tcPr>
            <w:tcW w:w="88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1,442,184</w:t>
            </w:r>
          </w:p>
        </w:tc>
        <w:tc>
          <w:tcPr>
            <w:tcW w:w="84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278,922</w:t>
            </w:r>
          </w:p>
        </w:tc>
        <w:tc>
          <w:tcPr>
            <w:tcW w:w="11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510,496</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62,786</w:t>
            </w:r>
          </w:p>
        </w:tc>
        <w:tc>
          <w:tcPr>
            <w:tcW w:w="88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2,904,512</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0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562,458</w:t>
            </w:r>
          </w:p>
        </w:tc>
        <w:tc>
          <w:tcPr>
            <w:tcW w:w="8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1,023,145</w:t>
            </w: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236,766</w:t>
            </w:r>
          </w:p>
        </w:tc>
        <w:tc>
          <w:tcPr>
            <w:tcW w:w="11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691,457</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32,419</w:t>
            </w: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2,546,245</w:t>
            </w:r>
          </w:p>
        </w:tc>
        <w:tc>
          <w:tcPr>
            <w:tcW w:w="0" w:type="dxa"/>
            <w:vAlign w:val="bottom"/>
          </w:tcPr>
          <w:p>
            <w:pPr>
              <w:spacing w:after="0"/>
              <w:rPr>
                <w:sz w:val="1"/>
                <w:szCs w:val="1"/>
                <w:color w:val="auto"/>
              </w:rPr>
            </w:pPr>
          </w:p>
        </w:tc>
      </w:tr>
      <w:tr>
        <w:trPr>
          <w:trHeight w:val="117"/>
        </w:trPr>
        <w:tc>
          <w:tcPr>
            <w:tcW w:w="45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John J. Morris, Jr.</w:t>
            </w:r>
          </w:p>
        </w:tc>
        <w:tc>
          <w:tcPr>
            <w:tcW w:w="20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580" w:type="dxa"/>
            <w:vAlign w:val="bottom"/>
            <w:tcBorders>
              <w:bottom w:val="single" w:sz="8" w:color="7F7F7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Senior Vice President — Operations</w:t>
            </w:r>
          </w:p>
        </w:tc>
        <w:tc>
          <w:tcPr>
            <w:tcW w:w="200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840" w:type="dxa"/>
            <w:vAlign w:val="bottom"/>
            <w:tcBorders>
              <w:bottom w:val="single" w:sz="8" w:color="7F7F7F"/>
            </w:tcBorders>
            <w:shd w:val="clear" w:color="auto" w:fill="CCEEFF"/>
          </w:tcPr>
          <w:p>
            <w:pPr>
              <w:spacing w:after="0"/>
              <w:rPr>
                <w:sz w:val="16"/>
                <w:szCs w:val="16"/>
                <w:color w:val="auto"/>
              </w:rPr>
            </w:pPr>
          </w:p>
        </w:tc>
        <w:tc>
          <w:tcPr>
            <w:tcW w:w="110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0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593,462</w:t>
            </w:r>
          </w:p>
        </w:tc>
        <w:tc>
          <w:tcPr>
            <w:tcW w:w="88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1,761,482</w:t>
            </w:r>
          </w:p>
        </w:tc>
        <w:tc>
          <w:tcPr>
            <w:tcW w:w="84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294,860</w:t>
            </w:r>
          </w:p>
        </w:tc>
        <w:tc>
          <w:tcPr>
            <w:tcW w:w="11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754,350</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52,630</w:t>
            </w:r>
          </w:p>
        </w:tc>
        <w:tc>
          <w:tcPr>
            <w:tcW w:w="88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3,456,784</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0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586,827</w:t>
            </w:r>
          </w:p>
        </w:tc>
        <w:tc>
          <w:tcPr>
            <w:tcW w:w="88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1,442,184</w:t>
            </w:r>
          </w:p>
        </w:tc>
        <w:tc>
          <w:tcPr>
            <w:tcW w:w="84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278,922</w:t>
            </w:r>
          </w:p>
        </w:tc>
        <w:tc>
          <w:tcPr>
            <w:tcW w:w="11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491,544</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64,356</w:t>
            </w:r>
          </w:p>
        </w:tc>
        <w:tc>
          <w:tcPr>
            <w:tcW w:w="88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2,863,833</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0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509,711</w:t>
            </w:r>
          </w:p>
        </w:tc>
        <w:tc>
          <w:tcPr>
            <w:tcW w:w="8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1,023,145</w:t>
            </w: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236,766</w:t>
            </w:r>
          </w:p>
        </w:tc>
        <w:tc>
          <w:tcPr>
            <w:tcW w:w="11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627,822</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47,315</w:t>
            </w: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2,444,759</w:t>
            </w:r>
          </w:p>
        </w:tc>
        <w:tc>
          <w:tcPr>
            <w:tcW w:w="0" w:type="dxa"/>
            <w:vAlign w:val="bottom"/>
          </w:tcPr>
          <w:p>
            <w:pPr>
              <w:spacing w:after="0"/>
              <w:rPr>
                <w:sz w:val="1"/>
                <w:szCs w:val="1"/>
                <w:color w:val="auto"/>
              </w:rPr>
            </w:pPr>
          </w:p>
        </w:tc>
      </w:tr>
      <w:tr>
        <w:trPr>
          <w:trHeight w:val="117"/>
        </w:trPr>
        <w:tc>
          <w:tcPr>
            <w:tcW w:w="45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David P. Steiner </w:t>
            </w:r>
            <w:r>
              <w:rPr>
                <w:rFonts w:ascii="Times New Roman" w:cs="Times New Roman" w:eastAsia="Times New Roman" w:hAnsi="Times New Roman"/>
                <w:sz w:val="11"/>
                <w:szCs w:val="11"/>
                <w:b w:val="1"/>
                <w:bCs w:val="1"/>
                <w:color w:val="auto"/>
              </w:rPr>
              <w:t>(5)</w:t>
            </w:r>
          </w:p>
        </w:tc>
        <w:tc>
          <w:tcPr>
            <w:tcW w:w="20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580" w:type="dxa"/>
            <w:vAlign w:val="bottom"/>
            <w:tcBorders>
              <w:bottom w:val="single" w:sz="8" w:color="7F7F7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Former President and Chief Executive Officer</w:t>
            </w:r>
          </w:p>
        </w:tc>
        <w:tc>
          <w:tcPr>
            <w:tcW w:w="200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840" w:type="dxa"/>
            <w:vAlign w:val="bottom"/>
            <w:tcBorders>
              <w:bottom w:val="single" w:sz="8" w:color="7F7F7F"/>
            </w:tcBorders>
            <w:shd w:val="clear" w:color="auto" w:fill="CCEEFF"/>
          </w:tcPr>
          <w:p>
            <w:pPr>
              <w:spacing w:after="0"/>
              <w:rPr>
                <w:sz w:val="16"/>
                <w:szCs w:val="16"/>
                <w:color w:val="auto"/>
              </w:rPr>
            </w:pPr>
          </w:p>
        </w:tc>
        <w:tc>
          <w:tcPr>
            <w:tcW w:w="110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88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0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1,091,772</w:t>
            </w:r>
          </w:p>
        </w:tc>
        <w:tc>
          <w:tcPr>
            <w:tcW w:w="88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8,513,964</w:t>
            </w:r>
          </w:p>
        </w:tc>
        <w:tc>
          <w:tcPr>
            <w:tcW w:w="84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1,425,158</w:t>
            </w:r>
          </w:p>
        </w:tc>
        <w:tc>
          <w:tcPr>
            <w:tcW w:w="11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2,133,895</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4,057,875</w:t>
            </w:r>
          </w:p>
        </w:tc>
        <w:tc>
          <w:tcPr>
            <w:tcW w:w="88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17,222,664</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0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1,275,891</w:t>
            </w:r>
          </w:p>
        </w:tc>
        <w:tc>
          <w:tcPr>
            <w:tcW w:w="88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6,760,136</w:t>
            </w:r>
          </w:p>
        </w:tc>
        <w:tc>
          <w:tcPr>
            <w:tcW w:w="84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1,307,441</w:t>
            </w:r>
          </w:p>
        </w:tc>
        <w:tc>
          <w:tcPr>
            <w:tcW w:w="11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1,800,986</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428,921</w:t>
            </w:r>
          </w:p>
        </w:tc>
        <w:tc>
          <w:tcPr>
            <w:tcW w:w="88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11,573,375</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0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1,186,785</w:t>
            </w:r>
          </w:p>
        </w:tc>
        <w:tc>
          <w:tcPr>
            <w:tcW w:w="8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5,328,822</w:t>
            </w:r>
          </w:p>
        </w:tc>
        <w:tc>
          <w:tcPr>
            <w:tcW w:w="8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1,233,147</w:t>
            </w:r>
          </w:p>
        </w:tc>
        <w:tc>
          <w:tcPr>
            <w:tcW w:w="11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2,626,505</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395,597</w:t>
            </w: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10,770,856</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380" w:hanging="332"/>
        <w:spacing w:after="0" w:line="262"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grant date fair value of performance share units granted to all named executives in 2014, 2015 and 2016 and 15,625 restricted stock units granted to Mr. Fish in 2016 with a fair value of $1,048,984. The grant date fair values were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40" w:right="120"/>
        <w:spacing w:after="0" w:line="241" w:lineRule="auto"/>
        <w:rPr>
          <w:sz w:val="20"/>
          <w:szCs w:val="20"/>
          <w:color w:val="auto"/>
        </w:rPr>
      </w:pPr>
      <w:r>
        <w:rPr>
          <w:rFonts w:ascii="Times New Roman" w:cs="Times New Roman" w:eastAsia="Times New Roman" w:hAnsi="Times New Roman"/>
          <w:sz w:val="14"/>
          <w:szCs w:val="14"/>
          <w:color w:val="auto"/>
        </w:rPr>
        <w:t>calculated in accordance with ASC Topic 718, as further described in Note 16 in the Notes to the Consolidated Financial Statements in our 2016 Annual Report on Form 10-K. The grant date fair value of our performance share units subject to total shareholder return relative to the S&amp;P 500 was based on a Monte Carlo valuation, and because total shareholder return is a market condition, projected achievement is embedded in the grant date fair value.</w:t>
      </w:r>
    </w:p>
    <w:p>
      <w:pPr>
        <w:spacing w:after="0" w:line="82" w:lineRule="exact"/>
        <w:rPr>
          <w:sz w:val="20"/>
          <w:szCs w:val="20"/>
          <w:color w:val="auto"/>
        </w:rPr>
      </w:pPr>
    </w:p>
    <w:p>
      <w:pPr>
        <w:ind w:left="340" w:right="200"/>
        <w:spacing w:after="0" w:line="236" w:lineRule="auto"/>
        <w:rPr>
          <w:sz w:val="20"/>
          <w:szCs w:val="20"/>
          <w:color w:val="auto"/>
        </w:rPr>
      </w:pPr>
      <w:r>
        <w:rPr>
          <w:rFonts w:ascii="Times New Roman" w:cs="Times New Roman" w:eastAsia="Times New Roman" w:hAnsi="Times New Roman"/>
          <w:sz w:val="14"/>
          <w:szCs w:val="14"/>
          <w:color w:val="auto"/>
        </w:rPr>
        <w:t>For purposes of calculating the grant date fair value of performance share units subject to the cash flow generation performance measure, we have assumed that the Company will achieve target performance levels. The table below shows (a) the aggregate grant date fair value of performance share units subject to the cash flow generation performance measure assuming target level of performance is achieved (this is the amount included in the Stock Awards column in the Summary Compensation Table) and (b) the aggregate grant date fair value of the same performance share units assuming the Company will reach the highest level of achievement for this performance measure and maximum payouts will be earned.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Grant Date</w:t>
            </w:r>
          </w:p>
        </w:tc>
        <w:tc>
          <w:tcPr>
            <w:tcW w:w="23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Aggregate Grant Date</w:t>
            </w:r>
          </w:p>
        </w:tc>
      </w:tr>
      <w:tr>
        <w:trPr>
          <w:trHeight w:val="149"/>
        </w:trPr>
        <w:tc>
          <w:tcPr>
            <w:tcW w:w="34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Cash</w:t>
            </w: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Cash</w:t>
            </w:r>
          </w:p>
        </w:tc>
      </w:tr>
      <w:tr>
        <w:trPr>
          <w:trHeight w:val="149"/>
        </w:trPr>
        <w:tc>
          <w:tcPr>
            <w:tcW w:w="34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Flow Generation</w:t>
            </w: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Flow Generation</w:t>
            </w:r>
          </w:p>
        </w:tc>
      </w:tr>
      <w:tr>
        <w:trPr>
          <w:trHeight w:val="149"/>
        </w:trPr>
        <w:tc>
          <w:tcPr>
            <w:tcW w:w="34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PSUs,</w:t>
            </w: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PSUs</w:t>
            </w:r>
          </w:p>
        </w:tc>
      </w:tr>
      <w:tr>
        <w:trPr>
          <w:trHeight w:val="149"/>
        </w:trPr>
        <w:tc>
          <w:tcPr>
            <w:tcW w:w="34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Assuming Target</w:t>
            </w: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Assuming Highest</w:t>
            </w:r>
          </w:p>
        </w:tc>
      </w:tr>
      <w:tr>
        <w:trPr>
          <w:trHeight w:val="149"/>
        </w:trPr>
        <w:tc>
          <w:tcPr>
            <w:tcW w:w="34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of Performance</w:t>
            </w: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of Performance</w:t>
            </w:r>
          </w:p>
        </w:tc>
      </w:tr>
      <w:tr>
        <w:trPr>
          <w:trHeight w:val="187"/>
        </w:trPr>
        <w:tc>
          <w:tcPr>
            <w:tcW w:w="3420" w:type="dxa"/>
            <w:vAlign w:val="bottom"/>
          </w:tcPr>
          <w:p>
            <w:pPr>
              <w:spacing w:after="0"/>
              <w:rPr>
                <w:sz w:val="16"/>
                <w:szCs w:val="16"/>
                <w:color w:val="auto"/>
              </w:rPr>
            </w:pPr>
          </w:p>
        </w:tc>
        <w:tc>
          <w:tcPr>
            <w:tcW w:w="330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Achieved ($)</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Achieved ($)</w:t>
            </w:r>
          </w:p>
        </w:tc>
      </w:tr>
      <w:tr>
        <w:trPr>
          <w:trHeight w:val="149"/>
        </w:trPr>
        <w:tc>
          <w:tcPr>
            <w:tcW w:w="3420" w:type="dxa"/>
            <w:vAlign w:val="bottom"/>
            <w:tcBorders>
              <w:bottom w:val="single" w:sz="8" w:color="7F7F7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Mr. Fish</w:t>
            </w:r>
          </w:p>
        </w:tc>
        <w:tc>
          <w:tcPr>
            <w:tcW w:w="3300" w:type="dxa"/>
            <w:vAlign w:val="bottom"/>
            <w:tcBorders>
              <w:bottom w:val="single" w:sz="8" w:color="7F7F7F"/>
            </w:tcBorders>
            <w:shd w:val="clear" w:color="auto" w:fill="CCEEFF"/>
          </w:tcPr>
          <w:p>
            <w:pPr>
              <w:ind w:left="2520"/>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2340" w:type="dxa"/>
            <w:vAlign w:val="bottom"/>
            <w:tcBorders>
              <w:bottom w:val="single" w:sz="8" w:color="7F7F7F"/>
            </w:tcBorders>
            <w:shd w:val="clear" w:color="auto" w:fill="CCEEFF"/>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921,475</w:t>
            </w:r>
          </w:p>
        </w:tc>
        <w:tc>
          <w:tcPr>
            <w:tcW w:w="2360" w:type="dxa"/>
            <w:vAlign w:val="bottom"/>
            <w:tcBorders>
              <w:bottom w:val="single" w:sz="8" w:color="7F7F7F"/>
            </w:tcBorders>
            <w:shd w:val="clear" w:color="auto" w:fill="CCEEFF"/>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1,842,950</w:t>
            </w:r>
          </w:p>
        </w:tc>
      </w:tr>
      <w:tr>
        <w:trPr>
          <w:trHeight w:val="142"/>
        </w:trPr>
        <w:tc>
          <w:tcPr>
            <w:tcW w:w="3420" w:type="dxa"/>
            <w:vAlign w:val="bottom"/>
            <w:tcBorders>
              <w:bottom w:val="single" w:sz="8" w:color="7F7F7F"/>
            </w:tcBorders>
          </w:tcPr>
          <w:p>
            <w:pPr>
              <w:spacing w:after="0"/>
              <w:rPr>
                <w:sz w:val="12"/>
                <w:szCs w:val="12"/>
                <w:color w:val="auto"/>
              </w:rPr>
            </w:pPr>
          </w:p>
        </w:tc>
        <w:tc>
          <w:tcPr>
            <w:tcW w:w="3300" w:type="dxa"/>
            <w:vAlign w:val="bottom"/>
            <w:tcBorders>
              <w:bottom w:val="single" w:sz="8" w:color="7F7F7F"/>
            </w:tcBorders>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340" w:type="dxa"/>
            <w:vAlign w:val="bottom"/>
            <w:tcBorders>
              <w:bottom w:val="single" w:sz="8" w:color="7F7F7F"/>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698,600</w:t>
            </w:r>
          </w:p>
        </w:tc>
        <w:tc>
          <w:tcPr>
            <w:tcW w:w="2360" w:type="dxa"/>
            <w:vAlign w:val="bottom"/>
            <w:tcBorders>
              <w:bottom w:val="single" w:sz="8" w:color="7F7F7F"/>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1,397,200</w:t>
            </w:r>
          </w:p>
        </w:tc>
      </w:tr>
      <w:tr>
        <w:trPr>
          <w:trHeight w:val="142"/>
        </w:trPr>
        <w:tc>
          <w:tcPr>
            <w:tcW w:w="3420" w:type="dxa"/>
            <w:vAlign w:val="bottom"/>
            <w:tcBorders>
              <w:bottom w:val="single" w:sz="8" w:color="auto"/>
            </w:tcBorders>
            <w:shd w:val="clear" w:color="auto" w:fill="CCEEFF"/>
          </w:tcPr>
          <w:p>
            <w:pPr>
              <w:spacing w:after="0"/>
              <w:rPr>
                <w:sz w:val="12"/>
                <w:szCs w:val="12"/>
                <w:color w:val="auto"/>
              </w:rPr>
            </w:pPr>
          </w:p>
        </w:tc>
        <w:tc>
          <w:tcPr>
            <w:tcW w:w="3300" w:type="dxa"/>
            <w:vAlign w:val="bottom"/>
            <w:tcBorders>
              <w:bottom w:val="single" w:sz="8" w:color="auto"/>
            </w:tcBorders>
            <w:shd w:val="clear" w:color="auto" w:fill="CCEEFF"/>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340" w:type="dxa"/>
            <w:vAlign w:val="bottom"/>
            <w:tcBorders>
              <w:bottom w:val="single" w:sz="8" w:color="auto"/>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720,236</w:t>
            </w:r>
          </w:p>
        </w:tc>
        <w:tc>
          <w:tcPr>
            <w:tcW w:w="2360" w:type="dxa"/>
            <w:vAlign w:val="bottom"/>
            <w:tcBorders>
              <w:bottom w:val="single" w:sz="8" w:color="auto"/>
            </w:tcBorders>
            <w:shd w:val="clear" w:color="auto" w:fill="CCEEFF"/>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1,440,472</w:t>
            </w:r>
          </w:p>
        </w:tc>
      </w:tr>
      <w:tr>
        <w:trPr>
          <w:trHeight w:val="142"/>
        </w:trPr>
        <w:tc>
          <w:tcPr>
            <w:tcW w:w="342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Trevathan</w:t>
            </w:r>
          </w:p>
        </w:tc>
        <w:tc>
          <w:tcPr>
            <w:tcW w:w="3300" w:type="dxa"/>
            <w:vAlign w:val="bottom"/>
            <w:tcBorders>
              <w:bottom w:val="single" w:sz="8" w:color="7F7F7F"/>
            </w:tcBorders>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340" w:type="dxa"/>
            <w:vAlign w:val="bottom"/>
            <w:tcBorders>
              <w:bottom w:val="single" w:sz="8" w:color="7F7F7F"/>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921,475</w:t>
            </w:r>
          </w:p>
        </w:tc>
        <w:tc>
          <w:tcPr>
            <w:tcW w:w="2360" w:type="dxa"/>
            <w:vAlign w:val="bottom"/>
            <w:tcBorders>
              <w:bottom w:val="single" w:sz="8" w:color="7F7F7F"/>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1,842,950</w:t>
            </w:r>
          </w:p>
        </w:tc>
      </w:tr>
      <w:tr>
        <w:trPr>
          <w:trHeight w:val="142"/>
        </w:trPr>
        <w:tc>
          <w:tcPr>
            <w:tcW w:w="3420" w:type="dxa"/>
            <w:vAlign w:val="bottom"/>
            <w:tcBorders>
              <w:bottom w:val="single" w:sz="8" w:color="7F7F7F"/>
            </w:tcBorders>
            <w:shd w:val="clear" w:color="auto" w:fill="CCEEFF"/>
          </w:tcPr>
          <w:p>
            <w:pPr>
              <w:spacing w:after="0"/>
              <w:rPr>
                <w:sz w:val="12"/>
                <w:szCs w:val="12"/>
                <w:color w:val="auto"/>
              </w:rPr>
            </w:pPr>
          </w:p>
        </w:tc>
        <w:tc>
          <w:tcPr>
            <w:tcW w:w="3300" w:type="dxa"/>
            <w:vAlign w:val="bottom"/>
            <w:tcBorders>
              <w:bottom w:val="single" w:sz="8" w:color="7F7F7F"/>
            </w:tcBorders>
            <w:shd w:val="clear" w:color="auto" w:fill="CCEEFF"/>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340" w:type="dxa"/>
            <w:vAlign w:val="bottom"/>
            <w:tcBorders>
              <w:bottom w:val="single" w:sz="8" w:color="7F7F7F"/>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698,600</w:t>
            </w:r>
          </w:p>
        </w:tc>
        <w:tc>
          <w:tcPr>
            <w:tcW w:w="2360" w:type="dxa"/>
            <w:vAlign w:val="bottom"/>
            <w:tcBorders>
              <w:bottom w:val="single" w:sz="8" w:color="7F7F7F"/>
            </w:tcBorders>
            <w:shd w:val="clear" w:color="auto" w:fill="CCEEFF"/>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1,397,200</w:t>
            </w:r>
          </w:p>
        </w:tc>
      </w:tr>
      <w:tr>
        <w:trPr>
          <w:trHeight w:val="142"/>
        </w:trPr>
        <w:tc>
          <w:tcPr>
            <w:tcW w:w="342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3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720,236</w:t>
            </w:r>
          </w:p>
        </w:tc>
        <w:tc>
          <w:tcPr>
            <w:tcW w:w="236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1,440,472</w:t>
            </w:r>
          </w:p>
        </w:tc>
      </w:tr>
      <w:tr>
        <w:trPr>
          <w:trHeight w:val="142"/>
        </w:trPr>
        <w:tc>
          <w:tcPr>
            <w:tcW w:w="342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Harris</w:t>
            </w:r>
          </w:p>
        </w:tc>
        <w:tc>
          <w:tcPr>
            <w:tcW w:w="3300" w:type="dxa"/>
            <w:vAlign w:val="bottom"/>
            <w:tcBorders>
              <w:bottom w:val="single" w:sz="8" w:color="7F7F7F"/>
            </w:tcBorders>
            <w:shd w:val="clear" w:color="auto" w:fill="CCEEFF"/>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340" w:type="dxa"/>
            <w:vAlign w:val="bottom"/>
            <w:tcBorders>
              <w:bottom w:val="single" w:sz="8" w:color="7F7F7F"/>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789,825</w:t>
            </w:r>
          </w:p>
        </w:tc>
        <w:tc>
          <w:tcPr>
            <w:tcW w:w="2360" w:type="dxa"/>
            <w:vAlign w:val="bottom"/>
            <w:tcBorders>
              <w:bottom w:val="single" w:sz="8" w:color="7F7F7F"/>
            </w:tcBorders>
            <w:shd w:val="clear" w:color="auto" w:fill="CCEEFF"/>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1,579,650</w:t>
            </w:r>
          </w:p>
        </w:tc>
      </w:tr>
      <w:tr>
        <w:trPr>
          <w:trHeight w:val="142"/>
        </w:trPr>
        <w:tc>
          <w:tcPr>
            <w:tcW w:w="3420" w:type="dxa"/>
            <w:vAlign w:val="bottom"/>
            <w:tcBorders>
              <w:bottom w:val="single" w:sz="8" w:color="7F7F7F"/>
            </w:tcBorders>
          </w:tcPr>
          <w:p>
            <w:pPr>
              <w:spacing w:after="0"/>
              <w:rPr>
                <w:sz w:val="12"/>
                <w:szCs w:val="12"/>
                <w:color w:val="auto"/>
              </w:rPr>
            </w:pPr>
          </w:p>
        </w:tc>
        <w:tc>
          <w:tcPr>
            <w:tcW w:w="3300" w:type="dxa"/>
            <w:vAlign w:val="bottom"/>
            <w:tcBorders>
              <w:bottom w:val="single" w:sz="8" w:color="7F7F7F"/>
            </w:tcBorders>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340" w:type="dxa"/>
            <w:vAlign w:val="bottom"/>
            <w:tcBorders>
              <w:bottom w:val="single" w:sz="8" w:color="7F7F7F"/>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583,177</w:t>
            </w:r>
          </w:p>
        </w:tc>
        <w:tc>
          <w:tcPr>
            <w:tcW w:w="2360" w:type="dxa"/>
            <w:vAlign w:val="bottom"/>
            <w:tcBorders>
              <w:bottom w:val="single" w:sz="8" w:color="7F7F7F"/>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1,166,354</w:t>
            </w:r>
          </w:p>
        </w:tc>
      </w:tr>
      <w:tr>
        <w:trPr>
          <w:trHeight w:val="142"/>
        </w:trPr>
        <w:tc>
          <w:tcPr>
            <w:tcW w:w="3420" w:type="dxa"/>
            <w:vAlign w:val="bottom"/>
            <w:tcBorders>
              <w:bottom w:val="single" w:sz="8" w:color="auto"/>
            </w:tcBorders>
            <w:shd w:val="clear" w:color="auto" w:fill="CCEEFF"/>
          </w:tcPr>
          <w:p>
            <w:pPr>
              <w:spacing w:after="0"/>
              <w:rPr>
                <w:sz w:val="12"/>
                <w:szCs w:val="12"/>
                <w:color w:val="auto"/>
              </w:rPr>
            </w:pPr>
          </w:p>
        </w:tc>
        <w:tc>
          <w:tcPr>
            <w:tcW w:w="3300" w:type="dxa"/>
            <w:vAlign w:val="bottom"/>
            <w:tcBorders>
              <w:bottom w:val="single" w:sz="8" w:color="auto"/>
            </w:tcBorders>
            <w:shd w:val="clear" w:color="auto" w:fill="CCEEFF"/>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340" w:type="dxa"/>
            <w:vAlign w:val="bottom"/>
            <w:tcBorders>
              <w:bottom w:val="single" w:sz="8" w:color="auto"/>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576,178</w:t>
            </w:r>
          </w:p>
        </w:tc>
        <w:tc>
          <w:tcPr>
            <w:tcW w:w="2360" w:type="dxa"/>
            <w:vAlign w:val="bottom"/>
            <w:tcBorders>
              <w:bottom w:val="single" w:sz="8" w:color="auto"/>
            </w:tcBorders>
            <w:shd w:val="clear" w:color="auto" w:fill="CCEEFF"/>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1,152,356</w:t>
            </w:r>
          </w:p>
        </w:tc>
      </w:tr>
      <w:tr>
        <w:trPr>
          <w:trHeight w:val="142"/>
        </w:trPr>
        <w:tc>
          <w:tcPr>
            <w:tcW w:w="342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Morris</w:t>
            </w:r>
          </w:p>
        </w:tc>
        <w:tc>
          <w:tcPr>
            <w:tcW w:w="3300" w:type="dxa"/>
            <w:vAlign w:val="bottom"/>
            <w:tcBorders>
              <w:bottom w:val="single" w:sz="8" w:color="7F7F7F"/>
            </w:tcBorders>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340" w:type="dxa"/>
            <w:vAlign w:val="bottom"/>
            <w:tcBorders>
              <w:bottom w:val="single" w:sz="8" w:color="7F7F7F"/>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789,825</w:t>
            </w:r>
          </w:p>
        </w:tc>
        <w:tc>
          <w:tcPr>
            <w:tcW w:w="2360" w:type="dxa"/>
            <w:vAlign w:val="bottom"/>
            <w:tcBorders>
              <w:bottom w:val="single" w:sz="8" w:color="7F7F7F"/>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1,579,650</w:t>
            </w:r>
          </w:p>
        </w:tc>
      </w:tr>
      <w:tr>
        <w:trPr>
          <w:trHeight w:val="142"/>
        </w:trPr>
        <w:tc>
          <w:tcPr>
            <w:tcW w:w="3420" w:type="dxa"/>
            <w:vAlign w:val="bottom"/>
            <w:tcBorders>
              <w:bottom w:val="single" w:sz="8" w:color="7F7F7F"/>
            </w:tcBorders>
            <w:shd w:val="clear" w:color="auto" w:fill="CCEEFF"/>
          </w:tcPr>
          <w:p>
            <w:pPr>
              <w:spacing w:after="0"/>
              <w:rPr>
                <w:sz w:val="12"/>
                <w:szCs w:val="12"/>
                <w:color w:val="auto"/>
              </w:rPr>
            </w:pPr>
          </w:p>
        </w:tc>
        <w:tc>
          <w:tcPr>
            <w:tcW w:w="3300" w:type="dxa"/>
            <w:vAlign w:val="bottom"/>
            <w:tcBorders>
              <w:bottom w:val="single" w:sz="8" w:color="7F7F7F"/>
            </w:tcBorders>
            <w:shd w:val="clear" w:color="auto" w:fill="CCEEFF"/>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340" w:type="dxa"/>
            <w:vAlign w:val="bottom"/>
            <w:tcBorders>
              <w:bottom w:val="single" w:sz="8" w:color="7F7F7F"/>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583,177</w:t>
            </w:r>
          </w:p>
        </w:tc>
        <w:tc>
          <w:tcPr>
            <w:tcW w:w="2360" w:type="dxa"/>
            <w:vAlign w:val="bottom"/>
            <w:tcBorders>
              <w:bottom w:val="single" w:sz="8" w:color="7F7F7F"/>
            </w:tcBorders>
            <w:shd w:val="clear" w:color="auto" w:fill="CCEEFF"/>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1,166,354</w:t>
            </w:r>
          </w:p>
        </w:tc>
      </w:tr>
      <w:tr>
        <w:trPr>
          <w:trHeight w:val="142"/>
        </w:trPr>
        <w:tc>
          <w:tcPr>
            <w:tcW w:w="342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3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576,178</w:t>
            </w:r>
          </w:p>
        </w:tc>
        <w:tc>
          <w:tcPr>
            <w:tcW w:w="236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1,152,356</w:t>
            </w:r>
          </w:p>
        </w:tc>
      </w:tr>
      <w:tr>
        <w:trPr>
          <w:trHeight w:val="142"/>
        </w:trPr>
        <w:tc>
          <w:tcPr>
            <w:tcW w:w="342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Steiner</w:t>
            </w:r>
          </w:p>
        </w:tc>
        <w:tc>
          <w:tcPr>
            <w:tcW w:w="3300" w:type="dxa"/>
            <w:vAlign w:val="bottom"/>
            <w:tcBorders>
              <w:bottom w:val="single" w:sz="8" w:color="7F7F7F"/>
            </w:tcBorders>
            <w:shd w:val="clear" w:color="auto" w:fill="CCEEFF"/>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340" w:type="dxa"/>
            <w:vAlign w:val="bottom"/>
            <w:tcBorders>
              <w:bottom w:val="single" w:sz="8" w:color="7F7F7F"/>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3,817,549</w:t>
            </w:r>
          </w:p>
        </w:tc>
        <w:tc>
          <w:tcPr>
            <w:tcW w:w="2360" w:type="dxa"/>
            <w:vAlign w:val="bottom"/>
            <w:tcBorders>
              <w:bottom w:val="single" w:sz="8" w:color="7F7F7F"/>
            </w:tcBorders>
            <w:shd w:val="clear" w:color="auto" w:fill="CCEEFF"/>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7,635,098</w:t>
            </w:r>
          </w:p>
        </w:tc>
      </w:tr>
      <w:tr>
        <w:trPr>
          <w:trHeight w:val="142"/>
        </w:trPr>
        <w:tc>
          <w:tcPr>
            <w:tcW w:w="3420" w:type="dxa"/>
            <w:vAlign w:val="bottom"/>
            <w:tcBorders>
              <w:bottom w:val="single" w:sz="8" w:color="7F7F7F"/>
            </w:tcBorders>
          </w:tcPr>
          <w:p>
            <w:pPr>
              <w:spacing w:after="0"/>
              <w:rPr>
                <w:sz w:val="12"/>
                <w:szCs w:val="12"/>
                <w:color w:val="auto"/>
              </w:rPr>
            </w:pPr>
          </w:p>
        </w:tc>
        <w:tc>
          <w:tcPr>
            <w:tcW w:w="3300" w:type="dxa"/>
            <w:vAlign w:val="bottom"/>
            <w:tcBorders>
              <w:bottom w:val="single" w:sz="8" w:color="7F7F7F"/>
            </w:tcBorders>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340" w:type="dxa"/>
            <w:vAlign w:val="bottom"/>
            <w:tcBorders>
              <w:bottom w:val="single" w:sz="8" w:color="7F7F7F"/>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2,733,601</w:t>
            </w:r>
          </w:p>
        </w:tc>
        <w:tc>
          <w:tcPr>
            <w:tcW w:w="2360" w:type="dxa"/>
            <w:vAlign w:val="bottom"/>
            <w:tcBorders>
              <w:bottom w:val="single" w:sz="8" w:color="7F7F7F"/>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5,467,202</w:t>
            </w:r>
          </w:p>
        </w:tc>
      </w:tr>
      <w:tr>
        <w:trPr>
          <w:trHeight w:val="142"/>
        </w:trPr>
        <w:tc>
          <w:tcPr>
            <w:tcW w:w="3420" w:type="dxa"/>
            <w:vAlign w:val="bottom"/>
            <w:tcBorders>
              <w:bottom w:val="single" w:sz="8" w:color="auto"/>
            </w:tcBorders>
            <w:shd w:val="clear" w:color="auto" w:fill="CCEEFF"/>
          </w:tcPr>
          <w:p>
            <w:pPr>
              <w:spacing w:after="0"/>
              <w:rPr>
                <w:sz w:val="12"/>
                <w:szCs w:val="12"/>
                <w:color w:val="auto"/>
              </w:rPr>
            </w:pPr>
          </w:p>
        </w:tc>
        <w:tc>
          <w:tcPr>
            <w:tcW w:w="3300" w:type="dxa"/>
            <w:vAlign w:val="bottom"/>
            <w:tcBorders>
              <w:bottom w:val="single" w:sz="8" w:color="auto"/>
            </w:tcBorders>
            <w:shd w:val="clear" w:color="auto" w:fill="CCEEFF"/>
          </w:tcPr>
          <w:p>
            <w:pPr>
              <w:ind w:left="2520"/>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340" w:type="dxa"/>
            <w:vAlign w:val="bottom"/>
            <w:tcBorders>
              <w:bottom w:val="single" w:sz="8" w:color="auto"/>
            </w:tcBorders>
            <w:shd w:val="clear" w:color="auto" w:fill="CCEEFF"/>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3,000,896</w:t>
            </w:r>
          </w:p>
        </w:tc>
        <w:tc>
          <w:tcPr>
            <w:tcW w:w="2360" w:type="dxa"/>
            <w:vAlign w:val="bottom"/>
            <w:tcBorders>
              <w:bottom w:val="single" w:sz="8" w:color="auto"/>
            </w:tcBorders>
            <w:shd w:val="clear" w:color="auto" w:fill="CCEEFF"/>
          </w:tcPr>
          <w:p>
            <w:pPr>
              <w:jc w:val="right"/>
              <w:ind w:right="428"/>
              <w:spacing w:after="0" w:line="142" w:lineRule="exact"/>
              <w:rPr>
                <w:sz w:val="20"/>
                <w:szCs w:val="20"/>
                <w:color w:val="auto"/>
              </w:rPr>
            </w:pPr>
            <w:r>
              <w:rPr>
                <w:rFonts w:ascii="Times New Roman" w:cs="Times New Roman" w:eastAsia="Times New Roman" w:hAnsi="Times New Roman"/>
                <w:sz w:val="14"/>
                <w:szCs w:val="14"/>
                <w:color w:val="auto"/>
              </w:rPr>
              <w:t>6,001,792</w:t>
            </w:r>
          </w:p>
        </w:tc>
      </w:tr>
    </w:tbl>
    <w:p>
      <w:pPr>
        <w:spacing w:after="0" w:line="99" w:lineRule="exact"/>
        <w:rPr>
          <w:sz w:val="20"/>
          <w:szCs w:val="20"/>
          <w:color w:val="auto"/>
        </w:rPr>
      </w:pPr>
    </w:p>
    <w:p>
      <w:pPr>
        <w:jc w:val="both"/>
        <w:ind w:left="340" w:right="200" w:hanging="332"/>
        <w:spacing w:after="0" w:line="24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the grant date fair value of stock options granted in 2014, 2015 and 2016, in accordance with ASC Topic 718. The grant date fair value of the options was estimated using the Black-Scholes option pricing model. The assumptions made in determining the grant date fair values of options are disclosed in Note 16 in the Notes to the Consolidated Financial Statements in our 2016 Annual Report on Form 10-K.</w:t>
      </w:r>
    </w:p>
    <w:p>
      <w:pPr>
        <w:spacing w:after="0" w:line="82" w:lineRule="exact"/>
        <w:rPr>
          <w:rFonts w:ascii="Times New Roman" w:cs="Times New Roman" w:eastAsia="Times New Roman" w:hAnsi="Times New Roman"/>
          <w:sz w:val="14"/>
          <w:szCs w:val="14"/>
          <w:color w:val="auto"/>
        </w:rPr>
      </w:pPr>
    </w:p>
    <w:p>
      <w:pPr>
        <w:ind w:left="340" w:right="320" w:hanging="332"/>
        <w:spacing w:after="0" w:line="262"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cash incentive awards earned and paid based on the achievement of performance criteria. Please see “Compensation Discussion and Analysis — Named Executive’s 2016 Compensation Program and Results — Annual Cash Incentive” for additional information.</w:t>
      </w:r>
    </w:p>
    <w:p>
      <w:pPr>
        <w:spacing w:after="0" w:line="6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“All Other Compensation” for 2016 are shown below (in dollars):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Personal Use</w:t>
            </w:r>
          </w:p>
        </w:tc>
        <w:tc>
          <w:tcPr>
            <w:tcW w:w="20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401(k) Plan Matching</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Deferral</w:t>
            </w:r>
          </w:p>
        </w:tc>
        <w:tc>
          <w:tcPr>
            <w:tcW w:w="16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2420" w:type="dxa"/>
            <w:vAlign w:val="bottom"/>
          </w:tcPr>
          <w:p>
            <w:pPr>
              <w:jc w:val="right"/>
              <w:ind w:right="268"/>
              <w:spacing w:after="0" w:line="147" w:lineRule="exact"/>
              <w:rPr>
                <w:sz w:val="20"/>
                <w:szCs w:val="20"/>
                <w:color w:val="auto"/>
              </w:rPr>
            </w:pPr>
            <w:r>
              <w:rPr>
                <w:rFonts w:ascii="Times New Roman" w:cs="Times New Roman" w:eastAsia="Times New Roman" w:hAnsi="Times New Roman"/>
                <w:sz w:val="14"/>
                <w:szCs w:val="14"/>
                <w:b w:val="1"/>
                <w:bCs w:val="1"/>
                <w:color w:val="auto"/>
              </w:rPr>
              <w:t>of Company</w:t>
            </w:r>
          </w:p>
        </w:tc>
        <w:tc>
          <w:tcPr>
            <w:tcW w:w="2060" w:type="dxa"/>
            <w:vAlign w:val="bottom"/>
            <w:vMerge w:val="continue"/>
          </w:tcPr>
          <w:p>
            <w:pPr>
              <w:spacing w:after="0"/>
              <w:rPr>
                <w:sz w:val="12"/>
                <w:szCs w:val="12"/>
                <w:color w:val="auto"/>
              </w:rPr>
            </w:pPr>
          </w:p>
        </w:tc>
        <w:tc>
          <w:tcPr>
            <w:tcW w:w="1600" w:type="dxa"/>
            <w:vAlign w:val="bottom"/>
          </w:tcPr>
          <w:p>
            <w:pPr>
              <w:jc w:val="right"/>
              <w:ind w:right="268"/>
              <w:spacing w:after="0" w:line="147" w:lineRule="exact"/>
              <w:rPr>
                <w:sz w:val="20"/>
                <w:szCs w:val="20"/>
                <w:color w:val="auto"/>
              </w:rPr>
            </w:pPr>
            <w:r>
              <w:rPr>
                <w:rFonts w:ascii="Times New Roman" w:cs="Times New Roman" w:eastAsia="Times New Roman" w:hAnsi="Times New Roman"/>
                <w:sz w:val="14"/>
                <w:szCs w:val="14"/>
                <w:b w:val="1"/>
                <w:bCs w:val="1"/>
                <w:color w:val="auto"/>
              </w:rPr>
              <w:t>Plan Matching</w:t>
            </w:r>
          </w:p>
        </w:tc>
        <w:tc>
          <w:tcPr>
            <w:tcW w:w="1640" w:type="dxa"/>
            <w:vAlign w:val="bottom"/>
            <w:vMerge w:val="continue"/>
          </w:tcPr>
          <w:p>
            <w:pPr>
              <w:spacing w:after="0"/>
              <w:rPr>
                <w:sz w:val="12"/>
                <w:szCs w:val="12"/>
                <w:color w:val="auto"/>
              </w:rPr>
            </w:pPr>
          </w:p>
        </w:tc>
        <w:tc>
          <w:tcPr>
            <w:tcW w:w="15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Severance</w:t>
            </w:r>
            <w:r>
              <w:rPr>
                <w:rFonts w:ascii="Times New Roman" w:cs="Times New Roman" w:eastAsia="Times New Roman" w:hAnsi="Times New Roman"/>
                <w:sz w:val="12"/>
                <w:szCs w:val="12"/>
                <w:b w:val="1"/>
                <w:bCs w:val="1"/>
                <w:color w:val="auto"/>
              </w:rPr>
              <w:t>(b)</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2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Aircraft</w:t>
            </w:r>
            <w:r>
              <w:rPr>
                <w:rFonts w:ascii="Times New Roman" w:cs="Times New Roman" w:eastAsia="Times New Roman" w:hAnsi="Times New Roman"/>
                <w:sz w:val="12"/>
                <w:szCs w:val="12"/>
                <w:b w:val="1"/>
                <w:bCs w:val="1"/>
                <w:color w:val="auto"/>
              </w:rPr>
              <w:t>(a)</w:t>
            </w:r>
          </w:p>
        </w:tc>
        <w:tc>
          <w:tcPr>
            <w:tcW w:w="20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6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00" w:type="dxa"/>
            <w:vAlign w:val="bottom"/>
            <w:tcBorders>
              <w:bottom w:val="single" w:sz="8" w:color="7F7F7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Mr. Fish</w:t>
            </w:r>
          </w:p>
        </w:tc>
        <w:tc>
          <w:tcPr>
            <w:tcW w:w="2420" w:type="dxa"/>
            <w:vAlign w:val="bottom"/>
            <w:tcBorders>
              <w:bottom w:val="single" w:sz="8" w:color="7F7F7F"/>
            </w:tcBorders>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bottom w:val="single" w:sz="8" w:color="7F7F7F"/>
            </w:tcBorders>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11,925</w:t>
            </w:r>
          </w:p>
        </w:tc>
        <w:tc>
          <w:tcPr>
            <w:tcW w:w="1600" w:type="dxa"/>
            <w:vAlign w:val="bottom"/>
            <w:tcBorders>
              <w:bottom w:val="single" w:sz="8" w:color="7F7F7F"/>
            </w:tcBorders>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46,268</w:t>
            </w:r>
          </w:p>
        </w:tc>
        <w:tc>
          <w:tcPr>
            <w:tcW w:w="1640" w:type="dxa"/>
            <w:vAlign w:val="bottom"/>
            <w:tcBorders>
              <w:bottom w:val="single" w:sz="8" w:color="7F7F7F"/>
            </w:tcBorders>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1,289</w:t>
            </w:r>
          </w:p>
        </w:tc>
        <w:tc>
          <w:tcPr>
            <w:tcW w:w="1500" w:type="dxa"/>
            <w:vAlign w:val="bottom"/>
            <w:tcBorders>
              <w:bottom w:val="single" w:sz="8" w:color="7F7F7F"/>
            </w:tcBorders>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Trevathan</w:t>
            </w:r>
          </w:p>
        </w:tc>
        <w:tc>
          <w:tcPr>
            <w:tcW w:w="242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16,770</w:t>
            </w:r>
          </w:p>
        </w:tc>
        <w:tc>
          <w:tcPr>
            <w:tcW w:w="206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11,925</w:t>
            </w:r>
          </w:p>
        </w:tc>
        <w:tc>
          <w:tcPr>
            <w:tcW w:w="160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49,687</w:t>
            </w:r>
          </w:p>
        </w:tc>
        <w:tc>
          <w:tcPr>
            <w:tcW w:w="1640" w:type="dxa"/>
            <w:vAlign w:val="bottom"/>
            <w:tcBorders>
              <w:bottom w:val="single" w:sz="8" w:color="7F7F7F"/>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1,358</w:t>
            </w:r>
          </w:p>
        </w:tc>
        <w:tc>
          <w:tcPr>
            <w:tcW w:w="150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Harris</w:t>
            </w:r>
          </w:p>
        </w:tc>
        <w:tc>
          <w:tcPr>
            <w:tcW w:w="2420" w:type="dxa"/>
            <w:vAlign w:val="bottom"/>
            <w:tcBorders>
              <w:bottom w:val="single" w:sz="8" w:color="7F7F7F"/>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bottom w:val="single" w:sz="8" w:color="7F7F7F"/>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11,925</w:t>
            </w:r>
          </w:p>
        </w:tc>
        <w:tc>
          <w:tcPr>
            <w:tcW w:w="1600" w:type="dxa"/>
            <w:vAlign w:val="bottom"/>
            <w:tcBorders>
              <w:bottom w:val="single" w:sz="8" w:color="7F7F7F"/>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41,016</w:t>
            </w:r>
          </w:p>
        </w:tc>
        <w:tc>
          <w:tcPr>
            <w:tcW w:w="1640" w:type="dxa"/>
            <w:vAlign w:val="bottom"/>
            <w:tcBorders>
              <w:bottom w:val="single" w:sz="8" w:color="7F7F7F"/>
            </w:tcBorders>
            <w:shd w:val="clear" w:color="auto" w:fill="CCEEFF"/>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1,222</w:t>
            </w:r>
          </w:p>
        </w:tc>
        <w:tc>
          <w:tcPr>
            <w:tcW w:w="1500" w:type="dxa"/>
            <w:vAlign w:val="bottom"/>
            <w:tcBorders>
              <w:bottom w:val="single" w:sz="8" w:color="7F7F7F"/>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Morris</w:t>
            </w:r>
          </w:p>
        </w:tc>
        <w:tc>
          <w:tcPr>
            <w:tcW w:w="242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11,925</w:t>
            </w:r>
          </w:p>
        </w:tc>
        <w:tc>
          <w:tcPr>
            <w:tcW w:w="1600" w:type="dxa"/>
            <w:vAlign w:val="bottom"/>
            <w:tcBorders>
              <w:bottom w:val="single" w:sz="8" w:color="7F7F7F"/>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39,506</w:t>
            </w:r>
          </w:p>
        </w:tc>
        <w:tc>
          <w:tcPr>
            <w:tcW w:w="1640" w:type="dxa"/>
            <w:vAlign w:val="bottom"/>
            <w:tcBorders>
              <w:bottom w:val="single" w:sz="8" w:color="7F7F7F"/>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1,199</w:t>
            </w:r>
          </w:p>
        </w:tc>
        <w:tc>
          <w:tcPr>
            <w:tcW w:w="1500" w:type="dxa"/>
            <w:vAlign w:val="bottom"/>
            <w:tcBorders>
              <w:bottom w:val="single" w:sz="8" w:color="7F7F7F"/>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Mr. Steiner</w:t>
            </w:r>
          </w:p>
        </w:tc>
        <w:tc>
          <w:tcPr>
            <w:tcW w:w="242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174,272</w:t>
            </w:r>
          </w:p>
        </w:tc>
        <w:tc>
          <w:tcPr>
            <w:tcW w:w="206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11,925</w:t>
            </w:r>
          </w:p>
        </w:tc>
        <w:tc>
          <w:tcPr>
            <w:tcW w:w="160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125,930</w:t>
            </w:r>
          </w:p>
        </w:tc>
        <w:tc>
          <w:tcPr>
            <w:tcW w:w="1640" w:type="dxa"/>
            <w:vAlign w:val="bottom"/>
            <w:tcBorders>
              <w:bottom w:val="single" w:sz="8" w:color="auto"/>
            </w:tcBorders>
            <w:shd w:val="clear" w:color="auto" w:fill="CCEEFF"/>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2,121</w:t>
            </w:r>
          </w:p>
        </w:tc>
        <w:tc>
          <w:tcPr>
            <w:tcW w:w="150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3,743,627</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1140" w:right="60" w:hanging="335"/>
        <w:spacing w:after="0" w:line="241" w:lineRule="auto"/>
        <w:tabs>
          <w:tab w:leader="none" w:pos="11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see “Compensation Discussion and Analysis — Overview of Elements of Our 2016 Compensation Program — Perquisites” for additional information regarding personal use of Company aircraft. We calculated these amounts based on the incremental cost to us, which includes fuel, crew travel expenses, on-board catering, landing fees, trip related hangar/parking costs and other variable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140" w:right="180"/>
        <w:spacing w:after="0" w:line="262" w:lineRule="auto"/>
        <w:rPr>
          <w:sz w:val="20"/>
          <w:szCs w:val="20"/>
          <w:color w:val="auto"/>
        </w:rPr>
      </w:pPr>
      <w:r>
        <w:rPr>
          <w:rFonts w:ascii="Times New Roman" w:cs="Times New Roman" w:eastAsia="Times New Roman" w:hAnsi="Times New Roman"/>
          <w:sz w:val="14"/>
          <w:szCs w:val="14"/>
          <w:color w:val="auto"/>
        </w:rPr>
        <w:t>costs. We own or operate our aircraft primarily for business use; therefore, we do not include the fixed costs associated with the ownership or operation such as pilots’ salaries, purchase costs and non-trip related maintenance.</w:t>
      </w:r>
    </w:p>
    <w:p>
      <w:pPr>
        <w:spacing w:after="0" w:line="67" w:lineRule="exact"/>
        <w:rPr>
          <w:sz w:val="20"/>
          <w:szCs w:val="20"/>
          <w:color w:val="auto"/>
        </w:rPr>
      </w:pPr>
    </w:p>
    <w:p>
      <w:pPr>
        <w:ind w:left="1140" w:right="200" w:hanging="335"/>
        <w:spacing w:after="0" w:line="262" w:lineRule="auto"/>
        <w:tabs>
          <w:tab w:leader="none" w:pos="11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does not include additional cash severance payable in 2017 and 2018 that is contingent on Mr. Steiner’s continuing compliance with post-employment covenants. For more information, please see “Payments and Obligations Associated with the Departure of Mr. Steiner” on page 54.</w:t>
      </w:r>
    </w:p>
    <w:p>
      <w:pPr>
        <w:spacing w:after="0" w:line="6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Mr. Steiner’s departure from the Company in November 2016, his outstanding performance share units were prorated, and any payout on performance share units will depend on the Company’s actual performance at the end of the applicable performance period. The Non-Equity Incentive Plan Compensation paid to Mr. Steiner in 2016 reflects his annual cash incentive earned for 2016, prorated to his last day of employment. The Company’s separation agreement with Mr. Steiner provides that his departure from the Company shall be considered “Retirement” pursuant to the terms of the award agreements governing his unexercised stock options. For accounting purposes, the Company’s agreement to retirement treatment for Mr. Steiner’s unexercised stock options resulted in a non-cash charge of $9.9 million. Because such charge occurred in the first quarter of 2017, it is not included above or in the Grant of Plan Based Awards in 2016 table.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Plan-Based Awards in 2016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3280" w:type="dxa"/>
            <w:vAlign w:val="bottom"/>
            <w:gridSpan w:val="3"/>
            <w:vMerge w:val="restart"/>
          </w:tcPr>
          <w:p>
            <w:pPr>
              <w:jc w:val="center"/>
              <w:ind w:left="792"/>
              <w:spacing w:after="0"/>
              <w:rPr>
                <w:sz w:val="20"/>
                <w:szCs w:val="20"/>
                <w:color w:val="auto"/>
              </w:rPr>
            </w:pPr>
            <w:r>
              <w:rPr>
                <w:rFonts w:ascii="Times New Roman" w:cs="Times New Roman" w:eastAsia="Times New Roman" w:hAnsi="Times New Roman"/>
                <w:sz w:val="13"/>
                <w:szCs w:val="13"/>
                <w:b w:val="1"/>
                <w:bCs w:val="1"/>
                <w:color w:val="auto"/>
                <w:w w:val="96"/>
              </w:rPr>
              <w:t>Estimated Possible Payouts</w:t>
            </w:r>
          </w:p>
        </w:tc>
        <w:tc>
          <w:tcPr>
            <w:tcW w:w="2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Estimated Future Payouts</w:t>
            </w:r>
          </w:p>
        </w:tc>
        <w:tc>
          <w:tcPr>
            <w:tcW w:w="76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3"/>
                <w:szCs w:val="13"/>
                <w:b w:val="1"/>
                <w:bCs w:val="1"/>
                <w:color w:val="auto"/>
              </w:rPr>
              <w:t>Stock</w:t>
            </w:r>
          </w:p>
        </w:tc>
        <w:tc>
          <w:tcPr>
            <w:tcW w:w="78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3"/>
                <w:szCs w:val="13"/>
                <w:b w:val="1"/>
                <w:bCs w:val="1"/>
                <w:color w:val="auto"/>
              </w:rPr>
              <w:t>Option</w:t>
            </w:r>
          </w:p>
        </w:tc>
        <w:tc>
          <w:tcPr>
            <w:tcW w:w="62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Closing</w:t>
            </w:r>
          </w:p>
        </w:tc>
        <w:tc>
          <w:tcPr>
            <w:tcW w:w="78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3"/>
                <w:szCs w:val="13"/>
                <w:b w:val="1"/>
                <w:bCs w:val="1"/>
                <w:color w:val="auto"/>
              </w:rPr>
              <w:t>Grant</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3280" w:type="dxa"/>
            <w:vAlign w:val="bottom"/>
            <w:gridSpan w:val="3"/>
            <w:vMerge w:val="continue"/>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760" w:type="dxa"/>
            <w:vAlign w:val="bottom"/>
            <w:vMerge w:val="restart"/>
          </w:tcPr>
          <w:p>
            <w:pPr>
              <w:jc w:val="right"/>
              <w:ind w:right="36"/>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780" w:type="dxa"/>
            <w:vAlign w:val="bottom"/>
            <w:vMerge w:val="restart"/>
          </w:tcPr>
          <w:p>
            <w:pPr>
              <w:jc w:val="right"/>
              <w:ind w:right="34"/>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620" w:type="dxa"/>
            <w:vAlign w:val="bottom"/>
            <w:vMerge w:val="restart"/>
          </w:tcPr>
          <w:p>
            <w:pPr>
              <w:jc w:val="right"/>
              <w:ind w:right="33"/>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600" w:type="dxa"/>
            <w:vAlign w:val="bottom"/>
            <w:vMerge w:val="restart"/>
          </w:tcPr>
          <w:p>
            <w:pPr>
              <w:jc w:val="right"/>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780" w:type="dxa"/>
            <w:vAlign w:val="bottom"/>
            <w:vMerge w:val="restart"/>
          </w:tcPr>
          <w:p>
            <w:pPr>
              <w:jc w:val="right"/>
              <w:ind w:right="32"/>
              <w:spacing w:after="0" w:line="135" w:lineRule="exact"/>
              <w:rPr>
                <w:sz w:val="20"/>
                <w:szCs w:val="20"/>
                <w:color w:val="auto"/>
              </w:rPr>
            </w:pPr>
            <w:r>
              <w:rPr>
                <w:rFonts w:ascii="Times New Roman" w:cs="Times New Roman" w:eastAsia="Times New Roman" w:hAnsi="Times New Roman"/>
                <w:sz w:val="13"/>
                <w:szCs w:val="13"/>
                <w:b w:val="1"/>
                <w:bCs w:val="1"/>
                <w:color w:val="auto"/>
              </w:rPr>
              <w:t>Date Fair</w:t>
            </w: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Non-Equity</w:t>
            </w: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Under Equity</w:t>
            </w: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vMerge w:val="restart"/>
          </w:tcPr>
          <w:p>
            <w:pPr>
              <w:jc w:val="right"/>
              <w:ind w:right="36"/>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80" w:type="dxa"/>
            <w:vAlign w:val="bottom"/>
            <w:vMerge w:val="restart"/>
          </w:tcPr>
          <w:p>
            <w:pPr>
              <w:jc w:val="right"/>
              <w:ind w:right="34"/>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20" w:type="dxa"/>
            <w:vAlign w:val="bottom"/>
            <w:vMerge w:val="restart"/>
          </w:tcPr>
          <w:p>
            <w:pPr>
              <w:jc w:val="right"/>
              <w:ind w:right="33"/>
              <w:spacing w:after="0" w:line="135" w:lineRule="exact"/>
              <w:rPr>
                <w:sz w:val="20"/>
                <w:szCs w:val="20"/>
                <w:color w:val="auto"/>
              </w:rPr>
            </w:pPr>
            <w:r>
              <w:rPr>
                <w:rFonts w:ascii="Times New Roman" w:cs="Times New Roman" w:eastAsia="Times New Roman" w:hAnsi="Times New Roman"/>
                <w:sz w:val="13"/>
                <w:szCs w:val="13"/>
                <w:b w:val="1"/>
                <w:bCs w:val="1"/>
                <w:color w:val="auto"/>
              </w:rPr>
              <w:t>or Base</w:t>
            </w:r>
          </w:p>
        </w:tc>
        <w:tc>
          <w:tcPr>
            <w:tcW w:w="600" w:type="dxa"/>
            <w:vAlign w:val="bottom"/>
            <w:vMerge w:val="restart"/>
          </w:tcPr>
          <w:p>
            <w:pPr>
              <w:jc w:val="right"/>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Price</w:t>
            </w:r>
          </w:p>
        </w:tc>
        <w:tc>
          <w:tcPr>
            <w:tcW w:w="780" w:type="dxa"/>
            <w:vAlign w:val="bottom"/>
            <w:vMerge w:val="restart"/>
          </w:tcPr>
          <w:p>
            <w:pPr>
              <w:jc w:val="right"/>
              <w:ind w:right="32"/>
              <w:spacing w:after="0" w:line="135"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3280" w:type="dxa"/>
            <w:vAlign w:val="bottom"/>
            <w:gridSpan w:val="3"/>
            <w:vMerge w:val="restart"/>
          </w:tcPr>
          <w:p>
            <w:pPr>
              <w:jc w:val="center"/>
              <w:ind w:left="792"/>
              <w:spacing w:after="0"/>
              <w:rPr>
                <w:sz w:val="20"/>
                <w:szCs w:val="20"/>
                <w:color w:val="auto"/>
              </w:rPr>
            </w:pPr>
            <w:r>
              <w:rPr>
                <w:rFonts w:ascii="Times New Roman" w:cs="Times New Roman" w:eastAsia="Times New Roman" w:hAnsi="Times New Roman"/>
                <w:sz w:val="13"/>
                <w:szCs w:val="13"/>
                <w:b w:val="1"/>
                <w:bCs w:val="1"/>
                <w:color w:val="auto"/>
                <w:w w:val="97"/>
              </w:rPr>
              <w:t>Incentive Plan Awards</w:t>
            </w:r>
            <w:r>
              <w:rPr>
                <w:rFonts w:ascii="Times New Roman" w:cs="Times New Roman" w:eastAsia="Times New Roman" w:hAnsi="Times New Roman"/>
                <w:sz w:val="10"/>
                <w:szCs w:val="10"/>
                <w:b w:val="1"/>
                <w:bCs w:val="1"/>
                <w:color w:val="auto"/>
                <w:w w:val="97"/>
              </w:rPr>
              <w:t>(1)</w:t>
            </w:r>
          </w:p>
        </w:tc>
        <w:tc>
          <w:tcPr>
            <w:tcW w:w="2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Incentive Plan Awards</w:t>
            </w:r>
            <w:r>
              <w:rPr>
                <w:rFonts w:ascii="Times New Roman" w:cs="Times New Roman" w:eastAsia="Times New Roman" w:hAnsi="Times New Roman"/>
                <w:sz w:val="10"/>
                <w:szCs w:val="10"/>
                <w:b w:val="1"/>
                <w:bCs w:val="1"/>
                <w:color w:val="auto"/>
                <w:w w:val="97"/>
              </w:rPr>
              <w:t>(2)</w:t>
            </w:r>
          </w:p>
        </w:tc>
        <w:tc>
          <w:tcPr>
            <w:tcW w:w="7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460" w:type="dxa"/>
            <w:vAlign w:val="bottom"/>
          </w:tcPr>
          <w:p>
            <w:pPr>
              <w:spacing w:after="0"/>
              <w:rPr>
                <w:sz w:val="9"/>
                <w:szCs w:val="9"/>
                <w:color w:val="auto"/>
              </w:rPr>
            </w:pPr>
          </w:p>
        </w:tc>
        <w:tc>
          <w:tcPr>
            <w:tcW w:w="3280" w:type="dxa"/>
            <w:vAlign w:val="bottom"/>
            <w:gridSpan w:val="3"/>
            <w:vMerge w:val="continue"/>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760" w:type="dxa"/>
            <w:vAlign w:val="bottom"/>
            <w:vMerge w:val="restart"/>
          </w:tcPr>
          <w:p>
            <w:pPr>
              <w:jc w:val="right"/>
              <w:ind w:right="36"/>
              <w:spacing w:after="0" w:line="135"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80" w:type="dxa"/>
            <w:vAlign w:val="bottom"/>
            <w:vMerge w:val="restart"/>
          </w:tcPr>
          <w:p>
            <w:pPr>
              <w:jc w:val="right"/>
              <w:ind w:right="34"/>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620" w:type="dxa"/>
            <w:vAlign w:val="bottom"/>
            <w:vMerge w:val="restart"/>
          </w:tcPr>
          <w:p>
            <w:pPr>
              <w:jc w:val="right"/>
              <w:ind w:right="33"/>
              <w:spacing w:after="0" w:line="135" w:lineRule="exact"/>
              <w:rPr>
                <w:sz w:val="20"/>
                <w:szCs w:val="20"/>
                <w:color w:val="auto"/>
              </w:rPr>
            </w:pPr>
            <w:r>
              <w:rPr>
                <w:rFonts w:ascii="Times New Roman" w:cs="Times New Roman" w:eastAsia="Times New Roman" w:hAnsi="Times New Roman"/>
                <w:sz w:val="13"/>
                <w:szCs w:val="13"/>
                <w:b w:val="1"/>
                <w:bCs w:val="1"/>
                <w:color w:val="auto"/>
              </w:rPr>
              <w:t>Price of</w:t>
            </w:r>
          </w:p>
        </w:tc>
        <w:tc>
          <w:tcPr>
            <w:tcW w:w="600" w:type="dxa"/>
            <w:vAlign w:val="bottom"/>
            <w:vMerge w:val="restart"/>
          </w:tcPr>
          <w:p>
            <w:pPr>
              <w:jc w:val="right"/>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on</w:t>
            </w:r>
          </w:p>
        </w:tc>
        <w:tc>
          <w:tcPr>
            <w:tcW w:w="780" w:type="dxa"/>
            <w:vAlign w:val="bottom"/>
            <w:vMerge w:val="restart"/>
          </w:tcPr>
          <w:p>
            <w:pPr>
              <w:jc w:val="right"/>
              <w:ind w:right="32"/>
              <w:spacing w:after="0" w:line="135" w:lineRule="exact"/>
              <w:rPr>
                <w:sz w:val="20"/>
                <w:szCs w:val="20"/>
                <w:color w:val="auto"/>
              </w:rPr>
            </w:pPr>
            <w:r>
              <w:rPr>
                <w:rFonts w:ascii="Times New Roman" w:cs="Times New Roman" w:eastAsia="Times New Roman" w:hAnsi="Times New Roman"/>
                <w:sz w:val="13"/>
                <w:szCs w:val="13"/>
                <w:b w:val="1"/>
                <w:bCs w:val="1"/>
                <w:color w:val="auto"/>
              </w:rPr>
              <w:t>Stock and</w:t>
            </w:r>
          </w:p>
        </w:tc>
        <w:tc>
          <w:tcPr>
            <w:tcW w:w="0" w:type="dxa"/>
            <w:vAlign w:val="bottom"/>
          </w:tcPr>
          <w:p>
            <w:pPr>
              <w:spacing w:after="0"/>
              <w:rPr>
                <w:sz w:val="1"/>
                <w:szCs w:val="1"/>
                <w:color w:val="auto"/>
              </w:rPr>
            </w:pPr>
          </w:p>
        </w:tc>
      </w:tr>
      <w:tr>
        <w:trPr>
          <w:trHeight w:val="30"/>
        </w:trPr>
        <w:tc>
          <w:tcPr>
            <w:tcW w:w="2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jc w:val="right"/>
              <w:ind w:right="36"/>
              <w:spacing w:after="0" w:line="135" w:lineRule="exact"/>
              <w:rPr>
                <w:sz w:val="20"/>
                <w:szCs w:val="20"/>
                <w:color w:val="auto"/>
              </w:rPr>
            </w:pPr>
            <w:r>
              <w:rPr>
                <w:rFonts w:ascii="Times New Roman" w:cs="Times New Roman" w:eastAsia="Times New Roman" w:hAnsi="Times New Roman"/>
                <w:sz w:val="13"/>
                <w:szCs w:val="13"/>
                <w:b w:val="1"/>
                <w:bCs w:val="1"/>
                <w:color w:val="auto"/>
              </w:rPr>
              <w:t>Stock</w:t>
            </w:r>
          </w:p>
        </w:tc>
        <w:tc>
          <w:tcPr>
            <w:tcW w:w="780" w:type="dxa"/>
            <w:vAlign w:val="bottom"/>
          </w:tcPr>
          <w:p>
            <w:pPr>
              <w:jc w:val="right"/>
              <w:ind w:right="34"/>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620" w:type="dxa"/>
            <w:vAlign w:val="bottom"/>
          </w:tcPr>
          <w:p>
            <w:pPr>
              <w:jc w:val="right"/>
              <w:ind w:right="33"/>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600" w:type="dxa"/>
            <w:vAlign w:val="bottom"/>
          </w:tcPr>
          <w:p>
            <w:pPr>
              <w:jc w:val="right"/>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Date of</w:t>
            </w:r>
          </w:p>
        </w:tc>
        <w:tc>
          <w:tcPr>
            <w:tcW w:w="780" w:type="dxa"/>
            <w:vAlign w:val="bottom"/>
          </w:tcPr>
          <w:p>
            <w:pPr>
              <w:jc w:val="right"/>
              <w:ind w:right="32"/>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1040" w:type="dxa"/>
            <w:vAlign w:val="bottom"/>
          </w:tcPr>
          <w:p>
            <w:pPr>
              <w:jc w:val="right"/>
              <w:ind w:right="151"/>
              <w:spacing w:after="0" w:line="135" w:lineRule="exact"/>
              <w:rPr>
                <w:sz w:val="20"/>
                <w:szCs w:val="20"/>
                <w:color w:val="auto"/>
              </w:rPr>
            </w:pPr>
            <w:r>
              <w:rPr>
                <w:rFonts w:ascii="Times New Roman" w:cs="Times New Roman" w:eastAsia="Times New Roman" w:hAnsi="Times New Roman"/>
                <w:sz w:val="13"/>
                <w:szCs w:val="13"/>
                <w:b w:val="1"/>
                <w:bCs w:val="1"/>
                <w:color w:val="auto"/>
              </w:rPr>
              <w:t>Target</w:t>
            </w:r>
          </w:p>
        </w:tc>
        <w:tc>
          <w:tcPr>
            <w:tcW w:w="680" w:type="dxa"/>
            <w:vAlign w:val="bottom"/>
          </w:tcPr>
          <w:p>
            <w:pPr>
              <w:jc w:val="right"/>
              <w:ind w:right="11"/>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780" w:type="dxa"/>
            <w:vAlign w:val="bottom"/>
          </w:tcPr>
          <w:p>
            <w:pPr>
              <w:jc w:val="right"/>
              <w:ind w:right="71"/>
              <w:spacing w:after="0" w:line="135" w:lineRule="exact"/>
              <w:rPr>
                <w:sz w:val="20"/>
                <w:szCs w:val="20"/>
                <w:color w:val="auto"/>
              </w:rPr>
            </w:pPr>
            <w:r>
              <w:rPr>
                <w:rFonts w:ascii="Times New Roman" w:cs="Times New Roman" w:eastAsia="Times New Roman" w:hAnsi="Times New Roman"/>
                <w:sz w:val="13"/>
                <w:szCs w:val="13"/>
                <w:b w:val="1"/>
                <w:bCs w:val="1"/>
                <w:color w:val="auto"/>
              </w:rPr>
              <w:t>Target</w:t>
            </w:r>
          </w:p>
        </w:tc>
        <w:tc>
          <w:tcPr>
            <w:tcW w:w="680" w:type="dxa"/>
            <w:vAlign w:val="bottom"/>
          </w:tcPr>
          <w:p>
            <w:pPr>
              <w:jc w:val="right"/>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760" w:type="dxa"/>
            <w:vAlign w:val="bottom"/>
          </w:tcPr>
          <w:p>
            <w:pPr>
              <w:jc w:val="right"/>
              <w:ind w:right="36"/>
              <w:spacing w:after="0" w:line="135" w:lineRule="exact"/>
              <w:rPr>
                <w:sz w:val="20"/>
                <w:szCs w:val="20"/>
                <w:color w:val="auto"/>
              </w:rPr>
            </w:pPr>
            <w:r>
              <w:rPr>
                <w:rFonts w:ascii="Times New Roman" w:cs="Times New Roman" w:eastAsia="Times New Roman" w:hAnsi="Times New Roman"/>
                <w:sz w:val="13"/>
                <w:szCs w:val="13"/>
                <w:b w:val="1"/>
                <w:bCs w:val="1"/>
                <w:color w:val="auto"/>
              </w:rPr>
              <w:t>or Units</w:t>
            </w:r>
          </w:p>
        </w:tc>
        <w:tc>
          <w:tcPr>
            <w:tcW w:w="780" w:type="dxa"/>
            <w:vAlign w:val="bottom"/>
          </w:tcPr>
          <w:p>
            <w:pPr>
              <w:jc w:val="right"/>
              <w:ind w:right="34"/>
              <w:spacing w:after="0" w:line="135" w:lineRule="exact"/>
              <w:rPr>
                <w:sz w:val="20"/>
                <w:szCs w:val="20"/>
                <w:color w:val="auto"/>
              </w:rPr>
            </w:pPr>
            <w:r>
              <w:rPr>
                <w:rFonts w:ascii="Times New Roman" w:cs="Times New Roman" w:eastAsia="Times New Roman" w:hAnsi="Times New Roman"/>
                <w:sz w:val="13"/>
                <w:szCs w:val="13"/>
                <w:b w:val="1"/>
                <w:bCs w:val="1"/>
                <w:color w:val="auto"/>
              </w:rPr>
              <w:t>Options</w:t>
            </w:r>
          </w:p>
        </w:tc>
        <w:tc>
          <w:tcPr>
            <w:tcW w:w="620" w:type="dxa"/>
            <w:vAlign w:val="bottom"/>
          </w:tcPr>
          <w:p>
            <w:pPr>
              <w:jc w:val="right"/>
              <w:ind w:right="33"/>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600" w:type="dxa"/>
            <w:vAlign w:val="bottom"/>
          </w:tcPr>
          <w:p>
            <w:pPr>
              <w:jc w:val="right"/>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780" w:type="dxa"/>
            <w:vAlign w:val="bottom"/>
          </w:tcPr>
          <w:p>
            <w:pPr>
              <w:jc w:val="right"/>
              <w:ind w:right="32"/>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62"/>
        </w:trPr>
        <w:tc>
          <w:tcPr>
            <w:tcW w:w="24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0"/>
                <w:szCs w:val="10"/>
                <w:b w:val="1"/>
                <w:bCs w:val="1"/>
                <w:color w:val="auto"/>
              </w:rPr>
              <w:t>(3)(4)</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0"/>
                <w:szCs w:val="10"/>
                <w:b w:val="1"/>
                <w:bCs w:val="1"/>
                <w:color w:val="auto"/>
              </w:rPr>
              <w:t>(4)(5)</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($/sh)</w:t>
            </w:r>
            <w:r>
              <w:rPr>
                <w:rFonts w:ascii="Times New Roman" w:cs="Times New Roman" w:eastAsia="Times New Roman" w:hAnsi="Times New Roman"/>
                <w:sz w:val="10"/>
                <w:szCs w:val="10"/>
                <w:b w:val="1"/>
                <w:bCs w:val="1"/>
                <w:color w:val="auto"/>
              </w:rPr>
              <w:t>(6)</w:t>
            </w: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0"/>
                <w:szCs w:val="10"/>
                <w:b w:val="1"/>
                <w:bCs w:val="1"/>
                <w:color w:val="auto"/>
              </w:rPr>
              <w:t>(7)</w:t>
            </w:r>
          </w:p>
        </w:tc>
        <w:tc>
          <w:tcPr>
            <w:tcW w:w="0" w:type="dxa"/>
            <w:vAlign w:val="bottom"/>
          </w:tcPr>
          <w:p>
            <w:pPr>
              <w:spacing w:after="0"/>
              <w:rPr>
                <w:sz w:val="1"/>
                <w:szCs w:val="1"/>
                <w:color w:val="auto"/>
              </w:rPr>
            </w:pPr>
          </w:p>
        </w:tc>
      </w:tr>
      <w:tr>
        <w:trPr>
          <w:trHeight w:val="149"/>
        </w:trPr>
        <w:tc>
          <w:tcPr>
            <w:tcW w:w="2460" w:type="dxa"/>
            <w:vAlign w:val="bottom"/>
            <w:tcBorders>
              <w:bottom w:val="single" w:sz="8" w:color="7F7F7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James C. Fish, Jr.</w:t>
            </w:r>
          </w:p>
        </w:tc>
        <w:tc>
          <w:tcPr>
            <w:tcW w:w="1560" w:type="dxa"/>
            <w:vAlign w:val="bottom"/>
            <w:tcBorders>
              <w:bottom w:val="single" w:sz="8" w:color="7F7F7F"/>
            </w:tcBorders>
            <w:shd w:val="clear" w:color="auto" w:fill="CCEEFF"/>
          </w:tcPr>
          <w:p>
            <w:pPr>
              <w:spacing w:after="0"/>
              <w:rPr>
                <w:sz w:val="12"/>
                <w:szCs w:val="12"/>
                <w:color w:val="auto"/>
              </w:rPr>
            </w:pPr>
          </w:p>
        </w:tc>
        <w:tc>
          <w:tcPr>
            <w:tcW w:w="1040" w:type="dxa"/>
            <w:vAlign w:val="bottom"/>
            <w:tcBorders>
              <w:bottom w:val="single" w:sz="8" w:color="7F7F7F"/>
            </w:tcBorders>
            <w:shd w:val="clear" w:color="auto" w:fill="CCEEFF"/>
          </w:tcPr>
          <w:p>
            <w:pPr>
              <w:spacing w:after="0"/>
              <w:rPr>
                <w:sz w:val="12"/>
                <w:szCs w:val="12"/>
                <w:color w:val="auto"/>
              </w:rPr>
            </w:pPr>
          </w:p>
        </w:tc>
        <w:tc>
          <w:tcPr>
            <w:tcW w:w="680" w:type="dxa"/>
            <w:vAlign w:val="bottom"/>
            <w:tcBorders>
              <w:bottom w:val="single" w:sz="8" w:color="7F7F7F"/>
            </w:tcBorders>
            <w:shd w:val="clear" w:color="auto" w:fill="CCEEFF"/>
          </w:tcPr>
          <w:p>
            <w:pPr>
              <w:spacing w:after="0"/>
              <w:rPr>
                <w:sz w:val="12"/>
                <w:szCs w:val="12"/>
                <w:color w:val="auto"/>
              </w:rPr>
            </w:pPr>
          </w:p>
        </w:tc>
        <w:tc>
          <w:tcPr>
            <w:tcW w:w="68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68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620" w:type="dxa"/>
            <w:vAlign w:val="bottom"/>
            <w:tcBorders>
              <w:bottom w:val="single" w:sz="8" w:color="7F7F7F"/>
            </w:tcBorders>
            <w:shd w:val="clear" w:color="auto" w:fill="CCEEFF"/>
          </w:tcPr>
          <w:p>
            <w:pPr>
              <w:spacing w:after="0"/>
              <w:rPr>
                <w:sz w:val="12"/>
                <w:szCs w:val="12"/>
                <w:color w:val="auto"/>
              </w:rPr>
            </w:pPr>
          </w:p>
        </w:tc>
        <w:tc>
          <w:tcPr>
            <w:tcW w:w="60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rPr>
                <w:sz w:val="12"/>
                <w:szCs w:val="12"/>
                <w:color w:val="auto"/>
              </w:rPr>
            </w:pPr>
          </w:p>
        </w:tc>
        <w:tc>
          <w:tcPr>
            <w:tcW w:w="1560" w:type="dxa"/>
            <w:vAlign w:val="bottom"/>
            <w:tcBorders>
              <w:bottom w:val="single" w:sz="8" w:color="7F7F7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419,443</w:t>
            </w:r>
          </w:p>
        </w:tc>
        <w:tc>
          <w:tcPr>
            <w:tcW w:w="1040" w:type="dxa"/>
            <w:vAlign w:val="bottom"/>
            <w:tcBorders>
              <w:bottom w:val="single" w:sz="8" w:color="7F7F7F"/>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rPr>
              <w:t>699,071</w:t>
            </w:r>
          </w:p>
        </w:tc>
        <w:tc>
          <w:tcPr>
            <w:tcW w:w="680" w:type="dxa"/>
            <w:vAlign w:val="bottom"/>
            <w:tcBorders>
              <w:bottom w:val="single" w:sz="8" w:color="7F7F7F"/>
            </w:tcBorders>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rPr>
              <w:t>1,398,142</w:t>
            </w:r>
          </w:p>
        </w:tc>
        <w:tc>
          <w:tcPr>
            <w:tcW w:w="68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tcPr>
          <w:p>
            <w:pPr>
              <w:spacing w:after="0"/>
              <w:rPr>
                <w:sz w:val="12"/>
                <w:szCs w:val="12"/>
                <w:color w:val="auto"/>
              </w:rPr>
            </w:pPr>
          </w:p>
        </w:tc>
        <w:tc>
          <w:tcPr>
            <w:tcW w:w="60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02/26/16</w:t>
            </w:r>
          </w:p>
        </w:tc>
        <w:tc>
          <w:tcPr>
            <w:tcW w:w="1560" w:type="dxa"/>
            <w:vAlign w:val="bottom"/>
            <w:tcBorders>
              <w:bottom w:val="single" w:sz="8" w:color="7F7F7F"/>
            </w:tcBorders>
            <w:shd w:val="clear" w:color="auto" w:fill="CCEEFF"/>
          </w:tcPr>
          <w:p>
            <w:pPr>
              <w:spacing w:after="0"/>
              <w:rPr>
                <w:sz w:val="12"/>
                <w:szCs w:val="12"/>
                <w:color w:val="auto"/>
              </w:rPr>
            </w:pPr>
          </w:p>
        </w:tc>
        <w:tc>
          <w:tcPr>
            <w:tcW w:w="1040" w:type="dxa"/>
            <w:vAlign w:val="bottom"/>
            <w:tcBorders>
              <w:bottom w:val="single" w:sz="8" w:color="7F7F7F"/>
            </w:tcBorders>
            <w:shd w:val="clear" w:color="auto" w:fill="CCEEFF"/>
          </w:tcPr>
          <w:p>
            <w:pPr>
              <w:spacing w:after="0"/>
              <w:rPr>
                <w:sz w:val="12"/>
                <w:szCs w:val="12"/>
                <w:color w:val="auto"/>
              </w:rPr>
            </w:pPr>
          </w:p>
        </w:tc>
        <w:tc>
          <w:tcPr>
            <w:tcW w:w="680" w:type="dxa"/>
            <w:vAlign w:val="bottom"/>
            <w:tcBorders>
              <w:bottom w:val="single" w:sz="8" w:color="7F7F7F"/>
            </w:tcBorders>
            <w:shd w:val="clear" w:color="auto" w:fill="CCEEFF"/>
          </w:tcPr>
          <w:p>
            <w:pPr>
              <w:spacing w:after="0"/>
              <w:rPr>
                <w:sz w:val="12"/>
                <w:szCs w:val="12"/>
                <w:color w:val="auto"/>
              </w:rPr>
            </w:pPr>
          </w:p>
        </w:tc>
        <w:tc>
          <w:tcPr>
            <w:tcW w:w="680" w:type="dxa"/>
            <w:vAlign w:val="bottom"/>
            <w:tcBorders>
              <w:bottom w:val="single" w:sz="8" w:color="7F7F7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15,556</w:t>
            </w:r>
          </w:p>
        </w:tc>
        <w:tc>
          <w:tcPr>
            <w:tcW w:w="78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25,926</w:t>
            </w:r>
          </w:p>
        </w:tc>
        <w:tc>
          <w:tcPr>
            <w:tcW w:w="680" w:type="dxa"/>
            <w:vAlign w:val="bottom"/>
            <w:tcBorders>
              <w:bottom w:val="single" w:sz="8" w:color="7F7F7F"/>
            </w:tcBorders>
            <w:shd w:val="clear" w:color="auto" w:fill="CCEEFF"/>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51,852</w:t>
            </w:r>
          </w:p>
        </w:tc>
        <w:tc>
          <w:tcPr>
            <w:tcW w:w="76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620" w:type="dxa"/>
            <w:vAlign w:val="bottom"/>
            <w:tcBorders>
              <w:bottom w:val="single" w:sz="8" w:color="7F7F7F"/>
            </w:tcBorders>
            <w:shd w:val="clear" w:color="auto" w:fill="CCEEFF"/>
          </w:tcPr>
          <w:p>
            <w:pPr>
              <w:spacing w:after="0"/>
              <w:rPr>
                <w:sz w:val="12"/>
                <w:szCs w:val="12"/>
                <w:color w:val="auto"/>
              </w:rPr>
            </w:pPr>
          </w:p>
        </w:tc>
        <w:tc>
          <w:tcPr>
            <w:tcW w:w="60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2,055,089</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ind w:left="300"/>
              <w:spacing w:after="0" w:line="142" w:lineRule="exact"/>
              <w:rPr>
                <w:sz w:val="20"/>
                <w:szCs w:val="20"/>
                <w:color w:val="auto"/>
              </w:rPr>
            </w:pPr>
            <w:r>
              <w:rPr>
                <w:rFonts w:ascii="Times New Roman" w:cs="Times New Roman" w:eastAsia="Times New Roman" w:hAnsi="Times New Roman"/>
                <w:sz w:val="14"/>
                <w:szCs w:val="14"/>
                <w:color w:val="auto"/>
              </w:rPr>
              <w:t>02/26/16</w:t>
            </w:r>
          </w:p>
        </w:tc>
        <w:tc>
          <w:tcPr>
            <w:tcW w:w="156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54,517</w:t>
            </w:r>
          </w:p>
        </w:tc>
        <w:tc>
          <w:tcPr>
            <w:tcW w:w="620" w:type="dxa"/>
            <w:vAlign w:val="bottom"/>
            <w:tcBorders>
              <w:bottom w:val="single" w:sz="8" w:color="7F7F7F"/>
            </w:tcBorders>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56.235</w:t>
            </w:r>
          </w:p>
        </w:tc>
        <w:tc>
          <w:tcPr>
            <w:tcW w:w="600" w:type="dxa"/>
            <w:vAlign w:val="bottom"/>
            <w:tcBorders>
              <w:bottom w:val="single" w:sz="8" w:color="7F7F7F"/>
            </w:tcBorders>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56.04</w:t>
            </w:r>
          </w:p>
        </w:tc>
        <w:tc>
          <w:tcPr>
            <w:tcW w:w="780" w:type="dxa"/>
            <w:vAlign w:val="bottom"/>
            <w:tcBorders>
              <w:bottom w:val="single" w:sz="8" w:color="7F7F7F"/>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344,002</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11/11/16</w:t>
            </w:r>
          </w:p>
        </w:tc>
        <w:tc>
          <w:tcPr>
            <w:tcW w:w="15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15,625</w:t>
            </w:r>
          </w:p>
        </w:tc>
        <w:tc>
          <w:tcPr>
            <w:tcW w:w="7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1,048,984</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James E. Trevathan, Jr.</w:t>
            </w:r>
          </w:p>
        </w:tc>
        <w:tc>
          <w:tcPr>
            <w:tcW w:w="156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tcPr>
          <w:p>
            <w:pPr>
              <w:spacing w:after="0"/>
              <w:rPr>
                <w:sz w:val="12"/>
                <w:szCs w:val="12"/>
                <w:color w:val="auto"/>
              </w:rPr>
            </w:pPr>
          </w:p>
        </w:tc>
        <w:tc>
          <w:tcPr>
            <w:tcW w:w="60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spacing w:after="0"/>
              <w:rPr>
                <w:sz w:val="12"/>
                <w:szCs w:val="12"/>
                <w:color w:val="auto"/>
              </w:rPr>
            </w:pPr>
          </w:p>
        </w:tc>
        <w:tc>
          <w:tcPr>
            <w:tcW w:w="1560" w:type="dxa"/>
            <w:vAlign w:val="bottom"/>
            <w:tcBorders>
              <w:bottom w:val="single" w:sz="8" w:color="7F7F7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365,472</w:t>
            </w:r>
          </w:p>
        </w:tc>
        <w:tc>
          <w:tcPr>
            <w:tcW w:w="1040" w:type="dxa"/>
            <w:vAlign w:val="bottom"/>
            <w:tcBorders>
              <w:bottom w:val="single" w:sz="8" w:color="7F7F7F"/>
            </w:tcBorders>
            <w:shd w:val="clear" w:color="auto" w:fill="CCEEFF"/>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rPr>
              <w:t>609,120</w:t>
            </w:r>
          </w:p>
        </w:tc>
        <w:tc>
          <w:tcPr>
            <w:tcW w:w="680" w:type="dxa"/>
            <w:vAlign w:val="bottom"/>
            <w:tcBorders>
              <w:bottom w:val="single" w:sz="8" w:color="7F7F7F"/>
            </w:tcBorders>
            <w:shd w:val="clear" w:color="auto" w:fill="CCEEFF"/>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rPr>
              <w:t>1,218,240</w:t>
            </w:r>
          </w:p>
        </w:tc>
        <w:tc>
          <w:tcPr>
            <w:tcW w:w="68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68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620" w:type="dxa"/>
            <w:vAlign w:val="bottom"/>
            <w:tcBorders>
              <w:bottom w:val="single" w:sz="8" w:color="7F7F7F"/>
            </w:tcBorders>
            <w:shd w:val="clear" w:color="auto" w:fill="CCEEFF"/>
          </w:tcPr>
          <w:p>
            <w:pPr>
              <w:spacing w:after="0"/>
              <w:rPr>
                <w:sz w:val="12"/>
                <w:szCs w:val="12"/>
                <w:color w:val="auto"/>
              </w:rPr>
            </w:pPr>
          </w:p>
        </w:tc>
        <w:tc>
          <w:tcPr>
            <w:tcW w:w="60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ind w:left="300"/>
              <w:spacing w:after="0" w:line="142" w:lineRule="exact"/>
              <w:rPr>
                <w:sz w:val="20"/>
                <w:szCs w:val="20"/>
                <w:color w:val="auto"/>
              </w:rPr>
            </w:pPr>
            <w:r>
              <w:rPr>
                <w:rFonts w:ascii="Times New Roman" w:cs="Times New Roman" w:eastAsia="Times New Roman" w:hAnsi="Times New Roman"/>
                <w:sz w:val="14"/>
                <w:szCs w:val="14"/>
                <w:color w:val="auto"/>
              </w:rPr>
              <w:t>02/26/16</w:t>
            </w:r>
          </w:p>
        </w:tc>
        <w:tc>
          <w:tcPr>
            <w:tcW w:w="156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15,556</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25,926</w:t>
            </w:r>
          </w:p>
        </w:tc>
        <w:tc>
          <w:tcPr>
            <w:tcW w:w="680" w:type="dxa"/>
            <w:vAlign w:val="bottom"/>
            <w:tcBorders>
              <w:bottom w:val="single" w:sz="8" w:color="7F7F7F"/>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51,852</w:t>
            </w:r>
          </w:p>
        </w:tc>
        <w:tc>
          <w:tcPr>
            <w:tcW w:w="7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tcPr>
          <w:p>
            <w:pPr>
              <w:spacing w:after="0"/>
              <w:rPr>
                <w:sz w:val="12"/>
                <w:szCs w:val="12"/>
                <w:color w:val="auto"/>
              </w:rPr>
            </w:pPr>
          </w:p>
        </w:tc>
        <w:tc>
          <w:tcPr>
            <w:tcW w:w="60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2,055,089</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02/26/16</w:t>
            </w:r>
          </w:p>
        </w:tc>
        <w:tc>
          <w:tcPr>
            <w:tcW w:w="15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54,517</w:t>
            </w:r>
          </w:p>
        </w:tc>
        <w:tc>
          <w:tcPr>
            <w:tcW w:w="62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56.235</w:t>
            </w:r>
          </w:p>
        </w:tc>
        <w:tc>
          <w:tcPr>
            <w:tcW w:w="60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56.04</w:t>
            </w:r>
          </w:p>
        </w:tc>
        <w:tc>
          <w:tcPr>
            <w:tcW w:w="78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344,002</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Jeff M. Harris</w:t>
            </w:r>
          </w:p>
        </w:tc>
        <w:tc>
          <w:tcPr>
            <w:tcW w:w="156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tcPr>
          <w:p>
            <w:pPr>
              <w:spacing w:after="0"/>
              <w:rPr>
                <w:sz w:val="12"/>
                <w:szCs w:val="12"/>
                <w:color w:val="auto"/>
              </w:rPr>
            </w:pPr>
          </w:p>
        </w:tc>
        <w:tc>
          <w:tcPr>
            <w:tcW w:w="60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spacing w:after="0"/>
              <w:rPr>
                <w:sz w:val="12"/>
                <w:szCs w:val="12"/>
                <w:color w:val="auto"/>
              </w:rPr>
            </w:pPr>
          </w:p>
        </w:tc>
        <w:tc>
          <w:tcPr>
            <w:tcW w:w="1560" w:type="dxa"/>
            <w:vAlign w:val="bottom"/>
            <w:tcBorders>
              <w:bottom w:val="single" w:sz="8" w:color="7F7F7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320,348</w:t>
            </w:r>
          </w:p>
        </w:tc>
        <w:tc>
          <w:tcPr>
            <w:tcW w:w="1040" w:type="dxa"/>
            <w:vAlign w:val="bottom"/>
            <w:tcBorders>
              <w:bottom w:val="single" w:sz="8" w:color="7F7F7F"/>
            </w:tcBorders>
            <w:shd w:val="clear" w:color="auto" w:fill="CCEEFF"/>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rPr>
              <w:t>533,913</w:t>
            </w:r>
          </w:p>
        </w:tc>
        <w:tc>
          <w:tcPr>
            <w:tcW w:w="680" w:type="dxa"/>
            <w:vAlign w:val="bottom"/>
            <w:tcBorders>
              <w:bottom w:val="single" w:sz="8" w:color="7F7F7F"/>
            </w:tcBorders>
            <w:shd w:val="clear" w:color="auto" w:fill="CCEEFF"/>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rPr>
              <w:t>1,067,826</w:t>
            </w:r>
          </w:p>
        </w:tc>
        <w:tc>
          <w:tcPr>
            <w:tcW w:w="68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68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620" w:type="dxa"/>
            <w:vAlign w:val="bottom"/>
            <w:tcBorders>
              <w:bottom w:val="single" w:sz="8" w:color="7F7F7F"/>
            </w:tcBorders>
            <w:shd w:val="clear" w:color="auto" w:fill="CCEEFF"/>
          </w:tcPr>
          <w:p>
            <w:pPr>
              <w:spacing w:after="0"/>
              <w:rPr>
                <w:sz w:val="12"/>
                <w:szCs w:val="12"/>
                <w:color w:val="auto"/>
              </w:rPr>
            </w:pPr>
          </w:p>
        </w:tc>
        <w:tc>
          <w:tcPr>
            <w:tcW w:w="60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ind w:left="300"/>
              <w:spacing w:after="0" w:line="142" w:lineRule="exact"/>
              <w:rPr>
                <w:sz w:val="20"/>
                <w:szCs w:val="20"/>
                <w:color w:val="auto"/>
              </w:rPr>
            </w:pPr>
            <w:r>
              <w:rPr>
                <w:rFonts w:ascii="Times New Roman" w:cs="Times New Roman" w:eastAsia="Times New Roman" w:hAnsi="Times New Roman"/>
                <w:sz w:val="14"/>
                <w:szCs w:val="14"/>
                <w:color w:val="auto"/>
              </w:rPr>
              <w:t>02/26/16</w:t>
            </w:r>
          </w:p>
        </w:tc>
        <w:tc>
          <w:tcPr>
            <w:tcW w:w="156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13,333</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22,222</w:t>
            </w:r>
          </w:p>
        </w:tc>
        <w:tc>
          <w:tcPr>
            <w:tcW w:w="680" w:type="dxa"/>
            <w:vAlign w:val="bottom"/>
            <w:tcBorders>
              <w:bottom w:val="single" w:sz="8" w:color="7F7F7F"/>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44,444</w:t>
            </w:r>
          </w:p>
        </w:tc>
        <w:tc>
          <w:tcPr>
            <w:tcW w:w="7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tcPr>
          <w:p>
            <w:pPr>
              <w:spacing w:after="0"/>
              <w:rPr>
                <w:sz w:val="12"/>
                <w:szCs w:val="12"/>
                <w:color w:val="auto"/>
              </w:rPr>
            </w:pPr>
          </w:p>
        </w:tc>
        <w:tc>
          <w:tcPr>
            <w:tcW w:w="60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1,761,482</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02/26/16</w:t>
            </w:r>
          </w:p>
        </w:tc>
        <w:tc>
          <w:tcPr>
            <w:tcW w:w="15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46,729</w:t>
            </w:r>
          </w:p>
        </w:tc>
        <w:tc>
          <w:tcPr>
            <w:tcW w:w="62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56.235</w:t>
            </w:r>
          </w:p>
        </w:tc>
        <w:tc>
          <w:tcPr>
            <w:tcW w:w="60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56.04</w:t>
            </w:r>
          </w:p>
        </w:tc>
        <w:tc>
          <w:tcPr>
            <w:tcW w:w="78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294,860</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John J. Morris, Jr.</w:t>
            </w:r>
          </w:p>
        </w:tc>
        <w:tc>
          <w:tcPr>
            <w:tcW w:w="156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tcPr>
          <w:p>
            <w:pPr>
              <w:spacing w:after="0"/>
              <w:rPr>
                <w:sz w:val="12"/>
                <w:szCs w:val="12"/>
                <w:color w:val="auto"/>
              </w:rPr>
            </w:pPr>
          </w:p>
        </w:tc>
        <w:tc>
          <w:tcPr>
            <w:tcW w:w="60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spacing w:after="0"/>
              <w:rPr>
                <w:sz w:val="12"/>
                <w:szCs w:val="12"/>
                <w:color w:val="auto"/>
              </w:rPr>
            </w:pPr>
          </w:p>
        </w:tc>
        <w:tc>
          <w:tcPr>
            <w:tcW w:w="1560" w:type="dxa"/>
            <w:vAlign w:val="bottom"/>
            <w:tcBorders>
              <w:bottom w:val="single" w:sz="8" w:color="7F7F7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312,253</w:t>
            </w:r>
          </w:p>
        </w:tc>
        <w:tc>
          <w:tcPr>
            <w:tcW w:w="1040" w:type="dxa"/>
            <w:vAlign w:val="bottom"/>
            <w:tcBorders>
              <w:bottom w:val="single" w:sz="8" w:color="7F7F7F"/>
            </w:tcBorders>
            <w:shd w:val="clear" w:color="auto" w:fill="CCEEFF"/>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rPr>
              <w:t>520,421</w:t>
            </w:r>
          </w:p>
        </w:tc>
        <w:tc>
          <w:tcPr>
            <w:tcW w:w="680" w:type="dxa"/>
            <w:vAlign w:val="bottom"/>
            <w:tcBorders>
              <w:bottom w:val="single" w:sz="8" w:color="7F7F7F"/>
            </w:tcBorders>
            <w:shd w:val="clear" w:color="auto" w:fill="CCEEFF"/>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rPr>
              <w:t>1,040,842</w:t>
            </w:r>
          </w:p>
        </w:tc>
        <w:tc>
          <w:tcPr>
            <w:tcW w:w="68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68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620" w:type="dxa"/>
            <w:vAlign w:val="bottom"/>
            <w:tcBorders>
              <w:bottom w:val="single" w:sz="8" w:color="7F7F7F"/>
            </w:tcBorders>
            <w:shd w:val="clear" w:color="auto" w:fill="CCEEFF"/>
          </w:tcPr>
          <w:p>
            <w:pPr>
              <w:spacing w:after="0"/>
              <w:rPr>
                <w:sz w:val="12"/>
                <w:szCs w:val="12"/>
                <w:color w:val="auto"/>
              </w:rPr>
            </w:pPr>
          </w:p>
        </w:tc>
        <w:tc>
          <w:tcPr>
            <w:tcW w:w="60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ind w:left="300"/>
              <w:spacing w:after="0" w:line="142" w:lineRule="exact"/>
              <w:rPr>
                <w:sz w:val="20"/>
                <w:szCs w:val="20"/>
                <w:color w:val="auto"/>
              </w:rPr>
            </w:pPr>
            <w:r>
              <w:rPr>
                <w:rFonts w:ascii="Times New Roman" w:cs="Times New Roman" w:eastAsia="Times New Roman" w:hAnsi="Times New Roman"/>
                <w:sz w:val="14"/>
                <w:szCs w:val="14"/>
                <w:color w:val="auto"/>
              </w:rPr>
              <w:t>02/26/16</w:t>
            </w:r>
          </w:p>
        </w:tc>
        <w:tc>
          <w:tcPr>
            <w:tcW w:w="156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13,333</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22,222</w:t>
            </w:r>
          </w:p>
        </w:tc>
        <w:tc>
          <w:tcPr>
            <w:tcW w:w="680" w:type="dxa"/>
            <w:vAlign w:val="bottom"/>
            <w:tcBorders>
              <w:bottom w:val="single" w:sz="8" w:color="7F7F7F"/>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44,444</w:t>
            </w:r>
          </w:p>
        </w:tc>
        <w:tc>
          <w:tcPr>
            <w:tcW w:w="7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tcPr>
          <w:p>
            <w:pPr>
              <w:spacing w:after="0"/>
              <w:rPr>
                <w:sz w:val="12"/>
                <w:szCs w:val="12"/>
                <w:color w:val="auto"/>
              </w:rPr>
            </w:pPr>
          </w:p>
        </w:tc>
        <w:tc>
          <w:tcPr>
            <w:tcW w:w="60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1,761,482</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02/26/16</w:t>
            </w:r>
          </w:p>
        </w:tc>
        <w:tc>
          <w:tcPr>
            <w:tcW w:w="15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46,729</w:t>
            </w:r>
          </w:p>
        </w:tc>
        <w:tc>
          <w:tcPr>
            <w:tcW w:w="62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56.235</w:t>
            </w:r>
          </w:p>
        </w:tc>
        <w:tc>
          <w:tcPr>
            <w:tcW w:w="60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56.04</w:t>
            </w:r>
          </w:p>
        </w:tc>
        <w:tc>
          <w:tcPr>
            <w:tcW w:w="78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294,860</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David P. Steiner</w:t>
            </w:r>
          </w:p>
        </w:tc>
        <w:tc>
          <w:tcPr>
            <w:tcW w:w="156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tcPr>
          <w:p>
            <w:pPr>
              <w:spacing w:after="0"/>
              <w:rPr>
                <w:sz w:val="12"/>
                <w:szCs w:val="12"/>
                <w:color w:val="auto"/>
              </w:rPr>
            </w:pPr>
          </w:p>
        </w:tc>
        <w:tc>
          <w:tcPr>
            <w:tcW w:w="60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spacing w:after="0"/>
              <w:rPr>
                <w:sz w:val="12"/>
                <w:szCs w:val="12"/>
                <w:color w:val="auto"/>
              </w:rPr>
            </w:pPr>
          </w:p>
        </w:tc>
        <w:tc>
          <w:tcPr>
            <w:tcW w:w="1560" w:type="dxa"/>
            <w:vAlign w:val="bottom"/>
            <w:tcBorders>
              <w:bottom w:val="single" w:sz="8" w:color="7F7F7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1,054,007</w:t>
            </w:r>
          </w:p>
        </w:tc>
        <w:tc>
          <w:tcPr>
            <w:tcW w:w="1040" w:type="dxa"/>
            <w:vAlign w:val="bottom"/>
            <w:tcBorders>
              <w:bottom w:val="single" w:sz="8" w:color="7F7F7F"/>
            </w:tcBorders>
            <w:shd w:val="clear" w:color="auto" w:fill="CCEEFF"/>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rPr>
              <w:t>1,756,679</w:t>
            </w:r>
          </w:p>
        </w:tc>
        <w:tc>
          <w:tcPr>
            <w:tcW w:w="680" w:type="dxa"/>
            <w:vAlign w:val="bottom"/>
            <w:tcBorders>
              <w:bottom w:val="single" w:sz="8" w:color="7F7F7F"/>
            </w:tcBorders>
            <w:shd w:val="clear" w:color="auto" w:fill="CCEEFF"/>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rPr>
              <w:t>3,513,358</w:t>
            </w:r>
          </w:p>
        </w:tc>
        <w:tc>
          <w:tcPr>
            <w:tcW w:w="68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68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620" w:type="dxa"/>
            <w:vAlign w:val="bottom"/>
            <w:tcBorders>
              <w:bottom w:val="single" w:sz="8" w:color="7F7F7F"/>
            </w:tcBorders>
            <w:shd w:val="clear" w:color="auto" w:fill="CCEEFF"/>
          </w:tcPr>
          <w:p>
            <w:pPr>
              <w:spacing w:after="0"/>
              <w:rPr>
                <w:sz w:val="12"/>
                <w:szCs w:val="12"/>
                <w:color w:val="auto"/>
              </w:rPr>
            </w:pPr>
          </w:p>
        </w:tc>
        <w:tc>
          <w:tcPr>
            <w:tcW w:w="600" w:type="dxa"/>
            <w:vAlign w:val="bottom"/>
            <w:tcBorders>
              <w:bottom w:val="single" w:sz="8" w:color="7F7F7F"/>
            </w:tcBorders>
            <w:shd w:val="clear" w:color="auto" w:fill="CCEEFF"/>
          </w:tcPr>
          <w:p>
            <w:pPr>
              <w:spacing w:after="0"/>
              <w:rPr>
                <w:sz w:val="12"/>
                <w:szCs w:val="12"/>
                <w:color w:val="auto"/>
              </w:rPr>
            </w:pPr>
          </w:p>
        </w:tc>
        <w:tc>
          <w:tcPr>
            <w:tcW w:w="78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ind w:left="300"/>
              <w:spacing w:after="0" w:line="142" w:lineRule="exact"/>
              <w:rPr>
                <w:sz w:val="20"/>
                <w:szCs w:val="20"/>
                <w:color w:val="auto"/>
              </w:rPr>
            </w:pPr>
            <w:r>
              <w:rPr>
                <w:rFonts w:ascii="Times New Roman" w:cs="Times New Roman" w:eastAsia="Times New Roman" w:hAnsi="Times New Roman"/>
                <w:sz w:val="14"/>
                <w:szCs w:val="14"/>
                <w:color w:val="auto"/>
              </w:rPr>
              <w:t>02/26/16</w:t>
            </w:r>
          </w:p>
        </w:tc>
        <w:tc>
          <w:tcPr>
            <w:tcW w:w="156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spacing w:after="0"/>
              <w:rPr>
                <w:sz w:val="12"/>
                <w:szCs w:val="12"/>
                <w:color w:val="auto"/>
              </w:rPr>
            </w:pPr>
          </w:p>
        </w:tc>
        <w:tc>
          <w:tcPr>
            <w:tcW w:w="680" w:type="dxa"/>
            <w:vAlign w:val="bottom"/>
            <w:tcBorders>
              <w:bottom w:val="single" w:sz="8" w:color="7F7F7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64,445</w:t>
            </w:r>
          </w:p>
        </w:tc>
        <w:tc>
          <w:tcPr>
            <w:tcW w:w="780" w:type="dxa"/>
            <w:vAlign w:val="bottom"/>
            <w:tcBorders>
              <w:bottom w:val="single" w:sz="8" w:color="7F7F7F"/>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107,408</w:t>
            </w:r>
          </w:p>
        </w:tc>
        <w:tc>
          <w:tcPr>
            <w:tcW w:w="680" w:type="dxa"/>
            <w:vAlign w:val="bottom"/>
            <w:tcBorders>
              <w:bottom w:val="single" w:sz="8" w:color="7F7F7F"/>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214,816</w:t>
            </w:r>
          </w:p>
        </w:tc>
        <w:tc>
          <w:tcPr>
            <w:tcW w:w="76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620" w:type="dxa"/>
            <w:vAlign w:val="bottom"/>
            <w:tcBorders>
              <w:bottom w:val="single" w:sz="8" w:color="7F7F7F"/>
            </w:tcBorders>
          </w:tcPr>
          <w:p>
            <w:pPr>
              <w:spacing w:after="0"/>
              <w:rPr>
                <w:sz w:val="12"/>
                <w:szCs w:val="12"/>
                <w:color w:val="auto"/>
              </w:rPr>
            </w:pPr>
          </w:p>
        </w:tc>
        <w:tc>
          <w:tcPr>
            <w:tcW w:w="600" w:type="dxa"/>
            <w:vAlign w:val="bottom"/>
            <w:tcBorders>
              <w:bottom w:val="single" w:sz="8" w:color="7F7F7F"/>
            </w:tcBorders>
          </w:tcPr>
          <w:p>
            <w:pPr>
              <w:spacing w:after="0"/>
              <w:rPr>
                <w:sz w:val="12"/>
                <w:szCs w:val="12"/>
                <w:color w:val="auto"/>
              </w:rPr>
            </w:pPr>
          </w:p>
        </w:tc>
        <w:tc>
          <w:tcPr>
            <w:tcW w:w="780" w:type="dxa"/>
            <w:vAlign w:val="bottom"/>
            <w:tcBorders>
              <w:bottom w:val="single" w:sz="8" w:color="7F7F7F"/>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8,513,964</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02/26/16</w:t>
            </w:r>
          </w:p>
        </w:tc>
        <w:tc>
          <w:tcPr>
            <w:tcW w:w="15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225,857</w:t>
            </w:r>
          </w:p>
        </w:tc>
        <w:tc>
          <w:tcPr>
            <w:tcW w:w="62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56.235</w:t>
            </w:r>
          </w:p>
        </w:tc>
        <w:tc>
          <w:tcPr>
            <w:tcW w:w="60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56.04</w:t>
            </w:r>
          </w:p>
        </w:tc>
        <w:tc>
          <w:tcPr>
            <w:tcW w:w="780" w:type="dxa"/>
            <w:vAlign w:val="bottom"/>
            <w:tcBorders>
              <w:bottom w:val="single" w:sz="8" w:color="auto"/>
            </w:tcBorders>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1,425,158</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80" w:hanging="332"/>
        <w:spacing w:after="0" w:line="231"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payouts of cash incentive awards for 2016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requirements were met for each performance measure. The possible payouts for Mr. Fish reflects that his base salary and target percentage of base salary was increased in connection with promotions during 2016. The possible payouts for Mr. Steiner set forth above were subsequently prorated upon his departure from the Company. Please see “Compensation Discussion and Analysis — Named Executive’s 2016 Compensation Program and Results — Annual Cash Incentive” for additional information about these awards, including performance criteria.</w:t>
      </w:r>
    </w:p>
    <w:p>
      <w:pPr>
        <w:spacing w:after="0" w:line="83" w:lineRule="exact"/>
        <w:rPr>
          <w:rFonts w:ascii="Times New Roman" w:cs="Times New Roman" w:eastAsia="Times New Roman" w:hAnsi="Times New Roman"/>
          <w:sz w:val="14"/>
          <w:szCs w:val="14"/>
          <w:color w:val="auto"/>
        </w:rPr>
      </w:pPr>
    </w:p>
    <w:p>
      <w:pPr>
        <w:ind w:left="340" w:right="20" w:hanging="332"/>
        <w:spacing w:after="0" w:line="233"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of Common Stock potentially issuable based on the achievement of performance criteria under performance share unit awards granted under our 2014 Stock Incentive Plan. Please see “Compensation Discussion and Analysis — Named Executive’s 2016 Compensation Program and Results — Long-Term Equity Incentives — Performance Share Units” for additional information about these awards, including performance criteria. The performance period for these awards ends December 31, 2018. Performance share units earn dividend equivalents, which are paid out based on the number of shares earned at the end of the performance period. Mr. Steiner’s outstanding performance share unit awards were subsequently prorated upon his departure from the Company.</w:t>
      </w:r>
    </w:p>
    <w:p>
      <w:pPr>
        <w:spacing w:after="0" w:line="82" w:lineRule="exact"/>
        <w:rPr>
          <w:rFonts w:ascii="Times New Roman" w:cs="Times New Roman" w:eastAsia="Times New Roman" w:hAnsi="Times New Roman"/>
          <w:sz w:val="14"/>
          <w:szCs w:val="14"/>
          <w:color w:val="auto"/>
        </w:rPr>
      </w:pPr>
    </w:p>
    <w:p>
      <w:pPr>
        <w:ind w:left="340" w:right="520" w:hanging="332"/>
        <w:spacing w:after="0" w:line="262"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of Common Stock potentially issuable upon the vesting of restricted stock units granted under our 2014 Stock Incentive Plan to Mr. Fish following his promotion to President and Chief Executive Officer. One-third of the restricted stock units vest on each of the first, second and third anniversaries of the date of grant.</w:t>
      </w:r>
    </w:p>
    <w:p>
      <w:pPr>
        <w:spacing w:after="0" w:line="67" w:lineRule="exact"/>
        <w:rPr>
          <w:rFonts w:ascii="Times New Roman" w:cs="Times New Roman" w:eastAsia="Times New Roman" w:hAnsi="Times New Roman"/>
          <w:sz w:val="14"/>
          <w:szCs w:val="14"/>
          <w:color w:val="auto"/>
        </w:rPr>
      </w:pPr>
    </w:p>
    <w:p>
      <w:pPr>
        <w:ind w:left="340" w:right="40" w:hanging="332"/>
        <w:spacing w:after="0" w:line="241"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restricted stock units and option awards are not included as “Equity Incentive Plan Awards” in the table above or the Outstanding Equity Awards at December 31, 2016 table.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line="241"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of Common Stock potentially issuable upon the exercise of options granted under our 2014 Stock Incentive Plan. Please see “Compensation Discussion and Analysis — Named Executive’s 2016 Compensation Program and Results — Long-Term Equity Incentives — Stock Options” for additional information about these awards. The stock options will vest in 25% increments on the first two anniversaries of the date of grant and the remaining 50% will vest on the third anniversary.</w:t>
      </w:r>
    </w:p>
    <w:p>
      <w:pPr>
        <w:spacing w:after="0" w:line="8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represents the average of the high and low market price on the date of the grant, in accordance with our 2014 Stock Incentive Plan.</w:t>
      </w:r>
    </w:p>
    <w:p>
      <w:pPr>
        <w:spacing w:after="0" w:line="109" w:lineRule="exact"/>
        <w:rPr>
          <w:rFonts w:ascii="Times New Roman" w:cs="Times New Roman" w:eastAsia="Times New Roman" w:hAnsi="Times New Roman"/>
          <w:sz w:val="14"/>
          <w:szCs w:val="14"/>
          <w:color w:val="auto"/>
        </w:rPr>
      </w:pPr>
    </w:p>
    <w:p>
      <w:pPr>
        <w:ind w:left="340" w:right="260" w:hanging="332"/>
        <w:spacing w:after="0" w:line="262"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grant date fair values of the awards as calculated under ASC Topic 718 and as further described in Note 16 in the Notes to the Consolidated Financial Statements in our 2016 Annual Report on Form 10-K.</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2016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8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xml:space="preserve">Stock Awards </w:t>
            </w:r>
            <w:r>
              <w:rPr>
                <w:rFonts w:ascii="Times New Roman" w:cs="Times New Roman" w:eastAsia="Times New Roman" w:hAnsi="Times New Roman"/>
                <w:sz w:val="12"/>
                <w:szCs w:val="12"/>
                <w:b w:val="1"/>
                <w:bCs w:val="1"/>
                <w:color w:val="auto"/>
              </w:rPr>
              <w:t>(1)</w:t>
            </w: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i w:val="1"/>
                <w:iCs w:val="1"/>
                <w:color w:val="auto"/>
              </w:rPr>
              <w:t>Equity</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Equity</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i w:val="1"/>
                <w:iCs w:val="1"/>
                <w:color w:val="auto"/>
              </w:rPr>
              <w:t>Incentive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i w:val="1"/>
                <w:iCs w:val="1"/>
                <w:color w:val="auto"/>
              </w:rPr>
              <w:t>Incentive</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i w:val="1"/>
                <w:iCs w:val="1"/>
                <w:color w:val="auto"/>
              </w:rPr>
              <w:t>Plan</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i w:val="1"/>
                <w:iCs w:val="1"/>
                <w:color w:val="auto"/>
              </w:rPr>
              <w:t>Plan</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i w:val="1"/>
                <w:iCs w:val="1"/>
                <w:color w:val="auto"/>
              </w:rPr>
              <w:t>Awards:</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i w:val="1"/>
                <w:iCs w:val="1"/>
                <w:color w:val="auto"/>
              </w:rPr>
              <w:t>Awards:</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vMerge w:val="continue"/>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2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60" w:type="dxa"/>
            <w:vAlign w:val="bottom"/>
          </w:tcPr>
          <w:p>
            <w:pPr>
              <w:jc w:val="right"/>
              <w:ind w:right="68"/>
              <w:spacing w:after="0" w:line="147"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940" w:type="dxa"/>
            <w:vAlign w:val="bottom"/>
          </w:tcPr>
          <w:p>
            <w:pPr>
              <w:jc w:val="right"/>
              <w:ind w:right="68"/>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tcPr>
          <w:p>
            <w:pPr>
              <w:jc w:val="right"/>
              <w:ind w:right="28"/>
              <w:spacing w:after="0" w:line="147"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2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60" w:type="dxa"/>
            <w:vAlign w:val="bottom"/>
            <w:vMerge w:val="continue"/>
          </w:tcPr>
          <w:p>
            <w:pPr>
              <w:spacing w:after="0"/>
              <w:rPr>
                <w:sz w:val="12"/>
                <w:szCs w:val="12"/>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vMerge w:val="continue"/>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9"/>
        </w:trPr>
        <w:tc>
          <w:tcPr>
            <w:tcW w:w="26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9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0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6"/>
        </w:trPr>
        <w:tc>
          <w:tcPr>
            <w:tcW w:w="2680" w:type="dxa"/>
            <w:vAlign w:val="bottom"/>
            <w:vMerge w:val="continue"/>
          </w:tcPr>
          <w:p>
            <w:pPr>
              <w:spacing w:after="0"/>
              <w:rPr>
                <w:sz w:val="15"/>
                <w:szCs w:val="15"/>
                <w:color w:val="auto"/>
              </w:rPr>
            </w:pPr>
          </w:p>
        </w:tc>
        <w:tc>
          <w:tcPr>
            <w:tcW w:w="2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(6)</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(6)</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(7)</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12"/>
                <w:szCs w:val="12"/>
                <w:b w:val="1"/>
                <w:bCs w:val="1"/>
                <w:color w:val="auto"/>
              </w:rPr>
              <w:t>(7)</w:t>
            </w:r>
          </w:p>
        </w:tc>
        <w:tc>
          <w:tcPr>
            <w:tcW w:w="0" w:type="dxa"/>
            <w:vAlign w:val="bottom"/>
          </w:tcPr>
          <w:p>
            <w:pPr>
              <w:spacing w:after="0"/>
              <w:rPr>
                <w:sz w:val="1"/>
                <w:szCs w:val="1"/>
                <w:color w:val="auto"/>
              </w:rPr>
            </w:pPr>
          </w:p>
        </w:tc>
      </w:tr>
      <w:tr>
        <w:trPr>
          <w:trHeight w:val="149"/>
        </w:trPr>
        <w:tc>
          <w:tcPr>
            <w:tcW w:w="2680" w:type="dxa"/>
            <w:vAlign w:val="bottom"/>
            <w:tcBorders>
              <w:bottom w:val="single" w:sz="8" w:color="7F7F7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James C. Fish, Jr.</w:t>
            </w:r>
          </w:p>
        </w:tc>
        <w:tc>
          <w:tcPr>
            <w:tcW w:w="2100" w:type="dxa"/>
            <w:vAlign w:val="bottom"/>
            <w:tcBorders>
              <w:bottom w:val="single" w:sz="8" w:color="7F7F7F"/>
            </w:tcBorders>
            <w:shd w:val="clear" w:color="auto" w:fill="CCEEFF"/>
          </w:tcPr>
          <w:p>
            <w:pPr>
              <w:spacing w:after="0"/>
              <w:rPr>
                <w:sz w:val="12"/>
                <w:szCs w:val="12"/>
                <w:color w:val="auto"/>
              </w:rPr>
            </w:pPr>
          </w:p>
        </w:tc>
        <w:tc>
          <w:tcPr>
            <w:tcW w:w="12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920" w:type="dxa"/>
            <w:vAlign w:val="bottom"/>
            <w:tcBorders>
              <w:bottom w:val="single" w:sz="8" w:color="7F7F7F"/>
            </w:tcBorders>
            <w:shd w:val="clear" w:color="auto" w:fill="CCEEFF"/>
          </w:tcPr>
          <w:p>
            <w:pPr>
              <w:spacing w:after="0"/>
              <w:rPr>
                <w:sz w:val="12"/>
                <w:szCs w:val="12"/>
                <w:color w:val="auto"/>
              </w:rPr>
            </w:pPr>
          </w:p>
        </w:tc>
        <w:tc>
          <w:tcPr>
            <w:tcW w:w="940" w:type="dxa"/>
            <w:vAlign w:val="bottom"/>
            <w:tcBorders>
              <w:bottom w:val="single" w:sz="8" w:color="7F7F7F"/>
            </w:tcBorders>
            <w:shd w:val="clear" w:color="auto" w:fill="CCEEFF"/>
          </w:tcPr>
          <w:p>
            <w:pPr>
              <w:spacing w:after="0"/>
              <w:rPr>
                <w:sz w:val="12"/>
                <w:szCs w:val="12"/>
                <w:color w:val="auto"/>
              </w:rPr>
            </w:pPr>
          </w:p>
        </w:tc>
        <w:tc>
          <w:tcPr>
            <w:tcW w:w="860" w:type="dxa"/>
            <w:vAlign w:val="bottom"/>
            <w:tcBorders>
              <w:bottom w:val="single" w:sz="8" w:color="7F7F7F"/>
            </w:tcBorders>
            <w:shd w:val="clear" w:color="auto" w:fill="CCEEFF"/>
          </w:tcPr>
          <w:p>
            <w:pPr>
              <w:spacing w:after="0"/>
              <w:rPr>
                <w:sz w:val="12"/>
                <w:szCs w:val="12"/>
                <w:color w:val="auto"/>
              </w:rPr>
            </w:pPr>
          </w:p>
        </w:tc>
        <w:tc>
          <w:tcPr>
            <w:tcW w:w="940" w:type="dxa"/>
            <w:vAlign w:val="bottom"/>
            <w:tcBorders>
              <w:bottom w:val="single" w:sz="8" w:color="7F7F7F"/>
            </w:tcBorders>
            <w:shd w:val="clear" w:color="auto" w:fill="CCEEFF"/>
          </w:tcPr>
          <w:p>
            <w:pPr>
              <w:spacing w:after="0"/>
              <w:rPr>
                <w:sz w:val="12"/>
                <w:szCs w:val="12"/>
                <w:color w:val="auto"/>
              </w:rPr>
            </w:pPr>
          </w:p>
        </w:tc>
        <w:tc>
          <w:tcPr>
            <w:tcW w:w="100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rPr>
                <w:sz w:val="12"/>
                <w:szCs w:val="12"/>
                <w:color w:val="auto"/>
              </w:rPr>
            </w:pPr>
          </w:p>
        </w:tc>
        <w:tc>
          <w:tcPr>
            <w:tcW w:w="210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7F7F7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54,517</w:t>
            </w:r>
            <w:r>
              <w:rPr>
                <w:rFonts w:ascii="Times New Roman" w:cs="Times New Roman" w:eastAsia="Times New Roman" w:hAnsi="Times New Roman"/>
                <w:sz w:val="12"/>
                <w:szCs w:val="12"/>
                <w:color w:val="auto"/>
              </w:rPr>
              <w:t>(3)</w:t>
            </w:r>
          </w:p>
        </w:tc>
        <w:tc>
          <w:tcPr>
            <w:tcW w:w="7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56.235</w:t>
            </w:r>
          </w:p>
        </w:tc>
        <w:tc>
          <w:tcPr>
            <w:tcW w:w="92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2/26/2026</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15,625</w:t>
            </w:r>
          </w:p>
        </w:tc>
        <w:tc>
          <w:tcPr>
            <w:tcW w:w="8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1,107,969</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51,964</w:t>
            </w:r>
          </w:p>
        </w:tc>
        <w:tc>
          <w:tcPr>
            <w:tcW w:w="10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7,369,534</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shd w:val="clear" w:color="auto" w:fill="CCEEFF"/>
          </w:tcPr>
          <w:p>
            <w:pPr>
              <w:spacing w:after="0"/>
              <w:rPr>
                <w:sz w:val="12"/>
                <w:szCs w:val="12"/>
                <w:color w:val="auto"/>
              </w:rPr>
            </w:pPr>
          </w:p>
        </w:tc>
        <w:tc>
          <w:tcPr>
            <w:tcW w:w="210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15,105</w:t>
            </w:r>
          </w:p>
        </w:tc>
        <w:tc>
          <w:tcPr>
            <w:tcW w:w="1220" w:type="dxa"/>
            <w:vAlign w:val="bottom"/>
            <w:tcBorders>
              <w:bottom w:val="single" w:sz="8" w:color="7F7F7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45,315</w:t>
            </w:r>
            <w:r>
              <w:rPr>
                <w:rFonts w:ascii="Times New Roman" w:cs="Times New Roman" w:eastAsia="Times New Roman" w:hAnsi="Times New Roman"/>
                <w:sz w:val="12"/>
                <w:szCs w:val="12"/>
                <w:color w:val="auto"/>
              </w:rPr>
              <w:t>(4)</w:t>
            </w:r>
          </w:p>
        </w:tc>
        <w:tc>
          <w:tcPr>
            <w:tcW w:w="7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54.635</w:t>
            </w:r>
          </w:p>
        </w:tc>
        <w:tc>
          <w:tcPr>
            <w:tcW w:w="92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2/25/2025</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33,708</w:t>
            </w:r>
            <w:r>
              <w:rPr>
                <w:rFonts w:ascii="Times New Roman" w:cs="Times New Roman" w:eastAsia="Times New Roman" w:hAnsi="Times New Roman"/>
                <w:sz w:val="12"/>
                <w:szCs w:val="12"/>
                <w:color w:val="auto"/>
              </w:rPr>
              <w:t>(5)</w:t>
            </w:r>
          </w:p>
        </w:tc>
        <w:tc>
          <w:tcPr>
            <w:tcW w:w="7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41.37</w:t>
            </w:r>
          </w:p>
        </w:tc>
        <w:tc>
          <w:tcPr>
            <w:tcW w:w="9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3/7/2024</w:t>
            </w:r>
          </w:p>
        </w:tc>
        <w:tc>
          <w:tcPr>
            <w:tcW w:w="9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James E. Trevathan, Jr.</w:t>
            </w:r>
          </w:p>
        </w:tc>
        <w:tc>
          <w:tcPr>
            <w:tcW w:w="2100" w:type="dxa"/>
            <w:vAlign w:val="bottom"/>
            <w:tcBorders>
              <w:bottom w:val="single" w:sz="8" w:color="7F7F7F"/>
            </w:tcBorders>
            <w:shd w:val="clear" w:color="auto" w:fill="CCEEFF"/>
          </w:tcPr>
          <w:p>
            <w:pPr>
              <w:spacing w:after="0"/>
              <w:rPr>
                <w:sz w:val="12"/>
                <w:szCs w:val="12"/>
                <w:color w:val="auto"/>
              </w:rPr>
            </w:pPr>
          </w:p>
        </w:tc>
        <w:tc>
          <w:tcPr>
            <w:tcW w:w="12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920" w:type="dxa"/>
            <w:vAlign w:val="bottom"/>
            <w:tcBorders>
              <w:bottom w:val="single" w:sz="8" w:color="7F7F7F"/>
            </w:tcBorders>
            <w:shd w:val="clear" w:color="auto" w:fill="CCEEFF"/>
          </w:tcPr>
          <w:p>
            <w:pPr>
              <w:spacing w:after="0"/>
              <w:rPr>
                <w:sz w:val="12"/>
                <w:szCs w:val="12"/>
                <w:color w:val="auto"/>
              </w:rPr>
            </w:pPr>
          </w:p>
        </w:tc>
        <w:tc>
          <w:tcPr>
            <w:tcW w:w="940" w:type="dxa"/>
            <w:vAlign w:val="bottom"/>
            <w:tcBorders>
              <w:bottom w:val="single" w:sz="8" w:color="7F7F7F"/>
            </w:tcBorders>
            <w:shd w:val="clear" w:color="auto" w:fill="CCEEFF"/>
          </w:tcPr>
          <w:p>
            <w:pPr>
              <w:spacing w:after="0"/>
              <w:rPr>
                <w:sz w:val="12"/>
                <w:szCs w:val="12"/>
                <w:color w:val="auto"/>
              </w:rPr>
            </w:pPr>
          </w:p>
        </w:tc>
        <w:tc>
          <w:tcPr>
            <w:tcW w:w="860" w:type="dxa"/>
            <w:vAlign w:val="bottom"/>
            <w:tcBorders>
              <w:bottom w:val="single" w:sz="8" w:color="7F7F7F"/>
            </w:tcBorders>
            <w:shd w:val="clear" w:color="auto" w:fill="CCEEFF"/>
          </w:tcPr>
          <w:p>
            <w:pPr>
              <w:spacing w:after="0"/>
              <w:rPr>
                <w:sz w:val="12"/>
                <w:szCs w:val="12"/>
                <w:color w:val="auto"/>
              </w:rPr>
            </w:pPr>
          </w:p>
        </w:tc>
        <w:tc>
          <w:tcPr>
            <w:tcW w:w="940" w:type="dxa"/>
            <w:vAlign w:val="bottom"/>
            <w:tcBorders>
              <w:bottom w:val="single" w:sz="8" w:color="7F7F7F"/>
            </w:tcBorders>
            <w:shd w:val="clear" w:color="auto" w:fill="CCEEFF"/>
          </w:tcPr>
          <w:p>
            <w:pPr>
              <w:spacing w:after="0"/>
              <w:rPr>
                <w:sz w:val="12"/>
                <w:szCs w:val="12"/>
                <w:color w:val="auto"/>
              </w:rPr>
            </w:pPr>
          </w:p>
        </w:tc>
        <w:tc>
          <w:tcPr>
            <w:tcW w:w="100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rPr>
                <w:sz w:val="12"/>
                <w:szCs w:val="12"/>
                <w:color w:val="auto"/>
              </w:rPr>
            </w:pPr>
          </w:p>
        </w:tc>
        <w:tc>
          <w:tcPr>
            <w:tcW w:w="210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7F7F7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54,517</w:t>
            </w:r>
            <w:r>
              <w:rPr>
                <w:rFonts w:ascii="Times New Roman" w:cs="Times New Roman" w:eastAsia="Times New Roman" w:hAnsi="Times New Roman"/>
                <w:sz w:val="12"/>
                <w:szCs w:val="12"/>
                <w:color w:val="auto"/>
              </w:rPr>
              <w:t>(3)</w:t>
            </w:r>
          </w:p>
        </w:tc>
        <w:tc>
          <w:tcPr>
            <w:tcW w:w="7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56.235</w:t>
            </w:r>
          </w:p>
        </w:tc>
        <w:tc>
          <w:tcPr>
            <w:tcW w:w="92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2/26/2026</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51,964</w:t>
            </w:r>
          </w:p>
        </w:tc>
        <w:tc>
          <w:tcPr>
            <w:tcW w:w="10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7,369,534</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shd w:val="clear" w:color="auto" w:fill="CCEEFF"/>
          </w:tcPr>
          <w:p>
            <w:pPr>
              <w:spacing w:after="0"/>
              <w:rPr>
                <w:sz w:val="12"/>
                <w:szCs w:val="12"/>
                <w:color w:val="auto"/>
              </w:rPr>
            </w:pPr>
          </w:p>
        </w:tc>
        <w:tc>
          <w:tcPr>
            <w:tcW w:w="210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15,105</w:t>
            </w:r>
          </w:p>
        </w:tc>
        <w:tc>
          <w:tcPr>
            <w:tcW w:w="1220" w:type="dxa"/>
            <w:vAlign w:val="bottom"/>
            <w:tcBorders>
              <w:bottom w:val="single" w:sz="8" w:color="7F7F7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45,315</w:t>
            </w:r>
            <w:r>
              <w:rPr>
                <w:rFonts w:ascii="Times New Roman" w:cs="Times New Roman" w:eastAsia="Times New Roman" w:hAnsi="Times New Roman"/>
                <w:sz w:val="12"/>
                <w:szCs w:val="12"/>
                <w:color w:val="auto"/>
              </w:rPr>
              <w:t>(4)</w:t>
            </w:r>
          </w:p>
        </w:tc>
        <w:tc>
          <w:tcPr>
            <w:tcW w:w="7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54.635</w:t>
            </w:r>
          </w:p>
        </w:tc>
        <w:tc>
          <w:tcPr>
            <w:tcW w:w="92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2/25/2025</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rPr>
                <w:sz w:val="12"/>
                <w:szCs w:val="12"/>
                <w:color w:val="auto"/>
              </w:rPr>
            </w:pPr>
          </w:p>
        </w:tc>
        <w:tc>
          <w:tcPr>
            <w:tcW w:w="210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33,708</w:t>
            </w:r>
          </w:p>
        </w:tc>
        <w:tc>
          <w:tcPr>
            <w:tcW w:w="1220" w:type="dxa"/>
            <w:vAlign w:val="bottom"/>
            <w:tcBorders>
              <w:bottom w:val="single" w:sz="8" w:color="7F7F7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33,708</w:t>
            </w:r>
            <w:r>
              <w:rPr>
                <w:rFonts w:ascii="Times New Roman" w:cs="Times New Roman" w:eastAsia="Times New Roman" w:hAnsi="Times New Roman"/>
                <w:sz w:val="12"/>
                <w:szCs w:val="12"/>
                <w:color w:val="auto"/>
              </w:rPr>
              <w:t>(5)</w:t>
            </w:r>
          </w:p>
        </w:tc>
        <w:tc>
          <w:tcPr>
            <w:tcW w:w="7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41.37</w:t>
            </w:r>
          </w:p>
        </w:tc>
        <w:tc>
          <w:tcPr>
            <w:tcW w:w="92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3/7/2024</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auto"/>
            </w:tcBorders>
            <w:shd w:val="clear" w:color="auto" w:fill="CCEEFF"/>
          </w:tcPr>
          <w:p>
            <w:pPr>
              <w:spacing w:after="0"/>
              <w:rPr>
                <w:sz w:val="12"/>
                <w:szCs w:val="12"/>
                <w:color w:val="auto"/>
              </w:rPr>
            </w:pPr>
          </w:p>
        </w:tc>
        <w:tc>
          <w:tcPr>
            <w:tcW w:w="21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29,457</w:t>
            </w:r>
          </w:p>
        </w:tc>
        <w:tc>
          <w:tcPr>
            <w:tcW w:w="122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9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3/8/2023</w:t>
            </w:r>
          </w:p>
        </w:tc>
        <w:tc>
          <w:tcPr>
            <w:tcW w:w="94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Jeff M. Harris</w:t>
            </w:r>
          </w:p>
        </w:tc>
        <w:tc>
          <w:tcPr>
            <w:tcW w:w="2100" w:type="dxa"/>
            <w:vAlign w:val="bottom"/>
            <w:tcBorders>
              <w:bottom w:val="single" w:sz="8" w:color="7F7F7F"/>
            </w:tcBorders>
          </w:tcPr>
          <w:p>
            <w:pPr>
              <w:spacing w:after="0"/>
              <w:rPr>
                <w:sz w:val="12"/>
                <w:szCs w:val="12"/>
                <w:color w:val="auto"/>
              </w:rPr>
            </w:pPr>
          </w:p>
        </w:tc>
        <w:tc>
          <w:tcPr>
            <w:tcW w:w="12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940" w:type="dxa"/>
            <w:vAlign w:val="bottom"/>
            <w:tcBorders>
              <w:bottom w:val="single" w:sz="8" w:color="7F7F7F"/>
            </w:tcBorders>
          </w:tcPr>
          <w:p>
            <w:pPr>
              <w:spacing w:after="0"/>
              <w:rPr>
                <w:sz w:val="12"/>
                <w:szCs w:val="12"/>
                <w:color w:val="auto"/>
              </w:rPr>
            </w:pPr>
          </w:p>
        </w:tc>
        <w:tc>
          <w:tcPr>
            <w:tcW w:w="860" w:type="dxa"/>
            <w:vAlign w:val="bottom"/>
            <w:tcBorders>
              <w:bottom w:val="single" w:sz="8" w:color="7F7F7F"/>
            </w:tcBorders>
          </w:tcPr>
          <w:p>
            <w:pPr>
              <w:spacing w:after="0"/>
              <w:rPr>
                <w:sz w:val="12"/>
                <w:szCs w:val="12"/>
                <w:color w:val="auto"/>
              </w:rPr>
            </w:pPr>
          </w:p>
        </w:tc>
        <w:tc>
          <w:tcPr>
            <w:tcW w:w="940" w:type="dxa"/>
            <w:vAlign w:val="bottom"/>
            <w:tcBorders>
              <w:bottom w:val="single" w:sz="8" w:color="7F7F7F"/>
            </w:tcBorders>
          </w:tcPr>
          <w:p>
            <w:pPr>
              <w:spacing w:after="0"/>
              <w:rPr>
                <w:sz w:val="12"/>
                <w:szCs w:val="12"/>
                <w:color w:val="auto"/>
              </w:rPr>
            </w:pPr>
          </w:p>
        </w:tc>
        <w:tc>
          <w:tcPr>
            <w:tcW w:w="100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shd w:val="clear" w:color="auto" w:fill="CCEEFF"/>
          </w:tcPr>
          <w:p>
            <w:pPr>
              <w:spacing w:after="0"/>
              <w:rPr>
                <w:sz w:val="12"/>
                <w:szCs w:val="12"/>
                <w:color w:val="auto"/>
              </w:rPr>
            </w:pPr>
          </w:p>
        </w:tc>
        <w:tc>
          <w:tcPr>
            <w:tcW w:w="210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7F7F7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46,729</w:t>
            </w:r>
            <w:r>
              <w:rPr>
                <w:rFonts w:ascii="Times New Roman" w:cs="Times New Roman" w:eastAsia="Times New Roman" w:hAnsi="Times New Roman"/>
                <w:sz w:val="12"/>
                <w:szCs w:val="12"/>
                <w:color w:val="auto"/>
              </w:rPr>
              <w:t>(3)</w:t>
            </w:r>
          </w:p>
        </w:tc>
        <w:tc>
          <w:tcPr>
            <w:tcW w:w="7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56.235</w:t>
            </w:r>
          </w:p>
        </w:tc>
        <w:tc>
          <w:tcPr>
            <w:tcW w:w="92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2/26/2026</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43,958</w:t>
            </w:r>
          </w:p>
        </w:tc>
        <w:tc>
          <w:tcPr>
            <w:tcW w:w="10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6,234,124</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rPr>
                <w:sz w:val="12"/>
                <w:szCs w:val="12"/>
                <w:color w:val="auto"/>
              </w:rPr>
            </w:pPr>
          </w:p>
        </w:tc>
        <w:tc>
          <w:tcPr>
            <w:tcW w:w="210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12,609</w:t>
            </w:r>
          </w:p>
        </w:tc>
        <w:tc>
          <w:tcPr>
            <w:tcW w:w="1220" w:type="dxa"/>
            <w:vAlign w:val="bottom"/>
            <w:tcBorders>
              <w:bottom w:val="single" w:sz="8" w:color="7F7F7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37,829</w:t>
            </w:r>
            <w:r>
              <w:rPr>
                <w:rFonts w:ascii="Times New Roman" w:cs="Times New Roman" w:eastAsia="Times New Roman" w:hAnsi="Times New Roman"/>
                <w:sz w:val="12"/>
                <w:szCs w:val="12"/>
                <w:color w:val="auto"/>
              </w:rPr>
              <w:t>(4)</w:t>
            </w:r>
          </w:p>
        </w:tc>
        <w:tc>
          <w:tcPr>
            <w:tcW w:w="7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54.635</w:t>
            </w:r>
          </w:p>
        </w:tc>
        <w:tc>
          <w:tcPr>
            <w:tcW w:w="92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2/25/2025</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auto"/>
            </w:tcBorders>
            <w:shd w:val="clear" w:color="auto" w:fill="CCEEFF"/>
          </w:tcPr>
          <w:p>
            <w:pPr>
              <w:spacing w:after="0"/>
              <w:rPr>
                <w:sz w:val="12"/>
                <w:szCs w:val="12"/>
                <w:color w:val="auto"/>
              </w:rPr>
            </w:pPr>
          </w:p>
        </w:tc>
        <w:tc>
          <w:tcPr>
            <w:tcW w:w="21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26,967</w:t>
            </w:r>
            <w:r>
              <w:rPr>
                <w:rFonts w:ascii="Times New Roman" w:cs="Times New Roman" w:eastAsia="Times New Roman" w:hAnsi="Times New Roman"/>
                <w:sz w:val="12"/>
                <w:szCs w:val="12"/>
                <w:color w:val="auto"/>
              </w:rPr>
              <w:t>(5)</w:t>
            </w:r>
          </w:p>
        </w:tc>
        <w:tc>
          <w:tcPr>
            <w:tcW w:w="7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41.37</w:t>
            </w:r>
          </w:p>
        </w:tc>
        <w:tc>
          <w:tcPr>
            <w:tcW w:w="9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3/7/2024</w:t>
            </w:r>
          </w:p>
        </w:tc>
        <w:tc>
          <w:tcPr>
            <w:tcW w:w="94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John J. Morris, Jr.</w:t>
            </w:r>
          </w:p>
        </w:tc>
        <w:tc>
          <w:tcPr>
            <w:tcW w:w="2100" w:type="dxa"/>
            <w:vAlign w:val="bottom"/>
            <w:tcBorders>
              <w:bottom w:val="single" w:sz="8" w:color="7F7F7F"/>
            </w:tcBorders>
          </w:tcPr>
          <w:p>
            <w:pPr>
              <w:spacing w:after="0"/>
              <w:rPr>
                <w:sz w:val="12"/>
                <w:szCs w:val="12"/>
                <w:color w:val="auto"/>
              </w:rPr>
            </w:pPr>
          </w:p>
        </w:tc>
        <w:tc>
          <w:tcPr>
            <w:tcW w:w="12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940" w:type="dxa"/>
            <w:vAlign w:val="bottom"/>
            <w:tcBorders>
              <w:bottom w:val="single" w:sz="8" w:color="7F7F7F"/>
            </w:tcBorders>
          </w:tcPr>
          <w:p>
            <w:pPr>
              <w:spacing w:after="0"/>
              <w:rPr>
                <w:sz w:val="12"/>
                <w:szCs w:val="12"/>
                <w:color w:val="auto"/>
              </w:rPr>
            </w:pPr>
          </w:p>
        </w:tc>
        <w:tc>
          <w:tcPr>
            <w:tcW w:w="860" w:type="dxa"/>
            <w:vAlign w:val="bottom"/>
            <w:tcBorders>
              <w:bottom w:val="single" w:sz="8" w:color="7F7F7F"/>
            </w:tcBorders>
          </w:tcPr>
          <w:p>
            <w:pPr>
              <w:spacing w:after="0"/>
              <w:rPr>
                <w:sz w:val="12"/>
                <w:szCs w:val="12"/>
                <w:color w:val="auto"/>
              </w:rPr>
            </w:pPr>
          </w:p>
        </w:tc>
        <w:tc>
          <w:tcPr>
            <w:tcW w:w="940" w:type="dxa"/>
            <w:vAlign w:val="bottom"/>
            <w:tcBorders>
              <w:bottom w:val="single" w:sz="8" w:color="7F7F7F"/>
            </w:tcBorders>
          </w:tcPr>
          <w:p>
            <w:pPr>
              <w:spacing w:after="0"/>
              <w:rPr>
                <w:sz w:val="12"/>
                <w:szCs w:val="12"/>
                <w:color w:val="auto"/>
              </w:rPr>
            </w:pPr>
          </w:p>
        </w:tc>
        <w:tc>
          <w:tcPr>
            <w:tcW w:w="100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shd w:val="clear" w:color="auto" w:fill="CCEEFF"/>
          </w:tcPr>
          <w:p>
            <w:pPr>
              <w:spacing w:after="0"/>
              <w:rPr>
                <w:sz w:val="12"/>
                <w:szCs w:val="12"/>
                <w:color w:val="auto"/>
              </w:rPr>
            </w:pPr>
          </w:p>
        </w:tc>
        <w:tc>
          <w:tcPr>
            <w:tcW w:w="210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7F7F7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46,729</w:t>
            </w:r>
            <w:r>
              <w:rPr>
                <w:rFonts w:ascii="Times New Roman" w:cs="Times New Roman" w:eastAsia="Times New Roman" w:hAnsi="Times New Roman"/>
                <w:sz w:val="12"/>
                <w:szCs w:val="12"/>
                <w:color w:val="auto"/>
              </w:rPr>
              <w:t>(3)</w:t>
            </w:r>
          </w:p>
        </w:tc>
        <w:tc>
          <w:tcPr>
            <w:tcW w:w="7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56.235</w:t>
            </w:r>
          </w:p>
        </w:tc>
        <w:tc>
          <w:tcPr>
            <w:tcW w:w="92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2/26/2026</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43,958</w:t>
            </w:r>
          </w:p>
        </w:tc>
        <w:tc>
          <w:tcPr>
            <w:tcW w:w="10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6,234,124</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rPr>
                <w:sz w:val="12"/>
                <w:szCs w:val="12"/>
                <w:color w:val="auto"/>
              </w:rPr>
            </w:pPr>
          </w:p>
        </w:tc>
        <w:tc>
          <w:tcPr>
            <w:tcW w:w="210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12,609</w:t>
            </w:r>
          </w:p>
        </w:tc>
        <w:tc>
          <w:tcPr>
            <w:tcW w:w="1220" w:type="dxa"/>
            <w:vAlign w:val="bottom"/>
            <w:tcBorders>
              <w:bottom w:val="single" w:sz="8" w:color="7F7F7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37,829</w:t>
            </w:r>
            <w:r>
              <w:rPr>
                <w:rFonts w:ascii="Times New Roman" w:cs="Times New Roman" w:eastAsia="Times New Roman" w:hAnsi="Times New Roman"/>
                <w:sz w:val="12"/>
                <w:szCs w:val="12"/>
                <w:color w:val="auto"/>
              </w:rPr>
              <w:t>(4)</w:t>
            </w:r>
          </w:p>
        </w:tc>
        <w:tc>
          <w:tcPr>
            <w:tcW w:w="7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54.635</w:t>
            </w:r>
          </w:p>
        </w:tc>
        <w:tc>
          <w:tcPr>
            <w:tcW w:w="92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2/25/2025</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auto"/>
            </w:tcBorders>
            <w:shd w:val="clear" w:color="auto" w:fill="CCEEFF"/>
          </w:tcPr>
          <w:p>
            <w:pPr>
              <w:spacing w:after="0"/>
              <w:rPr>
                <w:sz w:val="12"/>
                <w:szCs w:val="12"/>
                <w:color w:val="auto"/>
              </w:rPr>
            </w:pPr>
          </w:p>
        </w:tc>
        <w:tc>
          <w:tcPr>
            <w:tcW w:w="21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26,967</w:t>
            </w:r>
            <w:r>
              <w:rPr>
                <w:rFonts w:ascii="Times New Roman" w:cs="Times New Roman" w:eastAsia="Times New Roman" w:hAnsi="Times New Roman"/>
                <w:sz w:val="12"/>
                <w:szCs w:val="12"/>
                <w:color w:val="auto"/>
              </w:rPr>
              <w:t>(5)</w:t>
            </w:r>
          </w:p>
        </w:tc>
        <w:tc>
          <w:tcPr>
            <w:tcW w:w="7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41.37</w:t>
            </w:r>
          </w:p>
        </w:tc>
        <w:tc>
          <w:tcPr>
            <w:tcW w:w="9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3/7/2024</w:t>
            </w:r>
          </w:p>
        </w:tc>
        <w:tc>
          <w:tcPr>
            <w:tcW w:w="94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David P. Steiner </w:t>
            </w:r>
            <w:r>
              <w:rPr>
                <w:rFonts w:ascii="Times New Roman" w:cs="Times New Roman" w:eastAsia="Times New Roman" w:hAnsi="Times New Roman"/>
                <w:sz w:val="12"/>
                <w:szCs w:val="12"/>
                <w:b w:val="1"/>
                <w:bCs w:val="1"/>
                <w:color w:val="auto"/>
              </w:rPr>
              <w:t>(8)</w:t>
            </w:r>
          </w:p>
        </w:tc>
        <w:tc>
          <w:tcPr>
            <w:tcW w:w="2100" w:type="dxa"/>
            <w:vAlign w:val="bottom"/>
            <w:tcBorders>
              <w:bottom w:val="single" w:sz="8" w:color="7F7F7F"/>
            </w:tcBorders>
          </w:tcPr>
          <w:p>
            <w:pPr>
              <w:spacing w:after="0"/>
              <w:rPr>
                <w:sz w:val="12"/>
                <w:szCs w:val="12"/>
                <w:color w:val="auto"/>
              </w:rPr>
            </w:pPr>
          </w:p>
        </w:tc>
        <w:tc>
          <w:tcPr>
            <w:tcW w:w="12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940" w:type="dxa"/>
            <w:vAlign w:val="bottom"/>
            <w:tcBorders>
              <w:bottom w:val="single" w:sz="8" w:color="7F7F7F"/>
            </w:tcBorders>
          </w:tcPr>
          <w:p>
            <w:pPr>
              <w:spacing w:after="0"/>
              <w:rPr>
                <w:sz w:val="12"/>
                <w:szCs w:val="12"/>
                <w:color w:val="auto"/>
              </w:rPr>
            </w:pPr>
          </w:p>
        </w:tc>
        <w:tc>
          <w:tcPr>
            <w:tcW w:w="860" w:type="dxa"/>
            <w:vAlign w:val="bottom"/>
            <w:tcBorders>
              <w:bottom w:val="single" w:sz="8" w:color="7F7F7F"/>
            </w:tcBorders>
          </w:tcPr>
          <w:p>
            <w:pPr>
              <w:spacing w:after="0"/>
              <w:rPr>
                <w:sz w:val="12"/>
                <w:szCs w:val="12"/>
                <w:color w:val="auto"/>
              </w:rPr>
            </w:pPr>
          </w:p>
        </w:tc>
        <w:tc>
          <w:tcPr>
            <w:tcW w:w="940" w:type="dxa"/>
            <w:vAlign w:val="bottom"/>
            <w:tcBorders>
              <w:bottom w:val="single" w:sz="8" w:color="7F7F7F"/>
            </w:tcBorders>
          </w:tcPr>
          <w:p>
            <w:pPr>
              <w:spacing w:after="0"/>
              <w:rPr>
                <w:sz w:val="12"/>
                <w:szCs w:val="12"/>
                <w:color w:val="auto"/>
              </w:rPr>
            </w:pPr>
          </w:p>
        </w:tc>
        <w:tc>
          <w:tcPr>
            <w:tcW w:w="100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shd w:val="clear" w:color="auto" w:fill="CCEEFF"/>
          </w:tcPr>
          <w:p>
            <w:pPr>
              <w:spacing w:after="0"/>
              <w:rPr>
                <w:sz w:val="12"/>
                <w:szCs w:val="12"/>
                <w:color w:val="auto"/>
              </w:rPr>
            </w:pPr>
          </w:p>
        </w:tc>
        <w:tc>
          <w:tcPr>
            <w:tcW w:w="210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7F7F7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225,857</w:t>
            </w:r>
            <w:r>
              <w:rPr>
                <w:rFonts w:ascii="Times New Roman" w:cs="Times New Roman" w:eastAsia="Times New Roman" w:hAnsi="Times New Roman"/>
                <w:sz w:val="12"/>
                <w:szCs w:val="12"/>
                <w:color w:val="auto"/>
              </w:rPr>
              <w:t>(3)</w:t>
            </w:r>
          </w:p>
        </w:tc>
        <w:tc>
          <w:tcPr>
            <w:tcW w:w="7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56.235</w:t>
            </w:r>
          </w:p>
        </w:tc>
        <w:tc>
          <w:tcPr>
            <w:tcW w:w="92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11/10/2019</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94,084</w:t>
            </w:r>
          </w:p>
        </w:tc>
        <w:tc>
          <w:tcPr>
            <w:tcW w:w="10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13,342,993</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rPr>
                <w:sz w:val="12"/>
                <w:szCs w:val="12"/>
                <w:color w:val="auto"/>
              </w:rPr>
            </w:pPr>
          </w:p>
        </w:tc>
        <w:tc>
          <w:tcPr>
            <w:tcW w:w="210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59,106</w:t>
            </w:r>
          </w:p>
        </w:tc>
        <w:tc>
          <w:tcPr>
            <w:tcW w:w="1220" w:type="dxa"/>
            <w:vAlign w:val="bottom"/>
            <w:tcBorders>
              <w:bottom w:val="single" w:sz="8" w:color="7F7F7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177,321</w:t>
            </w:r>
            <w:r>
              <w:rPr>
                <w:rFonts w:ascii="Times New Roman" w:cs="Times New Roman" w:eastAsia="Times New Roman" w:hAnsi="Times New Roman"/>
                <w:sz w:val="12"/>
                <w:szCs w:val="12"/>
                <w:color w:val="auto"/>
              </w:rPr>
              <w:t>(4)</w:t>
            </w:r>
          </w:p>
        </w:tc>
        <w:tc>
          <w:tcPr>
            <w:tcW w:w="7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54.635</w:t>
            </w:r>
          </w:p>
        </w:tc>
        <w:tc>
          <w:tcPr>
            <w:tcW w:w="92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11/10/2019</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shd w:val="clear" w:color="auto" w:fill="CCEEFF"/>
          </w:tcPr>
          <w:p>
            <w:pPr>
              <w:spacing w:after="0"/>
              <w:rPr>
                <w:sz w:val="12"/>
                <w:szCs w:val="12"/>
                <w:color w:val="auto"/>
              </w:rPr>
            </w:pPr>
          </w:p>
        </w:tc>
        <w:tc>
          <w:tcPr>
            <w:tcW w:w="210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140,448</w:t>
            </w:r>
          </w:p>
        </w:tc>
        <w:tc>
          <w:tcPr>
            <w:tcW w:w="1220" w:type="dxa"/>
            <w:vAlign w:val="bottom"/>
            <w:tcBorders>
              <w:bottom w:val="single" w:sz="8" w:color="7F7F7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140,451</w:t>
            </w:r>
            <w:r>
              <w:rPr>
                <w:rFonts w:ascii="Times New Roman" w:cs="Times New Roman" w:eastAsia="Times New Roman" w:hAnsi="Times New Roman"/>
                <w:sz w:val="12"/>
                <w:szCs w:val="12"/>
                <w:color w:val="auto"/>
              </w:rPr>
              <w:t>(5)</w:t>
            </w:r>
          </w:p>
        </w:tc>
        <w:tc>
          <w:tcPr>
            <w:tcW w:w="7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41.37</w:t>
            </w:r>
          </w:p>
        </w:tc>
        <w:tc>
          <w:tcPr>
            <w:tcW w:w="92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11/10/2019</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rPr>
                <w:sz w:val="12"/>
                <w:szCs w:val="12"/>
                <w:color w:val="auto"/>
              </w:rPr>
            </w:pPr>
          </w:p>
        </w:tc>
        <w:tc>
          <w:tcPr>
            <w:tcW w:w="210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282,775</w:t>
            </w:r>
          </w:p>
        </w:tc>
        <w:tc>
          <w:tcPr>
            <w:tcW w:w="1220" w:type="dxa"/>
            <w:vAlign w:val="bottom"/>
            <w:tcBorders>
              <w:bottom w:val="single" w:sz="8" w:color="7F7F7F"/>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36.885</w:t>
            </w:r>
          </w:p>
        </w:tc>
        <w:tc>
          <w:tcPr>
            <w:tcW w:w="920" w:type="dxa"/>
            <w:vAlign w:val="bottom"/>
            <w:tcBorders>
              <w:bottom w:val="single" w:sz="8" w:color="7F7F7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11/10/2019</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7F7F7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7F7F7F"/>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auto"/>
            </w:tcBorders>
            <w:shd w:val="clear" w:color="auto" w:fill="CCEEFF"/>
          </w:tcPr>
          <w:p>
            <w:pPr>
              <w:spacing w:after="0"/>
              <w:rPr>
                <w:sz w:val="12"/>
                <w:szCs w:val="12"/>
                <w:color w:val="auto"/>
              </w:rPr>
            </w:pPr>
          </w:p>
        </w:tc>
        <w:tc>
          <w:tcPr>
            <w:tcW w:w="21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218,881</w:t>
            </w:r>
          </w:p>
        </w:tc>
        <w:tc>
          <w:tcPr>
            <w:tcW w:w="122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34.935</w:t>
            </w:r>
          </w:p>
        </w:tc>
        <w:tc>
          <w:tcPr>
            <w:tcW w:w="9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11/10/2019</w:t>
            </w:r>
          </w:p>
        </w:tc>
        <w:tc>
          <w:tcPr>
            <w:tcW w:w="9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Values are based on the closing price of the Company’s Common Stock on December 31, 2016 of $70.91.</w:t>
      </w:r>
    </w:p>
    <w:p>
      <w:pPr>
        <w:spacing w:after="0" w:line="109" w:lineRule="exact"/>
        <w:rPr>
          <w:rFonts w:ascii="Times New Roman" w:cs="Times New Roman" w:eastAsia="Times New Roman" w:hAnsi="Times New Roman"/>
          <w:sz w:val="14"/>
          <w:szCs w:val="14"/>
          <w:color w:val="auto"/>
        </w:rPr>
      </w:pPr>
    </w:p>
    <w:p>
      <w:pPr>
        <w:ind w:left="340" w:right="740" w:hanging="332"/>
        <w:spacing w:after="0" w:line="262"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vested stock options granted on March 9, 2012, March 8, 2013 and March 7, 2014 pursuant to our 2009 Stock Incentive Plan, as well as vested stock options granted on February 25, 2015 pursuant to our 2014 Stock Incentive Plan.</w:t>
      </w:r>
    </w:p>
    <w:p>
      <w:pPr>
        <w:spacing w:after="0" w:line="6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options granted on February 26, 2016 that vest 25% on the first and second anniversary of the date of grant and 50% on the third anniversary of the date of grant.</w:t>
      </w:r>
    </w:p>
    <w:p>
      <w:pPr>
        <w:spacing w:after="0" w:line="109" w:lineRule="exact"/>
        <w:rPr>
          <w:rFonts w:ascii="Times New Roman" w:cs="Times New Roman" w:eastAsia="Times New Roman" w:hAnsi="Times New Roman"/>
          <w:sz w:val="14"/>
          <w:szCs w:val="14"/>
          <w:color w:val="auto"/>
        </w:rPr>
      </w:pPr>
    </w:p>
    <w:p>
      <w:pPr>
        <w:ind w:left="340" w:right="100" w:hanging="332"/>
        <w:spacing w:after="0" w:line="262"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options granted on February 25, 2015 that vested 25% on the first anniversary of the date of grant. An additional 25% will vest on the second anniversary of the date of grant and 50% will vest on the third anniversary of the date of grant.</w:t>
      </w:r>
    </w:p>
    <w:p>
      <w:pPr>
        <w:spacing w:after="0" w:line="67" w:lineRule="exact"/>
        <w:rPr>
          <w:rFonts w:ascii="Times New Roman" w:cs="Times New Roman" w:eastAsia="Times New Roman" w:hAnsi="Times New Roman"/>
          <w:sz w:val="14"/>
          <w:szCs w:val="14"/>
          <w:color w:val="auto"/>
        </w:rPr>
      </w:pPr>
    </w:p>
    <w:p>
      <w:pPr>
        <w:ind w:left="340" w:right="40" w:hanging="332"/>
        <w:spacing w:after="0" w:line="262"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options granted on March 7, 2014 that vested 25% on the first and second anniversary of the date of grant. The remaining 50% will vest on the third anniversary of the date of grant.</w:t>
      </w:r>
    </w:p>
    <w:p>
      <w:pPr>
        <w:spacing w:after="0" w:line="67" w:lineRule="exact"/>
        <w:rPr>
          <w:rFonts w:ascii="Times New Roman" w:cs="Times New Roman" w:eastAsia="Times New Roman" w:hAnsi="Times New Roman"/>
          <w:sz w:val="14"/>
          <w:szCs w:val="14"/>
          <w:color w:val="auto"/>
        </w:rPr>
      </w:pPr>
    </w:p>
    <w:p>
      <w:pPr>
        <w:ind w:left="340" w:right="220" w:hanging="332"/>
        <w:spacing w:after="0" w:line="262"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stock units granted under our 2014 Stock Incentive Plan to Mr. Fish following his promotion to President and Chief Executive Officer. One-third of the restricted stock units vest on each of the first, second and third anniversaries of the date of grant.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line="228" w:lineRule="auto"/>
        <w:tabs>
          <w:tab w:leader="none" w:pos="3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performance share units with three-year performance periods ending December 31, 2017 and December 31, 2018. Payouts on performance share units are made after the Company’s financial results for the performance period are reported and the MD&amp;C Committee determines achievement of performance results and corresponding vesting, typically in mid to late February of the succeeding year. The performance share units for the performance period ended on December 31, 2016 are not included in the table as they are considered earned as of December 31, 2016 for proxy statement disclosure purposes; instead, such performance share units are included in the Option Exercises and Stock Vested table below. Pursuant to SEC disclosure instructions, because the Company’s performance on the metrics governing our performance share units with the performance period ended on December 31, 2016 exceeded target, the payout value of unearned awards is calculated assuming maximum performance criteria is achieved. The following number of performance share units have a performance period ending on December 31, 2017: Mr. Fish – 26,038; Mr. Trevathan – 26,038; Mr. Harris – 21,736; Mr. Morris – 21,736 and Mr. Steiner (after proration upon his departure from the Company) – 63,214. The following number of performance share units have a performance period ending December 31, 2018: Mr. Fish – 25,926; Mr. Trevathan – 25,926; Mr. Harris – 22,222; Mr. Morris – 22,222 and Mr. Steiner (after proration upon his departure from the Company) – 30,870.</w:t>
      </w:r>
    </w:p>
    <w:p>
      <w:pPr>
        <w:spacing w:after="0" w:line="8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Company’s separation agreement with Mr. Steiner, all of his outstanding stock options will expire three years from his last day of employment.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80" w:type="dxa"/>
            <w:vAlign w:val="bottom"/>
          </w:tcPr>
          <w:p>
            <w:pPr>
              <w:spacing w:after="0"/>
              <w:rPr>
                <w:sz w:val="15"/>
                <w:szCs w:val="15"/>
                <w:color w:val="auto"/>
              </w:rPr>
            </w:pPr>
          </w:p>
        </w:tc>
        <w:tc>
          <w:tcPr>
            <w:tcW w:w="3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20" w:type="dxa"/>
            <w:vAlign w:val="bottom"/>
          </w:tcPr>
          <w:p>
            <w:pPr>
              <w:spacing w:after="0"/>
              <w:rPr>
                <w:sz w:val="15"/>
                <w:szCs w:val="15"/>
                <w:color w:val="auto"/>
              </w:rPr>
            </w:pPr>
          </w:p>
        </w:tc>
        <w:tc>
          <w:tcPr>
            <w:tcW w:w="27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80" w:type="dxa"/>
            <w:vAlign w:val="bottom"/>
          </w:tcPr>
          <w:p>
            <w:pPr>
              <w:jc w:val="right"/>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2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2760" w:type="dxa"/>
            <w:vAlign w:val="bottom"/>
          </w:tcPr>
          <w:p>
            <w:pPr>
              <w:jc w:val="right"/>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80" w:type="dxa"/>
            <w:vAlign w:val="bottom"/>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73"/>
        </w:trPr>
        <w:tc>
          <w:tcPr>
            <w:tcW w:w="2180" w:type="dxa"/>
            <w:vAlign w:val="bottom"/>
            <w:vMerge w:val="continue"/>
          </w:tcPr>
          <w:p>
            <w:pPr>
              <w:spacing w:after="0"/>
              <w:rPr>
                <w:sz w:val="15"/>
                <w:szCs w:val="15"/>
                <w:color w:val="auto"/>
              </w:rPr>
            </w:pPr>
          </w:p>
        </w:tc>
        <w:tc>
          <w:tcPr>
            <w:tcW w:w="318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Acquired on Exercise (#)</w:t>
            </w:r>
          </w:p>
        </w:tc>
        <w:tc>
          <w:tcPr>
            <w:tcW w:w="16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276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Acquired on Vesting (#)</w:t>
            </w:r>
            <w:r>
              <w:rPr>
                <w:rFonts w:ascii="Times New Roman" w:cs="Times New Roman" w:eastAsia="Times New Roman" w:hAnsi="Times New Roman"/>
                <w:sz w:val="12"/>
                <w:szCs w:val="12"/>
                <w:b w:val="1"/>
                <w:bCs w:val="1"/>
                <w:color w:val="auto"/>
              </w:rPr>
              <w:t>(1)</w:t>
            </w:r>
          </w:p>
        </w:tc>
        <w:tc>
          <w:tcPr>
            <w:tcW w:w="16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0" w:type="dxa"/>
            <w:vAlign w:val="bottom"/>
          </w:tcPr>
          <w:p>
            <w:pPr>
              <w:spacing w:after="0"/>
              <w:rPr>
                <w:sz w:val="1"/>
                <w:szCs w:val="1"/>
                <w:color w:val="auto"/>
              </w:rPr>
            </w:pPr>
          </w:p>
        </w:tc>
      </w:tr>
      <w:tr>
        <w:trPr>
          <w:trHeight w:val="149"/>
        </w:trPr>
        <w:tc>
          <w:tcPr>
            <w:tcW w:w="2180" w:type="dxa"/>
            <w:vAlign w:val="bottom"/>
            <w:tcBorders>
              <w:bottom w:val="single" w:sz="8" w:color="7F7F7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James C. Fish, Jr.</w:t>
            </w:r>
          </w:p>
        </w:tc>
        <w:tc>
          <w:tcPr>
            <w:tcW w:w="3180" w:type="dxa"/>
            <w:vAlign w:val="bottom"/>
            <w:tcBorders>
              <w:bottom w:val="single" w:sz="8" w:color="7F7F7F"/>
            </w:tcBorders>
            <w:shd w:val="clear" w:color="auto" w:fill="CCEEFF"/>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rPr>
              <w:t>88,708</w:t>
            </w:r>
            <w:r>
              <w:rPr>
                <w:rFonts w:ascii="Times New Roman" w:cs="Times New Roman" w:eastAsia="Times New Roman" w:hAnsi="Times New Roman"/>
                <w:sz w:val="12"/>
                <w:szCs w:val="12"/>
                <w:color w:val="auto"/>
              </w:rPr>
              <w:t>(2)</w:t>
            </w:r>
          </w:p>
        </w:tc>
        <w:tc>
          <w:tcPr>
            <w:tcW w:w="1620" w:type="dxa"/>
            <w:vAlign w:val="bottom"/>
            <w:tcBorders>
              <w:bottom w:val="single" w:sz="8" w:color="7F7F7F"/>
            </w:tcBorders>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1,957,627</w:t>
            </w:r>
          </w:p>
        </w:tc>
        <w:tc>
          <w:tcPr>
            <w:tcW w:w="2760" w:type="dxa"/>
            <w:vAlign w:val="bottom"/>
            <w:tcBorders>
              <w:bottom w:val="single" w:sz="8" w:color="7F7F7F"/>
            </w:tcBorders>
            <w:shd w:val="clear" w:color="auto" w:fill="CCEEFF"/>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rPr>
              <w:t>55,816</w:t>
            </w:r>
          </w:p>
        </w:tc>
        <w:tc>
          <w:tcPr>
            <w:tcW w:w="1680" w:type="dxa"/>
            <w:vAlign w:val="bottom"/>
            <w:tcBorders>
              <w:bottom w:val="single" w:sz="8" w:color="7F7F7F"/>
            </w:tcBorders>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3,928,888</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James E. Trevathan, Jr.</w:t>
            </w:r>
          </w:p>
        </w:tc>
        <w:tc>
          <w:tcPr>
            <w:tcW w:w="3180" w:type="dxa"/>
            <w:vAlign w:val="bottom"/>
            <w:tcBorders>
              <w:bottom w:val="single" w:sz="8" w:color="7F7F7F"/>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7F7F7F"/>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760" w:type="dxa"/>
            <w:vAlign w:val="bottom"/>
            <w:tcBorders>
              <w:bottom w:val="single" w:sz="8" w:color="7F7F7F"/>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rPr>
              <w:t>55,816</w:t>
            </w:r>
          </w:p>
        </w:tc>
        <w:tc>
          <w:tcPr>
            <w:tcW w:w="1680" w:type="dxa"/>
            <w:vAlign w:val="bottom"/>
            <w:tcBorders>
              <w:bottom w:val="single" w:sz="8" w:color="7F7F7F"/>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3,928,888</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Jeff M. Harris</w:t>
            </w:r>
          </w:p>
        </w:tc>
        <w:tc>
          <w:tcPr>
            <w:tcW w:w="3180" w:type="dxa"/>
            <w:vAlign w:val="bottom"/>
            <w:tcBorders>
              <w:bottom w:val="single" w:sz="8" w:color="7F7F7F"/>
            </w:tcBorders>
            <w:shd w:val="clear" w:color="auto" w:fill="CCEEFF"/>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rPr>
              <w:t>77,253</w:t>
            </w:r>
            <w:r>
              <w:rPr>
                <w:rFonts w:ascii="Times New Roman" w:cs="Times New Roman" w:eastAsia="Times New Roman" w:hAnsi="Times New Roman"/>
                <w:sz w:val="12"/>
                <w:szCs w:val="12"/>
                <w:color w:val="auto"/>
              </w:rPr>
              <w:t>(3)</w:t>
            </w:r>
          </w:p>
        </w:tc>
        <w:tc>
          <w:tcPr>
            <w:tcW w:w="1620" w:type="dxa"/>
            <w:vAlign w:val="bottom"/>
            <w:tcBorders>
              <w:bottom w:val="single" w:sz="8" w:color="7F7F7F"/>
            </w:tcBorders>
            <w:shd w:val="clear" w:color="auto" w:fill="CCEEFF"/>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1,670,539</w:t>
            </w:r>
          </w:p>
        </w:tc>
        <w:tc>
          <w:tcPr>
            <w:tcW w:w="2760" w:type="dxa"/>
            <w:vAlign w:val="bottom"/>
            <w:tcBorders>
              <w:bottom w:val="single" w:sz="8" w:color="7F7F7F"/>
            </w:tcBorders>
            <w:shd w:val="clear" w:color="auto" w:fill="CCEEFF"/>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rPr>
              <w:t>44,652</w:t>
            </w:r>
          </w:p>
        </w:tc>
        <w:tc>
          <w:tcPr>
            <w:tcW w:w="1680" w:type="dxa"/>
            <w:vAlign w:val="bottom"/>
            <w:tcBorders>
              <w:bottom w:val="single" w:sz="8" w:color="7F7F7F"/>
            </w:tcBorders>
            <w:shd w:val="clear" w:color="auto" w:fill="CCEEFF"/>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3,143,054</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John J. Morris, Jr.</w:t>
            </w:r>
          </w:p>
        </w:tc>
        <w:tc>
          <w:tcPr>
            <w:tcW w:w="3180" w:type="dxa"/>
            <w:vAlign w:val="bottom"/>
            <w:tcBorders>
              <w:bottom w:val="single" w:sz="8" w:color="7F7F7F"/>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rPr>
              <w:t>33,914</w:t>
            </w:r>
            <w:r>
              <w:rPr>
                <w:rFonts w:ascii="Times New Roman" w:cs="Times New Roman" w:eastAsia="Times New Roman" w:hAnsi="Times New Roman"/>
                <w:sz w:val="12"/>
                <w:szCs w:val="12"/>
                <w:color w:val="auto"/>
              </w:rPr>
              <w:t>(4)</w:t>
            </w:r>
          </w:p>
        </w:tc>
        <w:tc>
          <w:tcPr>
            <w:tcW w:w="1620" w:type="dxa"/>
            <w:vAlign w:val="bottom"/>
            <w:tcBorders>
              <w:bottom w:val="single" w:sz="8" w:color="7F7F7F"/>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708,997</w:t>
            </w:r>
          </w:p>
        </w:tc>
        <w:tc>
          <w:tcPr>
            <w:tcW w:w="2760" w:type="dxa"/>
            <w:vAlign w:val="bottom"/>
            <w:tcBorders>
              <w:bottom w:val="single" w:sz="8" w:color="7F7F7F"/>
            </w:tcBorders>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rPr>
              <w:t>44,652</w:t>
            </w:r>
          </w:p>
        </w:tc>
        <w:tc>
          <w:tcPr>
            <w:tcW w:w="1680" w:type="dxa"/>
            <w:vAlign w:val="bottom"/>
            <w:tcBorders>
              <w:bottom w:val="single" w:sz="8" w:color="7F7F7F"/>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3,143,054</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David P. Steiner</w:t>
            </w:r>
          </w:p>
        </w:tc>
        <w:tc>
          <w:tcPr>
            <w:tcW w:w="3180" w:type="dxa"/>
            <w:vAlign w:val="bottom"/>
            <w:tcBorders>
              <w:bottom w:val="single" w:sz="8" w:color="auto"/>
            </w:tcBorders>
            <w:shd w:val="clear" w:color="auto" w:fill="CCEEFF"/>
          </w:tcPr>
          <w:p>
            <w:pPr>
              <w:jc w:val="right"/>
              <w:ind w:right="608"/>
              <w:spacing w:after="0" w:line="142" w:lineRule="exact"/>
              <w:rPr>
                <w:sz w:val="20"/>
                <w:szCs w:val="20"/>
                <w:color w:val="auto"/>
              </w:rPr>
            </w:pPr>
            <w:r>
              <w:rPr>
                <w:rFonts w:ascii="Times New Roman" w:cs="Times New Roman" w:eastAsia="Times New Roman" w:hAnsi="Times New Roman"/>
                <w:sz w:val="14"/>
                <w:szCs w:val="14"/>
                <w:color w:val="auto"/>
              </w:rPr>
              <w:t>914,341</w:t>
            </w:r>
            <w:r>
              <w:rPr>
                <w:rFonts w:ascii="Times New Roman" w:cs="Times New Roman" w:eastAsia="Times New Roman" w:hAnsi="Times New Roman"/>
                <w:sz w:val="12"/>
                <w:szCs w:val="12"/>
                <w:color w:val="auto"/>
              </w:rPr>
              <w:t>(5)</w:t>
            </w:r>
          </w:p>
        </w:tc>
        <w:tc>
          <w:tcPr>
            <w:tcW w:w="1620" w:type="dxa"/>
            <w:vAlign w:val="bottom"/>
            <w:tcBorders>
              <w:bottom w:val="single" w:sz="8" w:color="auto"/>
            </w:tcBorders>
            <w:shd w:val="clear" w:color="auto" w:fill="CCEEFF"/>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26,994,615</w:t>
            </w:r>
          </w:p>
        </w:tc>
        <w:tc>
          <w:tcPr>
            <w:tcW w:w="2760" w:type="dxa"/>
            <w:vAlign w:val="bottom"/>
            <w:tcBorders>
              <w:bottom w:val="single" w:sz="8" w:color="auto"/>
            </w:tcBorders>
            <w:shd w:val="clear" w:color="auto" w:fill="CCEEFF"/>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rPr>
              <w:t>221,740</w:t>
            </w:r>
          </w:p>
        </w:tc>
        <w:tc>
          <w:tcPr>
            <w:tcW w:w="1680" w:type="dxa"/>
            <w:vAlign w:val="bottom"/>
            <w:tcBorders>
              <w:bottom w:val="single" w:sz="8" w:color="auto"/>
            </w:tcBorders>
            <w:shd w:val="clear" w:color="auto" w:fill="CCEEFF"/>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rPr>
              <w:t>15,608,279</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140" w:hanging="332"/>
        <w:spacing w:after="0" w:line="236" w:lineRule="auto"/>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the Company’s Common Stock issued on account of performance share units granted in 2014 with a performance period ended December 31, 2016. The determination of achievement of performance results and corresponding vesting of such performance share units was performed by the MD&amp;C Committee in February 2017. Following such determination, shares of the Company’s Common Stock earned under this award were issued on February 16, 2017, based on the average of the high and low market price of the Company’s Common Stock on that date.</w:t>
      </w:r>
    </w:p>
    <w:p>
      <w:pPr>
        <w:spacing w:after="0" w:line="8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Fish received 19,256 net shares, after payment of option costs and tax withholding.</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Harris received 14,326 net shares, after payment of option costs and tax withholding.</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Morris received 6,909 net shares, after payment of option costs and tax withholding.</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Steiner received 239,878 net shares, after payment of option costs and tax withholding.</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in 2016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13"/>
                <w:szCs w:val="13"/>
                <w:color w:val="auto"/>
              </w:rPr>
            </w:pPr>
          </w:p>
        </w:tc>
        <w:tc>
          <w:tcPr>
            <w:tcW w:w="248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1480" w:type="dxa"/>
            <w:vAlign w:val="bottom"/>
          </w:tcPr>
          <w:p>
            <w:pPr>
              <w:jc w:val="right"/>
              <w:ind w:right="248"/>
              <w:spacing w:after="0" w:line="160"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280" w:type="dxa"/>
            <w:vAlign w:val="bottom"/>
          </w:tcPr>
          <w:p>
            <w:pPr>
              <w:jc w:val="right"/>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7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48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4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in Last</w:t>
            </w:r>
          </w:p>
        </w:tc>
        <w:tc>
          <w:tcPr>
            <w:tcW w:w="12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in Last</w:t>
            </w:r>
          </w:p>
        </w:tc>
        <w:tc>
          <w:tcPr>
            <w:tcW w:w="174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8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in Last Fiscal</w:t>
            </w:r>
          </w:p>
        </w:tc>
        <w:tc>
          <w:tcPr>
            <w:tcW w:w="14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Fiscal Year</w:t>
            </w:r>
          </w:p>
        </w:tc>
        <w:tc>
          <w:tcPr>
            <w:tcW w:w="12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7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176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at Last Fiscal</w:t>
            </w:r>
          </w:p>
        </w:tc>
        <w:tc>
          <w:tcPr>
            <w:tcW w:w="0" w:type="dxa"/>
            <w:vAlign w:val="bottom"/>
          </w:tcPr>
          <w:p>
            <w:pPr>
              <w:spacing w:after="0"/>
              <w:rPr>
                <w:sz w:val="1"/>
                <w:szCs w:val="1"/>
                <w:color w:val="auto"/>
              </w:rPr>
            </w:pPr>
          </w:p>
        </w:tc>
      </w:tr>
      <w:tr>
        <w:trPr>
          <w:trHeight w:val="176"/>
        </w:trPr>
        <w:tc>
          <w:tcPr>
            <w:tcW w:w="2680" w:type="dxa"/>
            <w:vAlign w:val="bottom"/>
            <w:vMerge w:val="continue"/>
          </w:tcPr>
          <w:p>
            <w:pPr>
              <w:spacing w:after="0"/>
              <w:rPr>
                <w:sz w:val="15"/>
                <w:szCs w:val="15"/>
                <w:color w:val="auto"/>
              </w:rPr>
            </w:pPr>
          </w:p>
        </w:tc>
        <w:tc>
          <w:tcPr>
            <w:tcW w:w="24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w:t>
            </w:r>
            <w:r>
              <w:rPr>
                <w:rFonts w:ascii="Times New Roman" w:cs="Times New Roman" w:eastAsia="Times New Roman" w:hAnsi="Times New Roman"/>
                <w:sz w:val="12"/>
                <w:szCs w:val="12"/>
                <w:b w:val="1"/>
                <w:bCs w:val="1"/>
                <w:color w:val="auto"/>
              </w:rPr>
              <w:t>(1)</w:t>
            </w:r>
          </w:p>
        </w:tc>
        <w:tc>
          <w:tcPr>
            <w:tcW w:w="14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w:t>
            </w:r>
            <w:r>
              <w:rPr>
                <w:rFonts w:ascii="Times New Roman" w:cs="Times New Roman" w:eastAsia="Times New Roman" w:hAnsi="Times New Roman"/>
                <w:sz w:val="12"/>
                <w:szCs w:val="12"/>
                <w:b w:val="1"/>
                <w:bCs w:val="1"/>
                <w:color w:val="auto"/>
              </w:rPr>
              <w:t>(3)</w:t>
            </w:r>
          </w:p>
        </w:tc>
        <w:tc>
          <w:tcPr>
            <w:tcW w:w="17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Distributions ($)</w:t>
            </w:r>
            <w:r>
              <w:rPr>
                <w:rFonts w:ascii="Times New Roman" w:cs="Times New Roman" w:eastAsia="Times New Roman" w:hAnsi="Times New Roman"/>
                <w:sz w:val="12"/>
                <w:szCs w:val="12"/>
                <w:b w:val="1"/>
                <w:bCs w:val="1"/>
                <w:color w:val="auto"/>
              </w:rPr>
              <w:t>(4)</w:t>
            </w:r>
          </w:p>
        </w:tc>
        <w:tc>
          <w:tcPr>
            <w:tcW w:w="17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 ($)</w:t>
            </w:r>
            <w:r>
              <w:rPr>
                <w:rFonts w:ascii="Times New Roman" w:cs="Times New Roman" w:eastAsia="Times New Roman" w:hAnsi="Times New Roman"/>
                <w:sz w:val="12"/>
                <w:szCs w:val="12"/>
                <w:b w:val="1"/>
                <w:bCs w:val="1"/>
                <w:color w:val="auto"/>
              </w:rPr>
              <w:t>(5)</w:t>
            </w:r>
          </w:p>
        </w:tc>
        <w:tc>
          <w:tcPr>
            <w:tcW w:w="0" w:type="dxa"/>
            <w:vAlign w:val="bottom"/>
          </w:tcPr>
          <w:p>
            <w:pPr>
              <w:spacing w:after="0"/>
              <w:rPr>
                <w:sz w:val="1"/>
                <w:szCs w:val="1"/>
                <w:color w:val="auto"/>
              </w:rPr>
            </w:pPr>
          </w:p>
        </w:tc>
      </w:tr>
      <w:tr>
        <w:trPr>
          <w:trHeight w:val="149"/>
        </w:trPr>
        <w:tc>
          <w:tcPr>
            <w:tcW w:w="2680" w:type="dxa"/>
            <w:vAlign w:val="bottom"/>
            <w:tcBorders>
              <w:bottom w:val="single" w:sz="8" w:color="7F7F7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James C. Fish, Jr.</w:t>
            </w:r>
          </w:p>
        </w:tc>
        <w:tc>
          <w:tcPr>
            <w:tcW w:w="2480" w:type="dxa"/>
            <w:vAlign w:val="bottom"/>
            <w:tcBorders>
              <w:bottom w:val="single" w:sz="8" w:color="7F7F7F"/>
            </w:tcBorders>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2,321,963</w:t>
            </w:r>
          </w:p>
        </w:tc>
        <w:tc>
          <w:tcPr>
            <w:tcW w:w="1480" w:type="dxa"/>
            <w:vAlign w:val="bottom"/>
            <w:tcBorders>
              <w:bottom w:val="single" w:sz="8" w:color="7F7F7F"/>
            </w:tcBorders>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46,268</w:t>
            </w:r>
          </w:p>
        </w:tc>
        <w:tc>
          <w:tcPr>
            <w:tcW w:w="1280" w:type="dxa"/>
            <w:vAlign w:val="bottom"/>
            <w:tcBorders>
              <w:bottom w:val="single" w:sz="8" w:color="7F7F7F"/>
            </w:tcBorders>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851,630</w:t>
            </w:r>
          </w:p>
        </w:tc>
        <w:tc>
          <w:tcPr>
            <w:tcW w:w="1740" w:type="dxa"/>
            <w:vAlign w:val="bottom"/>
            <w:tcBorders>
              <w:bottom w:val="single" w:sz="8" w:color="7F7F7F"/>
            </w:tcBorders>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70,507</w:t>
            </w:r>
          </w:p>
        </w:tc>
        <w:tc>
          <w:tcPr>
            <w:tcW w:w="1760" w:type="dxa"/>
            <w:vAlign w:val="bottom"/>
            <w:tcBorders>
              <w:bottom w:val="single" w:sz="8" w:color="7F7F7F"/>
            </w:tcBorders>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3,632,981</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James E. Trevathan, Jr.</w:t>
            </w:r>
          </w:p>
        </w:tc>
        <w:tc>
          <w:tcPr>
            <w:tcW w:w="2480" w:type="dxa"/>
            <w:vAlign w:val="bottom"/>
            <w:tcBorders>
              <w:bottom w:val="single" w:sz="8" w:color="7F7F7F"/>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62,984</w:t>
            </w:r>
          </w:p>
        </w:tc>
        <w:tc>
          <w:tcPr>
            <w:tcW w:w="1480" w:type="dxa"/>
            <w:vAlign w:val="bottom"/>
            <w:tcBorders>
              <w:bottom w:val="single" w:sz="8" w:color="7F7F7F"/>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49,687</w:t>
            </w:r>
          </w:p>
        </w:tc>
        <w:tc>
          <w:tcPr>
            <w:tcW w:w="1280" w:type="dxa"/>
            <w:vAlign w:val="bottom"/>
            <w:tcBorders>
              <w:bottom w:val="single" w:sz="8" w:color="7F7F7F"/>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109,969</w:t>
            </w:r>
          </w:p>
        </w:tc>
        <w:tc>
          <w:tcPr>
            <w:tcW w:w="1740" w:type="dxa"/>
            <w:vAlign w:val="bottom"/>
            <w:tcBorders>
              <w:bottom w:val="single" w:sz="8" w:color="7F7F7F"/>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4,443</w:t>
            </w:r>
          </w:p>
        </w:tc>
        <w:tc>
          <w:tcPr>
            <w:tcW w:w="1760" w:type="dxa"/>
            <w:vAlign w:val="bottom"/>
            <w:tcBorders>
              <w:bottom w:val="single" w:sz="8" w:color="7F7F7F"/>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3,576,899</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Jeff M. Harris</w:t>
            </w:r>
          </w:p>
        </w:tc>
        <w:tc>
          <w:tcPr>
            <w:tcW w:w="2480" w:type="dxa"/>
            <w:vAlign w:val="bottom"/>
            <w:tcBorders>
              <w:bottom w:val="single" w:sz="8" w:color="7F7F7F"/>
            </w:tcBorders>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120,341</w:t>
            </w:r>
          </w:p>
        </w:tc>
        <w:tc>
          <w:tcPr>
            <w:tcW w:w="148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41,016</w:t>
            </w:r>
          </w:p>
        </w:tc>
        <w:tc>
          <w:tcPr>
            <w:tcW w:w="128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36,009</w:t>
            </w:r>
          </w:p>
        </w:tc>
        <w:tc>
          <w:tcPr>
            <w:tcW w:w="174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728,503</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7F7F7F"/>
            </w:tcBorders>
          </w:tcPr>
          <w:p>
            <w:pPr>
              <w:spacing w:after="0" w:line="142" w:lineRule="exact"/>
              <w:rPr>
                <w:sz w:val="20"/>
                <w:szCs w:val="20"/>
                <w:color w:val="auto"/>
              </w:rPr>
            </w:pPr>
            <w:r>
              <w:rPr>
                <w:rFonts w:ascii="Times New Roman" w:cs="Times New Roman" w:eastAsia="Times New Roman" w:hAnsi="Times New Roman"/>
                <w:sz w:val="14"/>
                <w:szCs w:val="14"/>
                <w:color w:val="auto"/>
              </w:rPr>
              <w:t>John J. Morris, Jr.</w:t>
            </w:r>
          </w:p>
        </w:tc>
        <w:tc>
          <w:tcPr>
            <w:tcW w:w="2480" w:type="dxa"/>
            <w:vAlign w:val="bottom"/>
            <w:tcBorders>
              <w:bottom w:val="single" w:sz="8" w:color="7F7F7F"/>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49,160</w:t>
            </w:r>
          </w:p>
        </w:tc>
        <w:tc>
          <w:tcPr>
            <w:tcW w:w="1480" w:type="dxa"/>
            <w:vAlign w:val="bottom"/>
            <w:tcBorders>
              <w:bottom w:val="single" w:sz="8" w:color="7F7F7F"/>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39,506</w:t>
            </w:r>
          </w:p>
        </w:tc>
        <w:tc>
          <w:tcPr>
            <w:tcW w:w="1280" w:type="dxa"/>
            <w:vAlign w:val="bottom"/>
            <w:tcBorders>
              <w:bottom w:val="single" w:sz="8" w:color="7F7F7F"/>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125,181</w:t>
            </w:r>
          </w:p>
        </w:tc>
        <w:tc>
          <w:tcPr>
            <w:tcW w:w="1740" w:type="dxa"/>
            <w:vAlign w:val="bottom"/>
            <w:tcBorders>
              <w:bottom w:val="single" w:sz="8" w:color="7F7F7F"/>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7F7F7F"/>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885,862</w:t>
            </w:r>
          </w:p>
        </w:tc>
        <w:tc>
          <w:tcPr>
            <w:tcW w:w="0" w:type="dxa"/>
            <w:vAlign w:val="bottom"/>
          </w:tcPr>
          <w:p>
            <w:pPr>
              <w:spacing w:after="0"/>
              <w:rPr>
                <w:sz w:val="1"/>
                <w:szCs w:val="1"/>
                <w:color w:val="auto"/>
              </w:rPr>
            </w:pPr>
          </w:p>
        </w:tc>
      </w:tr>
      <w:tr>
        <w:trPr>
          <w:trHeight w:val="142"/>
        </w:trPr>
        <w:tc>
          <w:tcPr>
            <w:tcW w:w="26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David P. Steiner</w:t>
            </w:r>
          </w:p>
        </w:tc>
        <w:tc>
          <w:tcPr>
            <w:tcW w:w="2480" w:type="dxa"/>
            <w:vAlign w:val="bottom"/>
            <w:tcBorders>
              <w:bottom w:val="single" w:sz="8" w:color="auto"/>
            </w:tcBorders>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11,837,599</w:t>
            </w:r>
          </w:p>
        </w:tc>
        <w:tc>
          <w:tcPr>
            <w:tcW w:w="148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125,930</w:t>
            </w:r>
          </w:p>
        </w:tc>
        <w:tc>
          <w:tcPr>
            <w:tcW w:w="128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11,974,756</w:t>
            </w:r>
          </w:p>
        </w:tc>
        <w:tc>
          <w:tcPr>
            <w:tcW w:w="174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1,548,218</w:t>
            </w:r>
          </w:p>
        </w:tc>
        <w:tc>
          <w:tcPr>
            <w:tcW w:w="176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44,474,688</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are made pursuant to the Company’s 409A Deferral Plan, described in “Compensation Discussion and Analysis — Overview of Elements of Our 2016 Compensation Program</w:t>
      </w:r>
    </w:p>
    <w:p>
      <w:pPr>
        <w:spacing w:after="0" w:line="3" w:lineRule="exact"/>
        <w:rPr>
          <w:rFonts w:ascii="Times New Roman" w:cs="Times New Roman" w:eastAsia="Times New Roman" w:hAnsi="Times New Roman"/>
          <w:sz w:val="14"/>
          <w:szCs w:val="14"/>
          <w:color w:val="auto"/>
        </w:rPr>
      </w:pPr>
    </w:p>
    <w:p>
      <w:pPr>
        <w:ind w:left="340" w:right="14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Deferral Plan.” Executive contributions of base salary and annual cash incentive compensation is included in the Salary column and the Non-Equity Incentive Plan Compensation column, respectively, of the Summary Compensation Table. Contributions in the last fiscal year include deferral of 216,063 shares of Common Stock by Mr. Steiner and deferral of 42,023 shares of Common Stock by Mr. Fish, in each case earned on account of performance share units with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40" w:right="180"/>
        <w:spacing w:after="0" w:line="262" w:lineRule="auto"/>
        <w:rPr>
          <w:sz w:val="20"/>
          <w:szCs w:val="20"/>
          <w:color w:val="auto"/>
        </w:rPr>
      </w:pPr>
      <w:r>
        <w:rPr>
          <w:rFonts w:ascii="Times New Roman" w:cs="Times New Roman" w:eastAsia="Times New Roman" w:hAnsi="Times New Roman"/>
          <w:sz w:val="14"/>
          <w:szCs w:val="14"/>
          <w:color w:val="auto"/>
        </w:rPr>
        <w:t>performance period ended December 31, 2015 that were paid out in February 2016. The value of such deferred shares was included in the Option Exercises and Stock Vested table for 2015, and the grant date fair value of the underlying performance share unit awards was included in the Stock Awards column of the Summary Compensation Table for 2013.</w:t>
      </w:r>
    </w:p>
    <w:p>
      <w:pPr>
        <w:spacing w:after="0" w:line="67"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contributions to the executives’ 409A Deferral Plan accounts are included in the All Other Compensation column in the Summary Compensation Table.</w:t>
      </w:r>
    </w:p>
    <w:p>
      <w:pPr>
        <w:spacing w:after="0" w:line="109" w:lineRule="exact"/>
        <w:rPr>
          <w:rFonts w:ascii="Times New Roman" w:cs="Times New Roman" w:eastAsia="Times New Roman" w:hAnsi="Times New Roman"/>
          <w:sz w:val="14"/>
          <w:szCs w:val="14"/>
          <w:color w:val="auto"/>
        </w:rPr>
      </w:pPr>
    </w:p>
    <w:p>
      <w:pPr>
        <w:ind w:left="340" w:right="140" w:hanging="332"/>
        <w:spacing w:after="0" w:line="236" w:lineRule="auto"/>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case of Messrs. Fish, Trevathan and Steiner, who have deferred receipt of 42,992 shares, 2,709 shares and 506,302 shares, respectively, earnings also includes the change in the closing price per share of the Company’s Common Stock from December 31, 2015 to December 31 2016, plus $1.64 of dividends paid per share of Common Stock in 2016, multiplied by the number of shares deferred.</w:t>
      </w:r>
    </w:p>
    <w:p>
      <w:pPr>
        <w:spacing w:after="0" w:line="82" w:lineRule="exact"/>
        <w:rPr>
          <w:rFonts w:ascii="Times New Roman" w:cs="Times New Roman" w:eastAsia="Times New Roman" w:hAnsi="Times New Roman"/>
          <w:sz w:val="14"/>
          <w:szCs w:val="14"/>
          <w:color w:val="auto"/>
        </w:rPr>
      </w:pPr>
    </w:p>
    <w:p>
      <w:pPr>
        <w:ind w:left="340" w:right="520" w:hanging="332"/>
        <w:spacing w:after="0" w:line="262" w:lineRule="auto"/>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consist of dividend equivalents paid out on deferred shares. Dividend equivalents are paid out at the same time and at the same rate as dividends on the Company’s Common Stock. Additionally, Mr. Steiner received a $717,884 cash distribution on December 1, 2016 that was triggered by his separation.</w:t>
      </w:r>
    </w:p>
    <w:p>
      <w:pPr>
        <w:spacing w:after="0" w:line="67" w:lineRule="exact"/>
        <w:rPr>
          <w:rFonts w:ascii="Times New Roman" w:cs="Times New Roman" w:eastAsia="Times New Roman" w:hAnsi="Times New Roman"/>
          <w:sz w:val="14"/>
          <w:szCs w:val="14"/>
          <w:color w:val="auto"/>
        </w:rPr>
      </w:pPr>
    </w:p>
    <w:p>
      <w:pPr>
        <w:ind w:left="340" w:right="2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Participating employees can generally elect to receive distributions 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82" w:lineRule="exact"/>
        <w:rPr>
          <w:rFonts w:ascii="Times New Roman" w:cs="Times New Roman" w:eastAsia="Times New Roman" w:hAnsi="Times New Roman"/>
          <w:sz w:val="14"/>
          <w:szCs w:val="14"/>
          <w:color w:val="auto"/>
        </w:rPr>
      </w:pPr>
    </w:p>
    <w:p>
      <w:pPr>
        <w:ind w:left="340" w:right="240" w:hanging="332"/>
        <w:spacing w:after="0" w:line="262" w:lineRule="auto"/>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include the following amounts that were reported as compensation to the named executive in the Summary Compensation Table for 2014-2016: Mr. Fish — $267,474; Mr. Trevathan — $302,751; Mr. Harris — $442,364; Mr. Morris — $338,830; and Mr. Steiner — $1,427,681.</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payments our named executives receive upon termination or change in control are based on provisions included in employment agreements and individual equity award agreements. We enter into employment agreements with our named executive officers to provide a form of protection for the Company through restrictive covenant provisions; each of the agreements contains post-termination restrictive covenants, including a covenant not to compete, non-solicitation covenants, and a non-disparagement covenant, each of which lasts for two years after termination. Employment agreements also aid in retention of senior leadership by providing the individual with comfort that he will be treated fairly in the event of a termination not for cause or under a change in control situation. The change in control provision included in each named executive officer’s agreement requires a double trigger in order to receive any payment in the event of a change in control situation. First, a change in control must occur, and second, the individual must terminate his employment for good reason or the Company must terminate his employment without cause within six months prior to or two years following the change in control event. We believe providing change in control protection encourages our named executives to pursue and facilitate transactions that are in the best interests of stockholders while not granting executives an undeserved windfall.</w:t>
      </w:r>
    </w:p>
    <w:p>
      <w:pPr>
        <w:spacing w:after="0" w:line="7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Employment agreements entered into with named executive officers after February 2004 (which includes all currently serving named executives except Mr. Trevathan) contain (a) a requirement that the individual execute a general release prior to receiving post-termination benefits and (b) a clawback feature that allows for the suspension and refund of termination benefits for subsequently discovered cause. The clawback feature in the agreements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current form of award agreements for equity awards also contain provisions regarding termination and change in control. Our stock option awards are also subject to double trigger vesting in the event of a change in control situation. The award agreement for restricted stock units granted to Mr. Fish provides that restricted stock units vest upon a change in control, unless the successor entity converts the awards to equivalent grants in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successor. Provided, however, such converted restricted stock units will vest in full if the executive is involuntarily terminated without cause following the change in control. Award agreements applicable to performance share units provide that awards will be paid out in cash on a prorated basis based on actual results achieved through the end of the fiscal quarter prior to a change in control. Thereafter, the executive would be compensated for the lost opportunity from the date of the change in control to the end of the original performance period by receiving a replacement award of restricted stock units in the successor entity, provided that the successor entity is publicly traded. If the successor is not publicly traded, the executive will be entitled to a replacement award of cash. However, if the employee is thereafter involuntarily terminated other than for cause within the change in control window referenced, he would vest in full in the replacement award.</w:t>
      </w:r>
    </w:p>
    <w:p>
      <w:pPr>
        <w:spacing w:after="0" w:line="8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performance share unit, stock option and restricted stock unit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8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terms “Cause,” “Good Reason,” and “Change in Control” as used in the table below are defined in the executives’ employment agreements and/or the applicable equity award agreement and have the meanings generally described below. You should refer to the individual agreements for the actual definitions.</w:t>
      </w:r>
    </w:p>
    <w:p>
      <w:pPr>
        <w:spacing w:after="0" w:line="68"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“Cause” generally means the named executive has: deliberately refused to perform his duties; breached his duty of loyalty to the Company; been convicted of a felony; intentionally and materially harmed the Company; or breached the covenants contained in his agreement.</w:t>
      </w:r>
    </w:p>
    <w:p>
      <w:pPr>
        <w:spacing w:after="0" w:line="5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“Good Reason” generally means that, without the named executive’s consent: his duties or responsibilities have been substantially changed; he has been removed from his position; the Company has breached his employment agreement; any successor to the Company has not assumed the obligations under his employment agreement; or he has been reassigned to a location more than 50 miles away.</w:t>
      </w:r>
    </w:p>
    <w:p>
      <w:pPr>
        <w:spacing w:after="0" w:line="6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“Change in Control” generally means that: at least 25% of the Company’s Common Stock has been acquired by one person or persons acting as a group; the majority of the Board of Directors consists of individuals other than those serving as of the date of the named executive’s employment agreement or those that were not elected by at least two-thirds of those directors; 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tables represent potential payouts to our named executives still serving the Company at year-end upon termination of employment in the circumstances indicated pursuant to the terms of their employment agreements and outstanding incentive awards. In the event a named executive is terminated for cause, he is entitled to any accrued but unpaid salary only. Please see the Non-Qualified Deferred Compensation table above for aggregate balances payable to the named executives under our 409A Deferral Plan pursuant to the executive’s distribution elections.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payouts set forth below assume the triggering event indicated occurred on December 31, 2016, when the closing price of our Common Stock was $70.91 per share. These payouts are calculated for SEC disclosure purposes and are not necessarily indicative of the actual amounts the named executive would receive. Please note the following when reviewing the payouts set forth below:</w:t>
      </w:r>
    </w:p>
    <w:p>
      <w:pPr>
        <w:spacing w:after="0" w:line="82" w:lineRule="exact"/>
        <w:rPr>
          <w:sz w:val="20"/>
          <w:szCs w:val="20"/>
          <w:color w:val="auto"/>
        </w:rPr>
      </w:pPr>
    </w:p>
    <w:p>
      <w:pPr>
        <w:ind w:left="660" w:right="260" w:hanging="206"/>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component set forth below for accelerated vesting of stock options is comprised of the unvested stock options granted in 2014, 2015 and 2016, which vest 25% on the first and second anniversary of the date of grant and 50% on the third anniversary of the date of grant.</w:t>
      </w:r>
    </w:p>
    <w:p>
      <w:pPr>
        <w:spacing w:after="0" w:line="67" w:lineRule="exact"/>
        <w:rPr>
          <w:rFonts w:ascii="Times New Roman" w:cs="Times New Roman" w:eastAsia="Times New Roman" w:hAnsi="Times New Roman"/>
          <w:sz w:val="18"/>
          <w:szCs w:val="18"/>
          <w:color w:val="auto"/>
        </w:rPr>
      </w:pPr>
    </w:p>
    <w:p>
      <w:pPr>
        <w:ind w:left="660" w:right="100" w:hanging="206"/>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payout of performance share unit awards outstanding at December 31, 2016, we have assumed that target performance was achieved; any actual performance share unit payouts will be based on actual performance of the Company during the performance period.</w:t>
      </w:r>
    </w:p>
    <w:p>
      <w:pPr>
        <w:spacing w:after="0" w:line="81" w:lineRule="exact"/>
        <w:rPr>
          <w:rFonts w:ascii="Times New Roman" w:cs="Times New Roman" w:eastAsia="Times New Roman" w:hAnsi="Times New Roman"/>
          <w:sz w:val="18"/>
          <w:szCs w:val="18"/>
          <w:color w:val="auto"/>
        </w:rPr>
      </w:pPr>
    </w:p>
    <w:p>
      <w:pPr>
        <w:ind w:left="660" w:right="420" w:hanging="206"/>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payout upon the “double trigger” of change in control and subsequent involuntary termination not for cause, the value of the performance share unit replacement award is equal to the number of performance share units that would be forfeited based on the prorated acceleration of the performance share units, multiplied by the closing price of our Common Stock on December 31, 2016.</w:t>
      </w:r>
    </w:p>
    <w:p>
      <w:pPr>
        <w:spacing w:after="0" w:line="8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payout for continuation of benefits is an estimate of the cost the Company would incur to continue those benefits.</w:t>
      </w:r>
    </w:p>
    <w:p>
      <w:pPr>
        <w:spacing w:after="0" w:line="130" w:lineRule="exact"/>
        <w:rPr>
          <w:rFonts w:ascii="Times New Roman" w:cs="Times New Roman" w:eastAsia="Times New Roman" w:hAnsi="Times New Roman"/>
          <w:sz w:val="18"/>
          <w:szCs w:val="18"/>
          <w:color w:val="auto"/>
        </w:rPr>
      </w:pPr>
    </w:p>
    <w:p>
      <w:pPr>
        <w:ind w:left="660" w:right="420" w:hanging="206"/>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practice is to provide all benefits eligible employees with life insurance that pays one times annual base salary upon death. The insurance benefit is a payment by an insurance company, not the Company, and is payable under the terms of the insurance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Consideration upon Termination of Employment: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James C. Fish, Jr.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2120" w:type="dxa"/>
            <w:vAlign w:val="bottom"/>
          </w:tcPr>
          <w:p>
            <w:pPr>
              <w:spacing w:after="0"/>
              <w:rPr>
                <w:sz w:val="16"/>
                <w:szCs w:val="16"/>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10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5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i w:val="1"/>
                <w:iCs w:val="1"/>
                <w:color w:val="auto"/>
              </w:rPr>
              <w:t>Death or Disability</w:t>
            </w:r>
          </w:p>
        </w:tc>
        <w:tc>
          <w:tcPr>
            <w:tcW w:w="16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55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vesting of stock options</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2,533,273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Payment of performance share units (contingent on actual performance at end of performance period)</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3,684,767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vesting of restricted stock units</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1,107,969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Life insurance benefit paid by insurance company (in the case of death)</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624,000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0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7,950,009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Termination Without Cause by the Company</w:t>
            </w: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or For Good Reason by the Employee</w:t>
            </w: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Two times base salary plus target annual cash bonus (one-half payable in lump sum; one-half payable in bi-</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weekly installments over a two-year period)</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Continued coverage under health and welfare benefit plans for two years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Prorated payment of performance share units (contingent on actual performance at end of performance</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period)</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1,843,707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Prorated vesting of restricted stock units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6,620,889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7217410</wp:posOffset>
            </wp:positionH>
            <wp:positionV relativeFrom="paragraph">
              <wp:posOffset>-1320165</wp:posOffset>
            </wp:positionV>
            <wp:extent cx="342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11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1640" w:type="dxa"/>
            <w:vAlign w:val="bottom"/>
            <w:tcBorders>
              <w:top w:val="single" w:sz="8" w:color="auto"/>
            </w:tcBorders>
          </w:tcPr>
          <w:p>
            <w:pPr>
              <w:spacing w:after="0"/>
              <w:rPr>
                <w:sz w:val="7"/>
                <w:szCs w:val="7"/>
                <w:color w:val="auto"/>
              </w:rPr>
            </w:pPr>
          </w:p>
        </w:tc>
        <w:tc>
          <w:tcPr>
            <w:tcW w:w="5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Termination Without Cause by the Company</w:t>
            </w: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or For Good Reason by the Employee Six</w:t>
            </w: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Two times base salary plus target annual cash bonus (one-half payable in lump sum; one-half payable in</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Months Prior to or Two Years Following a</w:t>
            </w: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bi-weekly installments over a two-year period)</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Change in Control (Double Trigger)</w:t>
            </w: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Continued coverage under health and welfare benefit plans for two years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vesting of stock options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2,533,273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Prorated accelerated payment of performance share units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1,843,707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payment of performance share units replacement grant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1,841,060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vesting of restricted stock units</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1,107,969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Prorated maximum annual cash bonus</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14,751,569</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James E. Trevathan, Jr.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11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4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i w:val="1"/>
                <w:iCs w:val="1"/>
                <w:color w:val="auto"/>
              </w:rPr>
              <w:t>Death or Disability</w:t>
            </w:r>
          </w:p>
        </w:tc>
        <w:tc>
          <w:tcPr>
            <w:tcW w:w="16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542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vesting of stock options</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2,533,273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Payment of performance share units (contingent on actual performance at end of performance period)</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3,684,767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Two times base salary as of the date of termination (payable in bi-weekly installments over a two-year</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60"/>
              <w:spacing w:after="0" w:line="217" w:lineRule="exact"/>
              <w:rPr>
                <w:sz w:val="20"/>
                <w:szCs w:val="20"/>
                <w:color w:val="auto"/>
              </w:rPr>
            </w:pPr>
            <w:r>
              <w:rPr>
                <w:rFonts w:ascii="Times New Roman" w:cs="Times New Roman" w:eastAsia="Times New Roman" w:hAnsi="Times New Roman"/>
                <w:sz w:val="15"/>
                <w:szCs w:val="15"/>
                <w:color w:val="auto"/>
              </w:rPr>
              <w:t>period)</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Life insurance benefit paid by insurance company (in the case of death)</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662,000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8,243,040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Termination Without Cause by the Company</w:t>
            </w:r>
          </w:p>
        </w:tc>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or For Good Reason by the Employee</w:t>
            </w:r>
          </w:p>
        </w:tc>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Two times base salary plus target annual cash bonus (one-half payable in lump sum; one-half payable in</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bi-weekly installments over a two-year period)</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2,589,700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Continued coverage under benefit plans for two years</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Health and welfare benefit plans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409A Deferral Plan contributions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99,374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401(k) Retirement Savings Plan contributions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23,850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Prorated payment of performance share units (contingent on actual performance at end of performance</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period)</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1,843,707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4,582,191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Termination Without Cause by the Company</w:t>
            </w: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or For Good Reason by the Employee Six</w:t>
            </w: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Two times base salary plus target annual cash bonus, paid in lump sum</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2,589,700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Months Prior to or Two Years Following a</w:t>
            </w: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Continued coverage under benefit plans for two years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Chang in Control (Double Trigger)</w:t>
            </w: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Health and welfare benefit plans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409A Deferral Plan contributions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401(k) Retirement Savings Plan contributions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vesting of stock options</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2,533,273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Prorated accelerated payment of performance share units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1,843,707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payment of performance share units replacement grant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1,841,060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Prorated maximum annual cash bonus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1,226,700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7060" w:type="dxa"/>
            <w:vAlign w:val="bottom"/>
            <w:tcBorders>
              <w:bottom w:val="single" w:sz="8" w:color="CCEEFF"/>
            </w:tcBorders>
            <w:gridSpan w:val="2"/>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  Gross-up payment for any excise taxes</w:t>
            </w:r>
            <w:r>
              <w:rPr>
                <w:rFonts w:ascii="Times New Roman" w:cs="Times New Roman" w:eastAsia="Times New Roman" w:hAnsi="Times New Roman"/>
                <w:sz w:val="25"/>
                <w:szCs w:val="25"/>
                <w:color w:val="auto"/>
                <w:vertAlign w:val="superscript"/>
              </w:rPr>
              <w:t>(1)</w:t>
            </w:r>
          </w:p>
        </w:tc>
        <w:tc>
          <w:tcPr>
            <w:tcW w:w="2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10,183,224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7217410</wp:posOffset>
            </wp:positionH>
            <wp:positionV relativeFrom="paragraph">
              <wp:posOffset>-3223895</wp:posOffset>
            </wp:positionV>
            <wp:extent cx="342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Jeff M. Harris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7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10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5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i w:val="1"/>
                <w:iCs w:val="1"/>
                <w:color w:val="auto"/>
              </w:rPr>
              <w:t>Death or Disability</w:t>
            </w:r>
          </w:p>
        </w:tc>
        <w:tc>
          <w:tcPr>
            <w:tcW w:w="16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55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vesting of stock options</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2,098,020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Payment of performance share units (contingent on actual performance at end of performance period)</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3,117,062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Life insurance benefit paid by insurance company (in the case of death)</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595,000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5,810,082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Termination Without Cause by the Company</w:t>
            </w: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18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or For Good Reason by the Employee</w:t>
            </w: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Two times base salary plus target annual cash bonus (one-half payable in lump sum; one-half payable in bi-</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weekly installments over a two-year period)</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2,329,400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Continued coverage under health and welfare benefit plans for two years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Prorated payment of performance share units (contingent on actual performance at end of performance</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period)</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1,552,787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3,907,747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Termination Without Cause by the Company</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or For Good Reason by the Employee Six</w:t>
            </w:r>
          </w:p>
        </w:tc>
        <w:tc>
          <w:tcPr>
            <w:tcW w:w="718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5"/>
                <w:szCs w:val="15"/>
                <w:color w:val="auto"/>
              </w:rPr>
              <w:t>•  Three times base salary plus target annual cash bonus, paid in lump sum</w:t>
            </w:r>
            <w:r>
              <w:rPr>
                <w:rFonts w:ascii="Times New Roman" w:cs="Times New Roman" w:eastAsia="Times New Roman" w:hAnsi="Times New Roman"/>
                <w:sz w:val="25"/>
                <w:szCs w:val="25"/>
                <w:color w:val="auto"/>
                <w:vertAlign w:val="superscript"/>
              </w:rPr>
              <w:t>(1)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Months Prior to or Two Years Following a</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Continued coverage under health and welfare benefit plans for three years</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Change-in-Control (Double Trigger)</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vesting of stock options</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2,098,020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Prorated accelerated payment of performance share units</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1,552,787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payment of performance share units replacement grant</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1,564,275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Prorated maximum annual cash bonus</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9,850,922</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7217410</wp:posOffset>
            </wp:positionH>
            <wp:positionV relativeFrom="paragraph">
              <wp:posOffset>-2203450</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John J. Morris, Jr.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2120" w:type="dxa"/>
            <w:vAlign w:val="bottom"/>
          </w:tcPr>
          <w:p>
            <w:pPr>
              <w:spacing w:after="0"/>
              <w:rPr>
                <w:sz w:val="16"/>
                <w:szCs w:val="16"/>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10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5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i w:val="1"/>
                <w:iCs w:val="1"/>
                <w:color w:val="auto"/>
              </w:rPr>
              <w:t>Death or Disability</w:t>
            </w:r>
          </w:p>
        </w:tc>
        <w:tc>
          <w:tcPr>
            <w:tcW w:w="16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554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vesting of stock options</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2,098,020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Payment of performance share units (contingent on actual performance at end of performance period)</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3,117,062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Life insurance benefit paid by insurance company (in the case of death)</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0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5,795,082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Termination Without Cause by the Company</w:t>
            </w: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or For Good Reason by the Employee</w:t>
            </w: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Two times base salary plus target annual cash bonus (one-half payable in lump sum; one-half payable in bi-</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weekly installments over a two-year period)</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2,270,500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Continued coverage under health and welfare benefit plans for two years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Prorated payment of performance share units (contingent on actual performance at end of performance</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period)</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1,552,787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3,848,847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7217410</wp:posOffset>
            </wp:positionH>
            <wp:positionV relativeFrom="paragraph">
              <wp:posOffset>-1045845</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7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10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Payout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40" w:type="dxa"/>
            <w:vAlign w:val="bottom"/>
            <w:tcBorders>
              <w:top w:val="single" w:sz="8" w:color="auto"/>
            </w:tcBorders>
          </w:tcPr>
          <w:p>
            <w:pPr>
              <w:spacing w:after="0"/>
              <w:rPr>
                <w:sz w:val="7"/>
                <w:szCs w:val="7"/>
                <w:color w:val="auto"/>
              </w:rPr>
            </w:pPr>
          </w:p>
        </w:tc>
        <w:tc>
          <w:tcPr>
            <w:tcW w:w="5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Termination Without Cause by the Company</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Severance Benefits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or For Good Reason by the Employee Six</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Two times base salary plus target annual cash bonus (one half payable in lump sum; one half payable in bi-</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Months Prior to or Two Years Following a</w:t>
            </w:r>
          </w:p>
        </w:tc>
        <w:tc>
          <w:tcPr>
            <w:tcW w:w="7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weekly installments over a two year period)</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Change in Control (Double Trigger)</w:t>
            </w: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Continued coverage under health and welfare benefit plans for two years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vesting of stock options</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2,098,020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Prorated accelerated payment of performance share units</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1,552,787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Accelerated payment of performance share units replacement grant</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1,564,275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Prorated maximum annual cash bonus</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8,586,642</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40" w:right="80" w:hanging="332"/>
        <w:spacing w:after="0" w:line="233" w:lineRule="auto"/>
        <w:tabs>
          <w:tab w:leader="none" w:pos="3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past, such provisions had been included in certain named executives’ employment agreements. The Company has adopted a compensation policy that provides that it will not enter into any future compensation arrangements that obligate the Company to provide increased payments in the event of death or to make tax gross up payments, subject to certain exceptions. Additionally, our Executive Officer Severance Policy generally provides that the Company may not enter into new severance arrangements with its executive officers that provide for benefits, less the value of vested equity awards and benefits provided to employees generally, in an amount that exceeds 2.99 times the executive officer’s then current base salary and target bonus. For additional details, see “Compensation Discussion and Analysis — Other Compensation Policies and Practices.”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and Obligations Associated with the Departure of Mr. Steiner</w:t>
      </w:r>
    </w:p>
    <w:p>
      <w:pPr>
        <w:spacing w:after="0" w:line="12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November 10, 2016 was the last day of Mr. Steiner’s employment with the Company. Please see “Compensation Discussion and Analysis — How Named Executive Officer Compensation Decisions are Made — Promotion of Mr. Fish and Departure of Mr. Steiner” for additional information. Under Mr. Steiner’s employment agreement, his departure from the Company was treated as termination without cause by the Company and entitled him to certain payments and benefits provided for in his employment agreement. Mr. Steiner’s outstanding performance share unit awards were prorated as of the last date of his employment, with any payout on such awards dependent on actual performance at the end of the applicable performance period. Please see the Outstanding Equity Awards at December 31, 2016 table above for information on Mr. Steiner’s outstanding PSUs after proration.</w:t>
      </w:r>
    </w:p>
    <w:p>
      <w:pPr>
        <w:spacing w:after="0" w:line="8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Pursuant to his employment agreement, Mr. Steiner received, or is continuing to receive, the following:</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9120" w:type="dxa"/>
            <w:vAlign w:val="bottom"/>
          </w:tcPr>
          <w:p>
            <w:pPr>
              <w:spacing w:after="0"/>
              <w:rPr>
                <w:sz w:val="10"/>
                <w:szCs w:val="10"/>
                <w:color w:val="auto"/>
              </w:rPr>
            </w:pPr>
          </w:p>
        </w:tc>
        <w:tc>
          <w:tcPr>
            <w:tcW w:w="13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Cash severance payable in lump sum</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  Cash severance payable over two years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$3,001,420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Annual cash incentive payment, payable to the same extent and at the same time payments are made to other senior</w:t>
            </w: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executives, prorated as of last day of employment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Twenty-four months of continued group health and/or dental insurance coverage (or until eligible for coverage from a</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subsequent employer)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Lump sum payment in lieu of any obligation to continue any other benefits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334,252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  Four weeks accrued unused vacation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98,246</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Company also entered into a separation agreement with Mr. Steiner, setting forth additional terms of his departure from the Company and expanding Mr. Steiner’s post-employment covenants. With respect to Mr. Steiner’s unexercised stock option awards, the separation agreement provides that Mr. Steiner’s departure from the Company shall be considered “Retirement” pursuant to the terms of the applicable award agreements. For accounting purposes, the Company’s agreement to retirement treatment for Mr. Steiner’s unexercised stock options resulted in a non-cash charge of $9.9 million in the first quarter of 2017. The value of continued vesting and exercisability afforded by retirement treatment of Mr. Steiner’s options depends on the market value of our Common Stock at the time Mr. Steiner exercises such options. Please see the Outstanding Equity Awards at December 31, 2016 table above for information about Mr. Steiner’s outstanding vested and unvested stock options following his departure. The Company also paid Mr. Steiner $75,000 in lieu of any obligation to reimburse his legal fees in connection with negotiation of the separation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Equity Compensation Plan Table</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2016 about the number of shares to be issued upon vesting or exercise of equity awards and the number of shares remaining available for issuance under our equity compensation plans.</w:t>
      </w:r>
    </w:p>
    <w:p>
      <w:pPr>
        <w:sectPr>
          <w:pgSz w:w="11900" w:h="16838" w:orient="portrait"/>
          <w:cols w:equalWidth="0" w:num="1">
            <w:col w:w="11340"/>
          </w:cols>
          <w:pgMar w:left="240" w:top="45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7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178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220" w:type="dxa"/>
            <w:vAlign w:val="bottom"/>
            <w:gridSpan w:val="2"/>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178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220" w:type="dxa"/>
            <w:vAlign w:val="bottom"/>
            <w:gridSpan w:val="2"/>
            <w:vMerge w:val="continue"/>
          </w:tcPr>
          <w:p>
            <w:pPr>
              <w:spacing w:after="0"/>
              <w:rPr>
                <w:sz w:val="12"/>
                <w:szCs w:val="12"/>
                <w:color w:val="auto"/>
              </w:rPr>
            </w:pPr>
          </w:p>
        </w:tc>
        <w:tc>
          <w:tcPr>
            <w:tcW w:w="1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178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60" w:type="dxa"/>
            <w:vAlign w:val="bottom"/>
          </w:tcPr>
          <w:p>
            <w:pPr>
              <w:spacing w:after="0"/>
              <w:rPr>
                <w:sz w:val="12"/>
                <w:szCs w:val="12"/>
                <w:color w:val="auto"/>
              </w:rPr>
            </w:pPr>
          </w:p>
        </w:tc>
        <w:tc>
          <w:tcPr>
            <w:tcW w:w="166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178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560" w:type="dxa"/>
            <w:vAlign w:val="bottom"/>
          </w:tcPr>
          <w:p>
            <w:pPr>
              <w:spacing w:after="0"/>
              <w:rPr>
                <w:sz w:val="12"/>
                <w:szCs w:val="12"/>
                <w:color w:val="auto"/>
              </w:rPr>
            </w:pPr>
          </w:p>
        </w:tc>
        <w:tc>
          <w:tcPr>
            <w:tcW w:w="166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64"/>
        </w:trPr>
        <w:tc>
          <w:tcPr>
            <w:tcW w:w="17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222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88"/>
        </w:trPr>
        <w:tc>
          <w:tcPr>
            <w:tcW w:w="17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8,335,791</w:t>
            </w:r>
            <w:r>
              <w:rPr>
                <w:rFonts w:ascii="Times New Roman" w:cs="Times New Roman" w:eastAsia="Times New Roman" w:hAnsi="Times New Roman"/>
                <w:sz w:val="12"/>
                <w:szCs w:val="12"/>
                <w:color w:val="auto"/>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45.12</w:t>
            </w:r>
            <w:r>
              <w:rPr>
                <w:rFonts w:ascii="Times New Roman" w:cs="Times New Roman" w:eastAsia="Times New Roman" w:hAnsi="Times New Roman"/>
                <w:sz w:val="12"/>
                <w:szCs w:val="12"/>
                <w:color w:val="auto"/>
              </w:rPr>
              <w:t>(3)</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25,704,158</w:t>
            </w: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-104775</wp:posOffset>
            </wp:positionV>
            <wp:extent cx="7246620"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4420" w:space="720"/>
            <w:col w:w="6200"/>
          </w:cols>
          <w:pgMar w:left="240" w:top="455" w:right="319" w:bottom="1440" w:gutter="0" w:footer="0" w:header="0"/>
          <w:type w:val="continuous"/>
        </w:sectPr>
      </w:pPr>
    </w:p>
    <w:p>
      <w:pPr>
        <w:ind w:left="340" w:hanging="332"/>
        <w:spacing w:after="0"/>
        <w:tabs>
          <w:tab w:leader="none" w:pos="3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2009 Stock Incentive Plan, 2014 Stock Incentive Plan and Employee Stock Purchase Plan (“ESPP”). No additional awards may be granted under our 2009 Stock Incentive Plan.</w:t>
      </w:r>
    </w:p>
    <w:p>
      <w:pPr>
        <w:spacing w:after="0" w:line="109" w:lineRule="exact"/>
        <w:rPr>
          <w:rFonts w:ascii="Times New Roman" w:cs="Times New Roman" w:eastAsia="Times New Roman" w:hAnsi="Times New Roman"/>
          <w:sz w:val="14"/>
          <w:szCs w:val="14"/>
          <w:color w:val="auto"/>
        </w:rPr>
      </w:pPr>
    </w:p>
    <w:p>
      <w:pPr>
        <w:ind w:left="340" w:right="40" w:hanging="332"/>
        <w:spacing w:after="0" w:line="236" w:lineRule="auto"/>
        <w:tabs>
          <w:tab w:leader="none" w:pos="3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outstanding for 5,642,500 shares of Common Stock; 698,323 shares of Common Stock to be issued in connection with deferred compensation obligations; 490,342 shares underlying unvested restricted stock units and 1,504,626 shares of Common Stock that would be issued on account of outstanding performance share units if the target performance level is achieved. Assuming, instead, that the maximum performance level was achieved on such performance share units, the number of shares of Common Stock that would be issued on account of outstanding awards would increase by 1,504,626 shares.</w:t>
      </w:r>
    </w:p>
    <w:p>
      <w:pPr>
        <w:spacing w:after="0" w:line="82" w:lineRule="exact"/>
        <w:rPr>
          <w:rFonts w:ascii="Times New Roman" w:cs="Times New Roman" w:eastAsia="Times New Roman" w:hAnsi="Times New Roman"/>
          <w:sz w:val="14"/>
          <w:szCs w:val="14"/>
          <w:color w:val="auto"/>
        </w:rPr>
      </w:pPr>
    </w:p>
    <w:p>
      <w:pPr>
        <w:ind w:left="340"/>
        <w:spacing w:after="0" w:line="23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subject to outstanding awards in the table above includes 570,072 shares on account of performance share units with the performance period ended December 31, 2016. The determination of achievement of performance results on such performance share units was performed by the MD&amp;C Committee in February 2017, and the Company achieved maximum performance criteria. A total of 737,642 shares of Common Stock were issued on account of such performance share units in February 2017, net of units deferred, of which 368,821 shares of Common Stock were included in the first column of the table above.</w:t>
      </w:r>
    </w:p>
    <w:p>
      <w:pPr>
        <w:spacing w:after="0" w:line="82" w:lineRule="exact"/>
        <w:rPr>
          <w:rFonts w:ascii="Times New Roman" w:cs="Times New Roman" w:eastAsia="Times New Roman" w:hAnsi="Times New Roman"/>
          <w:sz w:val="14"/>
          <w:szCs w:val="14"/>
          <w:color w:val="auto"/>
        </w:rPr>
      </w:pPr>
    </w:p>
    <w:p>
      <w:pPr>
        <w:ind w:left="340" w:right="20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82" w:lineRule="exact"/>
        <w:rPr>
          <w:rFonts w:ascii="Times New Roman" w:cs="Times New Roman" w:eastAsia="Times New Roman" w:hAnsi="Times New Roman"/>
          <w:sz w:val="14"/>
          <w:szCs w:val="14"/>
          <w:color w:val="auto"/>
        </w:rPr>
      </w:pPr>
    </w:p>
    <w:p>
      <w:pPr>
        <w:ind w:left="340" w:right="320" w:hanging="332"/>
        <w:spacing w:after="0" w:line="262" w:lineRule="auto"/>
        <w:tabs>
          <w:tab w:leader="none" w:pos="3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performance share units and restricted stock units because those awards do not have exercise prices associated with them. Also excludes purchase rights under the ESPP for the reasons described in (2) above.</w:t>
      </w:r>
    </w:p>
    <w:p>
      <w:pPr>
        <w:spacing w:after="0" w:line="67" w:lineRule="exact"/>
        <w:rPr>
          <w:rFonts w:ascii="Times New Roman" w:cs="Times New Roman" w:eastAsia="Times New Roman" w:hAnsi="Times New Roman"/>
          <w:sz w:val="14"/>
          <w:szCs w:val="14"/>
          <w:color w:val="auto"/>
        </w:rPr>
      </w:pPr>
    </w:p>
    <w:p>
      <w:pPr>
        <w:ind w:left="340" w:right="560" w:hanging="332"/>
        <w:spacing w:after="0" w:line="262" w:lineRule="auto"/>
        <w:tabs>
          <w:tab w:leader="none" w:pos="3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remaining available include 2,520,108 shares under our ESPP and 23,184,050 shares under our 2014 Stock Incentive Plan, assuming payout of performance share units at maximum. Assuming payout of performance share units at target, the number of shares remaining available for issuance under our 2014 Stock Incentive Plan would be 24,688,676.</w:t>
      </w:r>
    </w:p>
    <w:p>
      <w:pPr>
        <w:spacing w:after="0" w:line="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240" w:top="455" w:right="31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w:t>
      </w:r>
      <w:r>
        <w:rPr>
          <w:rFonts w:ascii="Times New Roman" w:cs="Times New Roman" w:eastAsia="Times New Roman" w:hAnsi="Times New Roman"/>
          <w:sz w:val="23"/>
          <w:szCs w:val="23"/>
          <w:b w:val="1"/>
          <w:bCs w:val="1"/>
          <w:color w:val="auto"/>
        </w:rPr>
        <w:t>ATIFICATION OF</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23"/>
          <w:szCs w:val="23"/>
          <w:b w:val="1"/>
          <w:bCs w:val="1"/>
          <w:color w:val="auto"/>
        </w:rPr>
        <w:t>NDEPENDENT</w:t>
      </w:r>
      <w:r>
        <w:rPr>
          <w:rFonts w:ascii="Times New Roman" w:cs="Times New Roman" w:eastAsia="Times New Roman" w:hAnsi="Times New Roman"/>
          <w:sz w:val="29"/>
          <w:szCs w:val="29"/>
          <w:b w:val="1"/>
          <w:bCs w:val="1"/>
          <w:color w:val="auto"/>
        </w:rPr>
        <w:t xml:space="preserve"> R</w:t>
      </w:r>
      <w:r>
        <w:rPr>
          <w:rFonts w:ascii="Times New Roman" w:cs="Times New Roman" w:eastAsia="Times New Roman" w:hAnsi="Times New Roman"/>
          <w:sz w:val="23"/>
          <w:szCs w:val="23"/>
          <w:b w:val="1"/>
          <w:bCs w:val="1"/>
          <w:color w:val="auto"/>
        </w:rPr>
        <w:t>EGISTERED</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3"/>
          <w:szCs w:val="23"/>
          <w:b w:val="1"/>
          <w:bCs w:val="1"/>
          <w:color w:val="auto"/>
        </w:rPr>
        <w:t>UBLIC</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w:t>
      </w:r>
      <w:r>
        <w:rPr>
          <w:rFonts w:ascii="Times New Roman" w:cs="Times New Roman" w:eastAsia="Times New Roman" w:hAnsi="Times New Roman"/>
          <w:sz w:val="23"/>
          <w:szCs w:val="23"/>
          <w:b w:val="1"/>
          <w:bCs w:val="1"/>
          <w:color w:val="auto"/>
        </w:rPr>
        <w:t>CCOUNTING</w:t>
      </w:r>
      <w:r>
        <w:rPr>
          <w:rFonts w:ascii="Times New Roman" w:cs="Times New Roman" w:eastAsia="Times New Roman" w:hAnsi="Times New Roman"/>
          <w:sz w:val="29"/>
          <w:szCs w:val="29"/>
          <w:b w:val="1"/>
          <w:bCs w:val="1"/>
          <w:color w:val="auto"/>
        </w:rPr>
        <w:t xml:space="preserve"> F</w:t>
      </w:r>
      <w:r>
        <w:rPr>
          <w:rFonts w:ascii="Times New Roman" w:cs="Times New Roman" w:eastAsia="Times New Roman" w:hAnsi="Times New Roman"/>
          <w:sz w:val="23"/>
          <w:szCs w:val="23"/>
          <w:b w:val="1"/>
          <w:bCs w:val="1"/>
          <w:color w:val="auto"/>
        </w:rPr>
        <w:t>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TEM</w:t>
      </w:r>
      <w:r>
        <w:rPr>
          <w:rFonts w:ascii="Times New Roman" w:cs="Times New Roman" w:eastAsia="Times New Roman" w:hAnsi="Times New Roman"/>
          <w:sz w:val="18"/>
          <w:szCs w:val="18"/>
          <w:b w:val="1"/>
          <w:bCs w:val="1"/>
          <w:color w:val="auto"/>
        </w:rPr>
        <w:t xml:space="preserve"> 2 </w:t>
      </w:r>
      <w:r>
        <w:rPr>
          <w:rFonts w:ascii="Times New Roman" w:cs="Times New Roman" w:eastAsia="Times New Roman" w:hAnsi="Times New Roman"/>
          <w:sz w:val="15"/>
          <w:szCs w:val="15"/>
          <w:b w:val="1"/>
          <w:bCs w:val="1"/>
          <w:color w:val="auto"/>
        </w:rPr>
        <w:t>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ROXY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ARD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upon the recommendation of the Audit Committee, has ratified the selection of Ernst &amp; Young LLP to serve as our independent registered public accounting firm for fiscal year 2017, subject to ratification by our stockholders.</w:t>
      </w:r>
    </w:p>
    <w:p>
      <w:pPr>
        <w:spacing w:after="0" w:line="54"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5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72" w:lineRule="exact"/>
        <w:rPr>
          <w:sz w:val="20"/>
          <w:szCs w:val="20"/>
          <w:color w:val="auto"/>
        </w:rPr>
      </w:pPr>
    </w:p>
    <w:p>
      <w:pPr>
        <w:ind w:right="3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ERNST &amp; YOUNG LLP AS THE COMPANY’S INDEPENDENT REGISTERED PUBLIC ACCOUNTING FIRM FOR FISCAL YEAR 2017.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 Information</w:t>
      </w:r>
    </w:p>
    <w:p>
      <w:pPr>
        <w:spacing w:after="0" w:line="121"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Fees for professional services provided by our independent registered public accounting firm in each of the last two fiscal years, in each of the following categories, were as follows:</w:t>
      </w:r>
    </w:p>
    <w:p>
      <w:pPr>
        <w:spacing w:after="0" w:line="6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Audit Fees</w:t>
            </w:r>
          </w:p>
        </w:tc>
        <w:tc>
          <w:tcPr>
            <w:tcW w:w="486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$ 4.8</w:t>
            </w: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$ 5.1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Audit-Related Fees</w:t>
            </w:r>
          </w:p>
        </w:tc>
        <w:tc>
          <w:tcPr>
            <w:tcW w:w="410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Tax Fees</w:t>
            </w:r>
          </w:p>
        </w:tc>
        <w:tc>
          <w:tcPr>
            <w:tcW w:w="4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 Other Fees</w:t>
            </w:r>
          </w:p>
        </w:tc>
        <w:tc>
          <w:tcPr>
            <w:tcW w:w="4100" w:type="dxa"/>
            <w:vAlign w:val="bottom"/>
          </w:tcPr>
          <w:p>
            <w:pPr>
              <w:spacing w:after="0"/>
              <w:rPr>
                <w:sz w:val="12"/>
                <w:szCs w:val="12"/>
                <w:color w:val="auto"/>
              </w:rPr>
            </w:pPr>
          </w:p>
        </w:tc>
        <w:tc>
          <w:tcPr>
            <w:tcW w:w="7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$ 4.8</w:t>
            </w:r>
          </w:p>
        </w:tc>
        <w:tc>
          <w:tcPr>
            <w:tcW w:w="3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$ 5.8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Audit fees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financial due diligence services relating to certain potential acquisitions.</w:t>
      </w:r>
    </w:p>
    <w:p>
      <w:pPr>
        <w:spacing w:after="0" w:line="6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Audit Committee at the next regularly scheduled meeting. The Audit Committee is updated on the status of all services and related fees at every regular meeting. In 2016 and 2015, the Audit Committee pre-approved all audit and audit-related services performed by Ernst &amp; Young.</w:t>
      </w:r>
    </w:p>
    <w:p>
      <w:pPr>
        <w:spacing w:after="0" w:line="8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As set forth in the Audit Committee Report on page 9, the Audit Committee has considered whether the provision of these audit-related services is compatible with maintaining auditor independence and has determined that it 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 for Approval</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shares present at the meeting, in person or represented by proxy, and entitled to vote.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w:t>
      </w:r>
      <w:r>
        <w:rPr>
          <w:rFonts w:ascii="Times New Roman" w:cs="Times New Roman" w:eastAsia="Times New Roman" w:hAnsi="Times New Roman"/>
          <w:sz w:val="23"/>
          <w:szCs w:val="23"/>
          <w:b w:val="1"/>
          <w:bCs w:val="1"/>
          <w:color w:val="auto"/>
        </w:rPr>
        <w:t>DVISORY</w:t>
      </w:r>
      <w:r>
        <w:rPr>
          <w:rFonts w:ascii="Times New Roman" w:cs="Times New Roman" w:eastAsia="Times New Roman" w:hAnsi="Times New Roman"/>
          <w:sz w:val="29"/>
          <w:szCs w:val="29"/>
          <w:b w:val="1"/>
          <w:bCs w:val="1"/>
          <w:color w:val="auto"/>
        </w:rPr>
        <w:t xml:space="preserve"> V</w:t>
      </w:r>
      <w:r>
        <w:rPr>
          <w:rFonts w:ascii="Times New Roman" w:cs="Times New Roman" w:eastAsia="Times New Roman" w:hAnsi="Times New Roman"/>
          <w:sz w:val="23"/>
          <w:szCs w:val="23"/>
          <w:b w:val="1"/>
          <w:bCs w:val="1"/>
          <w:color w:val="auto"/>
        </w:rPr>
        <w:t>OTE</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N</w:t>
      </w:r>
      <w:r>
        <w:rPr>
          <w:rFonts w:ascii="Times New Roman" w:cs="Times New Roman" w:eastAsia="Times New Roman" w:hAnsi="Times New Roman"/>
          <w:sz w:val="29"/>
          <w:szCs w:val="29"/>
          <w:b w:val="1"/>
          <w:bCs w:val="1"/>
          <w:color w:val="auto"/>
        </w:rPr>
        <w:t xml:space="preserve"> E</w:t>
      </w:r>
      <w:r>
        <w:rPr>
          <w:rFonts w:ascii="Times New Roman" w:cs="Times New Roman" w:eastAsia="Times New Roman" w:hAnsi="Times New Roman"/>
          <w:sz w:val="23"/>
          <w:szCs w:val="23"/>
          <w:b w:val="1"/>
          <w:bCs w:val="1"/>
          <w:color w:val="auto"/>
        </w:rPr>
        <w:t>XECUTIVE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TEM</w:t>
      </w:r>
      <w:r>
        <w:rPr>
          <w:rFonts w:ascii="Times New Roman" w:cs="Times New Roman" w:eastAsia="Times New Roman" w:hAnsi="Times New Roman"/>
          <w:sz w:val="18"/>
          <w:szCs w:val="18"/>
          <w:b w:val="1"/>
          <w:bCs w:val="1"/>
          <w:color w:val="auto"/>
        </w:rPr>
        <w:t xml:space="preserve"> 3 </w:t>
      </w:r>
      <w:r>
        <w:rPr>
          <w:rFonts w:ascii="Times New Roman" w:cs="Times New Roman" w:eastAsia="Times New Roman" w:hAnsi="Times New Roman"/>
          <w:sz w:val="15"/>
          <w:szCs w:val="15"/>
          <w:b w:val="1"/>
          <w:bCs w:val="1"/>
          <w:color w:val="auto"/>
        </w:rPr>
        <w:t>ON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ROXY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ARD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Pursuant to Section 14A of the Exchange Act, stockholders are entitled to an advisory (non-binding) vote on compensation programs for our named executive officers (sometimes referred to as “say on pay”). The Board of Directors has determined that it will include this “say on pay” vote in the Company’s proxy materials annually, pending consideration of the results on the advisory stockholder vote on the frequency of this advisory vote on executive compensation. See the proposal below (Item 4 on the Proxy Card) for additional information.</w:t>
      </w:r>
    </w:p>
    <w:p>
      <w:pPr>
        <w:spacing w:after="0" w:line="70" w:lineRule="exact"/>
        <w:rPr>
          <w:sz w:val="20"/>
          <w:szCs w:val="20"/>
          <w:color w:val="auto"/>
        </w:rPr>
      </w:pPr>
    </w:p>
    <w:p>
      <w:pPr>
        <w:ind w:right="2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We encourage stockholders to review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Executive Compensation Tables</w:t>
      </w:r>
      <w:r>
        <w:rPr>
          <w:rFonts w:ascii="Times New Roman" w:cs="Times New Roman" w:eastAsia="Times New Roman" w:hAnsi="Times New Roman"/>
          <w:sz w:val="18"/>
          <w:szCs w:val="18"/>
          <w:color w:val="auto"/>
        </w:rPr>
        <w:t xml:space="preserve"> on pages 24 to 55 of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further the objective of our executive compensation program and evidence our dedication to competitive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compensation practices that are in the best interests of stockholders:</w:t>
      </w:r>
    </w:p>
    <w:p>
      <w:pPr>
        <w:spacing w:after="0" w:line="87" w:lineRule="exact"/>
        <w:rPr>
          <w:sz w:val="20"/>
          <w:szCs w:val="20"/>
          <w:color w:val="auto"/>
        </w:rPr>
      </w:pPr>
    </w:p>
    <w:p>
      <w:pPr>
        <w:ind w:left="660" w:right="160" w:hanging="206"/>
        <w:spacing w:after="0" w:line="25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executive compensation is linked to Company performance, through annual cash incentive performance criteria and long-term equity-based incentive awards. As a result, our executive compensation program provides for a significant difference in total compensation in periods of above-target Company performance as compared to periods of below-target Company performance. Performance-based annual cash incentive and long-term equity-based incentive awards comprised approximately 87% of total 2016 target compensation for our former Chief Executive Officer, while approximately 78% of the total 2016 target compensation opportunities for our other named executives was performance-based (in each case, as established in February 2016 before Mr. Steiner’s departure and Mr. Fish’s promotions);</w:t>
      </w:r>
    </w:p>
    <w:p>
      <w:pPr>
        <w:spacing w:after="0" w:line="93" w:lineRule="exact"/>
        <w:rPr>
          <w:rFonts w:ascii="Times New Roman" w:cs="Times New Roman" w:eastAsia="Times New Roman" w:hAnsi="Times New Roman"/>
          <w:sz w:val="18"/>
          <w:szCs w:val="18"/>
          <w:color w:val="auto"/>
        </w:rPr>
      </w:pPr>
    </w:p>
    <w:p>
      <w:pPr>
        <w:jc w:val="both"/>
        <w:ind w:left="660" w:right="100" w:hanging="206"/>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target (as established in February 2016), approximately 71% of total target compensation of our former Chief Executive Officer was tied to long-term equity awards, and approximately 57% of total target compensation of our other named executives was tied to long-term equity awards, which aligns executives’ interests with those of stockholders;</w:t>
      </w:r>
    </w:p>
    <w:p>
      <w:pPr>
        <w:spacing w:after="0" w:line="8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direct compensation opportunities for named executive officers are targeted to fall in a range around the competitive median;</w:t>
      </w:r>
    </w:p>
    <w:p>
      <w:pPr>
        <w:spacing w:after="0" w:line="130" w:lineRule="exact"/>
        <w:rPr>
          <w:rFonts w:ascii="Times New Roman" w:cs="Times New Roman" w:eastAsia="Times New Roman" w:hAnsi="Times New Roman"/>
          <w:sz w:val="18"/>
          <w:szCs w:val="18"/>
          <w:color w:val="auto"/>
        </w:rPr>
      </w:pPr>
    </w:p>
    <w:p>
      <w:pPr>
        <w:ind w:left="660" w:right="60" w:hanging="206"/>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include threshold, target and maximum payouts correlating to a range of performance goals and are based on a variety of indicators of performance, which limits risk-taking behavior;</w:t>
      </w:r>
    </w:p>
    <w:p>
      <w:pPr>
        <w:spacing w:after="0" w:line="67" w:lineRule="exact"/>
        <w:rPr>
          <w:rFonts w:ascii="Times New Roman" w:cs="Times New Roman" w:eastAsia="Times New Roman" w:hAnsi="Times New Roman"/>
          <w:sz w:val="18"/>
          <w:szCs w:val="18"/>
          <w:color w:val="auto"/>
        </w:rPr>
      </w:pPr>
    </w:p>
    <w:p>
      <w:pPr>
        <w:ind w:left="660" w:right="180" w:hanging="206"/>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67" w:lineRule="exact"/>
        <w:rPr>
          <w:rFonts w:ascii="Times New Roman" w:cs="Times New Roman" w:eastAsia="Times New Roman" w:hAnsi="Times New Roman"/>
          <w:sz w:val="18"/>
          <w:szCs w:val="18"/>
          <w:color w:val="auto"/>
        </w:rPr>
      </w:pPr>
    </w:p>
    <w:p>
      <w:pPr>
        <w:ind w:left="660" w:right="240" w:hanging="206"/>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are subject to stock ownership requirements, which we believe demonstrates a commitment to, and confidence in, the Company’s long-term prospects;</w:t>
      </w:r>
    </w:p>
    <w:p>
      <w:pPr>
        <w:spacing w:after="0" w:line="67" w:lineRule="exact"/>
        <w:rPr>
          <w:rFonts w:ascii="Times New Roman" w:cs="Times New Roman" w:eastAsia="Times New Roman" w:hAnsi="Times New Roman"/>
          <w:sz w:val="18"/>
          <w:szCs w:val="18"/>
          <w:color w:val="auto"/>
        </w:rPr>
      </w:pPr>
    </w:p>
    <w:p>
      <w:pPr>
        <w:ind w:left="660" w:right="520" w:hanging="206"/>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clawback provisions in its equity award agreements and recent employment agreements, and has adopted a clawback policy applicable to annual incentive compensation, designed to recoup compensation when cause and/or misconduct are found;</w:t>
      </w:r>
    </w:p>
    <w:p>
      <w:pPr>
        <w:spacing w:after="0" w:line="67" w:lineRule="exact"/>
        <w:rPr>
          <w:rFonts w:ascii="Times New Roman" w:cs="Times New Roman" w:eastAsia="Times New Roman" w:hAnsi="Times New Roman"/>
          <w:sz w:val="18"/>
          <w:szCs w:val="18"/>
          <w:color w:val="auto"/>
        </w:rPr>
      </w:pPr>
    </w:p>
    <w:p>
      <w:pPr>
        <w:ind w:left="660" w:right="100" w:hanging="206"/>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67" w:lineRule="exact"/>
        <w:rPr>
          <w:rFonts w:ascii="Times New Roman" w:cs="Times New Roman" w:eastAsia="Times New Roman" w:hAnsi="Times New Roman"/>
          <w:sz w:val="18"/>
          <w:szCs w:val="18"/>
          <w:color w:val="auto"/>
        </w:rPr>
      </w:pPr>
    </w:p>
    <w:p>
      <w:pPr>
        <w:ind w:left="660" w:right="100" w:hanging="206"/>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a policy that prohibits it from entering into new agreements with executive officers that provide for certain death benefits or tax gross-up payments.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Board strongly endorses the Company’s executive compensation program and recommends that the stockholders vote in favor of the following resolution:</w:t>
      </w:r>
    </w:p>
    <w:p>
      <w:pPr>
        <w:spacing w:after="0" w:line="54" w:lineRule="exact"/>
        <w:rPr>
          <w:sz w:val="20"/>
          <w:szCs w:val="20"/>
          <w:color w:val="auto"/>
        </w:rPr>
      </w:pPr>
    </w:p>
    <w:p>
      <w:pPr>
        <w:ind w:right="20" w:firstLine="456"/>
        <w:spacing w:after="0" w:line="313" w:lineRule="auto"/>
        <w:rPr>
          <w:sz w:val="20"/>
          <w:szCs w:val="20"/>
          <w:color w:val="auto"/>
        </w:rPr>
      </w:pPr>
      <w:r>
        <w:rPr>
          <w:rFonts w:ascii="Times New Roman" w:cs="Times New Roman" w:eastAsia="Times New Roman" w:hAnsi="Times New Roman"/>
          <w:sz w:val="17"/>
          <w:szCs w:val="17"/>
          <w:color w:val="auto"/>
        </w:rPr>
        <w:t xml:space="preserve">RESOLVED, that the compensation of the Company’s named executive officers as described in this Proxy Statement under “Executive Compensation,” including the </w:t>
      </w:r>
      <w:r>
        <w:rPr>
          <w:rFonts w:ascii="Times New Roman" w:cs="Times New Roman" w:eastAsia="Times New Roman" w:hAnsi="Times New Roman"/>
          <w:sz w:val="17"/>
          <w:szCs w:val="17"/>
          <w:i w:val="1"/>
          <w:iCs w:val="1"/>
          <w:color w:val="auto"/>
        </w:rPr>
        <w:t>Compensation Discussion and Analysis</w:t>
      </w:r>
      <w:r>
        <w:rPr>
          <w:rFonts w:ascii="Times New Roman" w:cs="Times New Roman" w:eastAsia="Times New Roman" w:hAnsi="Times New Roman"/>
          <w:sz w:val="17"/>
          <w:szCs w:val="17"/>
          <w:color w:val="auto"/>
        </w:rPr>
        <w:t xml:space="preserve"> and the tabular and narrative disclosure contained in this Proxy Statement, is hereby APPROVED.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 for Approval</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shares present at the meeting, in person or represented by proxy, and entitled to vote. Because the vote is advisory, it will not be binding upon the Board or the MD&amp;C Committee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68" w:lineRule="exact"/>
        <w:rPr>
          <w:sz w:val="20"/>
          <w:szCs w:val="20"/>
          <w:color w:val="auto"/>
        </w:rPr>
      </w:pPr>
    </w:p>
    <w:p>
      <w:pPr>
        <w:jc w:val="center"/>
        <w:ind w:right="100"/>
        <w:spacing w:after="0" w:line="459"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YOU VOTE FOR THE APPROVAL OF THE COMPANY’S EXECUTIVE COMPENSATION. </w:t>
      </w: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A</w:t>
      </w:r>
      <w:r>
        <w:rPr>
          <w:rFonts w:ascii="Times New Roman" w:cs="Times New Roman" w:eastAsia="Times New Roman" w:hAnsi="Times New Roman"/>
          <w:sz w:val="23"/>
          <w:szCs w:val="23"/>
          <w:b w:val="1"/>
          <w:bCs w:val="1"/>
          <w:color w:val="auto"/>
        </w:rPr>
        <w:t>DVISORY</w:t>
      </w:r>
      <w:r>
        <w:rPr>
          <w:rFonts w:ascii="Times New Roman" w:cs="Times New Roman" w:eastAsia="Times New Roman" w:hAnsi="Times New Roman"/>
          <w:sz w:val="29"/>
          <w:szCs w:val="29"/>
          <w:b w:val="1"/>
          <w:bCs w:val="1"/>
          <w:color w:val="auto"/>
        </w:rPr>
        <w:t xml:space="preserve"> V</w:t>
      </w:r>
      <w:r>
        <w:rPr>
          <w:rFonts w:ascii="Times New Roman" w:cs="Times New Roman" w:eastAsia="Times New Roman" w:hAnsi="Times New Roman"/>
          <w:sz w:val="23"/>
          <w:szCs w:val="23"/>
          <w:b w:val="1"/>
          <w:bCs w:val="1"/>
          <w:color w:val="auto"/>
        </w:rPr>
        <w:t>OTE</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N</w:t>
      </w:r>
      <w:r>
        <w:rPr>
          <w:rFonts w:ascii="Times New Roman" w:cs="Times New Roman" w:eastAsia="Times New Roman" w:hAnsi="Times New Roman"/>
          <w:sz w:val="29"/>
          <w:szCs w:val="29"/>
          <w:b w:val="1"/>
          <w:bCs w:val="1"/>
          <w:color w:val="auto"/>
        </w:rPr>
        <w:t xml:space="preserve"> F</w:t>
      </w:r>
      <w:r>
        <w:rPr>
          <w:rFonts w:ascii="Times New Roman" w:cs="Times New Roman" w:eastAsia="Times New Roman" w:hAnsi="Times New Roman"/>
          <w:sz w:val="23"/>
          <w:szCs w:val="23"/>
          <w:b w:val="1"/>
          <w:bCs w:val="1"/>
          <w:color w:val="auto"/>
        </w:rPr>
        <w:t>REQUENCY</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F</w:t>
      </w:r>
    </w:p>
    <w:p>
      <w:pPr>
        <w:spacing w:after="0" w:line="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w:t>
      </w:r>
      <w:r>
        <w:rPr>
          <w:rFonts w:ascii="Times New Roman" w:cs="Times New Roman" w:eastAsia="Times New Roman" w:hAnsi="Times New Roman"/>
          <w:sz w:val="23"/>
          <w:szCs w:val="23"/>
          <w:b w:val="1"/>
          <w:bCs w:val="1"/>
          <w:color w:val="auto"/>
        </w:rPr>
        <w:t>UTURE</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23"/>
          <w:szCs w:val="23"/>
          <w:b w:val="1"/>
          <w:bCs w:val="1"/>
          <w:color w:val="auto"/>
        </w:rPr>
        <w:t>DVISORY</w:t>
      </w:r>
      <w:r>
        <w:rPr>
          <w:rFonts w:ascii="Times New Roman" w:cs="Times New Roman" w:eastAsia="Times New Roman" w:hAnsi="Times New Roman"/>
          <w:sz w:val="29"/>
          <w:szCs w:val="29"/>
          <w:b w:val="1"/>
          <w:bCs w:val="1"/>
          <w:color w:val="auto"/>
        </w:rPr>
        <w:t xml:space="preserve"> V</w:t>
      </w:r>
      <w:r>
        <w:rPr>
          <w:rFonts w:ascii="Times New Roman" w:cs="Times New Roman" w:eastAsia="Times New Roman" w:hAnsi="Times New Roman"/>
          <w:sz w:val="23"/>
          <w:szCs w:val="23"/>
          <w:b w:val="1"/>
          <w:bCs w:val="1"/>
          <w:color w:val="auto"/>
        </w:rPr>
        <w:t>OTES</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23"/>
          <w:szCs w:val="23"/>
          <w:b w:val="1"/>
          <w:bCs w:val="1"/>
          <w:color w:val="auto"/>
        </w:rPr>
        <w:t>N</w:t>
      </w:r>
      <w:r>
        <w:rPr>
          <w:rFonts w:ascii="Times New Roman" w:cs="Times New Roman" w:eastAsia="Times New Roman" w:hAnsi="Times New Roman"/>
          <w:sz w:val="29"/>
          <w:szCs w:val="29"/>
          <w:b w:val="1"/>
          <w:bCs w:val="1"/>
          <w:color w:val="auto"/>
        </w:rPr>
        <w:t xml:space="preserve"> E</w:t>
      </w:r>
      <w:r>
        <w:rPr>
          <w:rFonts w:ascii="Times New Roman" w:cs="Times New Roman" w:eastAsia="Times New Roman" w:hAnsi="Times New Roman"/>
          <w:sz w:val="23"/>
          <w:szCs w:val="23"/>
          <w:b w:val="1"/>
          <w:bCs w:val="1"/>
          <w:color w:val="auto"/>
        </w:rPr>
        <w:t>XECUTIVE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TEM</w:t>
      </w:r>
      <w:r>
        <w:rPr>
          <w:rFonts w:ascii="Times New Roman" w:cs="Times New Roman" w:eastAsia="Times New Roman" w:hAnsi="Times New Roman"/>
          <w:sz w:val="18"/>
          <w:szCs w:val="18"/>
          <w:b w:val="1"/>
          <w:bCs w:val="1"/>
          <w:color w:val="auto"/>
        </w:rPr>
        <w:t xml:space="preserve"> 4 </w:t>
      </w:r>
      <w:r>
        <w:rPr>
          <w:rFonts w:ascii="Times New Roman" w:cs="Times New Roman" w:eastAsia="Times New Roman" w:hAnsi="Times New Roman"/>
          <w:sz w:val="15"/>
          <w:szCs w:val="15"/>
          <w:b w:val="1"/>
          <w:bCs w:val="1"/>
          <w:color w:val="auto"/>
        </w:rPr>
        <w:t>ON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ROXY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ARD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Stockholders are asked to cast an advisory (non-binding) vote on whether future “say on pay” advisory votes should occur every year, every two years or every three years.</w:t>
      </w:r>
    </w:p>
    <w:p>
      <w:pPr>
        <w:spacing w:after="0" w:line="54"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Board has determined that an advisory vote on executive compensation that occurs annually is the most appropriate interval. Conducting an advisory vote on executive compensation every year will enhance stockholder communication and provide the Company with regular feedback on its executive compensation practices and philosophy. Accordingly, our Board recommends you vote for a one-year interval for the advisory vote on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 for Approval</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The proxy card provides stockholders with the opportunity to choose among four options (holding the vote every one, two or three years, or abstaining) and, therefore, stockholders will not be voting to approve or disapprove the Board’s recommendation. The alternative receiving a majority of the votes cast — every year, every two years or every three years — will be the frequency that stockholders approve. If none of the frequency alternatives receive a majority of the votes cast, the alternative receiving the greatest number of votes cast will be the frequency that stockholders approve.</w:t>
      </w:r>
    </w:p>
    <w:p>
      <w:pPr>
        <w:spacing w:after="0" w:line="7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Because the vote is advisory, it will not be binding upon the Board or the MD&amp;C Committee. However, the MD&amp;C Committee will carefully consider the outcome of the vote when deciding how often to conduct future stockholder advisory votes on executive compensation.</w:t>
      </w:r>
    </w:p>
    <w:p>
      <w:pPr>
        <w:spacing w:after="0" w:line="50" w:lineRule="exact"/>
        <w:rPr>
          <w:sz w:val="20"/>
          <w:szCs w:val="20"/>
          <w:color w:val="auto"/>
        </w:rPr>
      </w:pPr>
    </w:p>
    <w:p>
      <w:pPr>
        <w:ind w:right="6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OPTION OF EVERY YEAR FOR FUTURE ADVISORY VOTES ON EXECUTIVE COMPENSATION.</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w:t>
      </w:r>
      <w:r>
        <w:rPr>
          <w:rFonts w:ascii="Times New Roman" w:cs="Times New Roman" w:eastAsia="Times New Roman" w:hAnsi="Times New Roman"/>
          <w:sz w:val="23"/>
          <w:szCs w:val="23"/>
          <w:b w:val="1"/>
          <w:bCs w:val="1"/>
          <w:color w:val="auto"/>
        </w:rPr>
        <w:t>TOCKHOLDER</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3"/>
          <w:szCs w:val="23"/>
          <w:b w:val="1"/>
          <w:bCs w:val="1"/>
          <w:color w:val="auto"/>
        </w:rPr>
        <w:t>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TEM</w:t>
      </w:r>
      <w:r>
        <w:rPr>
          <w:rFonts w:ascii="Times New Roman" w:cs="Times New Roman" w:eastAsia="Times New Roman" w:hAnsi="Times New Roman"/>
          <w:sz w:val="18"/>
          <w:szCs w:val="18"/>
          <w:b w:val="1"/>
          <w:bCs w:val="1"/>
          <w:color w:val="auto"/>
        </w:rPr>
        <w:t xml:space="preserve"> 5 </w:t>
      </w:r>
      <w:r>
        <w:rPr>
          <w:rFonts w:ascii="Times New Roman" w:cs="Times New Roman" w:eastAsia="Times New Roman" w:hAnsi="Times New Roman"/>
          <w:sz w:val="15"/>
          <w:szCs w:val="15"/>
          <w:b w:val="1"/>
          <w:bCs w:val="1"/>
          <w:color w:val="auto"/>
        </w:rPr>
        <w:t>ON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ROXY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ARD</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Waste Management is not responsible for the content of this stockholder proposal or supporting statement.</w:t>
      </w:r>
    </w:p>
    <w:p>
      <w:pPr>
        <w:spacing w:after="0" w:line="11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following proposal was submitted by the International Brotherhood of Teamsters General Fund, 25 Louisiana Avenue, NW, Washington, DC 20001, which owns 143 shares of Waste Management Common Stock. The proposal has been included verbatim as we received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w:t>
      </w:r>
    </w:p>
    <w:p>
      <w:pPr>
        <w:spacing w:after="0" w:line="117"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The shareholders ask the board of directors of Waste Management, Inc., to adopt a policy that in the event of a change in control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defined under any applicable employment agreement, equity incentive plan or other plan), there shall be no acceleration of vesting of any equity award granted to any senior executive officer, provided, however, that the board’s Compensation Committee may provide in an applicable grant or purchase agreement that any unvested award will vest on a partial,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up to the time of the named executive officer’s termination, with such qualifications for an award as the Committee may determine.</w:t>
      </w:r>
    </w:p>
    <w:p>
      <w:pPr>
        <w:spacing w:after="0" w:line="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For purposes of this Policy, “equity award” means an award granted under an equity incentive plan as defined in Item 402 of the SEC’s Regulation S-K, which addresses elements of executive compensation to be disclosed to shareholders. This resolution shall be implemented so as not to affect any contractual rights in existence on the date this proposal is adopted, and it shall apply only to equity awards made under equity incentive plans or plan amendments the shareholders approve after the date of the 2017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STATEMENT:</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Waste Management, Inc. (the “Company”) allows senior executives to receive an accelerated award of unearned equity under certain conditions after a change of control of the Company. We do not question that some form of severance payments may be appropriate in that situation. We are concerned, however, that current practices at the Company may permit windfall awards that have nothing to do with an executive’s performance.</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 last year’s proxy statement, a termination following a change in control at the end of the 2015 fiscal year could have accelerated the vesting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 million worth of long term equity and grants to five senior executives, with the CEO entitled to $16.5 million. In the event of a change in control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termination, Waste Management’s performance share units vest </w:t>
      </w:r>
      <w:r>
        <w:rPr>
          <w:rFonts w:ascii="Times New Roman" w:cs="Times New Roman" w:eastAsia="Times New Roman" w:hAnsi="Times New Roman"/>
          <w:sz w:val="18"/>
          <w:szCs w:val="18"/>
          <w:i w:val="1"/>
          <w:iCs w:val="1"/>
          <w:color w:val="auto"/>
        </w:rPr>
        <w:t>pro-rata</w:t>
      </w:r>
      <w:r>
        <w:rPr>
          <w:rFonts w:ascii="Times New Roman" w:cs="Times New Roman" w:eastAsia="Times New Roman" w:hAnsi="Times New Roman"/>
          <w:sz w:val="18"/>
          <w:szCs w:val="18"/>
          <w:color w:val="auto"/>
        </w:rPr>
        <w:t xml:space="preserve"> but the provision is meaningless because the company compensates the executives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a replacement grant for any lost earnings due to proration.</w:t>
      </w:r>
    </w:p>
    <w:p>
      <w:pPr>
        <w:spacing w:after="0" w:line="9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To accelerate the vesting of unearned equity on the theory that an executive was denied the opportunity to earn those shares seems inconsistent with a “pay for performance” philosophy worthy of the name.</w:t>
      </w:r>
    </w:p>
    <w:p>
      <w:pPr>
        <w:spacing w:after="0" w:line="52"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color w:val="auto"/>
        </w:rPr>
        <w:t xml:space="preserve">We do believe, however, that an affected executive should be eligible to receive an accelerated vesting of equity awards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of his or her termination date, with the details of any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award to be determined by the Compensation Committee.</w:t>
      </w:r>
    </w:p>
    <w:p>
      <w:pPr>
        <w:spacing w:after="0" w:line="52" w:lineRule="exact"/>
        <w:rPr>
          <w:sz w:val="20"/>
          <w:szCs w:val="20"/>
          <w:color w:val="auto"/>
        </w:rPr>
      </w:pPr>
    </w:p>
    <w:p>
      <w:pPr>
        <w:ind w:right="340" w:firstLine="456"/>
        <w:spacing w:after="0" w:line="289" w:lineRule="auto"/>
        <w:rPr>
          <w:sz w:val="20"/>
          <w:szCs w:val="20"/>
          <w:color w:val="auto"/>
        </w:rPr>
      </w:pPr>
      <w:r>
        <w:rPr>
          <w:rFonts w:ascii="Times New Roman" w:cs="Times New Roman" w:eastAsia="Times New Roman" w:hAnsi="Times New Roman"/>
          <w:sz w:val="17"/>
          <w:szCs w:val="17"/>
          <w:color w:val="auto"/>
        </w:rPr>
        <w:t xml:space="preserve">Other major corporations, including Apple, Chevron, Dell, Exxon Mobil, IBM, Intel, Microsoft, and Occidental Petroleum, have limitations on accelerated vesting of unearned equity, such as providing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awards or simply forfeiting unearned awards. Research from James Reda &amp; Associates found that over one third of the largest 200 companies now </w:t>
      </w:r>
      <w:r>
        <w:rPr>
          <w:rFonts w:ascii="Times New Roman" w:cs="Times New Roman" w:eastAsia="Times New Roman" w:hAnsi="Times New Roman"/>
          <w:sz w:val="17"/>
          <w:szCs w:val="17"/>
          <w:i w:val="1"/>
          <w:iCs w:val="1"/>
          <w:color w:val="auto"/>
        </w:rPr>
        <w:t>pro rate</w:t>
      </w:r>
      <w:r>
        <w:rPr>
          <w:rFonts w:ascii="Times New Roman" w:cs="Times New Roman" w:eastAsia="Times New Roman" w:hAnsi="Times New Roman"/>
          <w:sz w:val="17"/>
          <w:szCs w:val="17"/>
          <w:color w:val="auto"/>
        </w:rPr>
        <w:t>, forfeit, or only partially vest performance shares upon a change of control.</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urge you to vote FOR this proposal.</w:t>
      </w:r>
    </w:p>
    <w:p>
      <w:pPr>
        <w:spacing w:after="0" w:line="11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Waste Management Response to Stockholder Proposal on Policy Restricting Accelerated Vesting and Requiring Partial Forfeiture of Equity Awards to Named Executive Officers upon a Change in Control</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 vote AGAINST this proposal.</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Board does not believe that adoption of a rigid policy restricting the acceleration of vesting and requiring partial forfeiture of named executive officers’ equity awards is in the best interests of the Company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stockholders. Such a policy could put the Company at a competitive disadvantage in attracting and retaining key executives, it would disrupt the alignment of interests between our management and our stockholders by discouraging pursuit of any transaction that could result in a change in control, and it would unduly restrict our MD&amp;C Committee from designing and administering appropriate compensation arrangements.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Competitive disadvantage in attracting and retaining executives</w:t>
      </w:r>
    </w:p>
    <w:p>
      <w:pPr>
        <w:spacing w:after="0" w:line="119"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The proponent’s supporting statement asserts that over a third of the largest 200 companies now pro rate, forfeit, or only partially vest performance shares upon a change in control. Waste Management is among those companies, as the proponent notes that we only vest performance share units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upon a change in control, and only based on actual performance to date.</w:t>
      </w:r>
    </w:p>
    <w:p>
      <w:pPr>
        <w:spacing w:after="0" w:line="6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However, a very substantial majority of the companies with which we compete for executive talent are not restricted in their ability to attract and retain key executives through the use of change in control equity vesting triggers, and in fact, routinely provide for accelerated vesting of equity-based awards upon a change in control. As a result, the proposed policy could significantly jeopardize the objective of our compensation program to attract, retain, reward and incentivize exceptional, talented employees who will lead the Company in the successful execution of its strategy.</w:t>
      </w:r>
    </w:p>
    <w:p>
      <w:pPr>
        <w:spacing w:after="0" w:line="7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Additionally, the proposed policy would permit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vesting of equity-based awards following both a change in control and termination of a named executive officer. Yet, vesting of equity-based awards, even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would not be permitted with respect to named executives that continue employment at the post-change in control successor entity. As noted above, our current award agreements for performance share units provide for accelerated vesting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actual performance achieved, upon a change in control event, as it is likely not to be feasible to carry forward the performance metrics of the outstanding awards to the successor entity. Under the proposed policy, named executives leaving the Company could have more certainty regarding the value of their outstanding performance share units than named executives that remain, who would have to forfeit their awards or rely on the successor entity to grant replacement awards. Such a result is clearly contrary to the retention objective of our compensation program and fails to appreciate the practical realities of change in control scenarios where the successor is a materially different entity.</w:t>
      </w:r>
    </w:p>
    <w:p>
      <w:pPr>
        <w:spacing w:after="0" w:line="7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proposed policy may also make it particularly difficult for us to retain key executives during the pendency of a potential change in control, which could be disruptive to the transaction. Allowing executives to retain the value of their awards encourages our executives to remain with us through consummation of a merger or similar change in control transaction, reinforcing the retention value of those awards. Accelerated vesting provisions therefore help provide stability and ensure continuity of executive management during the critical stages of a potential change in control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Disruption of alignment between management and our stockholders</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Board believes that executives should not be discouraged from pursuing and facilitating change in control transactions when they are in the best interests of stockholders. Putting executives’ compensation at risk in the event of a change in control could create a conflict of interest if the Board believed a potential change in control transaction was in the best interests of our stockholders. One of the essential purposes of providing executives with equity-based awards is to align their interests with those of our stockholders. As described in our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a significant percentage of each named executive officer’s compensation opportunity is in the form of equity-based awards, and at any time, our named executives’ unvested equity awards represent a significant portion of their total compensation. The proposal would eliminate our ability to provide reasonable assurance to named executives that they can realize the expected value of their equity-based awards and would penalize named executives that consummate a change in control transaction, particularly those that remain with the Company afterwards, with the loss of their incentive compensation.</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Undue restriction on the MD&amp;C Committee’s structuring of executive compensation</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Our Board believes that stockholders’ interests are best served by recognizing that the MD&amp;C Committee, comprised of six independent, non-management directors, is in the best position to set the terms of executive compensation arrangements. Our stockholders have evidenced their overwhelming support of the MD&amp;C Committee’s actions, with over 96% of shares present and entitled to vote casting votes in favor of our Company’s executive compensation at the last six annual meetings of stockholders. The Board believes that the Company’s treatment of equity-based awards upon a change in control, as summarized in our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is already prudent and appropriately balances the interests of all parties, while not granting executives an undeserved windfall.</w:t>
      </w:r>
    </w:p>
    <w:p>
      <w:pPr>
        <w:spacing w:after="0" w:line="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MD&amp;C Committee should continue to retain the flexibility to design and administer competitive compensation programs that reflect market conditions. Permitting the MD&amp;C Committee to accelerate vesting of equity awards can incentivize management to maximize stockholder value, further aligning the interests of management with our stockholders. Conversely, adopting the rigid policy advanced by the proponent would frustrate the purpose of the MD&amp;C Committee and interfere with the objective of our compensation program. The Board recommends that you vote against this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 for Approval</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If this proposal is properly presented at the meeting, approval requires the affirmative vote of a majority of the shares present at the meeting, in person or represented by proxy, and entitled to vote.</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AGAINST THE ADOPTION OF THIS PROPOSAL.</w:t>
      </w:r>
    </w:p>
    <w:p>
      <w:pPr>
        <w:spacing w:after="0" w:line="3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O</w:t>
      </w:r>
      <w:r>
        <w:rPr>
          <w:rFonts w:ascii="Times New Roman" w:cs="Times New Roman" w:eastAsia="Times New Roman" w:hAnsi="Times New Roman"/>
          <w:sz w:val="23"/>
          <w:szCs w:val="23"/>
          <w:b w:val="1"/>
          <w:bCs w:val="1"/>
          <w:color w:val="auto"/>
        </w:rPr>
        <w:t>THER</w:t>
      </w:r>
      <w:r>
        <w:rPr>
          <w:rFonts w:ascii="Times New Roman" w:cs="Times New Roman" w:eastAsia="Times New Roman" w:hAnsi="Times New Roman"/>
          <w:sz w:val="29"/>
          <w:szCs w:val="29"/>
          <w:b w:val="1"/>
          <w:bCs w:val="1"/>
          <w:color w:val="auto"/>
        </w:rPr>
        <w:t xml:space="preserve"> M</w:t>
      </w:r>
      <w:r>
        <w:rPr>
          <w:rFonts w:ascii="Times New Roman" w:cs="Times New Roman" w:eastAsia="Times New Roman" w:hAnsi="Times New Roman"/>
          <w:sz w:val="23"/>
          <w:szCs w:val="23"/>
          <w:b w:val="1"/>
          <w:bCs w:val="1"/>
          <w:color w:val="auto"/>
        </w:rPr>
        <w:t>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Company does not intend to bring any other matters before the annual meeting, 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00"/>
          </w:cols>
          <w:pgMar w:left="240" w:top="455" w:right="3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242570</wp:posOffset>
            </wp:positionV>
            <wp:extent cx="1294765" cy="4889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94765" cy="4889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7080" w:type="dxa"/>
            <w:vAlign w:val="bottom"/>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220" w:type="dxa"/>
            <w:vAlign w:val="bottom"/>
            <w:vMerge w:val="restart"/>
          </w:tcPr>
          <w:p>
            <w:pPr>
              <w:ind w:left="1660"/>
              <w:spacing w:after="0" w:line="139" w:lineRule="exact"/>
              <w:rPr>
                <w:sz w:val="20"/>
                <w:szCs w:val="20"/>
                <w:color w:val="auto"/>
              </w:rPr>
            </w:pPr>
            <w:r>
              <w:rPr>
                <w:rFonts w:ascii="Times New Roman" w:cs="Times New Roman" w:eastAsia="Times New Roman" w:hAnsi="Times New Roman"/>
                <w:sz w:val="14"/>
                <w:szCs w:val="14"/>
                <w:color w:val="auto"/>
              </w:rPr>
              <w:t>Use the Internet to transmit</w:t>
            </w:r>
          </w:p>
        </w:tc>
        <w:tc>
          <w:tcPr>
            <w:tcW w:w="12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580" w:type="dxa"/>
            <w:vAlign w:val="bottom"/>
          </w:tcPr>
          <w:p>
            <w:pPr>
              <w:spacing w:after="0"/>
              <w:rPr>
                <w:sz w:val="10"/>
                <w:szCs w:val="10"/>
                <w:color w:val="auto"/>
              </w:rPr>
            </w:pPr>
          </w:p>
        </w:tc>
        <w:tc>
          <w:tcPr>
            <w:tcW w:w="3220" w:type="dxa"/>
            <w:vAlign w:val="bottom"/>
            <w:vMerge w:val="continue"/>
          </w:tcPr>
          <w:p>
            <w:pPr>
              <w:spacing w:after="0"/>
              <w:rPr>
                <w:sz w:val="10"/>
                <w:szCs w:val="10"/>
                <w:color w:val="auto"/>
              </w:rPr>
            </w:pPr>
          </w:p>
        </w:tc>
        <w:tc>
          <w:tcPr>
            <w:tcW w:w="386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3"/>
                <w:szCs w:val="13"/>
                <w:color w:val="auto"/>
              </w:rPr>
              <w:t>your voting instructions and for electronic delivery of information</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7080" w:type="dxa"/>
            <w:vAlign w:val="bottom"/>
            <w:gridSpan w:val="3"/>
          </w:tcPr>
          <w:p>
            <w:pPr>
              <w:ind w:left="1660"/>
              <w:spacing w:after="0" w:line="149" w:lineRule="exact"/>
              <w:rPr>
                <w:sz w:val="20"/>
                <w:szCs w:val="20"/>
                <w:color w:val="auto"/>
              </w:rPr>
            </w:pPr>
            <w:r>
              <w:rPr>
                <w:rFonts w:ascii="Times New Roman" w:cs="Times New Roman" w:eastAsia="Times New Roman" w:hAnsi="Times New Roman"/>
                <w:sz w:val="14"/>
                <w:szCs w:val="14"/>
                <w:color w:val="auto"/>
              </w:rPr>
              <w:t>up until 11:59 P.M. Eastern Time on May 11, 2017. Have your proxy card in hand when you</w:t>
            </w:r>
          </w:p>
        </w:tc>
        <w:tc>
          <w:tcPr>
            <w:tcW w:w="0" w:type="dxa"/>
            <w:vAlign w:val="bottom"/>
          </w:tcPr>
          <w:p>
            <w:pPr>
              <w:spacing w:after="0"/>
              <w:rPr>
                <w:sz w:val="1"/>
                <w:szCs w:val="1"/>
                <w:color w:val="auto"/>
              </w:rPr>
            </w:pPr>
          </w:p>
        </w:tc>
      </w:tr>
      <w:tr>
        <w:trPr>
          <w:trHeight w:val="149"/>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WASTE MANAGEMENT, INC.</w:t>
            </w:r>
          </w:p>
        </w:tc>
        <w:tc>
          <w:tcPr>
            <w:tcW w:w="7080" w:type="dxa"/>
            <w:vAlign w:val="bottom"/>
            <w:gridSpan w:val="3"/>
          </w:tcPr>
          <w:p>
            <w:pPr>
              <w:ind w:left="1660"/>
              <w:spacing w:after="0" w:line="149" w:lineRule="exact"/>
              <w:rPr>
                <w:sz w:val="20"/>
                <w:szCs w:val="20"/>
                <w:color w:val="auto"/>
              </w:rPr>
            </w:pPr>
            <w:r>
              <w:rPr>
                <w:rFonts w:ascii="Times New Roman" w:cs="Times New Roman" w:eastAsia="Times New Roman" w:hAnsi="Times New Roman"/>
                <w:sz w:val="14"/>
                <w:szCs w:val="14"/>
                <w:color w:val="auto"/>
              </w:rPr>
              <w:t>access the web site and follow the instructions to obtain your records and to create an</w:t>
            </w:r>
          </w:p>
        </w:tc>
        <w:tc>
          <w:tcPr>
            <w:tcW w:w="0" w:type="dxa"/>
            <w:vAlign w:val="bottom"/>
          </w:tcPr>
          <w:p>
            <w:pPr>
              <w:spacing w:after="0"/>
              <w:rPr>
                <w:sz w:val="1"/>
                <w:szCs w:val="1"/>
                <w:color w:val="auto"/>
              </w:rPr>
            </w:pPr>
          </w:p>
        </w:tc>
      </w:tr>
      <w:tr>
        <w:trPr>
          <w:trHeight w:val="144"/>
        </w:trPr>
        <w:tc>
          <w:tcPr>
            <w:tcW w:w="3580" w:type="dxa"/>
            <w:vAlign w:val="bottom"/>
            <w:vMerge w:val="continue"/>
          </w:tcPr>
          <w:p>
            <w:pPr>
              <w:spacing w:after="0"/>
              <w:rPr>
                <w:sz w:val="12"/>
                <w:szCs w:val="12"/>
                <w:color w:val="auto"/>
              </w:rPr>
            </w:pPr>
          </w:p>
        </w:tc>
        <w:tc>
          <w:tcPr>
            <w:tcW w:w="7080" w:type="dxa"/>
            <w:vAlign w:val="bottom"/>
            <w:gridSpan w:val="3"/>
          </w:tcPr>
          <w:p>
            <w:pPr>
              <w:ind w:left="1660"/>
              <w:spacing w:after="0" w:line="145" w:lineRule="exact"/>
              <w:rPr>
                <w:sz w:val="20"/>
                <w:szCs w:val="20"/>
                <w:color w:val="auto"/>
              </w:rPr>
            </w:pPr>
            <w:r>
              <w:rPr>
                <w:rFonts w:ascii="Times New Roman" w:cs="Times New Roman" w:eastAsia="Times New Roman" w:hAnsi="Times New Roman"/>
                <w:sz w:val="14"/>
                <w:szCs w:val="14"/>
                <w:color w:val="auto"/>
              </w:rPr>
              <w:t>electronic voting instruction form.</w:t>
            </w:r>
          </w:p>
        </w:tc>
        <w:tc>
          <w:tcPr>
            <w:tcW w:w="0" w:type="dxa"/>
            <w:vAlign w:val="bottom"/>
          </w:tcPr>
          <w:p>
            <w:pPr>
              <w:spacing w:after="0"/>
              <w:rPr>
                <w:sz w:val="1"/>
                <w:szCs w:val="1"/>
                <w:color w:val="auto"/>
              </w:rPr>
            </w:pPr>
          </w:p>
        </w:tc>
      </w:tr>
      <w:tr>
        <w:trPr>
          <w:trHeight w:val="108"/>
        </w:trPr>
        <w:tc>
          <w:tcPr>
            <w:tcW w:w="358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i w:val="1"/>
                <w:iCs w:val="1"/>
                <w:color w:val="auto"/>
              </w:rPr>
              <w:t>1001 FANNIN STREET</w:t>
            </w:r>
          </w:p>
        </w:tc>
        <w:tc>
          <w:tcPr>
            <w:tcW w:w="7080" w:type="dxa"/>
            <w:vAlign w:val="bottom"/>
            <w:gridSpan w:val="3"/>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ELECTRONIC DELIVERY OF FUTURE STOCKHOLDER COMMUNICATIONS</w:t>
            </w:r>
          </w:p>
        </w:tc>
        <w:tc>
          <w:tcPr>
            <w:tcW w:w="0" w:type="dxa"/>
            <w:vAlign w:val="bottom"/>
          </w:tcPr>
          <w:p>
            <w:pPr>
              <w:spacing w:after="0"/>
              <w:rPr>
                <w:sz w:val="1"/>
                <w:szCs w:val="1"/>
                <w:color w:val="auto"/>
              </w:rPr>
            </w:pPr>
          </w:p>
        </w:tc>
      </w:tr>
      <w:tr>
        <w:trPr>
          <w:trHeight w:val="142"/>
        </w:trPr>
        <w:tc>
          <w:tcPr>
            <w:tcW w:w="3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HOUSTON, TX 77002</w:t>
            </w:r>
          </w:p>
        </w:tc>
        <w:tc>
          <w:tcPr>
            <w:tcW w:w="7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7080" w:type="dxa"/>
            <w:vAlign w:val="bottom"/>
            <w:gridSpan w:val="3"/>
          </w:tcPr>
          <w:p>
            <w:pPr>
              <w:ind w:left="1660"/>
              <w:spacing w:after="0" w:line="133" w:lineRule="exact"/>
              <w:rPr>
                <w:sz w:val="20"/>
                <w:szCs w:val="20"/>
                <w:color w:val="auto"/>
              </w:rPr>
            </w:pPr>
            <w:r>
              <w:rPr>
                <w:rFonts w:ascii="Times New Roman" w:cs="Times New Roman" w:eastAsia="Times New Roman" w:hAnsi="Times New Roman"/>
                <w:sz w:val="14"/>
                <w:szCs w:val="14"/>
                <w:color w:val="auto"/>
              </w:rPr>
              <w:t>If you would like to reduce the costs incurred by Waste Management, Inc. in mailing proxy</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7080" w:type="dxa"/>
            <w:vAlign w:val="bottom"/>
            <w:gridSpan w:val="3"/>
          </w:tcPr>
          <w:p>
            <w:pPr>
              <w:ind w:left="1660"/>
              <w:spacing w:after="0" w:line="149" w:lineRule="exact"/>
              <w:rPr>
                <w:sz w:val="20"/>
                <w:szCs w:val="20"/>
                <w:color w:val="auto"/>
              </w:rPr>
            </w:pPr>
            <w:r>
              <w:rPr>
                <w:rFonts w:ascii="Times New Roman" w:cs="Times New Roman" w:eastAsia="Times New Roman" w:hAnsi="Times New Roman"/>
                <w:sz w:val="14"/>
                <w:szCs w:val="14"/>
                <w:color w:val="auto"/>
              </w:rPr>
              <w:t>materials, you can consent to receiving all future proxy statements, proxy cards and annual</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7080" w:type="dxa"/>
            <w:vAlign w:val="bottom"/>
            <w:gridSpan w:val="3"/>
          </w:tcPr>
          <w:p>
            <w:pPr>
              <w:ind w:left="1660"/>
              <w:spacing w:after="0" w:line="149" w:lineRule="exact"/>
              <w:rPr>
                <w:sz w:val="20"/>
                <w:szCs w:val="20"/>
                <w:color w:val="auto"/>
              </w:rPr>
            </w:pPr>
            <w:r>
              <w:rPr>
                <w:rFonts w:ascii="Times New Roman" w:cs="Times New Roman" w:eastAsia="Times New Roman" w:hAnsi="Times New Roman"/>
                <w:sz w:val="14"/>
                <w:szCs w:val="14"/>
                <w:color w:val="auto"/>
              </w:rPr>
              <w:t>reports electronically via e-mail or the Internet. To sign up for electronic delivery, please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7080" w:type="dxa"/>
            <w:vAlign w:val="bottom"/>
            <w:gridSpan w:val="3"/>
          </w:tcPr>
          <w:p>
            <w:pPr>
              <w:ind w:left="1660"/>
              <w:spacing w:after="0" w:line="149" w:lineRule="exact"/>
              <w:rPr>
                <w:sz w:val="20"/>
                <w:szCs w:val="20"/>
                <w:color w:val="auto"/>
              </w:rPr>
            </w:pPr>
            <w:r>
              <w:rPr>
                <w:rFonts w:ascii="Times New Roman" w:cs="Times New Roman" w:eastAsia="Times New Roman" w:hAnsi="Times New Roman"/>
                <w:sz w:val="14"/>
                <w:szCs w:val="14"/>
                <w:color w:val="auto"/>
              </w:rPr>
              <w:t>follow the instructions above to vote using the Internet and, when prompted, indicate that you</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7080" w:type="dxa"/>
            <w:vAlign w:val="bottom"/>
            <w:gridSpan w:val="3"/>
          </w:tcPr>
          <w:p>
            <w:pPr>
              <w:ind w:left="1660"/>
              <w:spacing w:after="0"/>
              <w:rPr>
                <w:sz w:val="20"/>
                <w:szCs w:val="20"/>
                <w:color w:val="auto"/>
              </w:rPr>
            </w:pPr>
            <w:r>
              <w:rPr>
                <w:rFonts w:ascii="Times New Roman" w:cs="Times New Roman" w:eastAsia="Times New Roman" w:hAnsi="Times New Roman"/>
                <w:sz w:val="14"/>
                <w:szCs w:val="14"/>
                <w:color w:val="auto"/>
              </w:rPr>
              <w:t>agree to receive or access stockholder communications electronically in future years.</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7080" w:type="dxa"/>
            <w:vAlign w:val="bottom"/>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7080" w:type="dxa"/>
            <w:vAlign w:val="bottom"/>
            <w:gridSpan w:val="3"/>
          </w:tcPr>
          <w:p>
            <w:pPr>
              <w:ind w:left="1660"/>
              <w:spacing w:after="0" w:line="149" w:lineRule="exact"/>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7080" w:type="dxa"/>
            <w:vAlign w:val="bottom"/>
            <w:gridSpan w:val="3"/>
          </w:tcPr>
          <w:p>
            <w:pPr>
              <w:ind w:left="1660"/>
              <w:spacing w:after="0" w:line="149" w:lineRule="exact"/>
              <w:rPr>
                <w:sz w:val="20"/>
                <w:szCs w:val="20"/>
                <w:color w:val="auto"/>
              </w:rPr>
            </w:pPr>
            <w:r>
              <w:rPr>
                <w:rFonts w:ascii="Times New Roman" w:cs="Times New Roman" w:eastAsia="Times New Roman" w:hAnsi="Times New Roman"/>
                <w:sz w:val="14"/>
                <w:szCs w:val="14"/>
                <w:color w:val="auto"/>
              </w:rPr>
              <w:t>Time on May 11, 2017. Have your proxy card in hand when you call and then follow the</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7080" w:type="dxa"/>
            <w:vAlign w:val="bottom"/>
            <w:gridSpan w:val="3"/>
          </w:tcPr>
          <w:p>
            <w:pPr>
              <w:ind w:left="1660"/>
              <w:spacing w:after="0"/>
              <w:rPr>
                <w:sz w:val="20"/>
                <w:szCs w:val="20"/>
                <w:color w:val="auto"/>
              </w:rPr>
            </w:pPr>
            <w:r>
              <w:rPr>
                <w:rFonts w:ascii="Times New Roman" w:cs="Times New Roman" w:eastAsia="Times New Roman" w:hAnsi="Times New Roman"/>
                <w:sz w:val="14"/>
                <w:szCs w:val="14"/>
                <w:color w:val="auto"/>
              </w:rPr>
              <w:t>instructions.</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7080" w:type="dxa"/>
            <w:vAlign w:val="bottom"/>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7080" w:type="dxa"/>
            <w:vAlign w:val="bottom"/>
            <w:gridSpan w:val="3"/>
          </w:tcPr>
          <w:p>
            <w:pPr>
              <w:ind w:left="1660"/>
              <w:spacing w:after="0" w:line="149" w:lineRule="exact"/>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7080" w:type="dxa"/>
            <w:vAlign w:val="bottom"/>
            <w:gridSpan w:val="3"/>
          </w:tcPr>
          <w:p>
            <w:pPr>
              <w:ind w:left="1660"/>
              <w:spacing w:after="0" w:line="149" w:lineRule="exact"/>
              <w:rPr>
                <w:sz w:val="20"/>
                <w:szCs w:val="20"/>
                <w:color w:val="auto"/>
              </w:rPr>
            </w:pPr>
            <w:r>
              <w:rPr>
                <w:rFonts w:ascii="Times New Roman" w:cs="Times New Roman" w:eastAsia="Times New Roman" w:hAnsi="Times New Roman"/>
                <w:sz w:val="14"/>
                <w:szCs w:val="14"/>
                <w:color w:val="auto"/>
              </w:rPr>
              <w:t>provided or return it to Waste Management, Inc., c/o Broadridge, 51 Mercedes Way,</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7080" w:type="dxa"/>
            <w:vAlign w:val="bottom"/>
            <w:gridSpan w:val="3"/>
          </w:tcPr>
          <w:p>
            <w:pPr>
              <w:ind w:left="1660"/>
              <w:spacing w:after="0"/>
              <w:rPr>
                <w:sz w:val="20"/>
                <w:szCs w:val="20"/>
                <w:color w:val="auto"/>
              </w:rPr>
            </w:pPr>
            <w:r>
              <w:rPr>
                <w:rFonts w:ascii="Times New Roman" w:cs="Times New Roman" w:eastAsia="Times New Roman" w:hAnsi="Times New Roman"/>
                <w:sz w:val="14"/>
                <w:szCs w:val="14"/>
                <w:color w:val="auto"/>
              </w:rPr>
              <w:t>Edgewood, NY 11717.</w:t>
            </w: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E19060-P87832</w:t>
            </w:r>
          </w:p>
        </w:tc>
        <w:tc>
          <w:tcPr>
            <w:tcW w:w="3220" w:type="dxa"/>
            <w:vAlign w:val="bottom"/>
            <w:gridSpan w:val="7"/>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KEEP THIS PORTION FOR YOUR RECORDS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32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tc>
        <w:tc>
          <w:tcPr>
            <w:tcW w:w="322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color w:val="auto"/>
              </w:rPr>
              <w:t>DETACH AND RETURN THIS PORTION ONLY</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5000" w:type="dxa"/>
            <w:vAlign w:val="bottom"/>
            <w:gridSpan w:val="6"/>
            <w:vMerge w:val="continue"/>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WASTE MANAGEMENT, INC.</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40" w:type="dxa"/>
            <w:vAlign w:val="bottom"/>
            <w:tcBorders>
              <w:right w:val="single" w:sz="8" w:color="auto"/>
            </w:tcBorders>
          </w:tcPr>
          <w:p>
            <w:pPr>
              <w:spacing w:after="0"/>
              <w:rPr>
                <w:sz w:val="7"/>
                <w:szCs w:val="7"/>
                <w:color w:val="auto"/>
              </w:rPr>
            </w:pPr>
          </w:p>
        </w:tc>
        <w:tc>
          <w:tcPr>
            <w:tcW w:w="42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each of the</w:t>
            </w: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0" w:type="dxa"/>
            <w:vAlign w:val="bottom"/>
            <w:tcBorders>
              <w:right w:val="single" w:sz="8" w:color="auto"/>
            </w:tcBorders>
          </w:tcPr>
          <w:p>
            <w:pPr>
              <w:spacing w:after="0"/>
              <w:rPr>
                <w:sz w:val="8"/>
                <w:szCs w:val="8"/>
                <w:color w:val="auto"/>
              </w:rPr>
            </w:pPr>
          </w:p>
        </w:tc>
        <w:tc>
          <w:tcPr>
            <w:tcW w:w="4280" w:type="dxa"/>
            <w:vAlign w:val="bottom"/>
            <w:gridSpan w:val="5"/>
            <w:vMerge w:val="continue"/>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3220" w:type="dxa"/>
            <w:vAlign w:val="bottom"/>
            <w:gridSpan w:val="3"/>
          </w:tcPr>
          <w:p>
            <w:pPr>
              <w:ind w:left="220"/>
              <w:spacing w:after="0" w:line="151" w:lineRule="exact"/>
              <w:rPr>
                <w:sz w:val="20"/>
                <w:szCs w:val="20"/>
                <w:color w:val="auto"/>
              </w:rPr>
            </w:pPr>
            <w:r>
              <w:rPr>
                <w:rFonts w:ascii="Times New Roman" w:cs="Times New Roman" w:eastAsia="Times New Roman" w:hAnsi="Times New Roman"/>
                <w:sz w:val="14"/>
                <w:szCs w:val="14"/>
                <w:b w:val="1"/>
                <w:bCs w:val="1"/>
                <w:color w:val="auto"/>
              </w:rPr>
              <w:t>nominees in item 1 and FOR proposals 2 and 3:</w:t>
            </w: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1.  Election of Directors</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500" w:type="dxa"/>
            <w:vAlign w:val="bottom"/>
          </w:tcPr>
          <w:p>
            <w:pPr>
              <w:spacing w:after="0"/>
              <w:rPr>
                <w:sz w:val="17"/>
                <w:szCs w:val="17"/>
                <w:color w:val="auto"/>
              </w:rPr>
            </w:pPr>
          </w:p>
        </w:tc>
        <w:tc>
          <w:tcPr>
            <w:tcW w:w="5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4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1a.</w:t>
            </w:r>
          </w:p>
        </w:tc>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Bradbury H. Anderson</w:t>
            </w:r>
          </w:p>
        </w:tc>
        <w:tc>
          <w:tcPr>
            <w:tcW w:w="500" w:type="dxa"/>
            <w:vAlign w:val="bottom"/>
          </w:tcPr>
          <w:p>
            <w:pPr>
              <w:spacing w:after="0"/>
              <w:rPr>
                <w:sz w:val="21"/>
                <w:szCs w:val="21"/>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right="268"/>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1b.</w:t>
            </w:r>
          </w:p>
        </w:tc>
        <w:tc>
          <w:tcPr>
            <w:tcW w:w="2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Frank M. Clark, Jr.</w:t>
            </w:r>
          </w:p>
        </w:tc>
        <w:tc>
          <w:tcPr>
            <w:tcW w:w="500" w:type="dxa"/>
            <w:vAlign w:val="bottom"/>
          </w:tcPr>
          <w:p>
            <w:pPr>
              <w:spacing w:after="0"/>
              <w:rPr>
                <w:sz w:val="21"/>
                <w:szCs w:val="21"/>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right="268"/>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For</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1c.</w:t>
            </w:r>
          </w:p>
        </w:tc>
        <w:tc>
          <w:tcPr>
            <w:tcW w:w="25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James C. Fish, Jr.</w:t>
            </w:r>
          </w:p>
        </w:tc>
        <w:tc>
          <w:tcPr>
            <w:tcW w:w="500" w:type="dxa"/>
            <w:vAlign w:val="bottom"/>
          </w:tcPr>
          <w:p>
            <w:pPr>
              <w:spacing w:after="0"/>
              <w:rPr>
                <w:sz w:val="10"/>
                <w:szCs w:val="10"/>
                <w:color w:val="auto"/>
              </w:rPr>
            </w:pPr>
          </w:p>
        </w:tc>
        <w:tc>
          <w:tcPr>
            <w:tcW w:w="56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vMerge w:val="restart"/>
          </w:tcPr>
          <w:p>
            <w:pPr>
              <w:jc w:val="center"/>
              <w:ind w:right="268"/>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w:t>
            </w:r>
          </w:p>
        </w:tc>
        <w:tc>
          <w:tcPr>
            <w:tcW w:w="35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color w:val="auto"/>
              </w:rPr>
              <w:t>Ratification of the appointment of Ernst &amp; Young LLP as</w:t>
            </w:r>
          </w:p>
        </w:tc>
        <w:tc>
          <w:tcPr>
            <w:tcW w:w="50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vMerge w:val="restart"/>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Borders>
              <w:right w:val="single" w:sz="8" w:color="auto"/>
            </w:tcBorders>
            <w:gridSpan w:val="2"/>
            <w:vMerge w:val="restart"/>
          </w:tcPr>
          <w:p>
            <w:pPr>
              <w:jc w:val="center"/>
              <w:ind w:right="2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1d.</w:t>
            </w:r>
          </w:p>
        </w:tc>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Andrés R. Gluski</w:t>
            </w:r>
          </w:p>
        </w:tc>
        <w:tc>
          <w:tcPr>
            <w:tcW w:w="500" w:type="dxa"/>
            <w:vAlign w:val="bottom"/>
          </w:tcPr>
          <w:p>
            <w:pPr>
              <w:spacing w:after="0"/>
              <w:rPr>
                <w:sz w:val="8"/>
                <w:szCs w:val="8"/>
                <w:color w:val="auto"/>
              </w:rPr>
            </w:pPr>
          </w:p>
        </w:tc>
        <w:tc>
          <w:tcPr>
            <w:tcW w:w="56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vMerge w:val="restart"/>
          </w:tcPr>
          <w:p>
            <w:pPr>
              <w:jc w:val="center"/>
              <w:ind w:right="268"/>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vMerge w:val="continue"/>
          </w:tcPr>
          <w:p>
            <w:pPr>
              <w:spacing w:after="0"/>
              <w:rPr>
                <w:sz w:val="8"/>
                <w:szCs w:val="8"/>
                <w:color w:val="auto"/>
              </w:rPr>
            </w:pPr>
          </w:p>
        </w:tc>
        <w:tc>
          <w:tcPr>
            <w:tcW w:w="3500" w:type="dxa"/>
            <w:vAlign w:val="bottom"/>
            <w:gridSpan w:val="4"/>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50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the independent registered public accounting firm for</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1e.</w:t>
            </w:r>
          </w:p>
        </w:tc>
        <w:tc>
          <w:tcPr>
            <w:tcW w:w="2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Patrick W. Gross</w:t>
            </w:r>
          </w:p>
        </w:tc>
        <w:tc>
          <w:tcPr>
            <w:tcW w:w="500" w:type="dxa"/>
            <w:vAlign w:val="bottom"/>
          </w:tcPr>
          <w:p>
            <w:pPr>
              <w:spacing w:after="0"/>
              <w:rPr>
                <w:sz w:val="21"/>
                <w:szCs w:val="21"/>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right="268"/>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1"/>
                <w:szCs w:val="21"/>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2017.</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1f.</w:t>
            </w:r>
          </w:p>
        </w:tc>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Victoria M. Holt</w:t>
            </w:r>
          </w:p>
        </w:tc>
        <w:tc>
          <w:tcPr>
            <w:tcW w:w="500" w:type="dxa"/>
            <w:vAlign w:val="bottom"/>
          </w:tcPr>
          <w:p>
            <w:pPr>
              <w:spacing w:after="0"/>
              <w:rPr>
                <w:sz w:val="21"/>
                <w:szCs w:val="21"/>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right="268"/>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Approval of our executive compensation.</w:t>
            </w:r>
          </w:p>
        </w:tc>
        <w:tc>
          <w:tcPr>
            <w:tcW w:w="460" w:type="dxa"/>
            <w:vAlign w:val="bottom"/>
          </w:tcPr>
          <w:p>
            <w:pPr>
              <w:spacing w:after="0"/>
              <w:rPr>
                <w:sz w:val="21"/>
                <w:szCs w:val="21"/>
                <w:color w:val="auto"/>
              </w:rPr>
            </w:pPr>
          </w:p>
        </w:tc>
        <w:tc>
          <w:tcPr>
            <w:tcW w:w="5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Borders>
              <w:right w:val="single" w:sz="8" w:color="auto"/>
            </w:tcBorders>
            <w:gridSpan w:val="2"/>
          </w:tcPr>
          <w:p>
            <w:pPr>
              <w:jc w:val="center"/>
              <w:ind w:right="2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01"/>
        </w:trPr>
        <w:tc>
          <w:tcPr>
            <w:tcW w:w="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1g.</w:t>
            </w:r>
          </w:p>
        </w:tc>
        <w:tc>
          <w:tcPr>
            <w:tcW w:w="2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Kathleen M. Mazzarella</w:t>
            </w:r>
          </w:p>
        </w:tc>
        <w:tc>
          <w:tcPr>
            <w:tcW w:w="500" w:type="dxa"/>
            <w:vAlign w:val="bottom"/>
          </w:tcPr>
          <w:p>
            <w:pPr>
              <w:spacing w:after="0"/>
              <w:rPr>
                <w:sz w:val="17"/>
                <w:szCs w:val="17"/>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right="268"/>
              <w:spacing w:after="0" w:line="141" w:lineRule="exact"/>
              <w:rPr>
                <w:sz w:val="20"/>
                <w:szCs w:val="20"/>
                <w:color w:val="auto"/>
              </w:rPr>
            </w:pPr>
            <w:r>
              <w:rPr>
                <w:rFonts w:ascii="MS PGothic" w:cs="MS PGothic" w:eastAsia="MS PGothic" w:hAnsi="MS PGothic"/>
                <w:sz w:val="14"/>
                <w:szCs w:val="14"/>
                <w:color w:val="auto"/>
                <w:w w:val="85"/>
              </w:rPr>
              <w:t>☐</w:t>
            </w:r>
          </w:p>
        </w:tc>
        <w:tc>
          <w:tcPr>
            <w:tcW w:w="3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1</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1 Year 2 Years 3 Years</w:t>
            </w:r>
          </w:p>
        </w:tc>
        <w:tc>
          <w:tcPr>
            <w:tcW w:w="72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90"/>
        </w:trPr>
        <w:tc>
          <w:tcPr>
            <w:tcW w:w="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1h.</w:t>
            </w:r>
          </w:p>
        </w:tc>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John C. Pope</w:t>
            </w:r>
          </w:p>
        </w:tc>
        <w:tc>
          <w:tcPr>
            <w:tcW w:w="500" w:type="dxa"/>
            <w:vAlign w:val="bottom"/>
          </w:tcPr>
          <w:p>
            <w:pPr>
              <w:spacing w:after="0"/>
              <w:rPr>
                <w:sz w:val="16"/>
                <w:szCs w:val="16"/>
                <w:color w:val="auto"/>
              </w:rPr>
            </w:pPr>
          </w:p>
        </w:tc>
        <w:tc>
          <w:tcPr>
            <w:tcW w:w="56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vMerge w:val="restart"/>
          </w:tcPr>
          <w:p>
            <w:pPr>
              <w:jc w:val="center"/>
              <w:ind w:right="268"/>
              <w:spacing w:after="0" w:line="141" w:lineRule="exact"/>
              <w:rPr>
                <w:sz w:val="20"/>
                <w:szCs w:val="20"/>
                <w:color w:val="auto"/>
              </w:rPr>
            </w:pPr>
            <w:r>
              <w:rPr>
                <w:rFonts w:ascii="MS PGothic" w:cs="MS PGothic" w:eastAsia="MS PGothic" w:hAnsi="MS PGothic"/>
                <w:sz w:val="14"/>
                <w:szCs w:val="14"/>
                <w:color w:val="auto"/>
                <w:w w:val="85"/>
              </w:rPr>
              <w:t>☐</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5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w:t>
            </w:r>
          </w:p>
        </w:tc>
        <w:tc>
          <w:tcPr>
            <w:tcW w:w="3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To recommend the frequency of the stockholder</w:t>
            </w:r>
          </w:p>
        </w:tc>
        <w:tc>
          <w:tcPr>
            <w:tcW w:w="4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vMerge w:val="restart"/>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Borders>
              <w:right w:val="single" w:sz="8" w:color="auto"/>
            </w:tcBorders>
            <w:gridSpan w:val="2"/>
            <w:vMerge w:val="restart"/>
          </w:tcPr>
          <w:p>
            <w:pPr>
              <w:jc w:val="center"/>
              <w:ind w:right="2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72"/>
        </w:trPr>
        <w:tc>
          <w:tcPr>
            <w:tcW w:w="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1i.</w:t>
            </w:r>
          </w:p>
        </w:tc>
        <w:tc>
          <w:tcPr>
            <w:tcW w:w="2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Thomas H. Weidemeyer</w:t>
            </w:r>
          </w:p>
        </w:tc>
        <w:tc>
          <w:tcPr>
            <w:tcW w:w="500" w:type="dxa"/>
            <w:vAlign w:val="bottom"/>
          </w:tcPr>
          <w:p>
            <w:pPr>
              <w:spacing w:after="0"/>
              <w:rPr>
                <w:sz w:val="14"/>
                <w:szCs w:val="14"/>
                <w:color w:val="auto"/>
              </w:rPr>
            </w:pPr>
          </w:p>
        </w:tc>
        <w:tc>
          <w:tcPr>
            <w:tcW w:w="560" w:type="dxa"/>
            <w:vAlign w:val="bottom"/>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right="268"/>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vMerge w:val="continue"/>
          </w:tcPr>
          <w:p>
            <w:pPr>
              <w:spacing w:after="0"/>
              <w:rPr>
                <w:sz w:val="14"/>
                <w:szCs w:val="14"/>
                <w:color w:val="auto"/>
              </w:rPr>
            </w:pPr>
          </w:p>
        </w:tc>
        <w:tc>
          <w:tcPr>
            <w:tcW w:w="304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right w:val="single" w:sz="8" w:color="auto"/>
            </w:tcBorders>
          </w:tcPr>
          <w:p>
            <w:pPr>
              <w:spacing w:after="0"/>
              <w:rPr>
                <w:sz w:val="16"/>
                <w:szCs w:val="16"/>
                <w:color w:val="auto"/>
              </w:rPr>
            </w:pPr>
          </w:p>
        </w:tc>
        <w:tc>
          <w:tcPr>
            <w:tcW w:w="42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color w:val="auto"/>
              </w:rPr>
              <w:t>For address changes and/or comments, please check this box</w:t>
            </w:r>
          </w:p>
        </w:tc>
        <w:tc>
          <w:tcPr>
            <w:tcW w:w="620" w:type="dxa"/>
            <w:vAlign w:val="bottom"/>
          </w:tcPr>
          <w:p>
            <w:pPr>
              <w:spacing w:after="0"/>
              <w:rPr>
                <w:sz w:val="16"/>
                <w:szCs w:val="16"/>
                <w:color w:val="auto"/>
              </w:rPr>
            </w:pPr>
          </w:p>
        </w:tc>
        <w:tc>
          <w:tcPr>
            <w:tcW w:w="940" w:type="dxa"/>
            <w:vAlign w:val="bottom"/>
            <w:vMerge w:val="restart"/>
          </w:tcPr>
          <w:p>
            <w:pPr>
              <w:jc w:val="center"/>
              <w:ind w:right="268"/>
              <w:spacing w:after="0" w:line="141" w:lineRule="exact"/>
              <w:rPr>
                <w:sz w:val="20"/>
                <w:szCs w:val="20"/>
                <w:color w:val="auto"/>
              </w:rPr>
            </w:pPr>
            <w:r>
              <w:rPr>
                <w:rFonts w:ascii="MS PGothic" w:cs="MS PGothic" w:eastAsia="MS PGothic" w:hAnsi="MS PGothic"/>
                <w:sz w:val="14"/>
                <w:szCs w:val="14"/>
                <w:color w:val="auto"/>
                <w:w w:val="85"/>
              </w:rPr>
              <w:t>☐</w:t>
            </w:r>
          </w:p>
        </w:tc>
        <w:tc>
          <w:tcPr>
            <w:tcW w:w="180" w:type="dxa"/>
            <w:vAlign w:val="bottom"/>
          </w:tcPr>
          <w:p>
            <w:pPr>
              <w:spacing w:after="0"/>
              <w:rPr>
                <w:sz w:val="16"/>
                <w:szCs w:val="16"/>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vote on executive compensation.</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tcPr>
          <w:p>
            <w:pPr>
              <w:spacing w:after="0"/>
              <w:rPr>
                <w:sz w:val="5"/>
                <w:szCs w:val="5"/>
                <w:color w:val="auto"/>
              </w:rPr>
            </w:pPr>
          </w:p>
        </w:tc>
        <w:tc>
          <w:tcPr>
            <w:tcW w:w="4280" w:type="dxa"/>
            <w:vAlign w:val="bottom"/>
            <w:gridSpan w:val="5"/>
            <w:vMerge w:val="continue"/>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AGAINST</w:t>
            </w:r>
          </w:p>
        </w:tc>
        <w:tc>
          <w:tcPr>
            <w:tcW w:w="5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For</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tcPr>
          <w:p>
            <w:pPr>
              <w:spacing w:after="0"/>
              <w:rPr>
                <w:sz w:val="12"/>
                <w:szCs w:val="12"/>
                <w:color w:val="auto"/>
              </w:rPr>
            </w:pPr>
          </w:p>
        </w:tc>
        <w:tc>
          <w:tcPr>
            <w:tcW w:w="3220" w:type="dxa"/>
            <w:vAlign w:val="bottom"/>
            <w:gridSpan w:val="3"/>
          </w:tcPr>
          <w:p>
            <w:pPr>
              <w:ind w:left="220"/>
              <w:spacing w:after="0" w:line="145" w:lineRule="exact"/>
              <w:rPr>
                <w:sz w:val="20"/>
                <w:szCs w:val="20"/>
                <w:color w:val="auto"/>
              </w:rPr>
            </w:pPr>
            <w:r>
              <w:rPr>
                <w:rFonts w:ascii="Times New Roman" w:cs="Times New Roman" w:eastAsia="Times New Roman" w:hAnsi="Times New Roman"/>
                <w:sz w:val="14"/>
                <w:szCs w:val="14"/>
                <w:color w:val="auto"/>
              </w:rPr>
              <w:t>and write them on the back where indicated.</w:t>
            </w: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80" w:type="dxa"/>
            <w:vAlign w:val="bottom"/>
            <w:gridSpan w:val="5"/>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 w:type="dxa"/>
            <w:vAlign w:val="bottom"/>
            <w:tcBorders>
              <w:right w:val="single" w:sz="8" w:color="auto"/>
            </w:tcBorders>
          </w:tcPr>
          <w:p>
            <w:pPr>
              <w:spacing w:after="0"/>
              <w:rPr>
                <w:sz w:val="16"/>
                <w:szCs w:val="16"/>
                <w:color w:val="auto"/>
              </w:rPr>
            </w:pPr>
          </w:p>
        </w:tc>
        <w:tc>
          <w:tcPr>
            <w:tcW w:w="3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Please indicate if you plan to attend this meeting.</w:t>
            </w:r>
          </w:p>
        </w:tc>
        <w:tc>
          <w:tcPr>
            <w:tcW w:w="500" w:type="dxa"/>
            <w:vAlign w:val="bottom"/>
          </w:tcPr>
          <w:p>
            <w:pPr>
              <w:spacing w:after="0"/>
              <w:rPr>
                <w:sz w:val="16"/>
                <w:szCs w:val="16"/>
                <w:color w:val="auto"/>
              </w:rPr>
            </w:pPr>
          </w:p>
        </w:tc>
        <w:tc>
          <w:tcPr>
            <w:tcW w:w="560" w:type="dxa"/>
            <w:vAlign w:val="bottom"/>
            <w:vMerge w:val="restart"/>
          </w:tcPr>
          <w:p>
            <w:pPr>
              <w:jc w:val="center"/>
              <w:ind w:left="6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 5:</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right w:val="single" w:sz="8" w:color="auto"/>
            </w:tcBorders>
          </w:tcPr>
          <w:p>
            <w:pPr>
              <w:spacing w:after="0"/>
              <w:rPr>
                <w:sz w:val="8"/>
                <w:szCs w:val="8"/>
                <w:color w:val="auto"/>
              </w:rPr>
            </w:pPr>
          </w:p>
        </w:tc>
        <w:tc>
          <w:tcPr>
            <w:tcW w:w="322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w:t>
            </w:r>
          </w:p>
        </w:tc>
        <w:tc>
          <w:tcPr>
            <w:tcW w:w="3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Stockholder proposal regarding a policy restricting</w:t>
            </w:r>
          </w:p>
        </w:tc>
        <w:tc>
          <w:tcPr>
            <w:tcW w:w="460" w:type="dxa"/>
            <w:vAlign w:val="bottom"/>
          </w:tcPr>
          <w:p>
            <w:pPr>
              <w:spacing w:after="0"/>
              <w:rPr>
                <w:sz w:val="8"/>
                <w:szCs w:val="8"/>
                <w:color w:val="auto"/>
              </w:rPr>
            </w:pPr>
          </w:p>
        </w:tc>
        <w:tc>
          <w:tcPr>
            <w:tcW w:w="50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vMerge w:val="restart"/>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Borders>
              <w:right w:val="single" w:sz="8" w:color="auto"/>
            </w:tcBorders>
            <w:gridSpan w:val="2"/>
            <w:vMerge w:val="restart"/>
          </w:tcPr>
          <w:p>
            <w:pPr>
              <w:jc w:val="center"/>
              <w:ind w:right="2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Yes</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9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304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500" w:type="dxa"/>
            <w:vAlign w:val="bottom"/>
            <w:gridSpan w:val="4"/>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accelerated vesting of equity awards upon a change in</w:t>
            </w: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500" w:type="dxa"/>
            <w:vAlign w:val="bottom"/>
            <w:gridSpan w:val="4"/>
            <w:vMerge w:val="continue"/>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control, if properly presented at the meeting.</w:t>
            </w: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In their discretion, upon such other matters that may</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properly come before the meeting or any adjournment or</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adjournments thereof.</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2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The shares represented by this proxy, when properly executed, will be voted in the manner directed herein by the undersigned stockholder(s). If no direction is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8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color w:val="auto"/>
              </w:rPr>
              <w:t>made, this proxy will be voted FOR each of the nominees in item 1, FOR proposals 2 and 3, FOR conducting future advisory votes on executive compensation</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8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annually, and AGAINST proposal 5. If any other matters properly come before the meeting, the persons named in this proxy will vote in their discretion.</w:t>
            </w: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 w:type="dxa"/>
            <w:vAlign w:val="bottom"/>
            <w:tcBorders>
              <w:righ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980" w:type="dxa"/>
            <w:vAlign w:val="bottom"/>
            <w:gridSpan w:val="2"/>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380" w:type="dxa"/>
            <w:vAlign w:val="bottom"/>
            <w:gridSpan w:val="2"/>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4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500" w:type="dxa"/>
            <w:vAlign w:val="bottom"/>
            <w:tcBorders>
              <w:top w:val="single" w:sz="8" w:color="auto"/>
              <w:bottom w:val="single" w:sz="8" w:color="auto"/>
              <w:right w:val="single" w:sz="8" w:color="auto"/>
            </w:tcBorders>
          </w:tcPr>
          <w:p>
            <w:pPr>
              <w:spacing w:after="0"/>
              <w:rPr>
                <w:sz w:val="24"/>
                <w:szCs w:val="24"/>
                <w:color w:val="auto"/>
              </w:rPr>
            </w:pPr>
          </w:p>
        </w:tc>
        <w:tc>
          <w:tcPr>
            <w:tcW w:w="50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right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Signature [PLEASE SIGN WITHIN BOX]</w:t>
            </w: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Date</w:t>
            </w: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Signature (Joint Owners)</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V.1.1</w:t>
            </w:r>
          </w:p>
        </w:tc>
        <w:tc>
          <w:tcPr>
            <w:tcW w:w="0" w:type="dxa"/>
            <w:vAlign w:val="bottom"/>
          </w:tcPr>
          <w:p>
            <w:pPr>
              <w:spacing w:after="0"/>
              <w:rPr>
                <w:sz w:val="1"/>
                <w:szCs w:val="1"/>
                <w:color w:val="auto"/>
              </w:rPr>
            </w:pPr>
          </w:p>
        </w:tc>
      </w:tr>
    </w:tbl>
    <w:p>
      <w:pPr>
        <w:sectPr>
          <w:pgSz w:w="11900" w:h="16838" w:orient="portrait"/>
          <w:cols w:equalWidth="0" w:num="1">
            <w:col w:w="11480"/>
          </w:cols>
          <w:pgMar w:left="240" w:top="455" w:right="1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Combined Proxy Statement and Annual Report on Form 10-K for the year ended December 31, 2016 is available at 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E19061-P87832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49530</wp:posOffset>
            </wp:positionV>
            <wp:extent cx="7276465" cy="38804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6465" cy="3880485"/>
                    </a:xfrm>
                    <a:prstGeom prst="rect">
                      <a:avLst/>
                    </a:prstGeom>
                    <a:noFill/>
                  </pic:spPr>
                </pic:pic>
              </a:graphicData>
            </a:graphic>
          </wp:anchor>
        </w:drawing>
      </w: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Annual Meeting of Stockholders - May 12, 2017 at 11:00 A.M.</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THIS PROXY IS SOLICITED BY THE BOARD OF DIRECTORS</w:t>
      </w:r>
    </w:p>
    <w:p>
      <w:pPr>
        <w:spacing w:after="0" w:line="225" w:lineRule="exact"/>
        <w:rPr>
          <w:sz w:val="20"/>
          <w:szCs w:val="20"/>
          <w:color w:val="auto"/>
        </w:rPr>
      </w:pPr>
    </w:p>
    <w:p>
      <w:pPr>
        <w:ind w:left="380" w:right="400"/>
        <w:spacing w:after="0" w:line="256" w:lineRule="auto"/>
        <w:rPr>
          <w:sz w:val="20"/>
          <w:szCs w:val="20"/>
          <w:color w:val="auto"/>
        </w:rPr>
      </w:pPr>
      <w:r>
        <w:rPr>
          <w:rFonts w:ascii="Times New Roman" w:cs="Times New Roman" w:eastAsia="Times New Roman" w:hAnsi="Times New Roman"/>
          <w:sz w:val="18"/>
          <w:szCs w:val="18"/>
          <w:color w:val="auto"/>
        </w:rPr>
        <w:t>The undersigned stockholder(s) of Waste Management, Inc., a Delaware corporation, hereby acknowledge(s) receipt of the Proxy Statement dated March 24, 2017, and hereby appoint(s) James C. Fish, Jr. and Charles C. Boettcher, and each of them, proxies and attorneys-in-fact, with full power to each of substitution, on behalf and in the name of the undersigned, to represent the undersigned at the Annual Meeting of Stockholders of Waste Management, Inc., to be held May 12, 2017, at 11:00 A.M.,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143" w:lineRule="exact"/>
        <w:rPr>
          <w:sz w:val="20"/>
          <w:szCs w:val="20"/>
          <w:color w:val="auto"/>
        </w:rPr>
      </w:pPr>
    </w:p>
    <w:p>
      <w:pPr>
        <w:ind w:left="380" w:right="4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Attention participants in 401(k) plans: </w:t>
      </w:r>
      <w:r>
        <w:rPr>
          <w:rFonts w:ascii="Times New Roman" w:cs="Times New Roman" w:eastAsia="Times New Roman" w:hAnsi="Times New Roman"/>
          <w:sz w:val="18"/>
          <w:szCs w:val="18"/>
          <w:color w:val="auto"/>
        </w:rPr>
        <w:t>If you have an interest in the Common Stock of Waste Management, Inc. through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Waste Management Retirement Savings Plan, you may confidentially instruct the Trustee(s) of the plan on how to vote the shares representing your proportionate interest in such plan’s assets. The Trustee(s) shall vote shares in accordance with any instructions received. Any shares for which the Trustee(s) has/have not received timely voting instructions shall be voted by the Trustee(s), pursuant to the direction of the State Street Bank and Trust Company, as Investment Manager for the Common Stock held through the plan. </w:t>
      </w:r>
      <w:r>
        <w:rPr>
          <w:rFonts w:ascii="Times New Roman" w:cs="Times New Roman" w:eastAsia="Times New Roman" w:hAnsi="Times New Roman"/>
          <w:sz w:val="18"/>
          <w:szCs w:val="18"/>
          <w:b w:val="1"/>
          <w:bCs w:val="1"/>
          <w:color w:val="auto"/>
        </w:rPr>
        <w:t>The voting deadline for 401(k) plan participants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11:59 P.M. Eastern Time on May 10, 2017.</w:t>
      </w:r>
    </w:p>
    <w:p>
      <w:pPr>
        <w:spacing w:after="0" w:line="31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(If you noted any Address Changes/Comments above, please mark corresponding box on the reverse side.)</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V.1.1</w:t>
      </w:r>
    </w:p>
    <w:sectPr>
      <w:pgSz w:w="11900" w:h="16838" w:orient="portrait"/>
      <w:cols w:equalWidth="0" w:num="1">
        <w:col w:w="11420"/>
      </w:cols>
      <w:pgMar w:left="240" w:top="4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lvl w:ilvl="1">
      <w:lvlJc w:val="left"/>
      <w:lvlText w:val="(%2)"/>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lowerLetter"/>
      <w:start w:val="2"/>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lowerRoman"/>
      <w:start w:val="2"/>
    </w:lvl>
  </w:abstractNum>
  <w:abstractNum w:abstractNumId="19">
    <w:nsid w:val="2D517796"/>
    <w:multiLevelType w:val="hybridMultilevel"/>
    <w:lvl w:ilvl="0">
      <w:lvlJc w:val="left"/>
      <w:lvlText w:val="(%1)"/>
      <w:numFmt w:val="lowerRoman"/>
      <w:start w:val="4"/>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4"/>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lowerLetter"/>
      <w:start w:val="2"/>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lowerRoman"/>
      <w:start w:val="2"/>
    </w:lvl>
  </w:abstractNum>
  <w:abstractNum w:abstractNumId="36">
    <w:nsid w:val="32FFF902"/>
    <w:multiLevelType w:val="hybridMultilevel"/>
    <w:lvl w:ilvl="0">
      <w:lvlJc w:val="left"/>
      <w:lvlText w:val="(%1)"/>
      <w:numFmt w:val="lowerRoman"/>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2"/>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decimal"/>
      <w:start w:val="1"/>
    </w:lvl>
    <w:lvl w:ilvl="1">
      <w:lvlJc w:val="left"/>
      <w:lvlText w:val="(%2)"/>
      <w:numFmt w:val="lowerLetter"/>
      <w:start w:val="2"/>
    </w:lvl>
  </w:abstractNum>
  <w:abstractNum w:abstractNumId="48">
    <w:nsid w:val="4F4EF005"/>
    <w:multiLevelType w:val="hybridMultilevel"/>
    <w:lvl w:ilvl="0">
      <w:lvlJc w:val="left"/>
      <w:lvlText w:val="(%1)"/>
      <w:numFmt w:val="decimal"/>
      <w:start w:val="5"/>
    </w:lvl>
    <w:lvl w:ilvl="1">
      <w:lvlJc w:val="left"/>
      <w:lvlText w:val="%2"/>
      <w:numFmt w:val="lowerLetter"/>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5"/>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7"/>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2"/>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2019-12-05T15:42:12Z</dcterms:created>
  <dcterms:modified xsi:type="dcterms:W3CDTF">2019-12-05T15:42:12Z</dcterms:modified>
</cp:coreProperties>
</file>