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25, 2019</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544" w:right="35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40"/>
          </w:cols>
          <w:pgMar w:left="240" w:top="544" w:right="35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300"/>
          </w:cols>
          <w:pgMar w:left="240" w:top="544" w:right="359" w:bottom="144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080"/>
          </w:cols>
          <w:pgMar w:left="240" w:top="544" w:right="359" w:bottom="1440" w:gutter="0" w:footer="0" w:header="0"/>
          <w:type w:val="continuous"/>
        </w:sectPr>
      </w:pP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12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544" w:right="359"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Waste Management, Inc. (the “Company”) issued a press release this morning announcing its financial results for the first quarter of 2019,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4295916. A replay of the call will be available on the Company’s website and by telephone until May 9, 2019. To access a replay telephonically, please dial (855) 859-2056 and use the replay conference ID number 4295916.</w:t>
      </w:r>
    </w:p>
    <w:p>
      <w:pPr>
        <w:spacing w:after="0" w:line="158"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40" w:type="dxa"/>
            <w:vAlign w:val="bottom"/>
            <w:gridSpan w:val="2"/>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4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gridSpan w:val="5"/>
          </w:tcPr>
          <w:p>
            <w:pPr>
              <w:ind w:left="240"/>
              <w:spacing w:after="0"/>
              <w:rPr>
                <w:rFonts w:ascii="Arial" w:cs="Arial" w:eastAsia="Arial" w:hAnsi="Arial"/>
                <w:sz w:val="18"/>
                <w:szCs w:val="18"/>
                <w:color w:val="0000EE"/>
              </w:rPr>
            </w:pPr>
            <w:hyperlink w:anchor="page3">
              <w:r>
                <w:rPr>
                  <w:rFonts w:ascii="Arial" w:cs="Arial" w:eastAsia="Arial" w:hAnsi="Arial"/>
                  <w:sz w:val="18"/>
                  <w:szCs w:val="18"/>
                  <w:color w:val="0000EE"/>
                </w:rPr>
                <w:t>Press Release dated April 25, 2019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tcBorders>
              <w:top w:val="single" w:sz="8" w:color="0000EE"/>
            </w:tcBorders>
          </w:tcPr>
          <w:p>
            <w:pPr>
              <w:spacing w:after="0"/>
              <w:rPr>
                <w:sz w:val="24"/>
                <w:szCs w:val="24"/>
                <w:color w:val="auto"/>
              </w:rPr>
            </w:pPr>
          </w:p>
        </w:tc>
        <w:tc>
          <w:tcPr>
            <w:tcW w:w="2220" w:type="dxa"/>
            <w:vAlign w:val="bottom"/>
            <w:gridSpan w:val="2"/>
          </w:tcPr>
          <w:p>
            <w:pPr>
              <w:jc w:val="right"/>
              <w:ind w:right="399"/>
              <w:spacing w:after="0"/>
              <w:rPr>
                <w:sz w:val="20"/>
                <w:szCs w:val="20"/>
                <w:color w:val="auto"/>
              </w:rPr>
            </w:pPr>
            <w:r>
              <w:rPr>
                <w:rFonts w:ascii="Arial" w:cs="Arial" w:eastAsia="Arial" w:hAnsi="Arial"/>
                <w:sz w:val="18"/>
                <w:szCs w:val="18"/>
                <w:color w:val="auto"/>
              </w:rPr>
              <w:t>2</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   April 25, 2019</w:t>
            </w:r>
          </w:p>
        </w:tc>
        <w:tc>
          <w:tcPr>
            <w:tcW w:w="7700" w:type="dxa"/>
            <w:vAlign w:val="bottom"/>
            <w:gridSpan w:val="2"/>
          </w:tcPr>
          <w:p>
            <w:pPr>
              <w:ind w:left="2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Senior Vice President and Chief Legal Officer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48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pacing w:after="0" w:line="232" w:lineRule="exact"/>
        <w:rPr>
          <w:sz w:val="20"/>
          <w:szCs w:val="20"/>
          <w:color w:val="auto"/>
        </w:rPr>
      </w:pPr>
    </w:p>
    <w:p>
      <w:pPr>
        <w:jc w:val="center"/>
        <w:ind w:right="40"/>
        <w:spacing w:after="0" w:line="248" w:lineRule="auto"/>
        <w:rPr>
          <w:sz w:val="20"/>
          <w:szCs w:val="20"/>
          <w:color w:val="auto"/>
        </w:rPr>
      </w:pPr>
      <w:r>
        <w:rPr>
          <w:rFonts w:ascii="Arial" w:cs="Arial" w:eastAsia="Arial" w:hAnsi="Arial"/>
          <w:sz w:val="40"/>
          <w:szCs w:val="40"/>
          <w:color w:val="7AB800"/>
        </w:rPr>
        <w:t>Waste Management Announces First Quarter Earnings</w:t>
      </w:r>
    </w:p>
    <w:p>
      <w:pPr>
        <w:spacing w:after="0" w:line="158" w:lineRule="exact"/>
        <w:rPr>
          <w:sz w:val="20"/>
          <w:szCs w:val="20"/>
          <w:color w:val="auto"/>
        </w:rPr>
      </w:pPr>
    </w:p>
    <w:p>
      <w:pPr>
        <w:jc w:val="center"/>
        <w:ind w:right="20"/>
        <w:spacing w:after="0" w:line="238" w:lineRule="auto"/>
        <w:rPr>
          <w:sz w:val="20"/>
          <w:szCs w:val="20"/>
          <w:color w:val="auto"/>
        </w:rPr>
      </w:pPr>
      <w:r>
        <w:rPr>
          <w:rFonts w:ascii="Arial" w:cs="Arial" w:eastAsia="Arial" w:hAnsi="Arial"/>
          <w:sz w:val="22"/>
          <w:szCs w:val="22"/>
          <w:color w:val="57584F"/>
        </w:rPr>
        <w:t>Company Grows Cash from Operations by 10% in the First Quarter; Reaffirms Full-Year Guidance, Excluding Acquisition-Related Considerations</w:t>
      </w:r>
    </w:p>
    <w:p>
      <w:pPr>
        <w:spacing w:after="0" w:line="211" w:lineRule="exact"/>
        <w:rPr>
          <w:sz w:val="20"/>
          <w:szCs w:val="20"/>
          <w:color w:val="auto"/>
        </w:rPr>
      </w:pPr>
    </w:p>
    <w:p>
      <w:pPr>
        <w:jc w:val="both"/>
        <w:ind w:right="40"/>
        <w:spacing w:after="0" w:line="242"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8"/>
          <w:szCs w:val="18"/>
          <w:b w:val="1"/>
          <w:bCs w:val="1"/>
          <w:color w:val="auto"/>
        </w:rPr>
        <w:t>— April 25, 2019</w:t>
      </w:r>
      <w:r>
        <w:rPr>
          <w:rFonts w:ascii="Arial" w:cs="Arial" w:eastAsia="Arial" w:hAnsi="Arial"/>
          <w:sz w:val="16"/>
          <w:szCs w:val="16"/>
          <w:b w:val="1"/>
          <w:bCs w:val="1"/>
          <w:color w:val="auto"/>
        </w:rPr>
        <w:t xml:space="preserve"> </w:t>
      </w:r>
      <w:r>
        <w:rPr>
          <w:rFonts w:ascii="Arial" w:cs="Arial" w:eastAsia="Arial" w:hAnsi="Arial"/>
          <w:sz w:val="18"/>
          <w:szCs w:val="18"/>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57584F"/>
        </w:rPr>
        <w:t>Waste Management, Inc. (NYSE: WM) today announced financial results for</w:t>
      </w:r>
      <w:r>
        <w:rPr>
          <w:rFonts w:ascii="Arial" w:cs="Arial" w:eastAsia="Arial" w:hAnsi="Arial"/>
          <w:sz w:val="16"/>
          <w:szCs w:val="16"/>
          <w:b w:val="1"/>
          <w:bCs w:val="1"/>
          <w:color w:val="auto"/>
        </w:rPr>
        <w:t xml:space="preserve"> </w:t>
      </w:r>
      <w:r>
        <w:rPr>
          <w:rFonts w:ascii="Arial" w:cs="Arial" w:eastAsia="Arial" w:hAnsi="Arial"/>
          <w:sz w:val="18"/>
          <w:szCs w:val="18"/>
          <w:color w:val="57584F"/>
        </w:rPr>
        <w:t>its quarter ended March 31, 2019. Revenues for the first quarter of 2019 were $3.70 billion compared with $3.51 billion for the same 2018 period. Net income for the quarter was $347 million, or $ 0.81 per diluted share, compared with $396 million, or $0.91 per diluted share, for the first quarter of 2018.</w:t>
      </w:r>
      <w:r>
        <w:rPr>
          <w:rFonts w:ascii="Arial" w:cs="Arial" w:eastAsia="Arial" w:hAnsi="Arial"/>
          <w:sz w:val="18"/>
          <w:szCs w:val="18"/>
          <w:color w:val="57584F"/>
          <w:vertAlign w:val="superscript"/>
        </w:rPr>
        <w:t>(a)</w:t>
      </w:r>
      <w:r>
        <w:rPr>
          <w:rFonts w:ascii="Arial" w:cs="Arial" w:eastAsia="Arial" w:hAnsi="Arial"/>
          <w:sz w:val="18"/>
          <w:szCs w:val="18"/>
          <w:color w:val="57584F"/>
        </w:rPr>
        <w:t xml:space="preserve"> On an adjusted basis in the first quarter of 2019, net income was $ 402 million, or $0.94 per diluted share.</w:t>
      </w:r>
      <w:r>
        <w:rPr>
          <w:rFonts w:ascii="Arial" w:cs="Arial" w:eastAsia="Arial" w:hAnsi="Arial"/>
          <w:sz w:val="18"/>
          <w:szCs w:val="18"/>
          <w:color w:val="57584F"/>
          <w:vertAlign w:val="superscript"/>
        </w:rPr>
        <w:t>(b)</w:t>
      </w:r>
      <w:r>
        <w:rPr>
          <w:rFonts w:ascii="Arial" w:cs="Arial" w:eastAsia="Arial" w:hAnsi="Arial"/>
          <w:sz w:val="18"/>
          <w:szCs w:val="18"/>
          <w:color w:val="57584F"/>
        </w:rPr>
        <w:t xml:space="preserve"> There was no adjustment to reported earnings in the first quarter of 2018.</w:t>
      </w:r>
    </w:p>
    <w:p>
      <w:pPr>
        <w:spacing w:after="0" w:line="188"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57584F"/>
        </w:rPr>
        <w:t>The Company’s adjusted first quarter 2019 results exclude a $0.13 per diluted share charge primarily related to a non-cash impairment of an investment in a waste conversion technology business.</w:t>
      </w:r>
    </w:p>
    <w:p>
      <w:pPr>
        <w:spacing w:after="0" w:line="183"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57584F"/>
        </w:rPr>
        <w:t>“The strong results we generated in the first quarter demonstrate that delivering an outstanding customer experience and focusing on continuous improvement produce solid growth in our business,” said Jim Fish, President and Chief Executive Officer of Waste Management. “In the first quarter, we saw organic revenue growth of more than 6% in our collection and disposal business, which translated into about a 7% increase in operating EBITDA in that business.</w:t>
      </w:r>
      <w:r>
        <w:rPr>
          <w:rFonts w:ascii="Arial" w:cs="Arial" w:eastAsia="Arial" w:hAnsi="Arial"/>
          <w:sz w:val="18"/>
          <w:szCs w:val="18"/>
          <w:color w:val="57584F"/>
          <w:vertAlign w:val="superscript"/>
        </w:rPr>
        <w:t>(c)</w:t>
      </w:r>
      <w:r>
        <w:rPr>
          <w:rFonts w:ascii="Arial" w:cs="Arial" w:eastAsia="Arial" w:hAnsi="Arial"/>
          <w:sz w:val="18"/>
          <w:szCs w:val="18"/>
          <w:color w:val="57584F"/>
        </w:rPr>
        <w:t xml:space="preserve"> More importantly, this strong operational performance resulted in net cash provided by operating activities increasing by 10% when compared to 2018.</w:t>
      </w:r>
    </w:p>
    <w:p>
      <w:pPr>
        <w:spacing w:after="0" w:line="192"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57584F"/>
        </w:rPr>
        <w:t>“The focus and discipline of our employees continue to drive exceptional results. That discipline is also evident in our recycling line of business, where the steps we took to improve the business increased operating EBITDA by $11 million when compared to the first quarter of 2018, despite a 28% decline in recycling commodity prices. The great start to 2019 puts us well on our way to meeting our targets for the full year.”</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HIGHLIGHTS FOR THE FIRST QUARTER OF 2019</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57584F"/>
        </w:rPr>
        <w:t>Profitability</w:t>
      </w:r>
    </w:p>
    <w:p>
      <w:pPr>
        <w:spacing w:after="0" w:line="220" w:lineRule="exact"/>
        <w:rPr>
          <w:sz w:val="20"/>
          <w:szCs w:val="20"/>
          <w:color w:val="auto"/>
        </w:rPr>
      </w:pPr>
    </w:p>
    <w:p>
      <w:pPr>
        <w:jc w:val="both"/>
        <w:ind w:left="660" w:right="40" w:hanging="328"/>
        <w:spacing w:after="0" w:line="238" w:lineRule="auto"/>
        <w:tabs>
          <w:tab w:leader="none" w:pos="698"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Total Company operating EBITDA was $987 million for the first quarter of 2019, an increase of $32 million, or 3.4%, from the first quarter of 2018. The Company achieved this increase without the benefit of the expired federal natural gas fuel credits that added $28 million to operating EBITDA in the first quarter of 2018.</w:t>
      </w:r>
    </w:p>
    <w:p>
      <w:pPr>
        <w:spacing w:after="0" w:line="2" w:lineRule="exact"/>
        <w:rPr>
          <w:rFonts w:ascii="Arial" w:cs="Arial" w:eastAsia="Arial" w:hAnsi="Arial"/>
          <w:sz w:val="18"/>
          <w:szCs w:val="18"/>
          <w:color w:val="57584F"/>
        </w:rPr>
      </w:pPr>
    </w:p>
    <w:p>
      <w:pPr>
        <w:ind w:left="660" w:right="40" w:hanging="328"/>
        <w:spacing w:after="0" w:line="262" w:lineRule="auto"/>
        <w:tabs>
          <w:tab w:leader="none" w:pos="644"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Operating EBITDA in the Company’s collection and disposal business increased $76 million, or about 7.0%, in the first quarter of 2019 when compared to the first quarter of 2018.</w:t>
      </w:r>
    </w:p>
    <w:p>
      <w:pPr>
        <w:spacing w:after="0" w:line="147" w:lineRule="exact"/>
        <w:rPr>
          <w:rFonts w:ascii="Arial" w:cs="Arial" w:eastAsia="Arial" w:hAnsi="Arial"/>
          <w:sz w:val="18"/>
          <w:szCs w:val="18"/>
          <w:color w:val="57584F"/>
        </w:rPr>
      </w:pPr>
    </w:p>
    <w:p>
      <w:pPr>
        <w:ind w:left="660"/>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Revenue Growth</w:t>
      </w:r>
    </w:p>
    <w:p>
      <w:pPr>
        <w:spacing w:after="0" w:line="220" w:lineRule="exact"/>
        <w:rPr>
          <w:rFonts w:ascii="Arial" w:cs="Arial" w:eastAsia="Arial" w:hAnsi="Arial"/>
          <w:sz w:val="18"/>
          <w:szCs w:val="18"/>
          <w:color w:val="57584F"/>
        </w:rPr>
      </w:pPr>
    </w:p>
    <w:p>
      <w:pPr>
        <w:jc w:val="both"/>
        <w:ind w:left="660" w:right="40" w:hanging="328"/>
        <w:spacing w:after="0" w:line="243" w:lineRule="auto"/>
        <w:tabs>
          <w:tab w:leader="none" w:pos="752"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In the first quarter of 2019, revenue growth was driven by strong yield and volume growth in the Company’s collection and disposal business, which contributed $190 million of incremental revenue. This was partially offset by a $16 million decline in revenue from the Company’s recycling line of business on a year-over-year basis in the first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MORE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 site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www.wm.com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spacing w:after="0" w:line="234" w:lineRule="auto"/>
        <w:rPr>
          <w:sz w:val="20"/>
          <w:szCs w:val="20"/>
          <w:color w:val="auto"/>
        </w:rPr>
      </w:pPr>
      <w:r>
        <w:rPr>
          <w:rFonts w:ascii="Arial" w:cs="Arial" w:eastAsia="Arial" w:hAnsi="Arial"/>
          <w:sz w:val="18"/>
          <w:szCs w:val="18"/>
          <w:color w:val="57584F"/>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eegl@wm.com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2" w:lineRule="exact"/>
        <w:rPr>
          <w:sz w:val="20"/>
          <w:szCs w:val="20"/>
          <w:color w:val="auto"/>
        </w:rPr>
      </w:pPr>
    </w:p>
    <w:p>
      <w:pPr>
        <w:ind w:right="340"/>
        <w:spacing w:after="0"/>
        <w:rPr>
          <w:sz w:val="20"/>
          <w:szCs w:val="20"/>
          <w:color w:val="auto"/>
        </w:rPr>
      </w:pPr>
      <w:r>
        <w:rPr>
          <w:rFonts w:ascii="Arial" w:cs="Arial" w:eastAsia="Arial" w:hAnsi="Arial"/>
          <w:sz w:val="18"/>
          <w:szCs w:val="18"/>
          <w:color w:val="57584F"/>
        </w:rPr>
        <w:t xml:space="preserve">Tiffiany Moehring 720.346.5372 </w:t>
      </w:r>
      <w:r>
        <w:rPr>
          <w:rFonts w:ascii="Arial" w:cs="Arial" w:eastAsia="Arial" w:hAnsi="Arial"/>
          <w:sz w:val="18"/>
          <w:szCs w:val="18"/>
          <w:u w:val="single" w:color="auto"/>
          <w:color w:val="0000FF"/>
        </w:rPr>
        <w:t>tmoehrin@wm.com</w:t>
      </w:r>
    </w:p>
    <w:p>
      <w:pPr>
        <w:sectPr>
          <w:pgSz w:w="11900" w:h="16838" w:orient="portrait"/>
          <w:cols w:equalWidth="0" w:num="2">
            <w:col w:w="8800" w:space="720"/>
            <w:col w:w="1900"/>
          </w:cols>
          <w:pgMar w:left="240" w:top="140" w:right="239" w:bottom="1440" w:gutter="0" w:footer="0" w:header="0"/>
        </w:sectPr>
      </w:pPr>
    </w:p>
    <w:bookmarkStart w:id="4" w:name="page5"/>
    <w:bookmarkEnd w:id="4"/>
    <w:p>
      <w:pPr>
        <w:ind w:left="620" w:hanging="288"/>
        <w:spacing w:after="0"/>
        <w:tabs>
          <w:tab w:leader="none" w:pos="6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Core price for the first quarter of 2019 was 5.8%, compared to 4.9% in the first quarter of 2018.</w:t>
      </w:r>
      <w:r>
        <w:rPr>
          <w:rFonts w:ascii="Arial" w:cs="Arial" w:eastAsia="Arial" w:hAnsi="Arial"/>
          <w:sz w:val="18"/>
          <w:szCs w:val="18"/>
          <w:color w:val="57584F"/>
          <w:vertAlign w:val="superscript"/>
        </w:rPr>
        <w:t>(d)</w:t>
      </w:r>
    </w:p>
    <w:p>
      <w:pPr>
        <w:spacing w:after="0" w:line="22" w:lineRule="exact"/>
        <w:rPr>
          <w:rFonts w:ascii="Arial" w:cs="Arial" w:eastAsia="Arial" w:hAnsi="Arial"/>
          <w:sz w:val="18"/>
          <w:szCs w:val="18"/>
          <w:color w:val="57584F"/>
        </w:rPr>
      </w:pPr>
    </w:p>
    <w:p>
      <w:pPr>
        <w:ind w:left="660" w:right="1479" w:hanging="328"/>
        <w:spacing w:after="0" w:line="242" w:lineRule="auto"/>
        <w:tabs>
          <w:tab w:leader="none" w:pos="752"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Internal revenue growth from yield for the collection and disposal business was 2.7% for the first quarter of 2019 versus 2.3% in the first quarter of 2018.</w:t>
      </w:r>
    </w:p>
    <w:p>
      <w:pPr>
        <w:spacing w:after="0" w:line="1" w:lineRule="exact"/>
        <w:rPr>
          <w:rFonts w:ascii="Arial" w:cs="Arial" w:eastAsia="Arial" w:hAnsi="Arial"/>
          <w:sz w:val="18"/>
          <w:szCs w:val="18"/>
          <w:color w:val="57584F"/>
        </w:rPr>
      </w:pPr>
    </w:p>
    <w:p>
      <w:pPr>
        <w:jc w:val="both"/>
        <w:ind w:left="660" w:right="1459" w:hanging="328"/>
        <w:spacing w:after="0" w:line="243" w:lineRule="auto"/>
        <w:tabs>
          <w:tab w:leader="none" w:pos="779"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Collection and disposal business internal revenue growth from volume was 3.6%, or 4.1% on a workday adjusted basis, in the first quarter of 2019. Total Company internal revenue growth from volume, which includes our recycling business, was 3.4%, or 4.0% on a workday adjusted basis, in the first quarter of 2019.</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57584F"/>
        </w:rPr>
        <w:t>Recycling</w:t>
      </w:r>
    </w:p>
    <w:p>
      <w:pPr>
        <w:spacing w:after="0" w:line="220" w:lineRule="exact"/>
        <w:rPr>
          <w:sz w:val="20"/>
          <w:szCs w:val="20"/>
          <w:color w:val="auto"/>
        </w:rPr>
      </w:pPr>
    </w:p>
    <w:p>
      <w:pPr>
        <w:jc w:val="both"/>
        <w:ind w:left="660" w:right="1459" w:hanging="328"/>
        <w:spacing w:after="0"/>
        <w:tabs>
          <w:tab w:leader="none" w:pos="658" w:val="left"/>
        </w:tabs>
        <w:numPr>
          <w:ilvl w:val="0"/>
          <w:numId w:val="3"/>
        </w:numPr>
        <w:rPr>
          <w:rFonts w:ascii="Arial" w:cs="Arial" w:eastAsia="Arial" w:hAnsi="Arial"/>
          <w:sz w:val="18"/>
          <w:szCs w:val="18"/>
          <w:color w:val="57584F"/>
        </w:rPr>
      </w:pPr>
      <w:r>
        <w:rPr>
          <w:rFonts w:ascii="Arial" w:cs="Arial" w:eastAsia="Arial" w:hAnsi="Arial"/>
          <w:sz w:val="18"/>
          <w:szCs w:val="18"/>
          <w:color w:val="57584F"/>
        </w:rPr>
        <w:t>Average recycling commodity prices at the Company’s facilities were approximately 28% lower in the first quarter of 2019 compared to the prior year period. Recycling brokerage volumes increased 7.1% in the first quarter of 2019 on a workday adjusted basis.</w:t>
      </w:r>
    </w:p>
    <w:p>
      <w:pPr>
        <w:jc w:val="both"/>
        <w:ind w:left="660" w:right="1459" w:hanging="328"/>
        <w:spacing w:after="0" w:line="248" w:lineRule="auto"/>
        <w:tabs>
          <w:tab w:leader="none" w:pos="847" w:val="left"/>
        </w:tabs>
        <w:numPr>
          <w:ilvl w:val="0"/>
          <w:numId w:val="3"/>
        </w:numPr>
        <w:rPr>
          <w:rFonts w:ascii="Arial" w:cs="Arial" w:eastAsia="Arial" w:hAnsi="Arial"/>
          <w:sz w:val="18"/>
          <w:szCs w:val="18"/>
          <w:color w:val="57584F"/>
        </w:rPr>
      </w:pPr>
      <w:r>
        <w:rPr>
          <w:rFonts w:ascii="Arial" w:cs="Arial" w:eastAsia="Arial" w:hAnsi="Arial"/>
          <w:sz w:val="18"/>
          <w:szCs w:val="18"/>
          <w:color w:val="57584F"/>
        </w:rPr>
        <w:t>Operating EBITDA in the Company’s recycling line of business improved by $11 million from breakeven in the first quarter of 2018. The improvement was driven by the Company’s efforts to develop a sustainable business model that meets customers’ environmental needs.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57584F"/>
        </w:rPr>
        <w:t>Cost Management</w:t>
      </w:r>
    </w:p>
    <w:p>
      <w:pPr>
        <w:spacing w:after="0" w:line="220" w:lineRule="exact"/>
        <w:rPr>
          <w:sz w:val="20"/>
          <w:szCs w:val="20"/>
          <w:color w:val="auto"/>
        </w:rPr>
      </w:pPr>
    </w:p>
    <w:p>
      <w:pPr>
        <w:jc w:val="both"/>
        <w:ind w:left="660" w:right="1459" w:hanging="328"/>
        <w:spacing w:after="0" w:line="238" w:lineRule="auto"/>
        <w:tabs>
          <w:tab w:leader="none" w:pos="698" w:val="left"/>
        </w:tabs>
        <w:numPr>
          <w:ilvl w:val="0"/>
          <w:numId w:val="4"/>
        </w:numPr>
        <w:rPr>
          <w:rFonts w:ascii="Arial" w:cs="Arial" w:eastAsia="Arial" w:hAnsi="Arial"/>
          <w:sz w:val="18"/>
          <w:szCs w:val="18"/>
          <w:color w:val="57584F"/>
        </w:rPr>
      </w:pPr>
      <w:r>
        <w:rPr>
          <w:rFonts w:ascii="Arial" w:cs="Arial" w:eastAsia="Arial" w:hAnsi="Arial"/>
          <w:sz w:val="18"/>
          <w:szCs w:val="18"/>
          <w:color w:val="57584F"/>
        </w:rPr>
        <w:t>As a percent of revenue, total Company operating expenses were 62.2% in both the first quarter of 2019 and 2018. The Company’s focus on improving efficiency in its collection business, controlling costs and maintaining discipline in its pricing programs delivered margin expansion sufficient to offset an 80-basis point headwind from federal natural gas fuel credits received in 2018.</w:t>
      </w:r>
    </w:p>
    <w:p>
      <w:pPr>
        <w:spacing w:after="0" w:line="2" w:lineRule="exact"/>
        <w:rPr>
          <w:rFonts w:ascii="Arial" w:cs="Arial" w:eastAsia="Arial" w:hAnsi="Arial"/>
          <w:sz w:val="18"/>
          <w:szCs w:val="18"/>
          <w:color w:val="57584F"/>
        </w:rPr>
      </w:pPr>
    </w:p>
    <w:p>
      <w:pPr>
        <w:jc w:val="both"/>
        <w:ind w:left="660" w:right="1479" w:hanging="328"/>
        <w:spacing w:after="0" w:line="248" w:lineRule="auto"/>
        <w:tabs>
          <w:tab w:leader="none" w:pos="712" w:val="left"/>
        </w:tabs>
        <w:numPr>
          <w:ilvl w:val="0"/>
          <w:numId w:val="4"/>
        </w:numPr>
        <w:rPr>
          <w:rFonts w:ascii="Arial" w:cs="Arial" w:eastAsia="Arial" w:hAnsi="Arial"/>
          <w:sz w:val="18"/>
          <w:szCs w:val="18"/>
          <w:color w:val="57584F"/>
        </w:rPr>
      </w:pPr>
      <w:r>
        <w:rPr>
          <w:rFonts w:ascii="Arial" w:cs="Arial" w:eastAsia="Arial" w:hAnsi="Arial"/>
          <w:sz w:val="18"/>
          <w:szCs w:val="18"/>
          <w:color w:val="57584F"/>
        </w:rPr>
        <w:t>As a percentage of revenue, SG&amp;A expenses were 11.1% in the first quarter of 2019 compared to 10.6% in the first quarter of 2018. The increase was primarily related to planned investments in technology as well as litigation reserves.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57584F"/>
        </w:rPr>
        <w:t>Free Cash Flow &amp; Capital Allocation</w:t>
      </w:r>
    </w:p>
    <w:p>
      <w:pPr>
        <w:spacing w:after="0" w:line="220" w:lineRule="exact"/>
        <w:rPr>
          <w:sz w:val="20"/>
          <w:szCs w:val="20"/>
          <w:color w:val="auto"/>
        </w:rPr>
      </w:pPr>
    </w:p>
    <w:p>
      <w:pPr>
        <w:ind w:left="660" w:right="1479" w:hanging="328"/>
        <w:spacing w:after="0" w:line="242" w:lineRule="auto"/>
        <w:tabs>
          <w:tab w:leader="none" w:pos="671" w:val="left"/>
        </w:tabs>
        <w:numPr>
          <w:ilvl w:val="0"/>
          <w:numId w:val="5"/>
        </w:numPr>
        <w:rPr>
          <w:rFonts w:ascii="Arial" w:cs="Arial" w:eastAsia="Arial" w:hAnsi="Arial"/>
          <w:sz w:val="18"/>
          <w:szCs w:val="18"/>
          <w:color w:val="57584F"/>
        </w:rPr>
      </w:pPr>
      <w:r>
        <w:rPr>
          <w:rFonts w:ascii="Arial" w:cs="Arial" w:eastAsia="Arial" w:hAnsi="Arial"/>
          <w:sz w:val="18"/>
          <w:szCs w:val="18"/>
          <w:color w:val="57584F"/>
        </w:rPr>
        <w:t>Net cash provided by operating activities was $890 million in the first quarter of 2019, an increase of $81 million, or 10.0%, when compared to the first quarter of 2018.</w:t>
      </w:r>
    </w:p>
    <w:p>
      <w:pPr>
        <w:spacing w:after="0" w:line="1" w:lineRule="exact"/>
        <w:rPr>
          <w:rFonts w:ascii="Arial" w:cs="Arial" w:eastAsia="Arial" w:hAnsi="Arial"/>
          <w:sz w:val="18"/>
          <w:szCs w:val="18"/>
          <w:color w:val="57584F"/>
        </w:rPr>
      </w:pPr>
    </w:p>
    <w:p>
      <w:pPr>
        <w:ind w:left="660" w:right="1459" w:hanging="328"/>
        <w:spacing w:after="0" w:line="242" w:lineRule="auto"/>
        <w:tabs>
          <w:tab w:leader="none" w:pos="631" w:val="left"/>
        </w:tabs>
        <w:numPr>
          <w:ilvl w:val="0"/>
          <w:numId w:val="5"/>
        </w:numPr>
        <w:rPr>
          <w:rFonts w:ascii="Arial" w:cs="Arial" w:eastAsia="Arial" w:hAnsi="Arial"/>
          <w:sz w:val="18"/>
          <w:szCs w:val="18"/>
          <w:color w:val="57584F"/>
        </w:rPr>
      </w:pPr>
      <w:r>
        <w:rPr>
          <w:rFonts w:ascii="Arial" w:cs="Arial" w:eastAsia="Arial" w:hAnsi="Arial"/>
          <w:sz w:val="18"/>
          <w:szCs w:val="18"/>
          <w:color w:val="57584F"/>
        </w:rPr>
        <w:t>Capital expenditures were $471 million in the first quarter of 2019, a $71 million increase from the first quarter of 2018.</w:t>
      </w:r>
    </w:p>
    <w:p>
      <w:pPr>
        <w:spacing w:after="0" w:line="1" w:lineRule="exact"/>
        <w:rPr>
          <w:rFonts w:ascii="Arial" w:cs="Arial" w:eastAsia="Arial" w:hAnsi="Arial"/>
          <w:sz w:val="18"/>
          <w:szCs w:val="18"/>
          <w:color w:val="57584F"/>
        </w:rPr>
      </w:pPr>
    </w:p>
    <w:p>
      <w:pPr>
        <w:ind w:left="660" w:right="1459" w:hanging="328"/>
        <w:spacing w:after="0" w:line="242" w:lineRule="auto"/>
        <w:tabs>
          <w:tab w:leader="none" w:pos="752" w:val="left"/>
        </w:tabs>
        <w:numPr>
          <w:ilvl w:val="0"/>
          <w:numId w:val="5"/>
        </w:numPr>
        <w:rPr>
          <w:rFonts w:ascii="Arial" w:cs="Arial" w:eastAsia="Arial" w:hAnsi="Arial"/>
          <w:sz w:val="18"/>
          <w:szCs w:val="18"/>
          <w:color w:val="57584F"/>
        </w:rPr>
      </w:pPr>
      <w:r>
        <w:rPr>
          <w:rFonts w:ascii="Arial" w:cs="Arial" w:eastAsia="Arial" w:hAnsi="Arial"/>
          <w:sz w:val="18"/>
          <w:szCs w:val="18"/>
          <w:color w:val="57584F"/>
        </w:rPr>
        <w:t>Free cash flow was $431 million in the first quarter of 2019 compared to $423 million in the first quarter of 2018.</w:t>
      </w:r>
      <w:r>
        <w:rPr>
          <w:rFonts w:ascii="Arial" w:cs="Arial" w:eastAsia="Arial" w:hAnsi="Arial"/>
          <w:sz w:val="18"/>
          <w:szCs w:val="18"/>
          <w:color w:val="57584F"/>
          <w:vertAlign w:val="superscript"/>
        </w:rPr>
        <w:t>(b)</w:t>
      </w:r>
    </w:p>
    <w:p>
      <w:pPr>
        <w:spacing w:after="0" w:line="1" w:lineRule="exact"/>
        <w:rPr>
          <w:rFonts w:ascii="Arial" w:cs="Arial" w:eastAsia="Arial" w:hAnsi="Arial"/>
          <w:sz w:val="18"/>
          <w:szCs w:val="18"/>
          <w:color w:val="57584F"/>
        </w:rPr>
      </w:pPr>
    </w:p>
    <w:p>
      <w:pPr>
        <w:jc w:val="both"/>
        <w:ind w:left="660" w:right="1459" w:hanging="328"/>
        <w:spacing w:after="0"/>
        <w:tabs>
          <w:tab w:leader="none" w:pos="644" w:val="left"/>
        </w:tabs>
        <w:numPr>
          <w:ilvl w:val="0"/>
          <w:numId w:val="5"/>
        </w:numPr>
        <w:rPr>
          <w:rFonts w:ascii="Arial" w:cs="Arial" w:eastAsia="Arial" w:hAnsi="Arial"/>
          <w:sz w:val="18"/>
          <w:szCs w:val="18"/>
          <w:color w:val="57584F"/>
        </w:rPr>
      </w:pPr>
      <w:r>
        <w:rPr>
          <w:rFonts w:ascii="Arial" w:cs="Arial" w:eastAsia="Arial" w:hAnsi="Arial"/>
          <w:sz w:val="18"/>
          <w:szCs w:val="18"/>
          <w:color w:val="57584F"/>
        </w:rPr>
        <w:t>The Company paid $223 million of dividends to shareholders. Cash allocated to share repurchases of $68 million in the first quarter of 2019 was less than both prior year and the Company’s plan due to completed and contemplated acquisition spending.</w:t>
      </w:r>
    </w:p>
    <w:p>
      <w:pPr>
        <w:ind w:left="620" w:hanging="288"/>
        <w:spacing w:after="0"/>
        <w:tabs>
          <w:tab w:leader="none" w:pos="620" w:val="left"/>
        </w:tabs>
        <w:numPr>
          <w:ilvl w:val="0"/>
          <w:numId w:val="5"/>
        </w:numPr>
        <w:rPr>
          <w:rFonts w:ascii="Arial" w:cs="Arial" w:eastAsia="Arial" w:hAnsi="Arial"/>
          <w:sz w:val="18"/>
          <w:szCs w:val="18"/>
          <w:color w:val="57584F"/>
        </w:rPr>
      </w:pPr>
      <w:r>
        <w:rPr>
          <w:rFonts w:ascii="Arial" w:cs="Arial" w:eastAsia="Arial" w:hAnsi="Arial"/>
          <w:sz w:val="18"/>
          <w:szCs w:val="18"/>
          <w:color w:val="57584F"/>
        </w:rPr>
        <w:t>The Company spent $394 million on acquisitions during the first quarter of 2019.</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57584F"/>
        </w:rPr>
        <w:t>Taxes</w:t>
      </w:r>
    </w:p>
    <w:p>
      <w:pPr>
        <w:spacing w:after="0" w:line="220" w:lineRule="exact"/>
        <w:rPr>
          <w:sz w:val="20"/>
          <w:szCs w:val="20"/>
          <w:color w:val="auto"/>
        </w:rPr>
      </w:pPr>
    </w:p>
    <w:p>
      <w:pPr>
        <w:jc w:val="both"/>
        <w:ind w:left="660" w:right="1459" w:hanging="328"/>
        <w:spacing w:after="0" w:line="248" w:lineRule="auto"/>
        <w:tabs>
          <w:tab w:leader="none" w:pos="766" w:val="left"/>
        </w:tabs>
        <w:numPr>
          <w:ilvl w:val="0"/>
          <w:numId w:val="6"/>
        </w:numPr>
        <w:rPr>
          <w:rFonts w:ascii="Arial" w:cs="Arial" w:eastAsia="Arial" w:hAnsi="Arial"/>
          <w:sz w:val="18"/>
          <w:szCs w:val="18"/>
          <w:color w:val="57584F"/>
        </w:rPr>
      </w:pPr>
      <w:r>
        <w:rPr>
          <w:rFonts w:ascii="Arial" w:cs="Arial" w:eastAsia="Arial" w:hAnsi="Arial"/>
          <w:sz w:val="18"/>
          <w:szCs w:val="18"/>
          <w:color w:val="57584F"/>
        </w:rPr>
        <w:t>The Company’s effective tax rate for the first quarter of 2019 was approximately 24.8%. On an adjusted basis, the Company’s tax rate was 22.2%. The Company expects its 2019 full-year adjusted tax rate to be approximately 24%.</w:t>
      </w:r>
      <w:r>
        <w:rPr>
          <w:rFonts w:ascii="Arial" w:cs="Arial" w:eastAsia="Arial" w:hAnsi="Arial"/>
          <w:sz w:val="18"/>
          <w:szCs w:val="18"/>
          <w:color w:val="57584F"/>
          <w:vertAlign w:val="superscript"/>
        </w:rPr>
        <w:t>(b)</w:t>
      </w:r>
    </w:p>
    <w:p>
      <w:pPr>
        <w:spacing w:after="0" w:line="182" w:lineRule="exact"/>
        <w:rPr>
          <w:sz w:val="20"/>
          <w:szCs w:val="20"/>
          <w:color w:val="auto"/>
        </w:rPr>
      </w:pPr>
    </w:p>
    <w:p>
      <w:pPr>
        <w:jc w:val="both"/>
        <w:ind w:right="1459"/>
        <w:spacing w:after="0" w:line="238" w:lineRule="auto"/>
        <w:rPr>
          <w:sz w:val="20"/>
          <w:szCs w:val="20"/>
          <w:color w:val="auto"/>
        </w:rPr>
      </w:pPr>
      <w:r>
        <w:rPr>
          <w:rFonts w:ascii="Arial" w:cs="Arial" w:eastAsia="Arial" w:hAnsi="Arial"/>
          <w:sz w:val="18"/>
          <w:szCs w:val="18"/>
          <w:color w:val="57584F"/>
        </w:rPr>
        <w:t xml:space="preserve">Fish concluded, “We are poised for another successful year at Waste Management. As we indicated when we announced our agreement to acquire Advanced Disposal Services last week, exclusive of acquisition-related considerations, we are on track to achieve our full-year 2019 guidance of adjusted earnings per diluted share of between $4.28 and $4.38, adjusted operating EBITDA of between $4.40 and $4.45 billion, and free cash flow of between $2.025 and $2.075 billion.” </w:t>
      </w:r>
      <w:r>
        <w:rPr>
          <w:rFonts w:ascii="Arial" w:cs="Arial" w:eastAsia="Arial" w:hAnsi="Arial"/>
          <w:sz w:val="18"/>
          <w:szCs w:val="18"/>
          <w:color w:val="57584F"/>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w:t>
      </w:r>
    </w:p>
    <w:p>
      <w:pPr>
        <w:spacing w:after="0" w:line="28" w:lineRule="exact"/>
        <w:rPr>
          <w:sz w:val="20"/>
          <w:szCs w:val="20"/>
          <w:color w:val="auto"/>
        </w:rPr>
      </w:pPr>
    </w:p>
    <w:p>
      <w:pPr>
        <w:ind w:left="660" w:right="1459" w:hanging="328"/>
        <w:spacing w:after="0" w:line="258" w:lineRule="auto"/>
        <w:tabs>
          <w:tab w:leader="none" w:pos="769" w:val="left"/>
        </w:tabs>
        <w:numPr>
          <w:ilvl w:val="0"/>
          <w:numId w:val="7"/>
        </w:numPr>
        <w:rPr>
          <w:rFonts w:ascii="Arial" w:cs="Arial" w:eastAsia="Arial" w:hAnsi="Arial"/>
          <w:sz w:val="14"/>
          <w:szCs w:val="14"/>
          <w:color w:val="57584F"/>
        </w:rPr>
      </w:pPr>
      <w:r>
        <w:rPr>
          <w:rFonts w:ascii="Arial" w:cs="Arial" w:eastAsia="Arial" w:hAnsi="Arial"/>
          <w:sz w:val="14"/>
          <w:szCs w:val="14"/>
          <w:color w:val="57584F"/>
        </w:rPr>
        <w:t>For purposes of this press release, all references to “Net income” refer to the financial statement line item “Net income attributable to Waste Management, Inc.”</w:t>
      </w:r>
    </w:p>
    <w:p>
      <w:pPr>
        <w:spacing w:after="0" w:line="194" w:lineRule="exact"/>
        <w:rPr>
          <w:rFonts w:ascii="Arial" w:cs="Arial" w:eastAsia="Arial" w:hAnsi="Arial"/>
          <w:sz w:val="14"/>
          <w:szCs w:val="14"/>
          <w:color w:val="57584F"/>
        </w:rPr>
      </w:pPr>
    </w:p>
    <w:p>
      <w:pPr>
        <w:jc w:val="both"/>
        <w:ind w:left="660" w:right="1459" w:hanging="328"/>
        <w:spacing w:after="0" w:line="250" w:lineRule="auto"/>
        <w:tabs>
          <w:tab w:leader="none" w:pos="671" w:val="left"/>
        </w:tabs>
        <w:numPr>
          <w:ilvl w:val="0"/>
          <w:numId w:val="7"/>
        </w:numPr>
        <w:rPr>
          <w:rFonts w:ascii="Arial" w:cs="Arial" w:eastAsia="Arial" w:hAnsi="Arial"/>
          <w:sz w:val="14"/>
          <w:szCs w:val="14"/>
          <w:color w:val="57584F"/>
        </w:rPr>
      </w:pPr>
      <w:r>
        <w:rPr>
          <w:rFonts w:ascii="Arial" w:cs="Arial" w:eastAsia="Arial" w:hAnsi="Arial"/>
          <w:sz w:val="14"/>
          <w:szCs w:val="14"/>
          <w:color w:val="57584F"/>
        </w:rPr>
        <w:t>Adjusted earnings per diluted share, adjusted net income, adjusted tax rate, adjusted operating EBITDA and free cash flow are non-GAAP measures. Please see “Non-GAAP Financial Measures” below and the reconciliations in the accompanying schedules for more information.</w:t>
      </w:r>
    </w:p>
    <w:p>
      <w:pPr>
        <w:spacing w:after="0" w:line="199" w:lineRule="exact"/>
        <w:rPr>
          <w:rFonts w:ascii="Arial" w:cs="Arial" w:eastAsia="Arial" w:hAnsi="Arial"/>
          <w:sz w:val="14"/>
          <w:szCs w:val="14"/>
          <w:color w:val="57584F"/>
        </w:rPr>
      </w:pPr>
    </w:p>
    <w:p>
      <w:pPr>
        <w:ind w:left="660" w:right="1459" w:hanging="328"/>
        <w:spacing w:after="0" w:line="258" w:lineRule="auto"/>
        <w:tabs>
          <w:tab w:leader="none" w:pos="684" w:val="left"/>
        </w:tabs>
        <w:numPr>
          <w:ilvl w:val="0"/>
          <w:numId w:val="7"/>
        </w:numPr>
        <w:rPr>
          <w:rFonts w:ascii="Arial" w:cs="Arial" w:eastAsia="Arial" w:hAnsi="Arial"/>
          <w:sz w:val="14"/>
          <w:szCs w:val="14"/>
          <w:color w:val="57584F"/>
        </w:rPr>
      </w:pPr>
      <w:r>
        <w:rPr>
          <w:rFonts w:ascii="Arial" w:cs="Arial" w:eastAsia="Arial" w:hAnsi="Arial"/>
          <w:sz w:val="14"/>
          <w:szCs w:val="14"/>
          <w:color w:val="57584F"/>
        </w:rPr>
        <w:t>Management defines operating EBITDA as GAAP income from operations before depreciation and amortization; this measure may not be comparable to similarly-titled measures reported by other companies.</w:t>
      </w:r>
    </w:p>
    <w:p>
      <w:pPr>
        <w:spacing w:after="0" w:line="140" w:lineRule="exact"/>
        <w:rPr>
          <w:rFonts w:ascii="Arial" w:cs="Arial" w:eastAsia="Arial" w:hAnsi="Arial"/>
          <w:sz w:val="14"/>
          <w:szCs w:val="14"/>
          <w:color w:val="57584F"/>
        </w:rPr>
      </w:pPr>
    </w:p>
    <w:p>
      <w:pPr>
        <w:jc w:val="both"/>
        <w:ind w:left="660" w:right="1459" w:hanging="328"/>
        <w:spacing w:after="0" w:line="246" w:lineRule="auto"/>
        <w:tabs>
          <w:tab w:leader="none" w:pos="702" w:val="left"/>
        </w:tabs>
        <w:numPr>
          <w:ilvl w:val="0"/>
          <w:numId w:val="7"/>
        </w:numPr>
        <w:rPr>
          <w:rFonts w:ascii="Arial" w:cs="Arial" w:eastAsia="Arial" w:hAnsi="Arial"/>
          <w:sz w:val="14"/>
          <w:szCs w:val="14"/>
          <w:color w:val="57584F"/>
        </w:rPr>
      </w:pPr>
      <w:r>
        <w:rPr>
          <w:rFonts w:ascii="Arial" w:cs="Arial" w:eastAsia="Arial" w:hAnsi="Arial"/>
          <w:sz w:val="14"/>
          <w:szCs w:val="14"/>
          <w:color w:val="57584F"/>
        </w:rPr>
        <w:t>Core price consists of price increases net of rollbacks and fees, excluding the Company’s fuel surcharge. It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347" w:lineRule="exact"/>
        <w:rPr>
          <w:sz w:val="20"/>
          <w:szCs w:val="20"/>
          <w:color w:val="auto"/>
        </w:rPr>
      </w:pPr>
    </w:p>
    <w:p>
      <w:pPr>
        <w:jc w:val="both"/>
        <w:ind w:right="1459"/>
        <w:spacing w:after="0" w:line="239" w:lineRule="auto"/>
        <w:rPr>
          <w:sz w:val="20"/>
          <w:szCs w:val="20"/>
          <w:color w:val="auto"/>
        </w:rPr>
      </w:pPr>
      <w:r>
        <w:rPr>
          <w:rFonts w:ascii="Arial" w:cs="Arial" w:eastAsia="Arial" w:hAnsi="Arial"/>
          <w:sz w:val="18"/>
          <w:szCs w:val="18"/>
          <w:color w:val="57584F"/>
        </w:rPr>
        <w:t>The Company will host a conference call at 10:00 AM (Eastern) today to discuss the first quarter results as well as the agreement to acquire Advanced Disposal Services, Inc., that was previously announced on April 15. Information contained within this press release will be referenced and should be considered in conjunction with the call.</w:t>
      </w:r>
    </w:p>
    <w:p>
      <w:pPr>
        <w:spacing w:after="0" w:line="188" w:lineRule="exact"/>
        <w:rPr>
          <w:sz w:val="20"/>
          <w:szCs w:val="20"/>
          <w:color w:val="auto"/>
        </w:rPr>
      </w:pPr>
    </w:p>
    <w:p>
      <w:pPr>
        <w:jc w:val="both"/>
        <w:ind w:right="1459"/>
        <w:spacing w:after="0" w:line="238" w:lineRule="auto"/>
        <w:rPr>
          <w:sz w:val="20"/>
          <w:szCs w:val="20"/>
          <w:color w:val="auto"/>
        </w:rPr>
      </w:pPr>
      <w:r>
        <w:rPr>
          <w:rFonts w:ascii="Arial" w:cs="Arial" w:eastAsia="Arial" w:hAnsi="Arial"/>
          <w:sz w:val="18"/>
          <w:szCs w:val="18"/>
          <w:color w:val="57584F"/>
        </w:rPr>
        <w:t xml:space="preserve">The conference call will be webcast live from the Investor Relations section of Waste Management’s website </w:t>
      </w:r>
      <w:r>
        <w:rPr>
          <w:rFonts w:ascii="Arial" w:cs="Arial" w:eastAsia="Arial" w:hAnsi="Arial"/>
          <w:sz w:val="18"/>
          <w:szCs w:val="18"/>
          <w:u w:val="single" w:color="auto"/>
          <w:color w:val="0000FF"/>
        </w:rPr>
        <w:t>www.wm.com</w:t>
      </w:r>
      <w:r>
        <w:rPr>
          <w:rFonts w:ascii="Arial" w:cs="Arial" w:eastAsia="Arial" w:hAnsi="Arial"/>
          <w:sz w:val="18"/>
          <w:szCs w:val="18"/>
          <w:color w:val="57584F"/>
        </w:rPr>
        <w:t>. To access the conference call by telephone, please dial (877) 710-6139 approximately 10</w:t>
      </w:r>
      <w:r>
        <w:rPr>
          <w:rFonts w:ascii="Arial" w:cs="Arial" w:eastAsia="Arial" w:hAnsi="Arial"/>
          <w:sz w:val="18"/>
          <w:szCs w:val="18"/>
          <w:color w:val="0000FF"/>
        </w:rPr>
        <w:t xml:space="preserve"> </w:t>
      </w:r>
      <w:r>
        <w:rPr>
          <w:rFonts w:ascii="Arial" w:cs="Arial" w:eastAsia="Arial" w:hAnsi="Arial"/>
          <w:sz w:val="18"/>
          <w:szCs w:val="18"/>
          <w:color w:val="57584F"/>
        </w:rPr>
        <w:t>minutes prior to the scheduled start of the call. If you are calling from outside of the United States or Canada, please dial (706) 643-7398. Please utilize conference ID number 4295916 when prompted by the conference call operator.</w:t>
      </w:r>
    </w:p>
    <w:p>
      <w:pPr>
        <w:spacing w:after="0" w:line="189" w:lineRule="exact"/>
        <w:rPr>
          <w:sz w:val="20"/>
          <w:szCs w:val="20"/>
          <w:color w:val="auto"/>
        </w:rPr>
      </w:pPr>
    </w:p>
    <w:p>
      <w:pPr>
        <w:jc w:val="both"/>
        <w:ind w:right="1459"/>
        <w:spacing w:after="0" w:line="239" w:lineRule="auto"/>
        <w:rPr>
          <w:sz w:val="20"/>
          <w:szCs w:val="20"/>
          <w:color w:val="auto"/>
        </w:rPr>
      </w:pPr>
      <w:r>
        <w:rPr>
          <w:rFonts w:ascii="Arial" w:cs="Arial" w:eastAsia="Arial" w:hAnsi="Arial"/>
          <w:sz w:val="18"/>
          <w:szCs w:val="18"/>
          <w:color w:val="57584F"/>
        </w:rPr>
        <w:t xml:space="preserve">A replay of the conference call will be available on the Company’s website </w:t>
      </w:r>
      <w:r>
        <w:rPr>
          <w:rFonts w:ascii="Arial" w:cs="Arial" w:eastAsia="Arial" w:hAnsi="Arial"/>
          <w:sz w:val="18"/>
          <w:szCs w:val="18"/>
          <w:u w:val="single" w:color="auto"/>
          <w:color w:val="0000FF"/>
        </w:rPr>
        <w:t>www.wm.com</w:t>
      </w:r>
      <w:r>
        <w:rPr>
          <w:rFonts w:ascii="Arial" w:cs="Arial" w:eastAsia="Arial" w:hAnsi="Arial"/>
          <w:sz w:val="18"/>
          <w:szCs w:val="18"/>
          <w:color w:val="57584F"/>
        </w:rPr>
        <w:t xml:space="preserve"> and by telephone from approximately 1:00 PM (Eastern) today through 5:00 PM (Eastern) on Thursday, May 9, 2019. To access the replay telephonically, please dial (855) 859-2056, or from outside of the United States or Canada dial (404) 537-3406, and use the replay conference ID number 4295916.</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WASTE MANAGEMENT</w:t>
      </w:r>
    </w:p>
    <w:p>
      <w:pPr>
        <w:spacing w:after="0" w:line="22" w:lineRule="exact"/>
        <w:rPr>
          <w:sz w:val="20"/>
          <w:szCs w:val="20"/>
          <w:color w:val="auto"/>
        </w:rPr>
      </w:pPr>
    </w:p>
    <w:p>
      <w:pPr>
        <w:jc w:val="both"/>
        <w:ind w:right="1459"/>
        <w:spacing w:after="0" w:line="237" w:lineRule="auto"/>
        <w:rPr>
          <w:sz w:val="20"/>
          <w:szCs w:val="20"/>
          <w:color w:val="auto"/>
        </w:rPr>
      </w:pPr>
      <w:r>
        <w:rPr>
          <w:rFonts w:ascii="Arial" w:cs="Arial" w:eastAsia="Arial" w:hAnsi="Arial"/>
          <w:sz w:val="18"/>
          <w:szCs w:val="18"/>
          <w:color w:val="595959"/>
        </w:rPr>
        <w:t xml:space="preserve">Waste Management, based in Houston, Texas, is the leading provider of comprehensive waste management environmental services in North America.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0000FF"/>
        </w:rPr>
        <w:t>www.wm.com</w:t>
      </w:r>
      <w:r>
        <w:rPr>
          <w:rFonts w:ascii="Arial" w:cs="Arial" w:eastAsia="Arial" w:hAnsi="Arial"/>
          <w:sz w:val="18"/>
          <w:szCs w:val="18"/>
          <w:color w:val="595959"/>
        </w:rPr>
        <w:t xml:space="preserve"> or </w:t>
      </w:r>
      <w:r>
        <w:rPr>
          <w:rFonts w:ascii="Arial" w:cs="Arial" w:eastAsia="Arial" w:hAnsi="Arial"/>
          <w:sz w:val="18"/>
          <w:szCs w:val="18"/>
          <w:u w:val="single" w:color="auto"/>
          <w:color w:val="0000FF"/>
        </w:rPr>
        <w:t>www.thinkgreen.com</w:t>
      </w:r>
      <w:r>
        <w:rPr>
          <w:rFonts w:ascii="Arial" w:cs="Arial" w:eastAsia="Arial" w:hAnsi="Arial"/>
          <w:sz w:val="18"/>
          <w:szCs w:val="18"/>
          <w:color w:val="595959"/>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 w:lineRule="exact"/>
        <w:rPr>
          <w:sz w:val="20"/>
          <w:szCs w:val="20"/>
          <w:color w:val="auto"/>
        </w:rPr>
      </w:pPr>
    </w:p>
    <w:p>
      <w:pPr>
        <w:jc w:val="both"/>
        <w:ind w:right="1459"/>
        <w:spacing w:after="0" w:line="236" w:lineRule="auto"/>
        <w:rPr>
          <w:sz w:val="20"/>
          <w:szCs w:val="20"/>
          <w:color w:val="auto"/>
        </w:rPr>
      </w:pPr>
      <w:r>
        <w:rPr>
          <w:rFonts w:ascii="Arial" w:cs="Arial" w:eastAsia="Arial" w:hAnsi="Arial"/>
          <w:sz w:val="18"/>
          <w:szCs w:val="18"/>
          <w:color w:val="57584F"/>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2019 earnings per diluted share; 2019 operating EBITDA; 2019 free cash flow; 2019 tax rate; acquisition of Advanced Disposal Services, Inc.; future strong results and business success.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the acquisition of Advanced Disposal Services, Inc. or other acquisitions; failure to obtain the results anticipated from the acquisition of Advanced Disposal Services, Inc. or other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6" w:name="page7"/>
    <w:bookmarkEnd w:id="6"/>
    <w:p>
      <w:pPr>
        <w:jc w:val="both"/>
        <w:ind w:right="1459"/>
        <w:spacing w:after="0" w:line="236" w:lineRule="auto"/>
        <w:rPr>
          <w:sz w:val="20"/>
          <w:szCs w:val="20"/>
          <w:color w:val="auto"/>
        </w:rPr>
      </w:pPr>
      <w:r>
        <w:rPr>
          <w:rFonts w:ascii="Arial" w:cs="Arial" w:eastAsia="Arial" w:hAnsi="Arial"/>
          <w:sz w:val="18"/>
          <w:szCs w:val="18"/>
          <w:color w:val="57584F"/>
        </w:rPr>
        <w:t>environmental and other regulations; commodity price fluctuations; international trade restrictions;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as updated by our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 w:lineRule="exact"/>
        <w:rPr>
          <w:sz w:val="20"/>
          <w:szCs w:val="20"/>
          <w:color w:val="auto"/>
        </w:rPr>
      </w:pPr>
    </w:p>
    <w:p>
      <w:pPr>
        <w:jc w:val="both"/>
        <w:ind w:right="1459"/>
        <w:spacing w:after="0" w:line="236" w:lineRule="auto"/>
        <w:rPr>
          <w:sz w:val="20"/>
          <w:szCs w:val="20"/>
          <w:color w:val="auto"/>
        </w:rPr>
      </w:pPr>
      <w:r>
        <w:rPr>
          <w:rFonts w:ascii="Arial" w:cs="Arial" w:eastAsia="Arial" w:hAnsi="Arial"/>
          <w:sz w:val="18"/>
          <w:szCs w:val="18"/>
          <w:color w:val="57584F"/>
        </w:rPr>
        <w:t>To supplement its financial information, the Company, in some instances, has presented adjusted earnings per diluted share, adjusted net income, adjusted tax rate and free cash flow, and has also presented projections of adjusted earnings per diluted share, adjusted operating EBITDA, adjusted tax rate and free cash flow; these are non-GAAP financial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w:t>
      </w:r>
    </w:p>
    <w:p>
      <w:pPr>
        <w:spacing w:after="0" w:line="194" w:lineRule="exact"/>
        <w:rPr>
          <w:sz w:val="20"/>
          <w:szCs w:val="20"/>
          <w:color w:val="auto"/>
        </w:rPr>
      </w:pPr>
    </w:p>
    <w:p>
      <w:pPr>
        <w:jc w:val="both"/>
        <w:ind w:right="1459"/>
        <w:spacing w:after="0" w:line="237" w:lineRule="auto"/>
        <w:rPr>
          <w:sz w:val="20"/>
          <w:szCs w:val="20"/>
          <w:color w:val="auto"/>
        </w:rPr>
      </w:pPr>
      <w:r>
        <w:rPr>
          <w:rFonts w:ascii="Arial" w:cs="Arial" w:eastAsia="Arial" w:hAnsi="Arial"/>
          <w:sz w:val="18"/>
          <w:szCs w:val="18"/>
          <w:color w:val="57584F"/>
        </w:rPr>
        <w:t>The Company’s projected full year 2019 earnings per diluted share, operating EBITDA and tax rate are anticipated to exclude the effects of events or circumstances in 2019 that are not representative or indicative of the Company’s results of operations. Such excluded items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full-year earnings per diluted share, operating EBITDA or tax rate to the comparable GAAP measures.</w:t>
      </w:r>
    </w:p>
    <w:p>
      <w:pPr>
        <w:spacing w:after="0" w:line="190" w:lineRule="exact"/>
        <w:rPr>
          <w:sz w:val="20"/>
          <w:szCs w:val="20"/>
          <w:color w:val="auto"/>
        </w:rPr>
      </w:pPr>
    </w:p>
    <w:p>
      <w:pPr>
        <w:jc w:val="both"/>
        <w:ind w:right="1459"/>
        <w:spacing w:after="0" w:line="236" w:lineRule="auto"/>
        <w:rPr>
          <w:sz w:val="20"/>
          <w:szCs w:val="20"/>
          <w:color w:val="auto"/>
        </w:rPr>
      </w:pPr>
      <w:r>
        <w:rPr>
          <w:rFonts w:ascii="Arial" w:cs="Arial" w:eastAsia="Arial" w:hAnsi="Arial"/>
          <w:sz w:val="18"/>
          <w:szCs w:val="18"/>
          <w:color w:val="57584F"/>
        </w:rPr>
        <w:t>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93" w:lineRule="exact"/>
        <w:rPr>
          <w:sz w:val="20"/>
          <w:szCs w:val="20"/>
          <w:color w:val="auto"/>
        </w:rPr>
      </w:pPr>
    </w:p>
    <w:p>
      <w:pPr>
        <w:jc w:val="both"/>
        <w:ind w:right="1459"/>
        <w:spacing w:after="0" w:line="239" w:lineRule="auto"/>
        <w:rPr>
          <w:sz w:val="20"/>
          <w:szCs w:val="20"/>
          <w:color w:val="auto"/>
        </w:rPr>
      </w:pPr>
      <w:r>
        <w:rPr>
          <w:rFonts w:ascii="Arial" w:cs="Arial" w:eastAsia="Arial" w:hAnsi="Arial"/>
          <w:sz w:val="18"/>
          <w:szCs w:val="18"/>
          <w:color w:val="57584F"/>
        </w:rPr>
        <w:t>The quantitative reconciliations of non-GAAP measures used herein to the most comparable GAAP measures are included in the accompanying schedules, with the exception of projected earnings per diluted share, operating EBITDA and tax rate. Non-GAAP measures should not be considered a substitute for financial measures presented in accordance with GAAP.</w:t>
      </w:r>
    </w:p>
    <w:p>
      <w:pPr>
        <w:spacing w:after="0" w:line="188" w:lineRule="exact"/>
        <w:rPr>
          <w:sz w:val="20"/>
          <w:szCs w:val="20"/>
          <w:color w:val="auto"/>
        </w:rPr>
      </w:pPr>
    </w:p>
    <w:p>
      <w:pPr>
        <w:ind w:left="4240"/>
        <w:spacing w:after="0"/>
        <w:rPr>
          <w:sz w:val="20"/>
          <w:szCs w:val="20"/>
          <w:color w:val="auto"/>
        </w:rPr>
      </w:pPr>
      <w:r>
        <w:rPr>
          <w:rFonts w:ascii="Arial" w:cs="Arial" w:eastAsia="Arial" w:hAnsi="Arial"/>
          <w:sz w:val="18"/>
          <w:szCs w:val="18"/>
          <w:color w:val="5758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14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line="196" w:lineRule="exact"/>
              <w:rPr>
                <w:sz w:val="20"/>
                <w:szCs w:val="20"/>
                <w:color w:val="auto"/>
              </w:rPr>
            </w:pPr>
            <w:r>
              <w:rPr>
                <w:rFonts w:ascii="Arial" w:cs="Arial" w:eastAsia="Arial" w:hAnsi="Arial"/>
                <w:sz w:val="18"/>
                <w:szCs w:val="18"/>
                <w:color w:val="auto"/>
              </w:rPr>
              <w:t>Costs and expenses:</w:t>
            </w:r>
          </w:p>
        </w:tc>
        <w:tc>
          <w:tcPr>
            <w:tcW w:w="2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from divestitures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tcPr>
          <w:p>
            <w:pPr>
              <w:spacing w:after="0"/>
              <w:rPr>
                <w:sz w:val="18"/>
                <w:szCs w:val="18"/>
                <w:color w:val="auto"/>
              </w:rPr>
            </w:pPr>
          </w:p>
        </w:tc>
        <w:tc>
          <w:tcPr>
            <w:tcW w:w="2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2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tcPr>
          <w:p>
            <w:pPr>
              <w:spacing w:after="0"/>
              <w:rPr>
                <w:sz w:val="18"/>
                <w:szCs w:val="18"/>
                <w:color w:val="auto"/>
              </w:rPr>
            </w:pPr>
          </w:p>
        </w:tc>
        <w:tc>
          <w:tcPr>
            <w:tcW w:w="2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Income tax expense</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00"/>
              <w:spacing w:after="0"/>
              <w:rPr>
                <w:sz w:val="20"/>
                <w:szCs w:val="20"/>
                <w:color w:val="auto"/>
              </w:rPr>
            </w:pPr>
            <w:r>
              <w:rPr>
                <w:rFonts w:ascii="Arial" w:cs="Arial" w:eastAsia="Arial" w:hAnsi="Arial"/>
                <w:sz w:val="18"/>
                <w:szCs w:val="18"/>
                <w:color w:val="auto"/>
              </w:rPr>
              <w:t>Less: Net loss attributable to noncontrolling interests</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2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21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40" w:type="dxa"/>
            <w:vAlign w:val="bottom"/>
            <w:tcBorders>
              <w:bottom w:val="single" w:sz="8" w:color="CCEEFF"/>
            </w:tcBorders>
            <w:vMerge w:val="continue"/>
          </w:tcPr>
          <w:p>
            <w:pPr>
              <w:spacing w:after="0"/>
              <w:rPr>
                <w:sz w:val="20"/>
                <w:szCs w:val="20"/>
                <w:color w:val="auto"/>
              </w:rPr>
            </w:pPr>
          </w:p>
        </w:tc>
        <w:tc>
          <w:tcPr>
            <w:tcW w:w="216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1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common share</w:t>
            </w:r>
          </w:p>
        </w:tc>
        <w:tc>
          <w:tcPr>
            <w:tcW w:w="2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0.81</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Weighted average basic common shares outstanding</w:t>
            </w:r>
          </w:p>
        </w:tc>
        <w:tc>
          <w:tcPr>
            <w:tcW w:w="2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40" w:type="dxa"/>
            <w:vAlign w:val="bottom"/>
            <w:tcBorders>
              <w:bottom w:val="single" w:sz="8" w:color="CCEEFF"/>
            </w:tcBorders>
            <w:vMerge w:val="continue"/>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424.5</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433.3</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1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diluted common shares outstanding</w:t>
            </w:r>
          </w:p>
        </w:tc>
        <w:tc>
          <w:tcPr>
            <w:tcW w:w="2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426.9</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435.8</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14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3680"/>
              <w:spacing w:after="0" w:line="196" w:lineRule="exact"/>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2,081</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12,390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11,942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Goodwill</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6,479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6,430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1,446</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ind w:left="2860"/>
              <w:spacing w:after="0"/>
              <w:rPr>
                <w:sz w:val="20"/>
                <w:szCs w:val="20"/>
                <w:color w:val="auto"/>
              </w:rPr>
            </w:pPr>
            <w:r>
              <w:rPr>
                <w:rFonts w:ascii="Arial" w:cs="Arial" w:eastAsia="Arial" w:hAnsi="Arial"/>
                <w:sz w:val="18"/>
                <w:szCs w:val="18"/>
                <w:b w:val="1"/>
                <w:bCs w:val="1"/>
                <w:color w:val="auto"/>
              </w:rPr>
              <w:t>LIABILITIES AND EQUITY</w:t>
            </w:r>
          </w:p>
        </w:tc>
        <w:tc>
          <w:tcPr>
            <w:tcW w:w="1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2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18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2,676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3,612</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9,323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4,021</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3,672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liabilities</w:t>
            </w:r>
          </w:p>
        </w:tc>
        <w:tc>
          <w:tcPr>
            <w:tcW w:w="1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line="196" w:lineRule="exact"/>
              <w:rPr>
                <w:sz w:val="20"/>
                <w:szCs w:val="20"/>
                <w:color w:val="auto"/>
              </w:rPr>
            </w:pPr>
            <w:r>
              <w:rPr>
                <w:rFonts w:ascii="Arial" w:cs="Arial" w:eastAsia="Arial" w:hAnsi="Arial"/>
                <w:sz w:val="18"/>
                <w:szCs w:val="18"/>
                <w:color w:val="auto"/>
              </w:rPr>
              <w:t>Equity:</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6,415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1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380"/>
              <w:spacing w:after="0"/>
              <w:rPr>
                <w:sz w:val="20"/>
                <w:szCs w:val="20"/>
                <w:color w:val="auto"/>
              </w:rPr>
            </w:pPr>
            <w:r>
              <w:rPr>
                <w:rFonts w:ascii="Arial" w:cs="Arial" w:eastAsia="Arial" w:hAnsi="Arial"/>
                <w:sz w:val="18"/>
                <w:szCs w:val="18"/>
                <w:color w:val="auto"/>
              </w:rPr>
              <w:t>Total liabilities and equity</w:t>
            </w:r>
          </w:p>
        </w:tc>
        <w:tc>
          <w:tcPr>
            <w:tcW w:w="15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23,373</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7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7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5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347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366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700" w:type="dxa"/>
            <w:vAlign w:val="bottom"/>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(800)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700" w:type="dxa"/>
            <w:vAlign w:val="bottom"/>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commercial paper borrowings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Common stock repurchase program</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w w:val="95"/>
              </w:rPr>
              <w:t>Effect of exchange rate changes on cash, cash equivalents and restricted cash and cash equivalents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cash, cash equivalents and restricted cash and cash equivalents</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Cash, cash equivalents and restricted cash and cash equivalents at beginning of period</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r>
      <w:tr>
        <w:trPr>
          <w:trHeight w:val="210"/>
        </w:trPr>
        <w:tc>
          <w:tcPr>
            <w:tcW w:w="7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and cash equivalents at end of period</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 by Line of Business</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9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Residential</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collection</w:t>
            </w:r>
          </w:p>
        </w:tc>
        <w:tc>
          <w:tcPr>
            <w:tcW w:w="10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Landfill</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Recycling</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Intercompany (a)</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4"/>
          </w:tcPr>
          <w:p>
            <w:pPr>
              <w:jc w:val="right"/>
              <w:ind w:right="22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2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Internal Revenue Growth</w:t>
            </w: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4"/>
              </w:rPr>
              <w:t>Period-to-Period Change for the</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40" w:type="dxa"/>
            <w:vAlign w:val="bottom"/>
            <w:gridSpan w:val="10"/>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10"/>
          </w:tcPr>
          <w:p>
            <w:pPr>
              <w:jc w:val="center"/>
              <w:ind w:right="340"/>
              <w:spacing w:after="0"/>
              <w:rPr>
                <w:sz w:val="20"/>
                <w:szCs w:val="20"/>
                <w:color w:val="auto"/>
              </w:rPr>
            </w:pPr>
            <w:r>
              <w:rPr>
                <w:rFonts w:ascii="Arial" w:cs="Arial" w:eastAsia="Arial" w:hAnsi="Arial"/>
                <w:sz w:val="14"/>
                <w:szCs w:val="14"/>
                <w:b w:val="1"/>
                <w:bCs w:val="1"/>
                <w:color w:val="auto"/>
                <w:w w:val="93"/>
              </w:rPr>
              <w:t>March 31, 2019 vs. 2018</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gridSpan w:val="2"/>
          </w:tcPr>
          <w:p>
            <w:pPr>
              <w:jc w:val="center"/>
              <w:ind w:left="249"/>
              <w:spacing w:after="0" w:line="119" w:lineRule="exact"/>
              <w:rPr>
                <w:sz w:val="20"/>
                <w:szCs w:val="20"/>
                <w:color w:val="auto"/>
              </w:rPr>
            </w:pPr>
            <w:r>
              <w:rPr>
                <w:rFonts w:ascii="Arial" w:cs="Arial" w:eastAsia="Arial" w:hAnsi="Arial"/>
                <w:sz w:val="13"/>
                <w:szCs w:val="13"/>
                <w:b w:val="1"/>
                <w:bCs w:val="1"/>
                <w:color w:val="auto"/>
              </w:rPr>
              <w:t>As a % of</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93"/>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20" w:type="dxa"/>
            <w:vAlign w:val="bottom"/>
            <w:vMerge w:val="restart"/>
          </w:tcPr>
          <w:p>
            <w:pPr>
              <w:jc w:val="right"/>
              <w:ind w:right="27"/>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left="249"/>
              <w:spacing w:after="0" w:line="149" w:lineRule="exact"/>
              <w:rPr>
                <w:sz w:val="20"/>
                <w:szCs w:val="20"/>
                <w:color w:val="auto"/>
              </w:rPr>
            </w:pPr>
            <w:r>
              <w:rPr>
                <w:rFonts w:ascii="Arial" w:cs="Arial" w:eastAsia="Arial" w:hAnsi="Arial"/>
                <w:sz w:val="14"/>
                <w:szCs w:val="14"/>
                <w:b w:val="1"/>
                <w:bCs w:val="1"/>
                <w:color w:val="auto"/>
                <w:w w:val="94"/>
              </w:rPr>
              <w:t>Related</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34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9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center"/>
              <w:ind w:left="229"/>
              <w:spacing w:after="0"/>
              <w:rPr>
                <w:sz w:val="20"/>
                <w:szCs w:val="20"/>
                <w:color w:val="auto"/>
              </w:rPr>
            </w:pPr>
            <w:r>
              <w:rPr>
                <w:rFonts w:ascii="Arial" w:cs="Arial" w:eastAsia="Arial" w:hAnsi="Arial"/>
                <w:sz w:val="14"/>
                <w:szCs w:val="14"/>
                <w:b w:val="1"/>
                <w:bCs w:val="1"/>
                <w:color w:val="auto"/>
                <w:w w:val="87"/>
              </w:rPr>
              <w:t>Business(b)</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CCEEFF"/>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3"/>
              </w:rPr>
              <w:t>Company(c)</w:t>
            </w:r>
          </w:p>
        </w:tc>
        <w:tc>
          <w:tcPr>
            <w:tcW w:w="1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1020" w:type="dxa"/>
            <w:vAlign w:val="bottom"/>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Recycling commodities</w:t>
            </w:r>
          </w:p>
        </w:tc>
        <w:tc>
          <w:tcPr>
            <w:tcW w:w="10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8"/>
                <w:szCs w:val="18"/>
                <w:color w:val="auto"/>
                <w:w w:val="97"/>
              </w:rPr>
              <w:t>(8.4)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00"/>
              <w:spacing w:after="0" w:line="196" w:lineRule="exact"/>
              <w:rPr>
                <w:sz w:val="20"/>
                <w:szCs w:val="20"/>
                <w:color w:val="auto"/>
              </w:rPr>
            </w:pPr>
            <w:r>
              <w:rPr>
                <w:rFonts w:ascii="Arial" w:cs="Arial" w:eastAsia="Arial" w:hAnsi="Arial"/>
                <w:sz w:val="18"/>
                <w:szCs w:val="18"/>
                <w:color w:val="auto"/>
              </w:rPr>
              <w:t>Total average yield (d)</w:t>
            </w:r>
          </w:p>
        </w:tc>
        <w:tc>
          <w:tcPr>
            <w:tcW w:w="10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Volume</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200"/>
              <w:spacing w:after="0"/>
              <w:rPr>
                <w:sz w:val="20"/>
                <w:szCs w:val="20"/>
                <w:color w:val="auto"/>
              </w:rPr>
            </w:pPr>
            <w:r>
              <w:rPr>
                <w:rFonts w:ascii="Arial" w:cs="Arial" w:eastAsia="Arial" w:hAnsi="Arial"/>
                <w:sz w:val="18"/>
                <w:szCs w:val="18"/>
                <w:color w:val="auto"/>
              </w:rPr>
              <w:t>Internal revenue growth</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Divestitures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38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8"/>
          </w:tcPr>
          <w:p>
            <w:pPr>
              <w:jc w:val="center"/>
              <w:ind w:right="980"/>
              <w:spacing w:after="0"/>
              <w:rPr>
                <w:sz w:val="20"/>
                <w:szCs w:val="20"/>
                <w:color w:val="auto"/>
              </w:rPr>
            </w:pPr>
            <w:r>
              <w:rPr>
                <w:rFonts w:ascii="Arial" w:cs="Arial" w:eastAsia="Arial" w:hAnsi="Arial"/>
                <w:sz w:val="14"/>
                <w:szCs w:val="14"/>
                <w:b w:val="1"/>
                <w:bCs w:val="1"/>
                <w:color w:val="auto"/>
                <w:w w:val="93"/>
              </w:rPr>
              <w:t>Period-to-Period Change for the</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40" w:type="dxa"/>
            <w:vAlign w:val="bottom"/>
            <w:gridSpan w:val="11"/>
          </w:tcPr>
          <w:p>
            <w:pPr>
              <w:jc w:val="center"/>
              <w:ind w:right="540"/>
              <w:spacing w:after="0"/>
              <w:rPr>
                <w:sz w:val="20"/>
                <w:szCs w:val="20"/>
                <w:color w:val="auto"/>
              </w:rPr>
            </w:pPr>
            <w:r>
              <w:rPr>
                <w:rFonts w:ascii="Arial" w:cs="Arial" w:eastAsia="Arial" w:hAnsi="Arial"/>
                <w:sz w:val="14"/>
                <w:szCs w:val="14"/>
                <w:b w:val="1"/>
                <w:bCs w:val="1"/>
                <w:color w:val="auto"/>
                <w:w w:val="93"/>
              </w:rPr>
              <w:t>Three Months Ended March 31, 2019 vs. 2018</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840" w:type="dxa"/>
            <w:vAlign w:val="bottom"/>
            <w:tcBorders>
              <w:top w:val="single" w:sz="8" w:color="auto"/>
              <w:bottom w:val="single" w:sz="8" w:color="auto"/>
            </w:tcBorders>
            <w:gridSpan w:val="6"/>
          </w:tcPr>
          <w:p>
            <w:pPr>
              <w:jc w:val="center"/>
              <w:ind w:right="733"/>
              <w:spacing w:after="0" w:line="142" w:lineRule="exact"/>
              <w:rPr>
                <w:sz w:val="20"/>
                <w:szCs w:val="20"/>
                <w:color w:val="auto"/>
              </w:rPr>
            </w:pPr>
            <w:r>
              <w:rPr>
                <w:rFonts w:ascii="Arial" w:cs="Arial" w:eastAsia="Arial" w:hAnsi="Arial"/>
                <w:sz w:val="14"/>
                <w:szCs w:val="14"/>
                <w:b w:val="1"/>
                <w:bCs w:val="1"/>
                <w:color w:val="auto"/>
                <w:w w:val="92"/>
              </w:rPr>
              <w:t>As a % of Related Business(b)</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Yield</w:t>
            </w:r>
          </w:p>
        </w:tc>
        <w:tc>
          <w:tcPr>
            <w:tcW w:w="3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w w:val="94"/>
              </w:rPr>
              <w:t>Volume(e)</w:t>
            </w:r>
          </w:p>
        </w:tc>
        <w:tc>
          <w:tcPr>
            <w:tcW w:w="16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Industrial</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Total collection</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MSW</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Transfer</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collection and disposal</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herein.</w:t>
      </w:r>
    </w:p>
    <w:p>
      <w:pPr>
        <w:spacing w:after="0" w:line="23" w:lineRule="exact"/>
        <w:rPr>
          <w:rFonts w:ascii="Arial" w:cs="Arial" w:eastAsia="Arial" w:hAnsi="Arial"/>
          <w:sz w:val="18"/>
          <w:szCs w:val="18"/>
          <w:color w:val="auto"/>
        </w:rPr>
      </w:pPr>
    </w:p>
    <w:p>
      <w:pPr>
        <w:ind w:left="340" w:right="380" w:hanging="332"/>
        <w:spacing w:after="0" w:line="250" w:lineRule="auto"/>
        <w:tabs>
          <w:tab w:leader="none" w:pos="347"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ind w:left="340" w:right="460" w:hanging="332"/>
        <w:spacing w:after="0" w:line="250" w:lineRule="auto"/>
        <w:tabs>
          <w:tab w:leader="none" w:pos="351"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DATA SHEET</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Free Cash Flow Analysis (a)</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Free cash flow</w:t>
            </w: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Data</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Internalization of waste, based on disposal costs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66.2%</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amortizable tons (in millions)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(b)</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Gross annualized revenue acquired</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 net of cash acquired</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acquisitions consummated during the period, net of cash acquired</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Cash paid for acquisitions including contingent consideration and other items from prior periods, net of cash</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acquired</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Accretion and Other Expenses for Landfills:</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2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Landfill amortization expense</w:t>
            </w:r>
          </w:p>
        </w:tc>
        <w:tc>
          <w:tcPr>
            <w:tcW w:w="1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Cost basis of landfill assets</w:t>
            </w:r>
          </w:p>
        </w:tc>
        <w:tc>
          <w:tcPr>
            <w:tcW w:w="288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110.0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retirement costs</w:t>
            </w:r>
          </w:p>
        </w:tc>
        <w:tc>
          <w:tcPr>
            <w:tcW w:w="1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8"/>
                <w:szCs w:val="18"/>
                <w:color w:val="auto"/>
              </w:rPr>
            </w:pPr>
          </w:p>
        </w:tc>
      </w:tr>
      <w:tr>
        <w:trPr>
          <w:trHeight w:val="210"/>
        </w:trPr>
        <w:tc>
          <w:tcPr>
            <w:tcW w:w="6320" w:type="dxa"/>
            <w:vAlign w:val="bottom"/>
          </w:tcPr>
          <w:p>
            <w:pPr>
              <w:ind w:left="360"/>
              <w:spacing w:after="0"/>
              <w:rPr>
                <w:sz w:val="20"/>
                <w:szCs w:val="20"/>
                <w:color w:val="auto"/>
              </w:rPr>
            </w:pPr>
            <w:r>
              <w:rPr>
                <w:rFonts w:ascii="Arial" w:cs="Arial" w:eastAsia="Arial" w:hAnsi="Arial"/>
                <w:sz w:val="18"/>
                <w:szCs w:val="18"/>
                <w:color w:val="auto"/>
              </w:rPr>
              <w:t>Total landfill amortization expense</w:t>
            </w:r>
          </w:p>
        </w:tc>
        <w:tc>
          <w:tcPr>
            <w:tcW w:w="19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r>
      <w:tr>
        <w:trPr>
          <w:trHeight w:val="210"/>
        </w:trPr>
        <w:tc>
          <w:tcPr>
            <w:tcW w:w="6320" w:type="dxa"/>
            <w:vAlign w:val="bottom"/>
          </w:tcPr>
          <w:p>
            <w:pPr>
              <w:ind w:left="180"/>
              <w:spacing w:after="0"/>
              <w:rPr>
                <w:sz w:val="20"/>
                <w:szCs w:val="20"/>
                <w:color w:val="auto"/>
              </w:rPr>
            </w:pPr>
            <w:r>
              <w:rPr>
                <w:rFonts w:ascii="Arial" w:cs="Arial" w:eastAsia="Arial" w:hAnsi="Arial"/>
                <w:sz w:val="18"/>
                <w:szCs w:val="18"/>
                <w:color w:val="auto"/>
              </w:rPr>
              <w:t>Landfill amortization, accretion and other related expense</w:t>
            </w:r>
          </w:p>
        </w:tc>
        <w:tc>
          <w:tcPr>
            <w:tcW w:w="19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20" w:hanging="332"/>
        <w:spacing w:after="0" w:line="256" w:lineRule="auto"/>
        <w:tabs>
          <w:tab w:leader="none" w:pos="347"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Represents amounts associated with business acquisitions consummated during the applicable period except where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w w:val="96"/>
              </w:rPr>
              <w:t>March 31, 2019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Income from</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Pre-tax</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restart"/>
          </w:tcPr>
          <w:p>
            <w:pPr>
              <w:jc w:val="right"/>
              <w:ind w:right="670"/>
              <w:spacing w:after="0"/>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Net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100"/>
              <w:spacing w:after="0" w:line="119" w:lineRule="exact"/>
              <w:rPr>
                <w:sz w:val="20"/>
                <w:szCs w:val="20"/>
                <w:color w:val="auto"/>
              </w:rPr>
            </w:pPr>
            <w:r>
              <w:rPr>
                <w:rFonts w:ascii="Arial" w:cs="Arial" w:eastAsia="Arial" w:hAnsi="Arial"/>
                <w:sz w:val="13"/>
                <w:szCs w:val="13"/>
                <w:b w:val="1"/>
                <w:bCs w:val="1"/>
                <w:color w:val="auto"/>
              </w:rPr>
              <w:t>Diluted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Operations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Expense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Income (a)</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an investment and other</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b w:val="1"/>
                <w:bCs w:val="1"/>
                <w:color w:val="auto"/>
              </w:rPr>
              <w:t>As adjusted amounts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w w:val="86"/>
              </w:rPr>
              <w:t>(b)</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Projected Free Cash Flow Reconciliation (c)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Scenario 1</w:t>
            </w:r>
          </w:p>
        </w:tc>
        <w:tc>
          <w:tcPr>
            <w:tcW w:w="240" w:type="dxa"/>
            <w:vAlign w:val="bottom"/>
          </w:tcPr>
          <w:p>
            <w:pPr>
              <w:spacing w:after="0"/>
              <w:rPr>
                <w:sz w:val="14"/>
                <w:szCs w:val="14"/>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Scenario 2</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(1,650)</w:t>
            </w:r>
          </w:p>
        </w:tc>
        <w:tc>
          <w:tcPr>
            <w:tcW w:w="24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(1,750)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w w:val="93"/>
              </w:rPr>
              <w:t>Proceeds from divestitures of businesses and other assets (net of cash divested)</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0" w:hanging="332"/>
        <w:spacing w:after="0" w:line="258" w:lineRule="auto"/>
        <w:tabs>
          <w:tab w:leader="none" w:pos="347"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For purposes of this press release table, all references to “Net income” refer to the financial statement line item “Net income attributable to Waste Management, Inc.”.</w:t>
      </w:r>
    </w:p>
    <w:p>
      <w:pPr>
        <w:spacing w:after="0" w:line="1" w:lineRule="exact"/>
        <w:rPr>
          <w:rFonts w:ascii="Arial" w:cs="Arial" w:eastAsia="Arial" w:hAnsi="Arial"/>
          <w:sz w:val="18"/>
          <w:szCs w:val="18"/>
          <w:b w:val="1"/>
          <w:bCs w:val="1"/>
          <w:color w:val="auto"/>
        </w:rPr>
      </w:pPr>
    </w:p>
    <w:p>
      <w:pPr>
        <w:ind w:left="340" w:right="20" w:hanging="332"/>
        <w:spacing w:after="0" w:line="250" w:lineRule="auto"/>
        <w:tabs>
          <w:tab w:leader="none" w:pos="357"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first quarter 2019 adjusted effective tax rate was 22.2%.</w:t>
      </w:r>
    </w:p>
    <w:p>
      <w:pPr>
        <w:spacing w:after="0" w:line="1" w:lineRule="exact"/>
        <w:rPr>
          <w:rFonts w:ascii="Arial" w:cs="Arial" w:eastAsia="Arial" w:hAnsi="Arial"/>
          <w:sz w:val="18"/>
          <w:szCs w:val="18"/>
          <w:b w:val="1"/>
          <w:bCs w:val="1"/>
          <w:color w:val="auto"/>
        </w:rPr>
      </w:pPr>
    </w:p>
    <w:p>
      <w:pPr>
        <w:ind w:left="340" w:right="40" w:hanging="332"/>
        <w:spacing w:after="0" w:line="261" w:lineRule="auto"/>
        <w:tabs>
          <w:tab w:leader="none" w:pos="351"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reconciliation includes two scenarios that illustrate our projected free cash flow range for 2019.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2019-12-28T13:30:29Z</dcterms:created>
  <dcterms:modified xsi:type="dcterms:W3CDTF">2019-12-28T13:30:29Z</dcterms:modified>
</cp:coreProperties>
</file>