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28,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3420"/>
        <w:spacing w:after="0"/>
        <w:rPr>
          <w:sz w:val="20"/>
          <w:szCs w:val="20"/>
          <w:color w:val="auto"/>
        </w:rPr>
      </w:pPr>
      <w:r>
        <w:rPr>
          <w:rFonts w:ascii="Arial" w:cs="Arial" w:eastAsia="Arial" w:hAnsi="Arial"/>
          <w:sz w:val="43"/>
          <w:szCs w:val="43"/>
          <w:b w:val="1"/>
          <w:bCs w:val="1"/>
          <w:color w:val="auto"/>
        </w:rPr>
        <w:t>Waste Management, Inc.</w:t>
      </w:r>
    </w:p>
    <w:p>
      <w:pPr>
        <w:spacing w:after="0" w:line="45" w:lineRule="exact"/>
        <w:rPr>
          <w:sz w:val="24"/>
          <w:szCs w:val="24"/>
          <w:color w:val="auto"/>
        </w:rPr>
      </w:pPr>
    </w:p>
    <w:p>
      <w:pPr>
        <w:ind w:left="3360"/>
        <w:spacing w:after="0"/>
        <w:rPr>
          <w:sz w:val="20"/>
          <w:szCs w:val="20"/>
          <w:color w:val="auto"/>
        </w:rPr>
      </w:pPr>
      <w:r>
        <w:rPr>
          <w:rFonts w:ascii="Arial" w:cs="Arial" w:eastAsia="Arial" w:hAnsi="Arial"/>
          <w:sz w:val="22"/>
          <w:szCs w:val="22"/>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6"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240" w:type="dxa"/>
            <w:vAlign w:val="bottom"/>
          </w:tcPr>
          <w:p>
            <w:pPr>
              <w:jc w:val="center"/>
              <w:ind w:right="2544"/>
              <w:spacing w:after="0"/>
              <w:rPr>
                <w:sz w:val="20"/>
                <w:szCs w:val="20"/>
                <w:color w:val="auto"/>
              </w:rPr>
            </w:pPr>
            <w:r>
              <w:rPr>
                <w:rFonts w:ascii="Arial" w:cs="Arial" w:eastAsia="Arial" w:hAnsi="Arial"/>
                <w:sz w:val="18"/>
                <w:szCs w:val="18"/>
                <w:b w:val="1"/>
                <w:bCs w:val="1"/>
                <w:color w:val="auto"/>
                <w:w w:val="88"/>
              </w:rPr>
              <w:t>Delaware</w:t>
            </w:r>
          </w:p>
        </w:tc>
        <w:tc>
          <w:tcPr>
            <w:tcW w:w="2260" w:type="dxa"/>
            <w:vAlign w:val="bottom"/>
          </w:tcPr>
          <w:p>
            <w:pPr>
              <w:jc w:val="center"/>
              <w:ind w:right="1266"/>
              <w:spacing w:after="0"/>
              <w:rPr>
                <w:sz w:val="20"/>
                <w:szCs w:val="20"/>
                <w:color w:val="auto"/>
              </w:rPr>
            </w:pPr>
            <w:r>
              <w:rPr>
                <w:rFonts w:ascii="Arial" w:cs="Arial" w:eastAsia="Arial" w:hAnsi="Arial"/>
                <w:sz w:val="18"/>
                <w:szCs w:val="18"/>
                <w:b w:val="1"/>
                <w:bCs w:val="1"/>
                <w:color w:val="auto"/>
                <w:w w:val="90"/>
              </w:rPr>
              <w:t>1-12154</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73-1309529</w:t>
            </w:r>
          </w:p>
        </w:tc>
      </w:tr>
      <w:tr>
        <w:trPr>
          <w:trHeight w:val="149"/>
        </w:trPr>
        <w:tc>
          <w:tcPr>
            <w:tcW w:w="4240" w:type="dxa"/>
            <w:vAlign w:val="bottom"/>
          </w:tcPr>
          <w:p>
            <w:pPr>
              <w:jc w:val="center"/>
              <w:ind w:right="256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260" w:type="dxa"/>
            <w:vAlign w:val="bottom"/>
          </w:tcPr>
          <w:p>
            <w:pPr>
              <w:jc w:val="center"/>
              <w:ind w:right="126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40" w:type="dxa"/>
            <w:vAlign w:val="bottom"/>
          </w:tcPr>
          <w:p>
            <w:pPr>
              <w:jc w:val="center"/>
              <w:ind w:right="2564"/>
              <w:spacing w:after="0"/>
              <w:rPr>
                <w:sz w:val="20"/>
                <w:szCs w:val="20"/>
                <w:color w:val="auto"/>
              </w:rPr>
            </w:pPr>
            <w:r>
              <w:rPr>
                <w:rFonts w:ascii="Arial" w:cs="Arial" w:eastAsia="Arial" w:hAnsi="Arial"/>
                <w:sz w:val="14"/>
                <w:szCs w:val="14"/>
                <w:b w:val="1"/>
                <w:bCs w:val="1"/>
                <w:color w:val="auto"/>
                <w:w w:val="89"/>
              </w:rPr>
              <w:t>of Incorporation)</w:t>
            </w:r>
          </w:p>
        </w:tc>
        <w:tc>
          <w:tcPr>
            <w:tcW w:w="2260" w:type="dxa"/>
            <w:vAlign w:val="bottom"/>
          </w:tcPr>
          <w:p>
            <w:pPr>
              <w:jc w:val="center"/>
              <w:ind w:right="124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4240" w:type="dxa"/>
            <w:vAlign w:val="bottom"/>
          </w:tcPr>
          <w:p>
            <w:pPr>
              <w:jc w:val="center"/>
              <w:ind w:left="1064"/>
              <w:spacing w:after="0"/>
              <w:rPr>
                <w:sz w:val="20"/>
                <w:szCs w:val="20"/>
                <w:color w:val="auto"/>
              </w:rPr>
            </w:pPr>
            <w:r>
              <w:rPr>
                <w:rFonts w:ascii="Arial" w:cs="Arial" w:eastAsia="Arial" w:hAnsi="Arial"/>
                <w:sz w:val="18"/>
                <w:szCs w:val="18"/>
                <w:b w:val="1"/>
                <w:bCs w:val="1"/>
                <w:color w:val="auto"/>
                <w:w w:val="87"/>
              </w:rPr>
              <w:t>1001 Fannin, Suite 4000 Houston, Texas</w:t>
            </w:r>
          </w:p>
        </w:tc>
        <w:tc>
          <w:tcPr>
            <w:tcW w:w="2260" w:type="dxa"/>
            <w:vAlign w:val="bottom"/>
          </w:tcPr>
          <w:p>
            <w:pPr>
              <w:spacing w:after="0"/>
              <w:rPr>
                <w:sz w:val="24"/>
                <w:szCs w:val="24"/>
                <w:color w:val="auto"/>
              </w:rPr>
            </w:pPr>
          </w:p>
        </w:tc>
        <w:tc>
          <w:tcPr>
            <w:tcW w:w="2480" w:type="dxa"/>
            <w:vAlign w:val="bottom"/>
          </w:tcPr>
          <w:p>
            <w:pPr>
              <w:jc w:val="right"/>
              <w:ind w:right="164"/>
              <w:spacing w:after="0"/>
              <w:rPr>
                <w:sz w:val="20"/>
                <w:szCs w:val="20"/>
                <w:color w:val="auto"/>
              </w:rPr>
            </w:pPr>
            <w:r>
              <w:rPr>
                <w:rFonts w:ascii="Arial" w:cs="Arial" w:eastAsia="Arial" w:hAnsi="Arial"/>
                <w:sz w:val="18"/>
                <w:szCs w:val="18"/>
                <w:b w:val="1"/>
                <w:bCs w:val="1"/>
                <w:color w:val="auto"/>
              </w:rPr>
              <w:t>77002</w:t>
            </w:r>
          </w:p>
        </w:tc>
      </w:tr>
      <w:tr>
        <w:trPr>
          <w:trHeight w:val="174"/>
        </w:trPr>
        <w:tc>
          <w:tcPr>
            <w:tcW w:w="4240" w:type="dxa"/>
            <w:vAlign w:val="bottom"/>
          </w:tcPr>
          <w:p>
            <w:pPr>
              <w:jc w:val="center"/>
              <w:ind w:left="1044"/>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60" w:type="dxa"/>
            <w:vAlign w:val="bottom"/>
          </w:tcPr>
          <w:p>
            <w:pPr>
              <w:spacing w:after="0"/>
              <w:rPr>
                <w:sz w:val="15"/>
                <w:szCs w:val="15"/>
                <w:color w:val="auto"/>
              </w:rPr>
            </w:pPr>
          </w:p>
        </w:tc>
        <w:tc>
          <w:tcPr>
            <w:tcW w:w="2480" w:type="dxa"/>
            <w:vAlign w:val="bottom"/>
          </w:tcPr>
          <w:p>
            <w:pPr>
              <w:jc w:val="center"/>
              <w:ind w:left="1484"/>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173"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Waste Management, Inc. (the “Company”) is filing this Current Report on Form 8-K to disclose the effect of adopting a new accounting pronouncement, FASB Accounting Standards Update (ASU) No. 2011-5, </w:t>
      </w:r>
      <w:r>
        <w:rPr>
          <w:rFonts w:ascii="Arial" w:cs="Arial" w:eastAsia="Arial" w:hAnsi="Arial"/>
          <w:sz w:val="18"/>
          <w:szCs w:val="18"/>
          <w:i w:val="1"/>
          <w:iCs w:val="1"/>
          <w:color w:val="auto"/>
        </w:rPr>
        <w:t>Comprehensive Income (Topic 220): Presentation of Comprehensive Income</w:t>
      </w:r>
      <w:r>
        <w:rPr>
          <w:rFonts w:ascii="Arial" w:cs="Arial" w:eastAsia="Arial" w:hAnsi="Arial"/>
          <w:sz w:val="18"/>
          <w:szCs w:val="18"/>
          <w:color w:val="auto"/>
        </w:rPr>
        <w:t xml:space="preserve">, as amended by ASU 2011-12, </w:t>
      </w:r>
      <w:r>
        <w:rPr>
          <w:rFonts w:ascii="Arial" w:cs="Arial" w:eastAsia="Arial" w:hAnsi="Arial"/>
          <w:sz w:val="18"/>
          <w:szCs w:val="18"/>
          <w:i w:val="1"/>
          <w:iCs w:val="1"/>
          <w:color w:val="auto"/>
        </w:rPr>
        <w:t>Comprehensive Income (Topic 220): Deferral of the Effective Date for Amendments to the Presentation of Reclassifications of Items Out of Accumulated</w:t>
      </w:r>
      <w:r>
        <w:rPr>
          <w:rFonts w:ascii="Arial" w:cs="Arial" w:eastAsia="Arial" w:hAnsi="Arial"/>
          <w:sz w:val="18"/>
          <w:szCs w:val="18"/>
          <w:color w:val="auto"/>
        </w:rPr>
        <w:t xml:space="preserve"> </w:t>
      </w:r>
      <w:r>
        <w:rPr>
          <w:rFonts w:ascii="Arial" w:cs="Arial" w:eastAsia="Arial" w:hAnsi="Arial"/>
          <w:sz w:val="18"/>
          <w:szCs w:val="18"/>
          <w:i w:val="1"/>
          <w:iCs w:val="1"/>
          <w:color w:val="auto"/>
        </w:rPr>
        <w:t>Other Comprehensive Income in Accounting Standards Update No. 2011-05</w:t>
      </w:r>
      <w:r>
        <w:rPr>
          <w:rFonts w:ascii="Arial" w:cs="Arial" w:eastAsia="Arial" w:hAnsi="Arial"/>
          <w:sz w:val="18"/>
          <w:szCs w:val="18"/>
          <w:color w:val="auto"/>
        </w:rPr>
        <w:t>, on the Company’s historical financial information contained in its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fiscal year ended December 31, 2011.</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following table presents selected components of the unaudited Consolidated Statements of Comprehensive Income for the fiscal years ended December 31, 2011, December 31, 2010 and December 31, 2009 and should be read in conjunction with the information in the Company’s Annual Report on Form 10-K for the fiscal year ended December 31, 2011 (in millions):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2010</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derivative instruments: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60" w:type="dxa"/>
            <w:vAlign w:val="bottom"/>
          </w:tcPr>
          <w:p>
            <w:pPr>
              <w:ind w:left="440"/>
              <w:spacing w:after="0"/>
              <w:rPr>
                <w:sz w:val="20"/>
                <w:szCs w:val="20"/>
                <w:color w:val="auto"/>
              </w:rPr>
            </w:pPr>
            <w:r>
              <w:rPr>
                <w:rFonts w:ascii="Arial" w:cs="Arial" w:eastAsia="Arial" w:hAnsi="Arial"/>
                <w:sz w:val="18"/>
                <w:szCs w:val="18"/>
                <w:color w:val="auto"/>
                <w:w w:val="95"/>
              </w:rPr>
              <w:t>Unrealized losses, resulting from changes in fair value, net of tax benefit of $(20), $(28)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660"/>
              <w:spacing w:after="0"/>
              <w:rPr>
                <w:sz w:val="20"/>
                <w:szCs w:val="20"/>
                <w:color w:val="auto"/>
              </w:rPr>
            </w:pPr>
            <w:r>
              <w:rPr>
                <w:rFonts w:ascii="Arial" w:cs="Arial" w:eastAsia="Arial" w:hAnsi="Arial"/>
                <w:sz w:val="18"/>
                <w:szCs w:val="18"/>
                <w:color w:val="auto"/>
              </w:rPr>
              <w:t>and $(13), respectively</w:t>
            </w:r>
          </w:p>
        </w:tc>
        <w:tc>
          <w:tcPr>
            <w:tcW w:w="10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Reclassification adjustment for losses included in net income, net of tax benefit of $1,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$12 and $21, respectively</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Unrealized gains (losses) on available-for-sale securities, net of tax expense (benefit) of</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 $2 and $2, respectively</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8"/>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funded status of post-retirement benefit obligations, net of tax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(benefit) of $(5), $(3) and $4, respectively</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$ 1,114</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476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7800" w:type="dxa"/>
            <w:vAlign w:val="bottom"/>
            <w:gridSpan w:val="2"/>
          </w:tcPr>
          <w:p>
            <w:pPr>
              <w:ind w:left="2000"/>
              <w:spacing w:after="0"/>
              <w:rPr>
                <w:sz w:val="20"/>
                <w:szCs w:val="20"/>
                <w:color w:val="auto"/>
              </w:rPr>
            </w:pPr>
            <w:r>
              <w:rPr>
                <w:rFonts w:ascii="Arial" w:cs="Arial" w:eastAsia="Arial" w:hAnsi="Arial"/>
                <w:sz w:val="18"/>
                <w:szCs w:val="18"/>
                <w:color w:val="auto"/>
              </w:rPr>
              <w:t>WASTE MANAGEMENT,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August 28, 2012</w:t>
            </w:r>
          </w:p>
        </w:tc>
        <w:tc>
          <w:tcPr>
            <w:tcW w:w="7800" w:type="dxa"/>
            <w:vAlign w:val="bottom"/>
            <w:gridSpan w:val="2"/>
          </w:tcPr>
          <w:p>
            <w:pPr>
              <w:ind w:left="2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r>
      <w:tr>
        <w:trPr>
          <w:trHeight w:val="190"/>
        </w:trPr>
        <w:tc>
          <w:tcPr>
            <w:tcW w:w="3620" w:type="dxa"/>
            <w:vAlign w:val="bottom"/>
          </w:tcPr>
          <w:p>
            <w:pPr>
              <w:spacing w:after="0"/>
              <w:rPr>
                <w:sz w:val="16"/>
                <w:szCs w:val="16"/>
                <w:color w:val="auto"/>
              </w:rPr>
            </w:pPr>
          </w:p>
        </w:tc>
        <w:tc>
          <w:tcPr>
            <w:tcW w:w="2920" w:type="dxa"/>
            <w:vAlign w:val="bottom"/>
          </w:tcPr>
          <w:p>
            <w:pPr>
              <w:ind w:left="2540"/>
              <w:spacing w:after="0" w:line="190" w:lineRule="exact"/>
              <w:rPr>
                <w:sz w:val="20"/>
                <w:szCs w:val="20"/>
                <w:color w:val="auto"/>
              </w:rPr>
            </w:pPr>
            <w:r>
              <w:rPr>
                <w:rFonts w:ascii="Arial" w:cs="Arial" w:eastAsia="Arial" w:hAnsi="Arial"/>
                <w:sz w:val="18"/>
                <w:szCs w:val="18"/>
                <w:color w:val="auto"/>
              </w:rPr>
              <w:t>Rick</w:t>
            </w:r>
          </w:p>
        </w:tc>
        <w:tc>
          <w:tcPr>
            <w:tcW w:w="4880" w:type="dxa"/>
            <w:vAlign w:val="bottom"/>
            <w:tcBorders>
              <w:top w:val="single" w:sz="8" w:color="auto"/>
            </w:tcBorders>
          </w:tcPr>
          <w:p>
            <w:pPr>
              <w:spacing w:after="0" w:line="190" w:lineRule="exact"/>
              <w:rPr>
                <w:sz w:val="20"/>
                <w:szCs w:val="20"/>
                <w:color w:val="auto"/>
              </w:rPr>
            </w:pPr>
            <w:r>
              <w:rPr>
                <w:rFonts w:ascii="Arial" w:cs="Arial" w:eastAsia="Arial" w:hAnsi="Arial"/>
                <w:sz w:val="18"/>
                <w:szCs w:val="18"/>
                <w:color w:val="auto"/>
              </w:rPr>
              <w:t>L Wittenbraker</w:t>
            </w:r>
          </w:p>
        </w:tc>
      </w:tr>
      <w:tr>
        <w:trPr>
          <w:trHeight w:val="222"/>
        </w:trPr>
        <w:tc>
          <w:tcPr>
            <w:tcW w:w="3620" w:type="dxa"/>
            <w:vAlign w:val="bottom"/>
          </w:tcPr>
          <w:p>
            <w:pPr>
              <w:spacing w:after="0"/>
              <w:rPr>
                <w:sz w:val="19"/>
                <w:szCs w:val="19"/>
                <w:color w:val="auto"/>
              </w:rPr>
            </w:pPr>
          </w:p>
        </w:tc>
        <w:tc>
          <w:tcPr>
            <w:tcW w:w="7800" w:type="dxa"/>
            <w:vAlign w:val="bottom"/>
            <w:gridSpan w:val="2"/>
          </w:tcPr>
          <w:p>
            <w:pPr>
              <w:ind w:left="2540"/>
              <w:spacing w:after="0"/>
              <w:rPr>
                <w:sz w:val="20"/>
                <w:szCs w:val="20"/>
                <w:color w:val="auto"/>
              </w:rPr>
            </w:pPr>
            <w:r>
              <w:rPr>
                <w:rFonts w:ascii="Arial" w:cs="Arial" w:eastAsia="Arial" w:hAnsi="Arial"/>
                <w:sz w:val="18"/>
                <w:szCs w:val="18"/>
                <w:color w:val="auto"/>
              </w:rPr>
              <w:t>Senior Vice President</w:t>
            </w:r>
          </w:p>
        </w:tc>
      </w:tr>
      <w:tr>
        <w:trPr>
          <w:trHeight w:val="365"/>
        </w:trPr>
        <w:tc>
          <w:tcPr>
            <w:tcW w:w="3620" w:type="dxa"/>
            <w:vAlign w:val="bottom"/>
          </w:tcPr>
          <w:p>
            <w:pPr>
              <w:spacing w:after="0"/>
              <w:rPr>
                <w:sz w:val="24"/>
                <w:szCs w:val="24"/>
                <w:color w:val="auto"/>
              </w:rPr>
            </w:pPr>
          </w:p>
        </w:tc>
        <w:tc>
          <w:tcPr>
            <w:tcW w:w="2920" w:type="dxa"/>
            <w:vAlign w:val="bottom"/>
          </w:tcPr>
          <w:p>
            <w:pPr>
              <w:jc w:val="right"/>
              <w:ind w:right="692"/>
              <w:spacing w:after="0"/>
              <w:rPr>
                <w:sz w:val="20"/>
                <w:szCs w:val="20"/>
                <w:color w:val="auto"/>
              </w:rPr>
            </w:pPr>
            <w:r>
              <w:rPr>
                <w:rFonts w:ascii="Arial" w:cs="Arial" w:eastAsia="Arial" w:hAnsi="Arial"/>
                <w:sz w:val="18"/>
                <w:szCs w:val="18"/>
                <w:color w:val="auto"/>
              </w:rPr>
              <w:t>3</w:t>
            </w:r>
          </w:p>
        </w:tc>
        <w:tc>
          <w:tcPr>
            <w:tcW w:w="4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2019-12-09T08:46:06Z</dcterms:created>
  <dcterms:modified xsi:type="dcterms:W3CDTF">2019-12-09T08:46:06Z</dcterms:modified>
</cp:coreProperties>
</file>