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ind w:left="283"/>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4"/>
          <w:szCs w:val="24"/>
          <w:color w:val="auto"/>
        </w:rPr>
      </w:pPr>
    </w:p>
    <w:p>
      <w:pPr>
        <w:jc w:val="right"/>
        <w:ind w:left="383" w:right="4420"/>
        <w:spacing w:after="0" w:line="259" w:lineRule="auto"/>
        <w:rPr>
          <w:sz w:val="20"/>
          <w:szCs w:val="20"/>
          <w:color w:val="auto"/>
        </w:rPr>
      </w:pPr>
      <w:r>
        <w:rPr>
          <w:rFonts w:ascii="Courier New" w:cs="Courier New" w:eastAsia="Courier New" w:hAnsi="Courier New"/>
          <w:sz w:val="16"/>
          <w:szCs w:val="16"/>
          <w:color w:val="auto"/>
        </w:rPr>
        <w:t>AS FILED WITH THE SECURITIES AND EXCHANGE COMMISSION ON JANUARY 8, 1996 REGISTRATION NO. 33-</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4057"/>
        <w:spacing w:after="0"/>
        <w:tabs>
          <w:tab w:leader="none" w:pos="180" w:val="left"/>
          <w:tab w:leader="none" w:pos="180" w:val="left"/>
          <w:tab w:leader="none" w:pos="180" w:val="left"/>
        </w:tabs>
        <w:rPr>
          <w:sz w:val="20"/>
          <w:szCs w:val="20"/>
          <w:color w:val="auto"/>
        </w:rPr>
      </w:pPr>
      <w:r>
        <w:rPr>
          <w:rFonts w:ascii="Courier New" w:cs="Courier New" w:eastAsia="Courier New" w:hAnsi="Courier New"/>
          <w:sz w:val="16"/>
          <w:szCs w:val="16"/>
          <w:color w:val="auto"/>
        </w:rPr>
        <w:t>SECURITIES</w:t>
        <w:tab/>
        <w:t>AND</w:t>
        <w:tab/>
        <w:t>EXCHANGE</w:t>
      </w:r>
      <w:r>
        <w:rPr>
          <w:sz w:val="20"/>
          <w:szCs w:val="20"/>
          <w:color w:val="auto"/>
        </w:rPr>
        <w:tab/>
      </w:r>
      <w:r>
        <w:rPr>
          <w:rFonts w:ascii="Courier New" w:cs="Courier New" w:eastAsia="Courier New" w:hAnsi="Courier New"/>
          <w:sz w:val="15"/>
          <w:szCs w:val="15"/>
          <w:color w:val="auto"/>
        </w:rPr>
        <w:t>COMMISSION</w:t>
      </w:r>
    </w:p>
    <w:p>
      <w:pPr>
        <w:spacing w:after="0" w:line="29" w:lineRule="exact"/>
        <w:rPr>
          <w:sz w:val="24"/>
          <w:szCs w:val="24"/>
          <w:color w:val="auto"/>
        </w:rPr>
      </w:pPr>
    </w:p>
    <w:p>
      <w:pPr>
        <w:jc w:val="center"/>
        <w:ind w:right="4057"/>
        <w:spacing w:after="0"/>
        <w:tabs>
          <w:tab w:leader="none" w:pos="160" w:val="left"/>
        </w:tabs>
        <w:rPr>
          <w:sz w:val="20"/>
          <w:szCs w:val="20"/>
          <w:color w:val="auto"/>
        </w:rPr>
      </w:pPr>
      <w:r>
        <w:rPr>
          <w:rFonts w:ascii="Courier New" w:cs="Courier New" w:eastAsia="Courier New" w:hAnsi="Courier New"/>
          <w:sz w:val="16"/>
          <w:szCs w:val="16"/>
          <w:color w:val="auto"/>
        </w:rPr>
        <w:t>WASHINGTON, D.C.</w:t>
        <w:tab/>
        <w:t>20549</w:t>
      </w:r>
    </w:p>
    <w:p>
      <w:pPr>
        <w:spacing w:after="0" w:line="155" w:lineRule="exact"/>
        <w:rPr>
          <w:sz w:val="24"/>
          <w:szCs w:val="24"/>
          <w:color w:val="auto"/>
        </w:rPr>
      </w:pPr>
    </w:p>
    <w:tbl>
      <w:tblPr>
        <w:tblLayout w:type="fixed"/>
        <w:tblInd w:w="103" w:type="dxa"/>
        <w:tblCellMar>
          <w:top w:w="0" w:type="dxa"/>
          <w:left w:w="0" w:type="dxa"/>
          <w:bottom w:w="0" w:type="dxa"/>
          <w:right w:w="0" w:type="dxa"/>
        </w:tblCellMar>
      </w:tblPr>
      <w:tr>
        <w:trPr>
          <w:trHeight w:val="265"/>
        </w:trPr>
        <w:tc>
          <w:tcPr>
            <w:tcW w:w="3160" w:type="dxa"/>
            <w:vAlign w:val="bottom"/>
          </w:tcPr>
          <w:p>
            <w:pPr>
              <w:spacing w:after="0"/>
              <w:rPr>
                <w:sz w:val="23"/>
                <w:szCs w:val="23"/>
                <w:color w:val="auto"/>
              </w:rPr>
            </w:pPr>
          </w:p>
        </w:tc>
        <w:tc>
          <w:tcPr>
            <w:tcW w:w="198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FORM S-3</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REGISTRATION STATEMENT</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98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UNDER</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THE SECURITIES ACT OF1933</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1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USA WASTE SERVICES, INC.</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080" w:type="dxa"/>
            <w:vAlign w:val="bottom"/>
            <w:gridSpan w:val="3"/>
          </w:tcPr>
          <w:p>
            <w:pPr>
              <w:ind w:left="1120"/>
              <w:spacing w:after="0"/>
              <w:rPr>
                <w:sz w:val="20"/>
                <w:szCs w:val="20"/>
                <w:color w:val="auto"/>
              </w:rPr>
            </w:pPr>
            <w:r>
              <w:rPr>
                <w:rFonts w:ascii="Courier New" w:cs="Courier New" w:eastAsia="Courier New" w:hAnsi="Courier New"/>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80"/>
        </w:trPr>
        <w:tc>
          <w:tcPr>
            <w:tcW w:w="3160" w:type="dxa"/>
            <w:vAlign w:val="bottom"/>
          </w:tcPr>
          <w:p>
            <w:pPr>
              <w:ind w:left="1120"/>
              <w:spacing w:after="0"/>
              <w:rPr>
                <w:sz w:val="20"/>
                <w:szCs w:val="20"/>
                <w:color w:val="auto"/>
              </w:rPr>
            </w:pPr>
            <w:r>
              <w:rPr>
                <w:rFonts w:ascii="Courier New" w:cs="Courier New" w:eastAsia="Courier New" w:hAnsi="Courier New"/>
                <w:sz w:val="16"/>
                <w:szCs w:val="16"/>
                <w:color w:val="auto"/>
              </w:rPr>
              <w:t>DELAWARE</w:t>
            </w:r>
          </w:p>
        </w:tc>
        <w:tc>
          <w:tcPr>
            <w:tcW w:w="1980" w:type="dxa"/>
            <w:vAlign w:val="bottom"/>
          </w:tcPr>
          <w:p>
            <w:pPr>
              <w:spacing w:after="0"/>
              <w:rPr>
                <w:sz w:val="24"/>
                <w:szCs w:val="24"/>
                <w:color w:val="auto"/>
              </w:rPr>
            </w:pPr>
          </w:p>
        </w:tc>
        <w:tc>
          <w:tcPr>
            <w:tcW w:w="1940" w:type="dxa"/>
            <w:vAlign w:val="bottom"/>
          </w:tcPr>
          <w:p>
            <w:pPr>
              <w:ind w:left="340"/>
              <w:spacing w:after="0"/>
              <w:rPr>
                <w:sz w:val="20"/>
                <w:szCs w:val="20"/>
                <w:color w:val="auto"/>
              </w:rPr>
            </w:pPr>
            <w:r>
              <w:rPr>
                <w:rFonts w:ascii="Courier New" w:cs="Courier New" w:eastAsia="Courier New" w:hAnsi="Courier New"/>
                <w:sz w:val="16"/>
                <w:szCs w:val="16"/>
                <w:color w:val="auto"/>
              </w:rPr>
              <w:t>73-1309529</w:t>
            </w:r>
          </w:p>
        </w:tc>
        <w:tc>
          <w:tcPr>
            <w:tcW w:w="0" w:type="dxa"/>
            <w:vAlign w:val="bottom"/>
          </w:tcPr>
          <w:p>
            <w:pPr>
              <w:spacing w:after="0"/>
              <w:rPr>
                <w:sz w:val="1"/>
                <w:szCs w:val="1"/>
                <w:color w:val="auto"/>
              </w:rPr>
            </w:pPr>
          </w:p>
        </w:tc>
      </w:tr>
      <w:tr>
        <w:trPr>
          <w:trHeight w:val="182"/>
        </w:trPr>
        <w:tc>
          <w:tcPr>
            <w:tcW w:w="3160" w:type="dxa"/>
            <w:vAlign w:val="bottom"/>
          </w:tcPr>
          <w:p>
            <w:pPr>
              <w:ind w:left="80"/>
              <w:spacing w:after="0"/>
              <w:rPr>
                <w:sz w:val="20"/>
                <w:szCs w:val="20"/>
                <w:color w:val="auto"/>
              </w:rPr>
            </w:pPr>
            <w:r>
              <w:rPr>
                <w:rFonts w:ascii="Courier New" w:cs="Courier New" w:eastAsia="Courier New" w:hAnsi="Courier New"/>
                <w:sz w:val="16"/>
                <w:szCs w:val="16"/>
                <w:color w:val="auto"/>
              </w:rPr>
              <w:t>(State or other jurisdiction of</w:t>
            </w:r>
          </w:p>
        </w:tc>
        <w:tc>
          <w:tcPr>
            <w:tcW w:w="1980" w:type="dxa"/>
            <w:vAlign w:val="bottom"/>
          </w:tcPr>
          <w:p>
            <w:pPr>
              <w:spacing w:after="0"/>
              <w:rPr>
                <w:sz w:val="15"/>
                <w:szCs w:val="15"/>
                <w:color w:val="auto"/>
              </w:rPr>
            </w:pP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65"/>
        </w:trPr>
        <w:tc>
          <w:tcPr>
            <w:tcW w:w="3160" w:type="dxa"/>
            <w:vAlign w:val="bottom"/>
          </w:tcPr>
          <w:p>
            <w:pPr>
              <w:ind w:left="80"/>
              <w:spacing w:after="0"/>
              <w:rPr>
                <w:sz w:val="20"/>
                <w:szCs w:val="20"/>
                <w:color w:val="auto"/>
              </w:rPr>
            </w:pPr>
            <w:r>
              <w:rPr>
                <w:rFonts w:ascii="Courier New" w:cs="Courier New" w:eastAsia="Courier New" w:hAnsi="Courier New"/>
                <w:sz w:val="16"/>
                <w:szCs w:val="16"/>
                <w:color w:val="auto"/>
              </w:rPr>
              <w:t>incorporation or organization)</w:t>
            </w:r>
          </w:p>
        </w:tc>
        <w:tc>
          <w:tcPr>
            <w:tcW w:w="3920" w:type="dxa"/>
            <w:vAlign w:val="bottom"/>
            <w:gridSpan w:val="2"/>
          </w:tcPr>
          <w:p>
            <w:pPr>
              <w:ind w:left="1840"/>
              <w:spacing w:after="0"/>
              <w:rPr>
                <w:sz w:val="20"/>
                <w:szCs w:val="20"/>
                <w:color w:val="auto"/>
              </w:rPr>
            </w:pPr>
            <w:r>
              <w:rPr>
                <w:rFonts w:ascii="Courier New" w:cs="Courier New" w:eastAsia="Courier New" w:hAnsi="Courier New"/>
                <w:sz w:val="16"/>
                <w:szCs w:val="16"/>
                <w:color w:val="auto"/>
                <w:w w:val="97"/>
              </w:rPr>
              <w:t>Identification Number)</w:t>
            </w:r>
          </w:p>
        </w:tc>
        <w:tc>
          <w:tcPr>
            <w:tcW w:w="0" w:type="dxa"/>
            <w:vAlign w:val="bottom"/>
          </w:tcPr>
          <w:p>
            <w:pPr>
              <w:spacing w:after="0"/>
              <w:rPr>
                <w:sz w:val="1"/>
                <w:szCs w:val="1"/>
                <w:color w:val="auto"/>
              </w:rPr>
            </w:pPr>
          </w:p>
        </w:tc>
      </w:tr>
      <w:tr>
        <w:trPr>
          <w:trHeight w:val="462"/>
        </w:trPr>
        <w:tc>
          <w:tcPr>
            <w:tcW w:w="3160" w:type="dxa"/>
            <w:vAlign w:val="bottom"/>
            <w:vMerge w:val="restart"/>
          </w:tcPr>
          <w:p>
            <w:pPr>
              <w:jc w:val="center"/>
              <w:ind w:left="161"/>
              <w:spacing w:after="0"/>
              <w:rPr>
                <w:sz w:val="20"/>
                <w:szCs w:val="20"/>
                <w:color w:val="auto"/>
              </w:rPr>
            </w:pPr>
            <w:r>
              <w:rPr>
                <w:rFonts w:ascii="Courier New" w:cs="Courier New" w:eastAsia="Courier New" w:hAnsi="Courier New"/>
                <w:sz w:val="16"/>
                <w:szCs w:val="16"/>
                <w:color w:val="auto"/>
                <w:w w:val="98"/>
              </w:rPr>
              <w:t>5400 LBJ FREEWAY</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GREGORY</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T. SANGALIS</w:t>
            </w:r>
          </w:p>
        </w:tc>
        <w:tc>
          <w:tcPr>
            <w:tcW w:w="0" w:type="dxa"/>
            <w:vAlign w:val="bottom"/>
          </w:tcPr>
          <w:p>
            <w:pPr>
              <w:spacing w:after="0"/>
              <w:rPr>
                <w:sz w:val="1"/>
                <w:szCs w:val="1"/>
                <w:color w:val="auto"/>
              </w:rPr>
            </w:pPr>
          </w:p>
        </w:tc>
      </w:tr>
      <w:tr>
        <w:trPr>
          <w:trHeight w:val="182"/>
        </w:trPr>
        <w:tc>
          <w:tcPr>
            <w:tcW w:w="3160" w:type="dxa"/>
            <w:vAlign w:val="bottom"/>
            <w:vMerge w:val="continue"/>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SERVICES, INC.</w:t>
            </w:r>
          </w:p>
        </w:tc>
        <w:tc>
          <w:tcPr>
            <w:tcW w:w="0" w:type="dxa"/>
            <w:vAlign w:val="bottom"/>
          </w:tcPr>
          <w:p>
            <w:pPr>
              <w:spacing w:after="0"/>
              <w:rPr>
                <w:sz w:val="1"/>
                <w:szCs w:val="1"/>
                <w:color w:val="auto"/>
              </w:rPr>
            </w:pPr>
          </w:p>
        </w:tc>
      </w:tr>
      <w:tr>
        <w:trPr>
          <w:trHeight w:val="182"/>
        </w:trPr>
        <w:tc>
          <w:tcPr>
            <w:tcW w:w="31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SUITE 300 - TOWER ONE</w:t>
            </w:r>
          </w:p>
        </w:tc>
        <w:tc>
          <w:tcPr>
            <w:tcW w:w="3920" w:type="dxa"/>
            <w:vAlign w:val="bottom"/>
            <w:gridSpan w:val="2"/>
          </w:tcPr>
          <w:p>
            <w:pPr>
              <w:jc w:val="center"/>
              <w:ind w:left="441"/>
              <w:spacing w:after="0"/>
              <w:rPr>
                <w:sz w:val="20"/>
                <w:szCs w:val="20"/>
                <w:color w:val="auto"/>
              </w:rPr>
            </w:pPr>
            <w:r>
              <w:rPr>
                <w:rFonts w:ascii="Courier New" w:cs="Courier New" w:eastAsia="Courier New" w:hAnsi="Courier New"/>
                <w:sz w:val="16"/>
                <w:szCs w:val="16"/>
                <w:color w:val="auto"/>
                <w:w w:val="98"/>
              </w:rPr>
              <w:t>5400 LBJ FREEWAY</w:t>
            </w:r>
          </w:p>
        </w:tc>
        <w:tc>
          <w:tcPr>
            <w:tcW w:w="0" w:type="dxa"/>
            <w:vAlign w:val="bottom"/>
          </w:tcPr>
          <w:p>
            <w:pPr>
              <w:spacing w:after="0"/>
              <w:rPr>
                <w:sz w:val="1"/>
                <w:szCs w:val="1"/>
                <w:color w:val="auto"/>
              </w:rPr>
            </w:pPr>
          </w:p>
        </w:tc>
      </w:tr>
      <w:tr>
        <w:trPr>
          <w:trHeight w:val="182"/>
        </w:trPr>
        <w:tc>
          <w:tcPr>
            <w:tcW w:w="31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DALLAS, TEXAS 75240</w:t>
            </w:r>
          </w:p>
        </w:tc>
        <w:tc>
          <w:tcPr>
            <w:tcW w:w="392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SUITE 300 - TOWER ONE</w:t>
            </w:r>
          </w:p>
        </w:tc>
        <w:tc>
          <w:tcPr>
            <w:tcW w:w="0" w:type="dxa"/>
            <w:vAlign w:val="bottom"/>
          </w:tcPr>
          <w:p>
            <w:pPr>
              <w:spacing w:after="0"/>
              <w:rPr>
                <w:sz w:val="1"/>
                <w:szCs w:val="1"/>
                <w:color w:val="auto"/>
              </w:rPr>
            </w:pPr>
          </w:p>
        </w:tc>
      </w:tr>
      <w:tr>
        <w:trPr>
          <w:trHeight w:val="182"/>
        </w:trPr>
        <w:tc>
          <w:tcPr>
            <w:tcW w:w="31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(214) 383-7900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TEXAS 75240</w:t>
            </w:r>
          </w:p>
        </w:tc>
        <w:tc>
          <w:tcPr>
            <w:tcW w:w="0" w:type="dxa"/>
            <w:vAlign w:val="bottom"/>
          </w:tcPr>
          <w:p>
            <w:pPr>
              <w:spacing w:after="0"/>
              <w:rPr>
                <w:sz w:val="1"/>
                <w:szCs w:val="1"/>
                <w:color w:val="auto"/>
              </w:rPr>
            </w:pPr>
          </w:p>
        </w:tc>
      </w:tr>
      <w:tr>
        <w:trPr>
          <w:trHeight w:val="182"/>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(Address, including zip code, and</w:t>
            </w:r>
          </w:p>
        </w:tc>
        <w:tc>
          <w:tcPr>
            <w:tcW w:w="392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(214) 383-7900</w:t>
            </w:r>
          </w:p>
        </w:tc>
        <w:tc>
          <w:tcPr>
            <w:tcW w:w="0" w:type="dxa"/>
            <w:vAlign w:val="bottom"/>
          </w:tcPr>
          <w:p>
            <w:pPr>
              <w:spacing w:after="0"/>
              <w:rPr>
                <w:sz w:val="1"/>
                <w:szCs w:val="1"/>
                <w:color w:val="auto"/>
              </w:rPr>
            </w:pPr>
          </w:p>
        </w:tc>
      </w:tr>
      <w:tr>
        <w:trPr>
          <w:trHeight w:val="182"/>
        </w:trPr>
        <w:tc>
          <w:tcPr>
            <w:tcW w:w="3160" w:type="dxa"/>
            <w:vAlign w:val="bottom"/>
            <w:vMerge w:val="continue"/>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(Name, address,</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including zip code,</w:t>
            </w:r>
          </w:p>
        </w:tc>
        <w:tc>
          <w:tcPr>
            <w:tcW w:w="0" w:type="dxa"/>
            <w:vAlign w:val="bottom"/>
          </w:tcPr>
          <w:p>
            <w:pPr>
              <w:spacing w:after="0"/>
              <w:rPr>
                <w:sz w:val="1"/>
                <w:szCs w:val="1"/>
                <w:color w:val="auto"/>
              </w:rPr>
            </w:pPr>
          </w:p>
        </w:tc>
      </w:tr>
      <w:tr>
        <w:trPr>
          <w:trHeight w:val="182"/>
        </w:trPr>
        <w:tc>
          <w:tcPr>
            <w:tcW w:w="31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telephone number, including</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and telephone</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number, including</w:t>
            </w:r>
          </w:p>
        </w:tc>
        <w:tc>
          <w:tcPr>
            <w:tcW w:w="0" w:type="dxa"/>
            <w:vAlign w:val="bottom"/>
          </w:tcPr>
          <w:p>
            <w:pPr>
              <w:spacing w:after="0"/>
              <w:rPr>
                <w:sz w:val="1"/>
                <w:szCs w:val="1"/>
                <w:color w:val="auto"/>
              </w:rPr>
            </w:pPr>
          </w:p>
        </w:tc>
      </w:tr>
      <w:tr>
        <w:trPr>
          <w:trHeight w:val="182"/>
        </w:trPr>
        <w:tc>
          <w:tcPr>
            <w:tcW w:w="31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area code, of registrant's</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area code,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agent for service)</w:t>
            </w:r>
          </w:p>
        </w:tc>
        <w:tc>
          <w:tcPr>
            <w:tcW w:w="0" w:type="dxa"/>
            <w:vAlign w:val="bottom"/>
          </w:tcPr>
          <w:p>
            <w:pPr>
              <w:spacing w:after="0"/>
              <w:rPr>
                <w:sz w:val="1"/>
                <w:szCs w:val="1"/>
                <w:color w:val="auto"/>
              </w:rPr>
            </w:pPr>
          </w:p>
        </w:tc>
      </w:tr>
      <w:tr>
        <w:trPr>
          <w:trHeight w:val="265"/>
        </w:trPr>
        <w:tc>
          <w:tcPr>
            <w:tcW w:w="31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principal executive offices)</w:t>
            </w:r>
          </w:p>
        </w:tc>
        <w:tc>
          <w:tcPr>
            <w:tcW w:w="19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COPY TO:</w:t>
      </w:r>
    </w:p>
    <w:p>
      <w:pPr>
        <w:spacing w:after="0" w:line="183"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DAVID J. GRAHAM</w:t>
      </w:r>
    </w:p>
    <w:p>
      <w:pPr>
        <w:spacing w:after="0" w:line="29"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ANDREWS &amp; KURTH L.L.P.</w:t>
      </w:r>
    </w:p>
    <w:p>
      <w:pPr>
        <w:spacing w:after="0" w:line="1" w:lineRule="exact"/>
        <w:rPr>
          <w:sz w:val="24"/>
          <w:szCs w:val="24"/>
          <w:color w:val="auto"/>
        </w:rPr>
      </w:pPr>
    </w:p>
    <w:p>
      <w:pPr>
        <w:jc w:val="center"/>
        <w:ind w:right="4057"/>
        <w:spacing w:after="0"/>
        <w:rPr>
          <w:sz w:val="20"/>
          <w:szCs w:val="20"/>
          <w:color w:val="auto"/>
        </w:rPr>
      </w:pPr>
      <w:r>
        <w:rPr>
          <w:rFonts w:ascii="Courier New" w:cs="Courier New" w:eastAsia="Courier New" w:hAnsi="Courier New"/>
          <w:sz w:val="16"/>
          <w:szCs w:val="16"/>
          <w:color w:val="auto"/>
        </w:rPr>
        <w:t>4200 TEXAS COMMERCE TOWER</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(713) 220-4200</w:t>
      </w:r>
    </w:p>
    <w:p>
      <w:pPr>
        <w:spacing w:after="0" w:line="155" w:lineRule="exact"/>
        <w:rPr>
          <w:sz w:val="24"/>
          <w:szCs w:val="24"/>
          <w:color w:val="auto"/>
        </w:rPr>
      </w:pPr>
    </w:p>
    <w:p>
      <w:pPr>
        <w:jc w:val="both"/>
        <w:ind w:left="3" w:right="4060" w:firstLine="851"/>
        <w:spacing w:after="0" w:line="352"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Registration Statement becomes effective.</w:t>
      </w:r>
    </w:p>
    <w:p>
      <w:pPr>
        <w:spacing w:after="0" w:line="14" w:lineRule="exact"/>
        <w:rPr>
          <w:sz w:val="24"/>
          <w:szCs w:val="24"/>
          <w:color w:val="auto"/>
        </w:rPr>
      </w:pPr>
    </w:p>
    <w:p>
      <w:pPr>
        <w:jc w:val="both"/>
        <w:ind w:left="3" w:right="4060" w:firstLine="851"/>
        <w:spacing w:after="0" w:line="296"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57" w:lineRule="exact"/>
        <w:rPr>
          <w:sz w:val="24"/>
          <w:szCs w:val="24"/>
          <w:color w:val="auto"/>
        </w:rPr>
      </w:pPr>
    </w:p>
    <w:p>
      <w:pPr>
        <w:ind w:left="3" w:right="4240" w:firstLine="851"/>
        <w:spacing w:after="0" w:line="27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3" w:lineRule="exact"/>
        <w:rPr>
          <w:sz w:val="24"/>
          <w:szCs w:val="24"/>
          <w:color w:val="auto"/>
        </w:rPr>
      </w:pPr>
    </w:p>
    <w:tbl>
      <w:tblPr>
        <w:tblLayout w:type="fixed"/>
        <w:tblInd w:w="3" w:type="dxa"/>
        <w:tblCellMar>
          <w:top w:w="0" w:type="dxa"/>
          <w:left w:w="0" w:type="dxa"/>
          <w:bottom w:w="0" w:type="dxa"/>
          <w:right w:w="0" w:type="dxa"/>
        </w:tblCellMar>
      </w:tblPr>
      <w:tr>
        <w:trPr>
          <w:trHeight w:val="182"/>
        </w:trPr>
        <w:tc>
          <w:tcPr>
            <w:tcW w:w="1600" w:type="dxa"/>
            <w:vAlign w:val="bottom"/>
          </w:tcPr>
          <w:p>
            <w:pPr>
              <w:ind w:left="840"/>
              <w:spacing w:after="0"/>
              <w:rPr>
                <w:sz w:val="20"/>
                <w:szCs w:val="20"/>
                <w:color w:val="auto"/>
              </w:rPr>
            </w:pPr>
            <w:r>
              <w:rPr>
                <w:rFonts w:ascii="Courier New" w:cs="Courier New" w:eastAsia="Courier New" w:hAnsi="Courier New"/>
                <w:sz w:val="16"/>
                <w:szCs w:val="16"/>
                <w:color w:val="auto"/>
              </w:rPr>
              <w:t>If this</w:t>
            </w:r>
          </w:p>
        </w:tc>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Form is filed</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to register</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additional</w:t>
            </w:r>
          </w:p>
        </w:tc>
        <w:tc>
          <w:tcPr>
            <w:tcW w:w="1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securities for an</w:t>
            </w:r>
          </w:p>
        </w:tc>
        <w:tc>
          <w:tcPr>
            <w:tcW w:w="7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offering pursuant</w:t>
            </w:r>
          </w:p>
        </w:tc>
        <w:tc>
          <w:tcPr>
            <w:tcW w:w="24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to Rule 462(b) under the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Securities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Act, please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check</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following box and</w:t>
            </w:r>
          </w:p>
        </w:tc>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list the</w:t>
            </w:r>
          </w:p>
        </w:tc>
        <w:tc>
          <w:tcPr>
            <w:tcW w:w="426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8"/>
              </w:rPr>
              <w:t>Securities Act registration statement number</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c>
          <w:tcPr>
            <w:tcW w:w="0" w:type="dxa"/>
            <w:vAlign w:val="bottom"/>
          </w:tcPr>
          <w:p>
            <w:pPr>
              <w:spacing w:after="0"/>
              <w:rPr>
                <w:sz w:val="1"/>
                <w:szCs w:val="1"/>
                <w:color w:val="auto"/>
              </w:rPr>
            </w:pPr>
          </w:p>
        </w:tc>
      </w:tr>
      <w:tr>
        <w:trPr>
          <w:trHeight w:val="265"/>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earlier effective</w:t>
            </w:r>
          </w:p>
        </w:tc>
        <w:tc>
          <w:tcPr>
            <w:tcW w:w="1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registration</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statement for the same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offering. [</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 ___________</w:t>
            </w:r>
          </w:p>
        </w:tc>
        <w:tc>
          <w:tcPr>
            <w:tcW w:w="0" w:type="dxa"/>
            <w:vAlign w:val="bottom"/>
          </w:tcPr>
          <w:p>
            <w:pPr>
              <w:spacing w:after="0"/>
              <w:rPr>
                <w:sz w:val="1"/>
                <w:szCs w:val="1"/>
                <w:color w:val="auto"/>
              </w:rPr>
            </w:pPr>
          </w:p>
        </w:tc>
      </w:tr>
      <w:tr>
        <w:trPr>
          <w:trHeight w:val="280"/>
        </w:trPr>
        <w:tc>
          <w:tcPr>
            <w:tcW w:w="1600" w:type="dxa"/>
            <w:vAlign w:val="bottom"/>
          </w:tcPr>
          <w:p>
            <w:pPr>
              <w:ind w:left="840"/>
              <w:spacing w:after="0"/>
              <w:rPr>
                <w:sz w:val="20"/>
                <w:szCs w:val="20"/>
                <w:color w:val="auto"/>
              </w:rPr>
            </w:pPr>
            <w:r>
              <w:rPr>
                <w:rFonts w:ascii="Courier New" w:cs="Courier New" w:eastAsia="Courier New" w:hAnsi="Courier New"/>
                <w:sz w:val="16"/>
                <w:szCs w:val="16"/>
                <w:color w:val="auto"/>
              </w:rPr>
              <w:t>If this</w:t>
            </w:r>
          </w:p>
        </w:tc>
        <w:tc>
          <w:tcPr>
            <w:tcW w:w="900" w:type="dxa"/>
            <w:vAlign w:val="bottom"/>
          </w:tcPr>
          <w:p>
            <w:pPr>
              <w:spacing w:after="0"/>
              <w:rPr>
                <w:sz w:val="20"/>
                <w:szCs w:val="20"/>
                <w:color w:val="auto"/>
              </w:rPr>
            </w:pPr>
            <w:r>
              <w:rPr>
                <w:rFonts w:ascii="Courier New" w:cs="Courier New" w:eastAsia="Courier New" w:hAnsi="Courier New"/>
                <w:sz w:val="16"/>
                <w:szCs w:val="16"/>
                <w:color w:val="auto"/>
              </w:rPr>
              <w:t>Form is a</w:t>
            </w:r>
          </w:p>
        </w:tc>
        <w:tc>
          <w:tcPr>
            <w:tcW w:w="4960" w:type="dxa"/>
            <w:vAlign w:val="bottom"/>
            <w:gridSpan w:val="6"/>
          </w:tcPr>
          <w:p>
            <w:pPr>
              <w:ind w:left="60"/>
              <w:spacing w:after="0"/>
              <w:rPr>
                <w:sz w:val="20"/>
                <w:szCs w:val="20"/>
                <w:color w:val="auto"/>
              </w:rPr>
            </w:pPr>
            <w:r>
              <w:rPr>
                <w:rFonts w:ascii="Courier New" w:cs="Courier New" w:eastAsia="Courier New" w:hAnsi="Courier New"/>
                <w:sz w:val="16"/>
                <w:szCs w:val="16"/>
                <w:color w:val="auto"/>
              </w:rPr>
              <w:t>post-effective amendment filed pursuant to Rule</w:t>
            </w:r>
          </w:p>
        </w:tc>
        <w:tc>
          <w:tcPr>
            <w:tcW w:w="0" w:type="dxa"/>
            <w:vAlign w:val="bottom"/>
          </w:tcPr>
          <w:p>
            <w:pPr>
              <w:spacing w:after="0"/>
              <w:rPr>
                <w:sz w:val="1"/>
                <w:szCs w:val="1"/>
                <w:color w:val="auto"/>
              </w:rPr>
            </w:pP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462(c) under the</w:t>
            </w:r>
          </w:p>
        </w:tc>
        <w:tc>
          <w:tcPr>
            <w:tcW w:w="2420" w:type="dxa"/>
            <w:vAlign w:val="bottom"/>
            <w:gridSpan w:val="3"/>
          </w:tcPr>
          <w:p>
            <w:pPr>
              <w:spacing w:after="0"/>
              <w:rPr>
                <w:sz w:val="20"/>
                <w:szCs w:val="20"/>
                <w:color w:val="auto"/>
              </w:rPr>
            </w:pPr>
            <w:r>
              <w:rPr>
                <w:rFonts w:ascii="Courier New" w:cs="Courier New" w:eastAsia="Courier New" w:hAnsi="Courier New"/>
                <w:sz w:val="16"/>
                <w:szCs w:val="16"/>
                <w:color w:val="auto"/>
                <w:w w:val="99"/>
              </w:rPr>
              <w:t>Securities Act, check the</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following box and list</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60" w:type="dxa"/>
            <w:vAlign w:val="bottom"/>
            <w:gridSpan w:val="7"/>
          </w:tcPr>
          <w:p>
            <w:pPr>
              <w:spacing w:after="0"/>
              <w:rPr>
                <w:sz w:val="20"/>
                <w:szCs w:val="20"/>
                <w:color w:val="auto"/>
              </w:rPr>
            </w:pPr>
            <w:r>
              <w:rPr>
                <w:rFonts w:ascii="Courier New" w:cs="Courier New" w:eastAsia="Courier New" w:hAnsi="Courier New"/>
                <w:sz w:val="16"/>
                <w:szCs w:val="16"/>
                <w:color w:val="auto"/>
              </w:rPr>
              <w:t>Securities Act registration statement number of the earlier effective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500" w:type="dxa"/>
            <w:vAlign w:val="bottom"/>
            <w:gridSpan w:val="2"/>
          </w:tcPr>
          <w:p>
            <w:pPr>
              <w:spacing w:after="0"/>
              <w:rPr>
                <w:sz w:val="20"/>
                <w:szCs w:val="20"/>
                <w:color w:val="auto"/>
              </w:rPr>
            </w:pPr>
            <w:r>
              <w:rPr>
                <w:rFonts w:ascii="Courier New" w:cs="Courier New" w:eastAsia="Courier New" w:hAnsi="Courier New"/>
                <w:sz w:val="16"/>
                <w:szCs w:val="16"/>
                <w:color w:val="auto"/>
                <w:w w:val="99"/>
              </w:rPr>
              <w:t>registration statement for</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33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same offering. [ ] __________</w:t>
            </w: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3" w:right="4140" w:firstLine="851"/>
        <w:spacing w:after="0" w:line="352"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4"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46"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tbl>
      <w:tblPr>
        <w:tblLayout w:type="fixed"/>
        <w:tblInd w:w="943" w:type="dxa"/>
        <w:tblCellMar>
          <w:top w:w="0" w:type="dxa"/>
          <w:left w:w="0" w:type="dxa"/>
          <w:bottom w:w="0" w:type="dxa"/>
          <w:right w:w="0" w:type="dxa"/>
        </w:tblCellMar>
      </w:tblPr>
      <w:tr>
        <w:trPr>
          <w:trHeight w:val="181"/>
        </w:trPr>
        <w:tc>
          <w:tcPr>
            <w:tcW w:w="2460" w:type="dxa"/>
            <w:vAlign w:val="bottom"/>
          </w:tcPr>
          <w:p>
            <w:pPr>
              <w:spacing w:after="0"/>
              <w:rPr>
                <w:sz w:val="20"/>
                <w:szCs w:val="20"/>
                <w:color w:val="auto"/>
              </w:rPr>
            </w:pPr>
            <w:r>
              <w:rPr>
                <w:rFonts w:ascii="Courier New" w:cs="Courier New" w:eastAsia="Courier New" w:hAnsi="Courier New"/>
                <w:sz w:val="16"/>
                <w:szCs w:val="16"/>
                <w:color w:val="auto"/>
              </w:rPr>
              <w:t>TITLE OF SECURITIES</w:t>
            </w:r>
          </w:p>
        </w:tc>
        <w:tc>
          <w:tcPr>
            <w:tcW w:w="1980" w:type="dxa"/>
            <w:vAlign w:val="bottom"/>
          </w:tcPr>
          <w:p>
            <w:pPr>
              <w:ind w:left="940"/>
              <w:spacing w:after="0"/>
              <w:rPr>
                <w:sz w:val="20"/>
                <w:szCs w:val="20"/>
                <w:color w:val="auto"/>
              </w:rPr>
            </w:pPr>
            <w:r>
              <w:rPr>
                <w:rFonts w:ascii="Courier New" w:cs="Courier New" w:eastAsia="Courier New" w:hAnsi="Courier New"/>
                <w:sz w:val="16"/>
                <w:szCs w:val="16"/>
                <w:color w:val="auto"/>
              </w:rPr>
              <w:t>AMOUNT</w:t>
            </w:r>
          </w:p>
        </w:tc>
        <w:tc>
          <w:tcPr>
            <w:tcW w:w="20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PROPOSED MAXIMUM</w:t>
            </w: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PROPOSED</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MAXIMUM</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AMOUNT OF</w:t>
            </w:r>
          </w:p>
        </w:tc>
        <w:tc>
          <w:tcPr>
            <w:tcW w:w="3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7"/>
              </w:rPr>
              <w:t>FEE</w:t>
            </w:r>
          </w:p>
        </w:tc>
        <w:tc>
          <w:tcPr>
            <w:tcW w:w="0" w:type="dxa"/>
            <w:vAlign w:val="bottom"/>
          </w:tcPr>
          <w:p>
            <w:pPr>
              <w:spacing w:after="0"/>
              <w:rPr>
                <w:sz w:val="1"/>
                <w:szCs w:val="1"/>
                <w:color w:val="auto"/>
              </w:rPr>
            </w:pPr>
          </w:p>
        </w:tc>
      </w:tr>
      <w:tr>
        <w:trPr>
          <w:trHeight w:val="182"/>
        </w:trPr>
        <w:tc>
          <w:tcPr>
            <w:tcW w:w="2460" w:type="dxa"/>
            <w:vAlign w:val="bottom"/>
          </w:tcPr>
          <w:p>
            <w:pPr>
              <w:ind w:left="100"/>
              <w:spacing w:after="0"/>
              <w:rPr>
                <w:sz w:val="20"/>
                <w:szCs w:val="20"/>
                <w:color w:val="auto"/>
              </w:rPr>
            </w:pPr>
            <w:r>
              <w:rPr>
                <w:rFonts w:ascii="Courier New" w:cs="Courier New" w:eastAsia="Courier New" w:hAnsi="Courier New"/>
                <w:sz w:val="16"/>
                <w:szCs w:val="16"/>
                <w:color w:val="auto"/>
              </w:rPr>
              <w:t>BEING REGISTERED</w:t>
            </w:r>
          </w:p>
        </w:tc>
        <w:tc>
          <w:tcPr>
            <w:tcW w:w="1980" w:type="dxa"/>
            <w:vAlign w:val="bottom"/>
          </w:tcPr>
          <w:p>
            <w:pPr>
              <w:ind w:left="940"/>
              <w:spacing w:after="0"/>
              <w:rPr>
                <w:sz w:val="20"/>
                <w:szCs w:val="20"/>
                <w:color w:val="auto"/>
              </w:rPr>
            </w:pPr>
            <w:r>
              <w:rPr>
                <w:rFonts w:ascii="Courier New" w:cs="Courier New" w:eastAsia="Courier New" w:hAnsi="Courier New"/>
                <w:sz w:val="16"/>
                <w:szCs w:val="16"/>
                <w:color w:val="auto"/>
              </w:rPr>
              <w:t>BEING</w:t>
            </w:r>
          </w:p>
        </w:tc>
        <w:tc>
          <w:tcPr>
            <w:tcW w:w="20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OFFERING PRICE</w:t>
            </w: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AGGREGATE</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OFFERING</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REGISTRATION</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REGISTERED</w:t>
            </w:r>
          </w:p>
        </w:tc>
        <w:tc>
          <w:tcPr>
            <w:tcW w:w="208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PER SHARE(1)</w:t>
            </w:r>
          </w:p>
        </w:tc>
        <w:tc>
          <w:tcPr>
            <w:tcW w:w="20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PRICE(1)</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4"/>
          <w:szCs w:val="24"/>
          <w:color w:val="auto"/>
        </w:rPr>
      </w:pPr>
    </w:p>
    <w:p>
      <w:pPr>
        <w:ind w:left="3"/>
        <w:spacing w:after="0"/>
        <w:tabs>
          <w:tab w:leader="none" w:pos="3863" w:val="left"/>
          <w:tab w:leader="none" w:pos="6223" w:val="left"/>
          <w:tab w:leader="none" w:pos="7923" w:val="left"/>
          <w:tab w:leader="none" w:pos="10103" w:val="left"/>
        </w:tabs>
        <w:rPr>
          <w:sz w:val="20"/>
          <w:szCs w:val="20"/>
          <w:color w:val="auto"/>
        </w:rPr>
      </w:pPr>
      <w:r>
        <w:rPr>
          <w:rFonts w:ascii="Courier New" w:cs="Courier New" w:eastAsia="Courier New" w:hAnsi="Courier New"/>
          <w:sz w:val="16"/>
          <w:szCs w:val="16"/>
          <w:color w:val="auto"/>
        </w:rPr>
        <w:t>Common Stock, par value $.01 per share</w:t>
        <w:tab/>
        <w:t>4,000,000 Shares</w:t>
      </w:r>
      <w:r>
        <w:rPr>
          <w:sz w:val="20"/>
          <w:szCs w:val="20"/>
          <w:color w:val="auto"/>
        </w:rPr>
        <w:tab/>
      </w:r>
      <w:r>
        <w:rPr>
          <w:rFonts w:ascii="Courier New" w:cs="Courier New" w:eastAsia="Courier New" w:hAnsi="Courier New"/>
          <w:sz w:val="16"/>
          <w:szCs w:val="16"/>
          <w:color w:val="auto"/>
        </w:rPr>
        <w:t>$18.438</w:t>
      </w:r>
      <w:r>
        <w:rPr>
          <w:sz w:val="20"/>
          <w:szCs w:val="20"/>
          <w:color w:val="auto"/>
        </w:rPr>
        <w:tab/>
      </w:r>
      <w:r>
        <w:rPr>
          <w:rFonts w:ascii="Courier New" w:cs="Courier New" w:eastAsia="Courier New" w:hAnsi="Courier New"/>
          <w:sz w:val="16"/>
          <w:szCs w:val="16"/>
          <w:color w:val="auto"/>
        </w:rPr>
        <w:t>$73,752,000</w:t>
      </w:r>
      <w:r>
        <w:rPr>
          <w:sz w:val="20"/>
          <w:szCs w:val="20"/>
          <w:color w:val="auto"/>
        </w:rPr>
        <w:tab/>
      </w:r>
      <w:r>
        <w:rPr>
          <w:rFonts w:ascii="Courier New" w:cs="Courier New" w:eastAsia="Courier New" w:hAnsi="Courier New"/>
          <w:sz w:val="15"/>
          <w:szCs w:val="15"/>
          <w:color w:val="auto"/>
        </w:rPr>
        <w:t>$25,432</w:t>
      </w:r>
    </w:p>
    <w:p>
      <w:pPr>
        <w:spacing w:after="0" w:line="29"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336" w:lineRule="exact"/>
        <w:rPr>
          <w:sz w:val="24"/>
          <w:szCs w:val="24"/>
          <w:color w:val="auto"/>
        </w:rPr>
      </w:pPr>
    </w:p>
    <w:p>
      <w:pPr>
        <w:ind w:left="383" w:right="4060" w:hanging="383"/>
        <w:spacing w:after="0" w:line="277" w:lineRule="auto"/>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457(c) of the Securities Act of 1933, based on the average of the high and low sales price of the Common Stock on the New York Stock Exchange on Thursday, January 4, 1995.</w:t>
      </w:r>
    </w:p>
    <w:p>
      <w:pPr>
        <w:spacing w:after="0" w:line="73" w:lineRule="exact"/>
        <w:rPr>
          <w:sz w:val="24"/>
          <w:szCs w:val="24"/>
          <w:color w:val="auto"/>
        </w:rPr>
      </w:pPr>
    </w:p>
    <w:p>
      <w:pPr>
        <w:ind w:left="3" w:right="4060" w:firstLine="378"/>
        <w:spacing w:after="0" w:line="301"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w:t>
      </w:r>
    </w:p>
    <w:p>
      <w:pPr>
        <w:sectPr>
          <w:pgSz w:w="11900" w:h="16905" w:orient="portrait"/>
          <w:cols w:equalWidth="0" w:num="1">
            <w:col w:w="11523"/>
          </w:cols>
          <w:pgMar w:left="237" w:top="211" w:right="139" w:bottom="0" w:gutter="0" w:footer="0" w:header="0"/>
        </w:sectPr>
      </w:pPr>
    </w:p>
    <w:bookmarkStart w:id="1" w:name="page2"/>
    <w:bookmarkEnd w:id="1"/>
    <w:p>
      <w:pPr>
        <w:ind w:right="2759"/>
        <w:spacing w:after="0" w:line="296" w:lineRule="auto"/>
        <w:rPr>
          <w:sz w:val="20"/>
          <w:szCs w:val="20"/>
          <w:color w:val="auto"/>
        </w:rPr>
      </w:pPr>
      <w:r>
        <w:rPr>
          <w:rFonts w:ascii="Courier New" w:cs="Courier New" w:eastAsia="Courier New" w:hAnsi="Courier New"/>
          <w:sz w:val="16"/>
          <w:szCs w:val="16"/>
          <w:color w:val="auto"/>
        </w:rPr>
        <w:t>THE SECURITIES ACT OF 1933 OR UNTIL THE REGISTRATION STATEMENT SHALL BECOME EFFECTIVE ON SUCH DATE AS THE COMMISSION, ACTING PURSUANT TO SAID SECTION 8(A), MAY DETERMINE.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14"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SUBJECT TO COMPLETION, DATED JANUARY 8, 1996</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9"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 1996</w:t>
      </w:r>
    </w:p>
    <w:p>
      <w:pPr>
        <w:spacing w:after="0" w:line="33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4,000,000 SHARES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COMMON STOCK</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39" w:firstLine="1229"/>
        <w:spacing w:after="0" w:line="256" w:lineRule="auto"/>
        <w:rPr>
          <w:sz w:val="20"/>
          <w:szCs w:val="20"/>
          <w:color w:val="auto"/>
        </w:rPr>
      </w:pPr>
      <w:r>
        <w:rPr>
          <w:rFonts w:ascii="Courier New" w:cs="Courier New" w:eastAsia="Courier New" w:hAnsi="Courier New"/>
          <w:sz w:val="16"/>
          <w:szCs w:val="16"/>
          <w:color w:val="auto"/>
        </w:rPr>
        <w:t>The shares (the "Shares") of Common Stock, par value $.01 per share ("Common Stock"), of USA Waste Services, Inc. (the "Company") covered by this prospectus are outstanding shares owned by the Selling Stockholders named herein. See "Selling Stockholders." The Company will not receive any of the proceeds from the sale of the Shares. The Common Stock is traded on the New York Stock Exchange under the symbol "UW." On January 4, 1996, the last reported sale price of the Common Stock on the New York Stock Exchange was $18 3/8 per share.</w:t>
      </w:r>
    </w:p>
    <w:p>
      <w:pPr>
        <w:spacing w:after="0" w:line="90" w:lineRule="exact"/>
        <w:rPr>
          <w:sz w:val="20"/>
          <w:szCs w:val="20"/>
          <w:color w:val="auto"/>
        </w:rPr>
      </w:pPr>
    </w:p>
    <w:p>
      <w:pPr>
        <w:ind w:right="2759" w:firstLine="1229"/>
        <w:spacing w:after="0" w:line="265" w:lineRule="auto"/>
        <w:rPr>
          <w:sz w:val="20"/>
          <w:szCs w:val="20"/>
          <w:color w:val="auto"/>
        </w:rPr>
      </w:pPr>
      <w:r>
        <w:rPr>
          <w:rFonts w:ascii="Courier New" w:cs="Courier New" w:eastAsia="Courier New" w:hAnsi="Courier New"/>
          <w:sz w:val="15"/>
          <w:szCs w:val="15"/>
          <w:color w:val="auto"/>
        </w:rPr>
        <w:t>The Selling Stockholders may offer the Shares from time to time, depending upon market conditions and other factors, in one or more transactions on the New York Stock Exchange or other national securities exchanges on which the Common Stock may be traded, in the over the counter market or otherwise, at market prices prevailing at the time of sale, at prices related to such prevailing market prices, at negotiated prices or at fixed prices, and the Selling Stockholders may enter into arrangements to pledge Shares from time to time in connection with financing arrangements. The Shares may be offered from time to time in any manner permitted by law, including through underwriters, dealers or agents, or directly to one or more purchasers. To the extent required, a prospectus supplement will be distributed which will set forth the number of Shares being offered and the terms of the offering, including the names of the underwriters, any discounts, commissions and other items constituting compensation to underwriters, dealers or agents, the public offering price and any discounts, commissions or concessions allowed or reallowed or paid by underwriters to dealers. See "Plan of Distribution."</w:t>
      </w:r>
    </w:p>
    <w:p>
      <w:pPr>
        <w:spacing w:after="0" w:line="90" w:lineRule="exact"/>
        <w:rPr>
          <w:sz w:val="20"/>
          <w:szCs w:val="20"/>
          <w:color w:val="auto"/>
        </w:rPr>
      </w:pPr>
    </w:p>
    <w:p>
      <w:pPr>
        <w:ind w:right="2759" w:firstLine="1229"/>
        <w:spacing w:after="0" w:line="352" w:lineRule="auto"/>
        <w:rPr>
          <w:sz w:val="20"/>
          <w:szCs w:val="20"/>
          <w:color w:val="auto"/>
        </w:rPr>
      </w:pPr>
      <w:r>
        <w:rPr>
          <w:rFonts w:ascii="Courier New" w:cs="Courier New" w:eastAsia="Courier New" w:hAnsi="Courier New"/>
          <w:sz w:val="16"/>
          <w:szCs w:val="16"/>
          <w:color w:val="auto"/>
        </w:rPr>
        <w:t>SEE "RISK FACTORS" BEGINNING ON PAGE 4 FOR A DISCUSSION OF CERTAIN MATTERS THAT SHOULD BE CONSIDERED BY PROSPECTIVE INVESTORS.</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w:t>
      </w:r>
    </w:p>
    <w:p>
      <w:pPr>
        <w:spacing w:after="0" w:line="29" w:lineRule="exact"/>
        <w:rPr>
          <w:sz w:val="20"/>
          <w:szCs w:val="20"/>
          <w:color w:val="auto"/>
        </w:rPr>
      </w:pPr>
    </w:p>
    <w:p>
      <w:pPr>
        <w:jc w:val="center"/>
        <w:ind w:left="340" w:right="740"/>
        <w:spacing w:after="0"/>
        <w:rPr>
          <w:sz w:val="20"/>
          <w:szCs w:val="20"/>
          <w:color w:val="auto"/>
        </w:rPr>
      </w:pPr>
      <w:r>
        <w:rPr>
          <w:rFonts w:ascii="Courier New" w:cs="Courier New" w:eastAsia="Courier New" w:hAnsi="Courier New"/>
          <w:sz w:val="16"/>
          <w:szCs w:val="16"/>
          <w:color w:val="auto"/>
        </w:rPr>
        <w:t>AND EXCHANGE COMMISSION OR ANY STATE SECURITIES COMMISSION NOR HAS THE SECURITIES AND EXCHANGE COMMISSION OR ANY STATE SECURITIES COMMISSION PASSED UPON THE ACCURACY OR ADEQUACY OF THIS PROSPECTUS.  ANY REPRESENTATION</w:t>
      </w:r>
    </w:p>
    <w:p>
      <w:pPr>
        <w:spacing w:after="0" w:line="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TO THE CONTRARY IS A CRIMINAL OFFENSE.</w:t>
      </w:r>
    </w:p>
    <w:p>
      <w:pPr>
        <w:spacing w:after="0" w:line="15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7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6"/>
        </w:trPr>
        <w:tc>
          <w:tcPr>
            <w:tcW w:w="180" w:type="dxa"/>
            <w:vAlign w:val="bottom"/>
          </w:tcPr>
          <w:p>
            <w:pPr>
              <w:spacing w:after="0" w:line="166" w:lineRule="exact"/>
              <w:rPr>
                <w:sz w:val="20"/>
                <w:szCs w:val="20"/>
                <w:color w:val="auto"/>
              </w:rPr>
            </w:pPr>
            <w:r>
              <w:rPr>
                <w:rFonts w:ascii="Courier New" w:cs="Courier New" w:eastAsia="Courier New" w:hAnsi="Courier New"/>
                <w:sz w:val="16"/>
                <w:szCs w:val="16"/>
                <w:color w:val="auto"/>
              </w:rPr>
              <w:t>*</w:t>
            </w:r>
          </w:p>
        </w:tc>
        <w:tc>
          <w:tcPr>
            <w:tcW w:w="6720" w:type="dxa"/>
            <w:vAlign w:val="bottom"/>
          </w:tcPr>
          <w:p>
            <w:pPr>
              <w:spacing w:after="0"/>
              <w:rPr>
                <w:sz w:val="14"/>
                <w:szCs w:val="14"/>
                <w:color w:val="auto"/>
              </w:rPr>
            </w:pPr>
          </w:p>
        </w:tc>
        <w:tc>
          <w:tcPr>
            <w:tcW w:w="200" w:type="dxa"/>
            <w:vAlign w:val="bottom"/>
          </w:tcPr>
          <w:p>
            <w:pPr>
              <w:jc w:val="right"/>
              <w:spacing w:after="0" w:line="166" w:lineRule="exact"/>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  Information contained herein is subject to completion or amendment.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  A registration statement relating to these securities has been filed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720" w:type="dxa"/>
            <w:vAlign w:val="bottom"/>
          </w:tcPr>
          <w:p>
            <w:pPr>
              <w:ind w:left="100"/>
              <w:spacing w:after="0"/>
              <w:rPr>
                <w:sz w:val="20"/>
                <w:szCs w:val="20"/>
                <w:color w:val="auto"/>
              </w:rPr>
            </w:pPr>
            <w:r>
              <w:rPr>
                <w:rFonts w:ascii="Courier New" w:cs="Courier New" w:eastAsia="Courier New" w:hAnsi="Courier New"/>
                <w:sz w:val="16"/>
                <w:szCs w:val="16"/>
                <w:color w:val="auto"/>
              </w:rPr>
              <w:t>with the Securities and Exchange Commission.  These securities may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  not be sold nor may offers to buy be accepted prior to the time the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720" w:type="dxa"/>
            <w:vAlign w:val="bottom"/>
          </w:tcPr>
          <w:p>
            <w:pPr>
              <w:ind w:left="100"/>
              <w:spacing w:after="0"/>
              <w:rPr>
                <w:sz w:val="20"/>
                <w:szCs w:val="20"/>
                <w:color w:val="auto"/>
              </w:rPr>
            </w:pPr>
            <w:r>
              <w:rPr>
                <w:rFonts w:ascii="Courier New" w:cs="Courier New" w:eastAsia="Courier New" w:hAnsi="Courier New"/>
                <w:sz w:val="16"/>
                <w:szCs w:val="16"/>
                <w:color w:val="auto"/>
              </w:rPr>
              <w:t>registration statement becomes effective.  This prospectus shall not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  constitute an offer to sell or the solicitation of an offer to buy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w w:val="99"/>
              </w:rPr>
              <w:t>*  nor shall there be any sale of these securities in any State in which</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  such offer, solicitation or sale would be unlawful prior to</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  registration or qualification under the securities laws of any such</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720" w:type="dxa"/>
            <w:vAlign w:val="bottom"/>
          </w:tcPr>
          <w:p>
            <w:pPr>
              <w:ind w:left="100"/>
              <w:spacing w:after="0"/>
              <w:rPr>
                <w:sz w:val="20"/>
                <w:szCs w:val="20"/>
                <w:color w:val="auto"/>
              </w:rPr>
            </w:pPr>
            <w:r>
              <w:rPr>
                <w:rFonts w:ascii="Courier New" w:cs="Courier New" w:eastAsia="Courier New" w:hAnsi="Courier New"/>
                <w:sz w:val="16"/>
                <w:szCs w:val="16"/>
                <w:color w:val="auto"/>
              </w:rPr>
              <w:t>State.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10"/>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7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71" w:right="1440" w:bottom="1440" w:gutter="0" w:footer="0" w:header="0"/>
        </w:sectPr>
      </w:pPr>
    </w:p>
    <w:bookmarkStart w:id="4" w:name="page5"/>
    <w:bookmarkEnd w:id="4"/>
    <w:p>
      <w:pPr>
        <w:ind w:left="283"/>
        <w:spacing w:after="0"/>
        <w:rPr>
          <w:sz w:val="20"/>
          <w:szCs w:val="20"/>
          <w:color w:val="auto"/>
        </w:rPr>
      </w:pPr>
      <w:r>
        <w:rPr>
          <w:rFonts w:ascii="Courier New" w:cs="Courier New" w:eastAsia="Courier New" w:hAnsi="Courier New"/>
          <w:sz w:val="16"/>
          <w:szCs w:val="16"/>
          <w:color w:val="auto"/>
        </w:rPr>
        <w:t>4</w:t>
      </w:r>
    </w:p>
    <w:p>
      <w:pPr>
        <w:spacing w:after="0" w:line="29"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AVAILABLE INFORMATION</w:t>
      </w:r>
    </w:p>
    <w:p>
      <w:pPr>
        <w:spacing w:after="0" w:line="155" w:lineRule="exact"/>
        <w:rPr>
          <w:sz w:val="20"/>
          <w:szCs w:val="20"/>
          <w:color w:val="auto"/>
        </w:rPr>
      </w:pPr>
    </w:p>
    <w:p>
      <w:pPr>
        <w:ind w:left="3" w:right="2759" w:firstLine="1229"/>
        <w:spacing w:after="0" w:line="259" w:lineRule="auto"/>
        <w:rPr>
          <w:sz w:val="20"/>
          <w:szCs w:val="20"/>
          <w:color w:val="auto"/>
        </w:rPr>
      </w:pPr>
      <w:r>
        <w:rPr>
          <w:rFonts w:ascii="Courier New" w:cs="Courier New" w:eastAsia="Courier New" w:hAnsi="Courier New"/>
          <w:sz w:val="15"/>
          <w:szCs w:val="15"/>
          <w:color w:val="auto"/>
        </w:rPr>
        <w:t>USA Waste Services, Inc. (together with its subsidiaries, the "Company") is subject to the informational requirements of the Securities Exchange Act of 1934, as amended (the "Exchange Act"), and, in accordance therewith, files reports, proxy statements and other information with the Securities and Exchange Commission (the "Commission"). Reports and other information filed by the Company with the Commission may be inspected and copied at the public reference facilities maintained by the Commission at Room 1024, 450 Fifth Street, N.W., Judiciary Plaza, Washington, D.C. 20549, and at the following regional offices of the Commission: 500 West Madison, Suite 1400, Chicago, Illinois 60661; and at Seven World Trade Center, Suite 1300, New York, New York 10048. Copies of such material may also be obtained at prescribed rates from the Public Reference Section of the Commission at its principal office at 450 Fifth Street, N.W., Judiciary Plaza, Washington, D.C. 20549.</w:t>
      </w:r>
    </w:p>
    <w:p>
      <w:pPr>
        <w:spacing w:after="0" w:line="9" w:lineRule="exact"/>
        <w:rPr>
          <w:sz w:val="20"/>
          <w:szCs w:val="20"/>
          <w:color w:val="auto"/>
        </w:rPr>
      </w:pPr>
    </w:p>
    <w:p>
      <w:pPr>
        <w:ind w:left="3" w:right="3039"/>
        <w:spacing w:after="0" w:line="265" w:lineRule="auto"/>
        <w:rPr>
          <w:sz w:val="20"/>
          <w:szCs w:val="20"/>
          <w:color w:val="auto"/>
        </w:rPr>
      </w:pPr>
      <w:r>
        <w:rPr>
          <w:rFonts w:ascii="Courier New" w:cs="Courier New" w:eastAsia="Courier New" w:hAnsi="Courier New"/>
          <w:sz w:val="16"/>
          <w:szCs w:val="16"/>
          <w:color w:val="auto"/>
        </w:rPr>
        <w:t>The Company's securities are listed on the New York Stock Exchange and the Company's registration statements, reports, proxy and information statements and other information may also be inspected at the offices of the New York Stock Exchange, 20 Broad Street, New York, New York 10005.</w:t>
      </w:r>
    </w:p>
    <w:p>
      <w:pPr>
        <w:spacing w:after="0" w:line="81" w:lineRule="exact"/>
        <w:rPr>
          <w:sz w:val="20"/>
          <w:szCs w:val="20"/>
          <w:color w:val="auto"/>
        </w:rPr>
      </w:pPr>
    </w:p>
    <w:p>
      <w:pPr>
        <w:ind w:left="3" w:right="2759" w:firstLine="1229"/>
        <w:spacing w:after="0" w:line="249" w:lineRule="auto"/>
        <w:rPr>
          <w:sz w:val="20"/>
          <w:szCs w:val="20"/>
          <w:color w:val="auto"/>
        </w:rPr>
      </w:pPr>
      <w:r>
        <w:rPr>
          <w:rFonts w:ascii="Courier New" w:cs="Courier New" w:eastAsia="Courier New" w:hAnsi="Courier New"/>
          <w:sz w:val="16"/>
          <w:szCs w:val="16"/>
          <w:color w:val="auto"/>
        </w:rPr>
        <w:t>This Prospectus, which constitutes a part of a registration statement (the "Registration Statement") filed by the Company with the Commission under the Securities Act of 1933, as amended (the "Securities Act"), omits certain of the information set forth in the Registration Statement. Reference is hereby made to the Registration Statement and to the exhibits thereto for further information with respect to the Company and the securities offered hereby. Statements contained herein concerning the provisions of such documents are necessarily summaries of such documents, and each such statement is qualified in its entirety by reference to the copy of the applicable document filed with the Commission. Copies of the Registration Statement and the exhibits thereto are on file at the offices of the Commission and may be obtained upon payment of the fee prescribed by the Commission, or may be examined without charge at the public reference facilities of the Commission described above.</w:t>
      </w:r>
    </w:p>
    <w:p>
      <w:pPr>
        <w:spacing w:after="0" w:line="95" w:lineRule="exact"/>
        <w:rPr>
          <w:sz w:val="20"/>
          <w:szCs w:val="20"/>
          <w:color w:val="auto"/>
        </w:rPr>
      </w:pPr>
    </w:p>
    <w:p>
      <w:pPr>
        <w:ind w:left="1523"/>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3" w:lineRule="exact"/>
        <w:rPr>
          <w:sz w:val="20"/>
          <w:szCs w:val="20"/>
          <w:color w:val="auto"/>
        </w:rPr>
      </w:pPr>
    </w:p>
    <w:p>
      <w:pPr>
        <w:ind w:left="3" w:right="2759" w:firstLine="1229"/>
        <w:spacing w:after="0" w:line="260" w:lineRule="auto"/>
        <w:rPr>
          <w:sz w:val="20"/>
          <w:szCs w:val="20"/>
          <w:color w:val="auto"/>
        </w:rPr>
      </w:pPr>
      <w:r>
        <w:rPr>
          <w:rFonts w:ascii="Courier New" w:cs="Courier New" w:eastAsia="Courier New" w:hAnsi="Courier New"/>
          <w:sz w:val="15"/>
          <w:szCs w:val="15"/>
          <w:color w:val="auto"/>
        </w:rPr>
        <w:t>The following documents filed by the Company or its predecessors with the Commission are incorporated by reference in this Prospectus: (a) Annual Report on Form 10-K for the year ended December 31, 1994, as amended by Form 10-K/A (Amendment No. 1) dated April 25, 1995, (b) Current Report on Form 8-K dated February 28, 1994, as filed by Envirofil, Inc., a Delaware corporation and a wholly owned subsidiary of the Company, as amended by Form 8-K/A dated May 11, 1994, including the combined financial statements of the Acquired New Jersey Solid Waste Companies (as defined therein) as of December 31, 1992 and 1993 and for each of the three years in the period ended December 31, 1993, (c) Quarterly Reports on Form 10-Q, as amended, for the periods ended March 31, 1995, June 30, 1995 and September 30, 1995, (d) Joint Proxy Statement and Prospectus for its 1995 Annual Meeting of Stockholders dated May 19, 1995,</w:t>
      </w:r>
    </w:p>
    <w:p>
      <w:pPr>
        <w:spacing w:after="0" w:line="2" w:lineRule="exact"/>
        <w:rPr>
          <w:sz w:val="20"/>
          <w:szCs w:val="20"/>
          <w:color w:val="auto"/>
        </w:rPr>
      </w:pPr>
    </w:p>
    <w:p>
      <w:pPr>
        <w:jc w:val="both"/>
        <w:ind w:left="3" w:right="3219" w:hanging="3"/>
        <w:spacing w:after="0" w:line="265"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dated June 30, 1995 and (f) the description of the Common Stock of the Company contained in the Company's Registration Statement on Form 8-A dated July 1, 1993, as amended by Form 8-B filed on July 13, 1995.</w:t>
      </w:r>
    </w:p>
    <w:p>
      <w:pPr>
        <w:spacing w:after="0" w:line="81" w:lineRule="exact"/>
        <w:rPr>
          <w:sz w:val="20"/>
          <w:szCs w:val="20"/>
          <w:color w:val="auto"/>
        </w:rPr>
      </w:pPr>
    </w:p>
    <w:p>
      <w:pPr>
        <w:ind w:left="3" w:right="2839" w:firstLine="1229"/>
        <w:spacing w:after="0" w:line="270" w:lineRule="auto"/>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subsequent to the date of this Prospectus and prior to the termination of this offering shall be deemed to be incorporated by reference in this Prospectus and to be a part hereof from the date of the filing of such documents. Any statement contained in a document incorporated by reference shall be deemed to be modified or superseded for purposes of this Prospectus to the extent that a statement contained herein or in any other subsequently filed incorporated document or in any accompanying prospectus supplement modifies or supersedes such statement. Any such statement so modified or superseded shall not be deemed, except as so modified or superseded, to constitute a part of this Prospectus.</w:t>
      </w:r>
    </w:p>
    <w:p>
      <w:pPr>
        <w:spacing w:after="0" w:line="80" w:lineRule="exact"/>
        <w:rPr>
          <w:sz w:val="20"/>
          <w:szCs w:val="20"/>
          <w:color w:val="auto"/>
        </w:rPr>
      </w:pPr>
    </w:p>
    <w:p>
      <w:pPr>
        <w:ind w:left="3" w:right="2759" w:firstLine="1229"/>
        <w:spacing w:after="0" w:line="283" w:lineRule="auto"/>
        <w:rPr>
          <w:sz w:val="20"/>
          <w:szCs w:val="20"/>
          <w:color w:val="auto"/>
        </w:rPr>
      </w:pPr>
      <w:r>
        <w:rPr>
          <w:rFonts w:ascii="Courier New" w:cs="Courier New" w:eastAsia="Courier New" w:hAnsi="Courier New"/>
          <w:sz w:val="15"/>
          <w:szCs w:val="15"/>
          <w:color w:val="auto"/>
        </w:rPr>
        <w:t>The Company will provide without charge to each person to whom a copy of this Prospectus is delivered, upon written or oral request, a copy of any or all of the documents incorporated by reference as a part of the Registration Statement, other than exhibits to such documents. Requests should be directed to the Company at 5400 LBJ Freeway, Suite 300-Tower One, Dallas, Texas 75240, Attention: Corporate Secretary (telephone: (214) 383-7900).</w:t>
      </w:r>
    </w:p>
    <w:p>
      <w:pPr>
        <w:sectPr>
          <w:pgSz w:w="11900" w:h="16838" w:orient="portrait"/>
          <w:cols w:equalWidth="0" w:num="1">
            <w:col w:w="10222"/>
          </w:cols>
          <w:pgMar w:left="237"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271" w:right="1440" w:bottom="1440" w:gutter="0" w:footer="0" w:header="0"/>
          <w:type w:val="continuous"/>
        </w:sectPr>
      </w:pPr>
    </w:p>
    <w:bookmarkStart w:id="5" w:name="page6"/>
    <w:bookmarkEnd w:id="5"/>
    <w:p>
      <w:pPr>
        <w:ind w:left="283"/>
        <w:spacing w:after="0"/>
        <w:rPr>
          <w:sz w:val="20"/>
          <w:szCs w:val="20"/>
          <w:color w:val="auto"/>
        </w:rPr>
      </w:pPr>
      <w:r>
        <w:rPr>
          <w:rFonts w:ascii="Courier New" w:cs="Courier New" w:eastAsia="Courier New" w:hAnsi="Courier New"/>
          <w:sz w:val="16"/>
          <w:szCs w:val="16"/>
          <w:color w:val="auto"/>
        </w:rPr>
        <w:t>5</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PROSPECTUS SUMMARY</w:t>
      </w:r>
    </w:p>
    <w:p>
      <w:pPr>
        <w:spacing w:after="0" w:line="155" w:lineRule="exact"/>
        <w:rPr>
          <w:sz w:val="20"/>
          <w:szCs w:val="20"/>
          <w:color w:val="auto"/>
        </w:rPr>
      </w:pPr>
    </w:p>
    <w:p>
      <w:pPr>
        <w:ind w:left="3" w:right="2839" w:firstLine="378"/>
        <w:spacing w:after="0" w:line="264"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and financial data included elsewhere or incorporated by reference in this Prospectus. All financial and operating information included in this Prospectus has been restated to give retroactive effect to the acquisitions of Chambers Development Company, Inc.("Chambers") and Envirofil,</w:t>
      </w:r>
    </w:p>
    <w:p>
      <w:pPr>
        <w:spacing w:after="0" w:line="3" w:lineRule="exact"/>
        <w:rPr>
          <w:sz w:val="20"/>
          <w:szCs w:val="20"/>
          <w:color w:val="auto"/>
        </w:rPr>
      </w:pPr>
    </w:p>
    <w:p>
      <w:pPr>
        <w:ind w:left="3" w:right="2939"/>
        <w:spacing w:after="0" w:line="277" w:lineRule="auto"/>
        <w:rPr>
          <w:sz w:val="20"/>
          <w:szCs w:val="20"/>
          <w:color w:val="auto"/>
        </w:rPr>
      </w:pPr>
      <w:r>
        <w:rPr>
          <w:rFonts w:ascii="Courier New" w:cs="Courier New" w:eastAsia="Courier New" w:hAnsi="Courier New"/>
          <w:sz w:val="16"/>
          <w:szCs w:val="16"/>
          <w:color w:val="auto"/>
        </w:rPr>
        <w:t>Inc. ("Envirofil") which have been accounted for as poolings of interests. References to "USA Waste" or the "Company" herein include USA Waste Services, Inc. and its subsidiaries.</w:t>
      </w:r>
    </w:p>
    <w:p>
      <w:pPr>
        <w:spacing w:after="0" w:line="72"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THE COMPANY</w:t>
      </w:r>
    </w:p>
    <w:p>
      <w:pPr>
        <w:spacing w:after="0" w:line="183" w:lineRule="exact"/>
        <w:rPr>
          <w:sz w:val="20"/>
          <w:szCs w:val="20"/>
          <w:color w:val="auto"/>
        </w:rPr>
      </w:pPr>
    </w:p>
    <w:p>
      <w:pPr>
        <w:ind w:left="3" w:right="2759" w:firstLine="378"/>
        <w:spacing w:after="0" w:line="259" w:lineRule="auto"/>
        <w:rPr>
          <w:sz w:val="20"/>
          <w:szCs w:val="20"/>
          <w:color w:val="auto"/>
        </w:rPr>
      </w:pPr>
      <w:r>
        <w:rPr>
          <w:rFonts w:ascii="Courier New" w:cs="Courier New" w:eastAsia="Courier New" w:hAnsi="Courier New"/>
          <w:sz w:val="16"/>
          <w:szCs w:val="16"/>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22 transfer stations and 43 collection operations and serves more than 500,000 customers.</w:t>
      </w:r>
    </w:p>
    <w:p>
      <w:pPr>
        <w:spacing w:after="0" w:line="268"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RECENT DEVELOPMENTS</w:t>
      </w:r>
    </w:p>
    <w:p>
      <w:pPr>
        <w:spacing w:after="0" w:line="183" w:lineRule="exact"/>
        <w:rPr>
          <w:sz w:val="20"/>
          <w:szCs w:val="20"/>
          <w:color w:val="auto"/>
        </w:rPr>
      </w:pPr>
    </w:p>
    <w:p>
      <w:pPr>
        <w:ind w:left="3" w:right="2839" w:firstLine="851"/>
        <w:spacing w:after="0" w:line="253" w:lineRule="auto"/>
        <w:rPr>
          <w:sz w:val="20"/>
          <w:szCs w:val="20"/>
          <w:color w:val="auto"/>
        </w:rPr>
      </w:pPr>
      <w:r>
        <w:rPr>
          <w:rFonts w:ascii="Courier New" w:cs="Courier New" w:eastAsia="Courier New" w:hAnsi="Courier New"/>
          <w:sz w:val="16"/>
          <w:szCs w:val="16"/>
          <w:color w:val="auto"/>
        </w:rPr>
        <w:t>On December 18, 1995, the Company entered into an Agreement and Plan of Merger with Western Waste Industries ("Western"), whereby a subsidiary of the Company will be merged with and into Western (the "Merger"). In the Merger, shareholders of Western will receive 1.5 shares of Common Stock of the Company for each share of common stock of Western. The closing of the Merger is subject to approval by both companies' stockholders and certain other conditions. After the Merger, USA Waste will be the third largest solid waste company in North America and will own or operate 62 collection operations, 35 landfills and 25 transfer stations, serving more than one million customers in 23 states.</w:t>
      </w:r>
    </w:p>
    <w:p>
      <w:pPr>
        <w:spacing w:after="0" w:line="90"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THE OFFERING</w:t>
      </w:r>
    </w:p>
    <w:p>
      <w:pPr>
        <w:spacing w:after="0" w:line="200" w:lineRule="exact"/>
        <w:rPr>
          <w:sz w:val="20"/>
          <w:szCs w:val="20"/>
          <w:color w:val="auto"/>
        </w:rPr>
      </w:pPr>
    </w:p>
    <w:p>
      <w:pPr>
        <w:spacing w:after="0" w:line="346" w:lineRule="exact"/>
        <w:rPr>
          <w:sz w:val="20"/>
          <w:szCs w:val="20"/>
          <w:color w:val="auto"/>
        </w:rPr>
      </w:pPr>
    </w:p>
    <w:p>
      <w:pPr>
        <w:ind w:left="3"/>
        <w:spacing w:after="0"/>
        <w:tabs>
          <w:tab w:leader="none" w:pos="7543" w:val="left"/>
        </w:tabs>
        <w:rPr>
          <w:sz w:val="20"/>
          <w:szCs w:val="20"/>
          <w:color w:val="auto"/>
        </w:rPr>
      </w:pPr>
      <w:r>
        <w:rPr>
          <w:rFonts w:ascii="Courier New" w:cs="Courier New" w:eastAsia="Courier New" w:hAnsi="Courier New"/>
          <w:sz w:val="16"/>
          <w:szCs w:val="16"/>
          <w:color w:val="auto"/>
        </w:rPr>
        <w:t>Common Stock that may be offered from time to time by the Selling Stockholders</w:t>
      </w:r>
      <w:r>
        <w:rPr>
          <w:sz w:val="20"/>
          <w:szCs w:val="20"/>
          <w:color w:val="auto"/>
        </w:rPr>
        <w:tab/>
      </w:r>
      <w:r>
        <w:rPr>
          <w:rFonts w:ascii="Courier New" w:cs="Courier New" w:eastAsia="Courier New" w:hAnsi="Courier New"/>
          <w:sz w:val="15"/>
          <w:szCs w:val="15"/>
          <w:color w:val="auto"/>
        </w:rPr>
        <w:t>. . 4,000,000 shares</w:t>
      </w:r>
    </w:p>
    <w:p>
      <w:pPr>
        <w:spacing w:after="0" w:line="183" w:lineRule="exact"/>
        <w:rPr>
          <w:sz w:val="20"/>
          <w:szCs w:val="20"/>
          <w:color w:val="auto"/>
        </w:rPr>
      </w:pPr>
    </w:p>
    <w:p>
      <w:pPr>
        <w:ind w:left="3"/>
        <w:spacing w:after="0"/>
        <w:tabs>
          <w:tab w:leader="none" w:pos="2443" w:val="left"/>
        </w:tabs>
        <w:rPr>
          <w:sz w:val="20"/>
          <w:szCs w:val="20"/>
          <w:color w:val="auto"/>
        </w:rPr>
      </w:pPr>
      <w:r>
        <w:rPr>
          <w:rFonts w:ascii="Courier New" w:cs="Courier New" w:eastAsia="Courier New" w:hAnsi="Courier New"/>
          <w:sz w:val="16"/>
          <w:szCs w:val="16"/>
          <w:color w:val="auto"/>
        </w:rPr>
        <w:t>Common Stock outstanding</w:t>
      </w:r>
      <w:r>
        <w:rPr>
          <w:sz w:val="20"/>
          <w:szCs w:val="20"/>
          <w:color w:val="auto"/>
        </w:rPr>
        <w:tab/>
      </w:r>
      <w:r>
        <w:rPr>
          <w:rFonts w:ascii="Courier New" w:cs="Courier New" w:eastAsia="Courier New" w:hAnsi="Courier New"/>
          <w:sz w:val="15"/>
          <w:szCs w:val="15"/>
          <w:color w:val="auto"/>
        </w:rPr>
        <w:t>. . . . . . . . . . . . . . . . . . . . . . . . . . . . . 65,655,421 shares(1)</w:t>
      </w:r>
    </w:p>
    <w:p>
      <w:pPr>
        <w:spacing w:after="0" w:line="183" w:lineRule="exact"/>
        <w:rPr>
          <w:sz w:val="20"/>
          <w:szCs w:val="20"/>
          <w:color w:val="auto"/>
        </w:rPr>
      </w:pPr>
    </w:p>
    <w:p>
      <w:pPr>
        <w:ind w:left="3"/>
        <w:spacing w:after="0"/>
        <w:tabs>
          <w:tab w:leader="none" w:pos="3003" w:val="left"/>
        </w:tabs>
        <w:rPr>
          <w:sz w:val="20"/>
          <w:szCs w:val="20"/>
          <w:color w:val="auto"/>
        </w:rPr>
      </w:pPr>
      <w:r>
        <w:rPr>
          <w:rFonts w:ascii="Courier New" w:cs="Courier New" w:eastAsia="Courier New" w:hAnsi="Courier New"/>
          <w:sz w:val="16"/>
          <w:szCs w:val="16"/>
          <w:color w:val="auto"/>
        </w:rPr>
        <w:t>New York Stock Exchange symbol</w:t>
      </w:r>
      <w:r>
        <w:rPr>
          <w:sz w:val="20"/>
          <w:szCs w:val="20"/>
          <w:color w:val="auto"/>
        </w:rPr>
        <w:tab/>
      </w:r>
      <w:r>
        <w:rPr>
          <w:rFonts w:ascii="Courier New" w:cs="Courier New" w:eastAsia="Courier New" w:hAnsi="Courier New"/>
          <w:sz w:val="15"/>
          <w:szCs w:val="15"/>
          <w:color w:val="auto"/>
        </w:rPr>
        <w:t>. . . . . . . . . . . . . . . . . . . . . . . . . . "UW"</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ind w:left="383" w:right="3039" w:hanging="383"/>
        <w:spacing w:after="0" w:line="315"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January 4, 1996. Excludes approximately 5,769,239 shares issuable upon the exercise of outstanding options and warrants.</w:t>
      </w:r>
    </w:p>
    <w:p>
      <w:pPr>
        <w:spacing w:after="0" w:line="22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27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RISK FACTORS</w:t>
      </w:r>
    </w:p>
    <w:p>
      <w:pPr>
        <w:spacing w:after="0" w:line="155" w:lineRule="exact"/>
        <w:rPr>
          <w:sz w:val="20"/>
          <w:szCs w:val="20"/>
          <w:color w:val="auto"/>
        </w:rPr>
      </w:pPr>
    </w:p>
    <w:p>
      <w:pPr>
        <w:ind w:right="2839" w:firstLine="378"/>
        <w:spacing w:after="0" w:line="296" w:lineRule="auto"/>
        <w:rPr>
          <w:sz w:val="20"/>
          <w:szCs w:val="20"/>
          <w:color w:val="auto"/>
        </w:rPr>
      </w:pPr>
      <w:r>
        <w:rPr>
          <w:rFonts w:ascii="Courier New" w:cs="Courier New" w:eastAsia="Courier New" w:hAnsi="Courier New"/>
          <w:sz w:val="16"/>
          <w:szCs w:val="16"/>
          <w:color w:val="auto"/>
        </w:rPr>
        <w:t>In addition to other information set forth or incorporated by reference in this Prospectus, the following factors should be considered by prospective investors.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ABILITY TO MANAGE AND MAINTAIN GROWTH</w:t>
      </w:r>
    </w:p>
    <w:p>
      <w:pPr>
        <w:spacing w:after="0" w:line="183" w:lineRule="exact"/>
        <w:rPr>
          <w:sz w:val="20"/>
          <w:szCs w:val="20"/>
          <w:color w:val="auto"/>
        </w:rPr>
      </w:pPr>
    </w:p>
    <w:p>
      <w:pPr>
        <w:ind w:right="2759" w:firstLine="378"/>
        <w:spacing w:after="0" w:line="264"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Chambers, the Company's largest acquisition to date, or that the Company will successfully complete the merger with Western or, if completed, successfully integrate the operations of Western.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exists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 DEGREE OF LEVERAGE; NEED FOR CAPITAL</w:t>
      </w:r>
    </w:p>
    <w:p>
      <w:pPr>
        <w:spacing w:after="0" w:line="183" w:lineRule="exact"/>
        <w:rPr>
          <w:sz w:val="20"/>
          <w:szCs w:val="20"/>
          <w:color w:val="auto"/>
        </w:rPr>
      </w:pPr>
    </w:p>
    <w:p>
      <w:pPr>
        <w:ind w:right="2759" w:firstLine="378"/>
        <w:spacing w:after="0" w:line="253" w:lineRule="auto"/>
        <w:rPr>
          <w:sz w:val="20"/>
          <w:szCs w:val="20"/>
          <w:color w:val="auto"/>
        </w:rPr>
      </w:pPr>
      <w:r>
        <w:rPr>
          <w:rFonts w:ascii="Courier New" w:cs="Courier New" w:eastAsia="Courier New" w:hAnsi="Courier New"/>
          <w:sz w:val="16"/>
          <w:szCs w:val="16"/>
          <w:color w:val="auto"/>
        </w:rPr>
        <w:t>The long-term debt of the Company, including current maturities, as of December 31, 1995 was approximately $373 million. The Company maintains significant amounts of debt and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83" w:lineRule="exact"/>
        <w:rPr>
          <w:sz w:val="20"/>
          <w:szCs w:val="20"/>
          <w:color w:val="auto"/>
        </w:rPr>
      </w:pPr>
    </w:p>
    <w:p>
      <w:pPr>
        <w:ind w:right="2839" w:firstLine="378"/>
        <w:spacing w:after="0" w:line="276"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ADVERSE EFFECT OF GOVERNMENT REGULATION</w:t>
      </w:r>
    </w:p>
    <w:p>
      <w:pPr>
        <w:spacing w:after="0" w:line="183" w:lineRule="exact"/>
        <w:rPr>
          <w:sz w:val="20"/>
          <w:szCs w:val="20"/>
          <w:color w:val="auto"/>
        </w:rPr>
      </w:pPr>
    </w:p>
    <w:p>
      <w:pPr>
        <w:ind w:right="2759" w:firstLine="378"/>
        <w:spacing w:after="0" w:line="264"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impose fines on the Company or to revoke or deny renewal of the Company's operating permits or licenses for violations of environmental laws or regulations or to require the Company to remediate environmental problems at its sites or nearby properties, or resulting from its or its predecessors' transportation and collection operations, all of which could have a material adverse effect on the Company. The Company may also be subject to actions brought by individuals or community groups in connection with the permitting or licensing of its operations, any alleged violations of such permits and licenses, or other matters.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ENVIRONMENTAL LIABILITY</w:t>
      </w:r>
    </w:p>
    <w:p>
      <w:pPr>
        <w:spacing w:after="0" w:line="183" w:lineRule="exact"/>
        <w:rPr>
          <w:sz w:val="20"/>
          <w:szCs w:val="20"/>
          <w:color w:val="auto"/>
        </w:rPr>
      </w:pPr>
    </w:p>
    <w:p>
      <w:pPr>
        <w:ind w:right="2759" w:firstLine="378"/>
        <w:spacing w:after="0" w:line="324" w:lineRule="auto"/>
        <w:rPr>
          <w:sz w:val="20"/>
          <w:szCs w:val="20"/>
          <w:color w:val="auto"/>
        </w:rPr>
      </w:pPr>
      <w:r>
        <w:rPr>
          <w:rFonts w:ascii="Courier New" w:cs="Courier New" w:eastAsia="Courier New" w:hAnsi="Courier New"/>
          <w:sz w:val="15"/>
          <w:szCs w:val="15"/>
          <w:color w:val="auto"/>
        </w:rPr>
        <w:t>The Company is subject to liability for environmental damage that its landfills, transfer stations and collection operations have caused or may cause nearby landowners, particularly as a result of the contamination of drinking</w:t>
      </w:r>
    </w:p>
    <w:p>
      <w:pPr>
        <w:sectPr>
          <w:pgSz w:w="11900" w:h="16838" w:orient="portrait"/>
          <w:cols w:equalWidth="0" w:num="1">
            <w:col w:w="10219"/>
          </w:cols>
          <w:pgMar w:left="240" w:top="271" w:right="144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1" w:right="1440" w:bottom="543"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29" w:lineRule="exact"/>
        <w:rPr>
          <w:sz w:val="20"/>
          <w:szCs w:val="20"/>
          <w:color w:val="auto"/>
        </w:rPr>
      </w:pPr>
    </w:p>
    <w:p>
      <w:pPr>
        <w:ind w:right="2840"/>
        <w:spacing w:after="0" w:line="251" w:lineRule="auto"/>
        <w:rPr>
          <w:sz w:val="20"/>
          <w:szCs w:val="20"/>
          <w:color w:val="auto"/>
        </w:rPr>
      </w:pPr>
      <w:r>
        <w:rPr>
          <w:rFonts w:ascii="Courier New" w:cs="Courier New" w:eastAsia="Courier New" w:hAnsi="Courier New"/>
          <w:sz w:val="16"/>
          <w:szCs w:val="16"/>
          <w:color w:val="auto"/>
        </w:rPr>
        <w:t>water sources or soil, including damage resulting from conditions existing prior to the acquisition of such assets or operations by the Company. The Company also may be subject to liability for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ELIGIBLE FOR FUTURE SALE</w:t>
      </w:r>
    </w:p>
    <w:p>
      <w:pPr>
        <w:spacing w:after="0" w:line="183" w:lineRule="exact"/>
        <w:rPr>
          <w:sz w:val="20"/>
          <w:szCs w:val="20"/>
          <w:color w:val="auto"/>
        </w:rPr>
      </w:pPr>
    </w:p>
    <w:p>
      <w:pPr>
        <w:ind w:right="2660" w:firstLine="757"/>
        <w:spacing w:after="0" w:line="263" w:lineRule="auto"/>
        <w:rPr>
          <w:sz w:val="20"/>
          <w:szCs w:val="20"/>
          <w:color w:val="auto"/>
        </w:rPr>
      </w:pPr>
      <w:r>
        <w:rPr>
          <w:rFonts w:ascii="Courier New" w:cs="Courier New" w:eastAsia="Courier New" w:hAnsi="Courier New"/>
          <w:sz w:val="16"/>
          <w:szCs w:val="16"/>
          <w:color w:val="auto"/>
        </w:rPr>
        <w:t>Sales of substantial amounts of Common Stock in the public market could adversely affect the market price of the Common Stock. Of the 65,655,421 shares of Common Stock outstanding as of January 4, 1996, the 4,000,000 shares covered by this Prospectus are immediately saleable on the open market. In addition, the Company has a shelf registration statement covering approximately 6,000,000 shares that may be used for acquisitions.</w:t>
      </w:r>
    </w:p>
    <w:p>
      <w:pPr>
        <w:spacing w:after="0" w:line="26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USE OF PROCEEDS</w:t>
      </w:r>
    </w:p>
    <w:p>
      <w:pPr>
        <w:spacing w:after="0" w:line="183" w:lineRule="exact"/>
        <w:rPr>
          <w:sz w:val="20"/>
          <w:szCs w:val="20"/>
          <w:color w:val="auto"/>
        </w:rPr>
      </w:pPr>
    </w:p>
    <w:p>
      <w:pPr>
        <w:ind w:right="2840" w:firstLine="851"/>
        <w:spacing w:after="0" w:line="352" w:lineRule="auto"/>
        <w:rPr>
          <w:sz w:val="20"/>
          <w:szCs w:val="20"/>
          <w:color w:val="auto"/>
        </w:rPr>
      </w:pPr>
      <w:r>
        <w:rPr>
          <w:rFonts w:ascii="Courier New" w:cs="Courier New" w:eastAsia="Courier New" w:hAnsi="Courier New"/>
          <w:sz w:val="16"/>
          <w:szCs w:val="16"/>
          <w:color w:val="auto"/>
        </w:rPr>
        <w:t>The Company will not receive any proceeds from the sale of the Shares by the Selling Stockholders.</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SELLING STOCKHOLDERS</w:t>
      </w:r>
    </w:p>
    <w:p>
      <w:pPr>
        <w:spacing w:after="0" w:line="183" w:lineRule="exact"/>
        <w:rPr>
          <w:sz w:val="20"/>
          <w:szCs w:val="20"/>
          <w:color w:val="auto"/>
        </w:rPr>
      </w:pPr>
    </w:p>
    <w:p>
      <w:pPr>
        <w:ind w:right="2760" w:firstLine="851"/>
        <w:spacing w:after="0" w:line="277" w:lineRule="auto"/>
        <w:rPr>
          <w:sz w:val="20"/>
          <w:szCs w:val="20"/>
          <w:color w:val="auto"/>
        </w:rPr>
      </w:pPr>
      <w:r>
        <w:rPr>
          <w:rFonts w:ascii="Courier New" w:cs="Courier New" w:eastAsia="Courier New" w:hAnsi="Courier New"/>
          <w:sz w:val="16"/>
          <w:szCs w:val="16"/>
          <w:color w:val="auto"/>
        </w:rPr>
        <w:t>The following table sets forth certain information with respect to the beneficial ownership of Common Stock as of November 10, 1995, and as adjusted to reflect the sale of the Common Stock offered hereby by the Selling Stockholders.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BENEFICIAL</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OWNERSHIP</w:t>
            </w:r>
          </w:p>
        </w:tc>
        <w:tc>
          <w:tcPr>
            <w:tcW w:w="17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NUMBER OF</w:t>
            </w: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BENEFICIAL OWNERSHIP</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PRIOR TO</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OFFERING</w:t>
            </w:r>
          </w:p>
        </w:tc>
        <w:tc>
          <w:tcPr>
            <w:tcW w:w="1700" w:type="dxa"/>
            <w:vAlign w:val="bottom"/>
            <w:vMerge w:val="continue"/>
          </w:tcPr>
          <w:p>
            <w:pPr>
              <w:spacing w:after="0"/>
              <w:rPr>
                <w:sz w:val="15"/>
                <w:szCs w:val="15"/>
                <w:color w:val="auto"/>
              </w:rPr>
            </w:pPr>
          </w:p>
        </w:tc>
        <w:tc>
          <w:tcPr>
            <w:tcW w:w="23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AFTER OFFERING</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142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3"/>
                <w:szCs w:val="13"/>
                <w:color w:val="auto"/>
                <w:w w:val="76"/>
                <w:vertAlign w:val="subscript"/>
              </w:rPr>
              <w:t>NUMBER</w:t>
            </w:r>
          </w:p>
        </w:tc>
        <w:tc>
          <w:tcPr>
            <w:tcW w:w="1240" w:type="dxa"/>
            <w:vAlign w:val="bottom"/>
          </w:tcPr>
          <w:p>
            <w:pPr>
              <w:spacing w:after="0"/>
              <w:rPr>
                <w:sz w:val="15"/>
                <w:szCs w:val="15"/>
                <w:color w:val="auto"/>
              </w:rPr>
            </w:pPr>
          </w:p>
        </w:tc>
        <w:tc>
          <w:tcPr>
            <w:tcW w:w="1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SHARES BEING</w:t>
            </w:r>
          </w:p>
        </w:tc>
        <w:tc>
          <w:tcPr>
            <w:tcW w:w="23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1"/>
                <w:szCs w:val="31"/>
                <w:color w:val="auto"/>
                <w:w w:val="73"/>
                <w:vertAlign w:val="subscript"/>
              </w:rPr>
              <w:t>NUMBER</w:t>
            </w:r>
          </w:p>
        </w:tc>
        <w:tc>
          <w:tcPr>
            <w:tcW w:w="0" w:type="dxa"/>
            <w:vAlign w:val="bottom"/>
          </w:tcPr>
          <w:p>
            <w:pPr>
              <w:spacing w:after="0"/>
              <w:rPr>
                <w:sz w:val="1"/>
                <w:szCs w:val="1"/>
                <w:color w:val="auto"/>
              </w:rPr>
            </w:pPr>
          </w:p>
        </w:tc>
      </w:tr>
      <w:tr>
        <w:trPr>
          <w:trHeight w:val="182"/>
        </w:trPr>
        <w:tc>
          <w:tcPr>
            <w:tcW w:w="3540" w:type="dxa"/>
            <w:vAlign w:val="bottom"/>
            <w:vMerge w:val="restart"/>
          </w:tcPr>
          <w:p>
            <w:pPr>
              <w:spacing w:after="0"/>
              <w:rPr>
                <w:sz w:val="20"/>
                <w:szCs w:val="20"/>
                <w:color w:val="auto"/>
              </w:rPr>
            </w:pPr>
            <w:r>
              <w:rPr>
                <w:rFonts w:ascii="Courier New" w:cs="Courier New" w:eastAsia="Courier New" w:hAnsi="Courier New"/>
                <w:sz w:val="16"/>
                <w:szCs w:val="16"/>
                <w:color w:val="auto"/>
              </w:rPr>
              <w:t>SELLING STOCKHOLDER</w:t>
            </w: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PERCENT</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OFFERED HEREBY</w:t>
            </w:r>
          </w:p>
        </w:tc>
        <w:tc>
          <w:tcPr>
            <w:tcW w:w="1640" w:type="dxa"/>
            <w:vAlign w:val="bottom"/>
            <w:vMerge w:val="continue"/>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PERCENT</w:t>
            </w:r>
          </w:p>
        </w:tc>
        <w:tc>
          <w:tcPr>
            <w:tcW w:w="0" w:type="dxa"/>
            <w:vAlign w:val="bottom"/>
          </w:tcPr>
          <w:p>
            <w:pPr>
              <w:spacing w:after="0"/>
              <w:rPr>
                <w:sz w:val="1"/>
                <w:szCs w:val="1"/>
                <w:color w:val="auto"/>
              </w:rPr>
            </w:pPr>
          </w:p>
        </w:tc>
      </w:tr>
      <w:tr>
        <w:trPr>
          <w:trHeight w:val="265"/>
        </w:trPr>
        <w:tc>
          <w:tcPr>
            <w:tcW w:w="3540" w:type="dxa"/>
            <w:vAlign w:val="bottom"/>
            <w:vMerge w:val="continue"/>
          </w:tcPr>
          <w:p>
            <w:pPr>
              <w:spacing w:after="0"/>
              <w:rPr>
                <w:sz w:val="23"/>
                <w:szCs w:val="23"/>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OF SHARES</w:t>
            </w:r>
          </w:p>
        </w:tc>
        <w:tc>
          <w:tcPr>
            <w:tcW w:w="1240" w:type="dxa"/>
            <w:vAlign w:val="bottom"/>
            <w:vMerge w:val="continue"/>
          </w:tcPr>
          <w:p>
            <w:pPr>
              <w:spacing w:after="0"/>
              <w:rPr>
                <w:sz w:val="23"/>
                <w:szCs w:val="23"/>
                <w:color w:val="auto"/>
              </w:rPr>
            </w:pPr>
          </w:p>
        </w:tc>
        <w:tc>
          <w:tcPr>
            <w:tcW w:w="1700" w:type="dxa"/>
            <w:vAlign w:val="bottom"/>
          </w:tcPr>
          <w:p>
            <w:pPr>
              <w:spacing w:after="0"/>
              <w:rPr>
                <w:sz w:val="23"/>
                <w:szCs w:val="23"/>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6"/>
                <w:szCs w:val="16"/>
                <w:color w:val="auto"/>
              </w:rPr>
              <w:t>OF SHARES</w:t>
            </w:r>
          </w:p>
        </w:tc>
        <w:tc>
          <w:tcPr>
            <w:tcW w:w="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540" w:type="dxa"/>
            <w:vAlign w:val="bottom"/>
          </w:tcPr>
          <w:p>
            <w:pPr>
              <w:spacing w:after="0"/>
              <w:rPr>
                <w:sz w:val="20"/>
                <w:szCs w:val="20"/>
                <w:color w:val="auto"/>
              </w:rPr>
            </w:pPr>
            <w:r>
              <w:rPr>
                <w:rFonts w:ascii="Courier New" w:cs="Courier New" w:eastAsia="Courier New" w:hAnsi="Courier New"/>
                <w:sz w:val="16"/>
                <w:szCs w:val="16"/>
                <w:color w:val="auto"/>
                <w:w w:val="99"/>
              </w:rPr>
              <w:t>John G. Rangos, Sr. . . . . . . . . .</w:t>
            </w:r>
          </w:p>
        </w:tc>
        <w:tc>
          <w:tcPr>
            <w:tcW w:w="1100" w:type="dxa"/>
            <w:vAlign w:val="bottom"/>
          </w:tcPr>
          <w:p>
            <w:pPr>
              <w:jc w:val="right"/>
              <w:ind w:right="26"/>
              <w:spacing w:after="0"/>
              <w:rPr>
                <w:sz w:val="20"/>
                <w:szCs w:val="20"/>
                <w:color w:val="auto"/>
              </w:rPr>
            </w:pPr>
            <w:r>
              <w:rPr>
                <w:rFonts w:ascii="Courier New" w:cs="Courier New" w:eastAsia="Courier New" w:hAnsi="Courier New"/>
                <w:sz w:val="16"/>
                <w:szCs w:val="16"/>
                <w:color w:val="auto"/>
              </w:rPr>
              <w:t>7,733,911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0"/>
              </w:rPr>
              <w:t>(1)</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12.7%</w:t>
            </w:r>
          </w:p>
        </w:tc>
        <w:tc>
          <w:tcPr>
            <w:tcW w:w="1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3,350,000</w:t>
            </w:r>
          </w:p>
        </w:tc>
        <w:tc>
          <w:tcPr>
            <w:tcW w:w="1640" w:type="dxa"/>
            <w:vAlign w:val="bottom"/>
          </w:tcPr>
          <w:p>
            <w:pPr>
              <w:ind w:left="320"/>
              <w:spacing w:after="0"/>
              <w:rPr>
                <w:sz w:val="20"/>
                <w:szCs w:val="20"/>
                <w:color w:val="auto"/>
              </w:rPr>
            </w:pPr>
            <w:r>
              <w:rPr>
                <w:rFonts w:ascii="Courier New" w:cs="Courier New" w:eastAsia="Courier New" w:hAnsi="Courier New"/>
                <w:sz w:val="16"/>
                <w:szCs w:val="16"/>
                <w:color w:val="auto"/>
              </w:rPr>
              <w:t>4,383,911</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w w:val="99"/>
              </w:rPr>
              <w:t>John G. Rangos, Jr. . . . . . . . . .</w:t>
            </w:r>
          </w:p>
        </w:tc>
        <w:tc>
          <w:tcPr>
            <w:tcW w:w="1100" w:type="dxa"/>
            <w:vAlign w:val="bottom"/>
          </w:tcPr>
          <w:p>
            <w:pPr>
              <w:jc w:val="right"/>
              <w:ind w:right="26"/>
              <w:spacing w:after="0"/>
              <w:rPr>
                <w:sz w:val="20"/>
                <w:szCs w:val="20"/>
                <w:color w:val="auto"/>
              </w:rPr>
            </w:pPr>
            <w:r>
              <w:rPr>
                <w:rFonts w:ascii="Courier New" w:cs="Courier New" w:eastAsia="Courier New" w:hAnsi="Courier New"/>
                <w:sz w:val="16"/>
                <w:szCs w:val="16"/>
                <w:color w:val="auto"/>
              </w:rPr>
              <w:t>2,051,128</w:t>
            </w:r>
          </w:p>
        </w:tc>
        <w:tc>
          <w:tcPr>
            <w:tcW w:w="320" w:type="dxa"/>
            <w:vAlign w:val="bottom"/>
            <w:vMerge w:val="continue"/>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w:t>
            </w:r>
          </w:p>
        </w:tc>
        <w:tc>
          <w:tcPr>
            <w:tcW w:w="1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400,000</w:t>
            </w:r>
          </w:p>
        </w:tc>
        <w:tc>
          <w:tcPr>
            <w:tcW w:w="1640" w:type="dxa"/>
            <w:vAlign w:val="bottom"/>
          </w:tcPr>
          <w:p>
            <w:pPr>
              <w:ind w:left="320"/>
              <w:spacing w:after="0"/>
              <w:rPr>
                <w:sz w:val="20"/>
                <w:szCs w:val="20"/>
                <w:color w:val="auto"/>
              </w:rPr>
            </w:pPr>
            <w:r>
              <w:rPr>
                <w:rFonts w:ascii="Courier New" w:cs="Courier New" w:eastAsia="Courier New" w:hAnsi="Courier New"/>
                <w:sz w:val="16"/>
                <w:szCs w:val="16"/>
                <w:color w:val="auto"/>
              </w:rPr>
              <w:t>1,651,128</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0"/>
                <w:szCs w:val="20"/>
                <w:color w:val="auto"/>
              </w:rPr>
            </w:pPr>
            <w:r>
              <w:rPr>
                <w:rFonts w:ascii="Courier New" w:cs="Courier New" w:eastAsia="Courier New" w:hAnsi="Courier New"/>
                <w:sz w:val="16"/>
                <w:szCs w:val="16"/>
                <w:color w:val="auto"/>
                <w:w w:val="99"/>
              </w:rPr>
              <w:t>Alexander W. Rangos . . . . . . . . .</w:t>
            </w:r>
          </w:p>
        </w:tc>
        <w:tc>
          <w:tcPr>
            <w:tcW w:w="1100" w:type="dxa"/>
            <w:vAlign w:val="bottom"/>
          </w:tcPr>
          <w:p>
            <w:pPr>
              <w:jc w:val="right"/>
              <w:ind w:right="26"/>
              <w:spacing w:after="0"/>
              <w:rPr>
                <w:sz w:val="20"/>
                <w:szCs w:val="20"/>
                <w:color w:val="auto"/>
              </w:rPr>
            </w:pPr>
            <w:r>
              <w:rPr>
                <w:rFonts w:ascii="Courier New" w:cs="Courier New" w:eastAsia="Courier New" w:hAnsi="Courier New"/>
                <w:sz w:val="16"/>
                <w:szCs w:val="16"/>
                <w:color w:val="auto"/>
              </w:rPr>
              <w:t>2,022,129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(2)</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w:t>
            </w:r>
          </w:p>
        </w:tc>
        <w:tc>
          <w:tcPr>
            <w:tcW w:w="1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250,000</w:t>
            </w:r>
          </w:p>
        </w:tc>
        <w:tc>
          <w:tcPr>
            <w:tcW w:w="1640" w:type="dxa"/>
            <w:vAlign w:val="bottom"/>
          </w:tcPr>
          <w:p>
            <w:pPr>
              <w:ind w:left="320"/>
              <w:spacing w:after="0"/>
              <w:rPr>
                <w:sz w:val="20"/>
                <w:szCs w:val="20"/>
                <w:color w:val="auto"/>
              </w:rPr>
            </w:pPr>
            <w:r>
              <w:rPr>
                <w:rFonts w:ascii="Courier New" w:cs="Courier New" w:eastAsia="Courier New" w:hAnsi="Courier New"/>
                <w:sz w:val="16"/>
                <w:szCs w:val="16"/>
                <w:color w:val="auto"/>
              </w:rPr>
              <w:t>1,772,129</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220" w:right="2940" w:hanging="845"/>
        <w:spacing w:after="0" w:line="277" w:lineRule="auto"/>
        <w:tabs>
          <w:tab w:leader="none" w:pos="1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780,413 shares held directly, 60,707 shares that may be purchased upon exercise of outstanding stock options that are presently exercisable and 1,210,008 shares owned by John Rangos Development Corporation, Inc.</w:t>
      </w:r>
    </w:p>
    <w:p>
      <w:pPr>
        <w:spacing w:after="0" w:line="72" w:lineRule="exact"/>
        <w:rPr>
          <w:rFonts w:ascii="Courier New" w:cs="Courier New" w:eastAsia="Courier New" w:hAnsi="Courier New"/>
          <w:sz w:val="16"/>
          <w:szCs w:val="16"/>
          <w:color w:val="auto"/>
        </w:rPr>
      </w:pPr>
    </w:p>
    <w:p>
      <w:pPr>
        <w:ind w:left="1220" w:right="2940" w:hanging="845"/>
        <w:spacing w:after="0" w:line="263" w:lineRule="auto"/>
        <w:tabs>
          <w:tab w:leader="none" w:pos="1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751,414 shares held directly, 60,707 shares that may be purchased upon exercise of outstanding stock options that are presently exercisable and 1,210,008 shares owned by John Rangos Development Corporation, Inc. In addition, Alexander W. Rangos holds an option to purchase 50,000 shares that is not presently exercisable.</w:t>
      </w:r>
    </w:p>
    <w:p>
      <w:pPr>
        <w:spacing w:after="0" w:line="81" w:lineRule="exact"/>
        <w:rPr>
          <w:sz w:val="20"/>
          <w:szCs w:val="20"/>
          <w:color w:val="auto"/>
        </w:rPr>
      </w:pPr>
    </w:p>
    <w:p>
      <w:pPr>
        <w:ind w:right="2840" w:firstLine="378"/>
        <w:spacing w:after="0" w:line="250" w:lineRule="auto"/>
        <w:rPr>
          <w:sz w:val="20"/>
          <w:szCs w:val="20"/>
          <w:color w:val="auto"/>
        </w:rPr>
      </w:pPr>
      <w:r>
        <w:rPr>
          <w:rFonts w:ascii="Courier New" w:cs="Courier New" w:eastAsia="Courier New" w:hAnsi="Courier New"/>
          <w:sz w:val="16"/>
          <w:szCs w:val="16"/>
          <w:color w:val="auto"/>
        </w:rPr>
        <w:t>In connection with the merger with Chambers, John G. Rangos, Sr. and Alexander W. Rangos were appointed to the Company's Board of Directors. In addition, John G. Rangos, Sr. became Vice Chairman of the Board of Directors, Alexander W. Rangos became an Executive Vice President of the Company and John G. Rangos, Jr. became a consultant to the Company. In connection with the execution of the Agreement and Plan of Merger relating to the Merger with Western, the Company agreed with John G. Rangos, Sr., John G. Rangos, Jr. and Alexander W. Rangos to file with the Commission the Registration Statement of which this Prospectus is a part, John G. Rangos, Sr. resigned as Vice Chairman (but remains as a director of the Board) and Alexander W. Rangos became Vice Chairman of the Board of Directors and resigned as an Executive Vice President of the Company.</w:t>
      </w:r>
    </w:p>
    <w:p>
      <w:pPr>
        <w:sectPr>
          <w:pgSz w:w="11900" w:h="16838" w:orient="portrait"/>
          <w:cols w:equalWidth="0" w:num="1">
            <w:col w:w="10220"/>
          </w:cols>
          <w:pgMar w:left="240" w:top="271" w:right="1439" w:bottom="1440" w:gutter="0" w:footer="0" w:header="0"/>
        </w:sectPr>
      </w:pPr>
    </w:p>
    <w:p>
      <w:pPr>
        <w:spacing w:after="0" w:line="2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40" w:top="271" w:right="1439"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PLAN OF DISTRIBUTION</w:t>
      </w:r>
    </w:p>
    <w:p>
      <w:pPr>
        <w:spacing w:after="0" w:line="155" w:lineRule="exact"/>
        <w:rPr>
          <w:sz w:val="20"/>
          <w:szCs w:val="20"/>
          <w:color w:val="auto"/>
        </w:rPr>
      </w:pPr>
    </w:p>
    <w:p>
      <w:pPr>
        <w:ind w:right="2759" w:firstLine="378"/>
        <w:spacing w:after="0" w:line="261" w:lineRule="auto"/>
        <w:rPr>
          <w:sz w:val="20"/>
          <w:szCs w:val="20"/>
          <w:color w:val="auto"/>
        </w:rPr>
      </w:pPr>
      <w:r>
        <w:rPr>
          <w:rFonts w:ascii="Courier New" w:cs="Courier New" w:eastAsia="Courier New" w:hAnsi="Courier New"/>
          <w:sz w:val="15"/>
          <w:szCs w:val="15"/>
          <w:color w:val="auto"/>
        </w:rPr>
        <w:t>The Selling Stockholders may offer the Shares from time to time, depending upon market conditions and other factors, in one or more transactions on the New York Stock Exchange or other national securities exchanges on which the Common Stock may be traded, in the over-the-counter market or otherwise, at market prices prevailing at the time of sale, at prices related to such market prices, at negotiated prices or at fixed prices. The Shares may be offered in any manner permitted by law, including through underwriters, brokers, dealers or agents, or directly to one or more purchasers. Sales of the Shares may involve (a) sales to underwriters who will acquire Shares for their own account and resell them in one or more transactions at fixed prices or at varying prices determined at time of sale, (b) block transactions in which a broker or dealer will attempt to sell the Shares as agent but may position and resell a portion of the block as principal to facilitate the transaction, (c) purchases by a broker or dealer as principal and resale by such broker or dealer for its account, (d) an exchange distribution in accordance with the rules of any such exchange, or (e) ordinary brokerage transactions and transactions in which a broker solicits purchasers. Brokers and dealers may receive compensation in the form of underwriting discounts, concessions or commissions. The Selling Stockholders and any broker or dealer that participates in the distribution of Shares may be deemed to be underwriters and any commissions received by them and any profit on the resale of Shares positioned by a broker or dealer may be deemed to be underwriting discounts and commissions under the Securities Act of 1933, as amended (the "Securities Act"). In the event that any Selling Stockholder engages an underwriter in connection with the sale of the Shares, to the extent required, a prospectus supplement will be distributed which will set forth the number of Shares being offered and the terms of the offering, including the names of the underwriters, any discounts, commissions and other items constituting compensation to underwriters, dealers or agents, the public offering price and any discounts, commissions or concessions allowed or reallowed or paid by underwriters to dealers.</w:t>
      </w:r>
    </w:p>
    <w:p>
      <w:pPr>
        <w:spacing w:after="0" w:line="279" w:lineRule="exact"/>
        <w:rPr>
          <w:sz w:val="20"/>
          <w:szCs w:val="20"/>
          <w:color w:val="auto"/>
        </w:rPr>
      </w:pPr>
    </w:p>
    <w:p>
      <w:pPr>
        <w:ind w:right="2759" w:firstLine="378"/>
        <w:spacing w:after="0" w:line="254" w:lineRule="auto"/>
        <w:rPr>
          <w:sz w:val="20"/>
          <w:szCs w:val="20"/>
          <w:color w:val="auto"/>
        </w:rPr>
      </w:pPr>
      <w:r>
        <w:rPr>
          <w:rFonts w:ascii="Courier New" w:cs="Courier New" w:eastAsia="Courier New" w:hAnsi="Courier New"/>
          <w:sz w:val="16"/>
          <w:szCs w:val="16"/>
          <w:color w:val="auto"/>
        </w:rPr>
        <w:t>The Selling Stockholders may from time to time pledge Shares owned by them to secure margin or other loans made to one or more of the Selling Stockholders or to entities in which one or more of the Selling Stockholders may have a direct or indirect equity interest. The Selling Stockholders or any of them may also lend Shares owned by them to other entities in which one or more of the Selling Stockholders may have a direct or indirect equity interest. The person or entity receiving a pledge or loan of any Shares may sell them, in a foreclosure sale or otherwise, in the same manner as described above for a Selling Stockholder.</w:t>
      </w:r>
    </w:p>
    <w:p>
      <w:pPr>
        <w:spacing w:after="0" w:line="92" w:lineRule="exact"/>
        <w:rPr>
          <w:sz w:val="20"/>
          <w:szCs w:val="20"/>
          <w:color w:val="auto"/>
        </w:rPr>
      </w:pPr>
    </w:p>
    <w:p>
      <w:pPr>
        <w:ind w:right="3039" w:firstLine="378"/>
        <w:spacing w:after="0" w:line="352" w:lineRule="auto"/>
        <w:rPr>
          <w:sz w:val="20"/>
          <w:szCs w:val="20"/>
          <w:color w:val="auto"/>
        </w:rPr>
      </w:pPr>
      <w:r>
        <w:rPr>
          <w:rFonts w:ascii="Courier New" w:cs="Courier New" w:eastAsia="Courier New" w:hAnsi="Courier New"/>
          <w:sz w:val="16"/>
          <w:szCs w:val="16"/>
          <w:color w:val="auto"/>
        </w:rPr>
        <w:t>The Company will not receive any of the proceeds from the sale of any of the Shares by the Selling Stockholders.</w:t>
      </w:r>
    </w:p>
    <w:p>
      <w:pPr>
        <w:spacing w:after="0" w:line="14" w:lineRule="exact"/>
        <w:rPr>
          <w:sz w:val="20"/>
          <w:szCs w:val="20"/>
          <w:color w:val="auto"/>
        </w:rPr>
      </w:pPr>
    </w:p>
    <w:p>
      <w:pPr>
        <w:ind w:right="2839" w:firstLine="378"/>
        <w:spacing w:after="0" w:line="253" w:lineRule="auto"/>
        <w:rPr>
          <w:sz w:val="20"/>
          <w:szCs w:val="20"/>
          <w:color w:val="auto"/>
        </w:rPr>
      </w:pPr>
      <w:r>
        <w:rPr>
          <w:rFonts w:ascii="Courier New" w:cs="Courier New" w:eastAsia="Courier New" w:hAnsi="Courier New"/>
          <w:sz w:val="16"/>
          <w:szCs w:val="16"/>
          <w:color w:val="auto"/>
        </w:rPr>
        <w:t>Under the Exchange Act and applicable rules and regulations promulgated thereunder, any person engaged in a distribution of any of the Shares may not simultaneously engage in market making activities with respect to the Shares for a period, depending upon certain circumstances, of either two days or nine days prior to the commencement of such distribution. In addition and without limiting the foregoing, the Selling Stockholders will be subject to applicable provisions of the Exchange Act and the rules and regulations promulgated thereunder, including without limitation Rules 10b-6 and 10b-7, which provisions may limit the timing of purchases and sales of any of the Shares by the Selling Stockholders.</w:t>
      </w:r>
    </w:p>
    <w:p>
      <w:pPr>
        <w:spacing w:after="0" w:line="90" w:lineRule="exact"/>
        <w:rPr>
          <w:sz w:val="20"/>
          <w:szCs w:val="20"/>
          <w:color w:val="auto"/>
        </w:rPr>
      </w:pPr>
    </w:p>
    <w:p>
      <w:pPr>
        <w:ind w:right="2759" w:firstLine="378"/>
        <w:spacing w:after="0" w:line="268" w:lineRule="auto"/>
        <w:rPr>
          <w:sz w:val="20"/>
          <w:szCs w:val="20"/>
          <w:color w:val="auto"/>
        </w:rPr>
      </w:pPr>
      <w:r>
        <w:rPr>
          <w:rFonts w:ascii="Courier New" w:cs="Courier New" w:eastAsia="Courier New" w:hAnsi="Courier New"/>
          <w:sz w:val="16"/>
          <w:szCs w:val="16"/>
          <w:color w:val="auto"/>
        </w:rPr>
        <w:t>Under the securities laws of certain states, the Shares may be sold in such states only through registered or licensed brokers or dealers. In addition, in certain states the Shares may not be sold unless the Shares have been registered or qualify for sale in such state or an exemption from registration or qualification is available and is complied with.</w:t>
      </w:r>
    </w:p>
    <w:p>
      <w:pPr>
        <w:spacing w:after="0" w:line="7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LEGAL MATTERS</w:t>
      </w:r>
    </w:p>
    <w:p>
      <w:pPr>
        <w:spacing w:after="0" w:line="183" w:lineRule="exact"/>
        <w:rPr>
          <w:sz w:val="20"/>
          <w:szCs w:val="20"/>
          <w:color w:val="auto"/>
        </w:rPr>
      </w:pPr>
    </w:p>
    <w:p>
      <w:pPr>
        <w:ind w:right="3219" w:firstLine="378"/>
        <w:spacing w:after="0" w:line="352" w:lineRule="auto"/>
        <w:rPr>
          <w:sz w:val="20"/>
          <w:szCs w:val="20"/>
          <w:color w:val="auto"/>
        </w:rPr>
      </w:pPr>
      <w:r>
        <w:rPr>
          <w:rFonts w:ascii="Courier New" w:cs="Courier New" w:eastAsia="Courier New" w:hAnsi="Courier New"/>
          <w:sz w:val="16"/>
          <w:szCs w:val="16"/>
          <w:color w:val="auto"/>
        </w:rPr>
        <w:t>The validity of the issuance of the Shares will be passed upon for the Company by Andrews &amp; Kurth L.L.P., Houston, Texas.</w:t>
      </w:r>
    </w:p>
    <w:p>
      <w:pPr>
        <w:sectPr>
          <w:pgSz w:w="11900" w:h="16838" w:orient="portrait"/>
          <w:cols w:equalWidth="0" w:num="1">
            <w:col w:w="10219"/>
          </w:cols>
          <w:pgMar w:left="24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2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EXPERTS</w:t>
      </w:r>
    </w:p>
    <w:p>
      <w:pPr>
        <w:spacing w:after="0" w:line="155" w:lineRule="exact"/>
        <w:rPr>
          <w:sz w:val="20"/>
          <w:szCs w:val="20"/>
          <w:color w:val="auto"/>
        </w:rPr>
      </w:pPr>
    </w:p>
    <w:p>
      <w:pPr>
        <w:ind w:right="2759" w:firstLine="378"/>
        <w:spacing w:after="0" w:line="250" w:lineRule="auto"/>
        <w:rPr>
          <w:sz w:val="20"/>
          <w:szCs w:val="20"/>
          <w:color w:val="auto"/>
        </w:rPr>
      </w:pPr>
      <w:r>
        <w:rPr>
          <w:rFonts w:ascii="Courier New" w:cs="Courier New" w:eastAsia="Courier New" w:hAnsi="Courier New"/>
          <w:sz w:val="16"/>
          <w:szCs w:val="16"/>
          <w:color w:val="auto"/>
        </w:rPr>
        <w:t>The consolidated financial statements of the Company (i) as of December 31, 1994 and 1993, and for each of the three years in the period ended December 31, 1994, which are included in the Company's Annual Report on Form 10-K for the year ended December 31, 1994, as amended by Form 10-K/A, and are included and incorporated by reference into the Company's Joint Proxy Statement and Prospectus dated May 19, 1995, and (ii) the supplemental consolidated financial statements of the Company as of December 31, 1994 and 1993, and for each of the three years in the period ended December 31, 1994, which are included in the Company's Current Report on Form 8-K dated June 30, 1995, incorporated in this Prospectus by reference have been audited by Coopers &amp; Lybrand L.L.P., independent accountants, given on the authority of that firm as experts in accounting and auditing.</w:t>
      </w:r>
    </w:p>
    <w:p>
      <w:pPr>
        <w:spacing w:after="0" w:line="99" w:lineRule="exact"/>
        <w:rPr>
          <w:sz w:val="20"/>
          <w:szCs w:val="20"/>
          <w:color w:val="auto"/>
        </w:rPr>
      </w:pPr>
    </w:p>
    <w:p>
      <w:pPr>
        <w:ind w:right="2759" w:firstLine="378"/>
        <w:spacing w:after="0" w:line="271" w:lineRule="auto"/>
        <w:rPr>
          <w:sz w:val="20"/>
          <w:szCs w:val="20"/>
          <w:color w:val="auto"/>
        </w:rPr>
      </w:pPr>
      <w:r>
        <w:rPr>
          <w:rFonts w:ascii="Courier New" w:cs="Courier New" w:eastAsia="Courier New" w:hAnsi="Courier New"/>
          <w:sz w:val="15"/>
          <w:szCs w:val="15"/>
          <w:color w:val="auto"/>
        </w:rPr>
        <w:t>The consolidated financial statements of Envirofil, Inc. for the year ended June 30, 1993 incorporated by reference in this Prospectus, and the combined financial statements of the Acquired New Jersey Solid Waste Companies as of December 31, 1992 and 1993 and for each of the three years in the period ended December 31, 1993 incorporated into this Prospectus by reference to Envirofil, Inc.'s Form 8-K filed with the Commission on February 28, 1994, as amended by Envirofil, Inc.'s Form 8-K/A filed with the Commission on May 11, 1994, have been incorporated by reference herein in reliance upon the reports of Arthur Andersen LLP, independent public accountants, given on the authority of that firm as experts in accounting and auditing in giving said reports.</w:t>
      </w:r>
    </w:p>
    <w:p>
      <w:pPr>
        <w:spacing w:after="0" w:line="82" w:lineRule="exact"/>
        <w:rPr>
          <w:sz w:val="20"/>
          <w:szCs w:val="20"/>
          <w:color w:val="auto"/>
        </w:rPr>
      </w:pPr>
    </w:p>
    <w:p>
      <w:pPr>
        <w:ind w:right="2839" w:firstLine="378"/>
        <w:spacing w:after="0" w:line="256" w:lineRule="auto"/>
        <w:rPr>
          <w:sz w:val="20"/>
          <w:szCs w:val="20"/>
          <w:color w:val="auto"/>
        </w:rPr>
      </w:pPr>
      <w:r>
        <w:rPr>
          <w:rFonts w:ascii="Courier New" w:cs="Courier New" w:eastAsia="Courier New" w:hAnsi="Courier New"/>
          <w:sz w:val="16"/>
          <w:szCs w:val="16"/>
          <w:color w:val="auto"/>
        </w:rPr>
        <w:t>The consolidated financial statements of Chambers at December 31, 1993 and 1994, and for each of the three years in the period ended December 31, 1994, incorporated by reference in this Prospectus and included and incorporated by reference in the Joint Proxy Statement and Prospectus dated May 19, 1995 have been audited by Deloitte &amp; Touche LLP, independent auditors, as stated in their reports, which are incorporated by reference herein, and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5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039" w:firstLine="378"/>
        <w:spacing w:after="0" w:line="251" w:lineRule="auto"/>
        <w:rPr>
          <w:sz w:val="20"/>
          <w:szCs w:val="20"/>
          <w:color w:val="auto"/>
        </w:rPr>
      </w:pPr>
      <w:r>
        <w:rPr>
          <w:rFonts w:ascii="Courier New" w:cs="Courier New" w:eastAsia="Courier New" w:hAnsi="Courier New"/>
          <w:sz w:val="16"/>
          <w:szCs w:val="16"/>
          <w:color w:val="auto"/>
        </w:rPr>
        <w:t>NO DEALER, SALESPERSON OR OTHER PERSON HAS BEEN AUTHORIZED TO GIVE ANY INFORMATION OR TO MAKE ANY REPRESENTATIONS OTHER THAN THOSE CONTAINED IN OR INCORPORATED BY REFERENCE IN THIS PROSPECTUS AND, IF GIVEN OR MADE, SUCH INFORMATION OR REPRESENTATIONS MUST NOT BE RELIED UPON AS HAVING BEEN AUTHORIZED BY THE COMPANY OR THE SELLING STOCKHOLDERS. THIS PROSPECTUS DOES NOT CONSTITUTE AN OFFER TO SELL OR A SOLICITATION OF AN OFFER TO BUY ANY OF THESE SECURITIES IN ANY JURISDICTION TO ANY PERSON TO WHOM IT IS UNLAWFUL TO MAKE SUCH OFFER OR SOLICITATION IN SUCH JURISDICTION. THE DELIVERY OF THIS PROSPECTUS AT ANY TIME DOES NOT IMPLY THAT THE INFORMATION CONTAINED OR INCORPORATED BY REFERENCE HEREIN IS CORRECT AS OF ANY TIME SUBSEQUENT TO ITS DATE.</w:t>
      </w:r>
    </w:p>
    <w:p>
      <w:pPr>
        <w:spacing w:after="0" w:line="27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PAGE</w:t>
      </w:r>
    </w:p>
    <w:p>
      <w:pPr>
        <w:spacing w:after="0" w:line="183"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6"/>
          <w:szCs w:val="16"/>
          <w:color w:val="auto"/>
        </w:rPr>
        <w:t>Available Information . . . . . . . . . . . .</w:t>
        <w:tab/>
        <w:t>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of Certain Documents</w:t>
      </w:r>
    </w:p>
    <w:p>
      <w:pPr>
        <w:spacing w:after="0" w:line="1" w:lineRule="exact"/>
        <w:rPr>
          <w:sz w:val="20"/>
          <w:szCs w:val="20"/>
          <w:color w:val="auto"/>
        </w:rPr>
      </w:pPr>
    </w:p>
    <w:p>
      <w:pPr>
        <w:ind w:left="280"/>
        <w:spacing w:after="0"/>
        <w:tabs>
          <w:tab w:leader="none" w:pos="4520" w:val="left"/>
        </w:tabs>
        <w:rPr>
          <w:sz w:val="20"/>
          <w:szCs w:val="20"/>
          <w:color w:val="auto"/>
        </w:rPr>
      </w:pPr>
      <w:r>
        <w:rPr>
          <w:rFonts w:ascii="Courier New" w:cs="Courier New" w:eastAsia="Courier New" w:hAnsi="Courier New"/>
          <w:sz w:val="16"/>
          <w:szCs w:val="16"/>
          <w:color w:val="auto"/>
        </w:rPr>
        <w:t>by Reference . . . . . . . . . . . . . . .</w:t>
        <w:tab/>
        <w:t>2</w:t>
      </w:r>
    </w:p>
    <w:p>
      <w:pPr>
        <w:spacing w:after="0" w:line="1" w:lineRule="exact"/>
        <w:rPr>
          <w:sz w:val="20"/>
          <w:szCs w:val="20"/>
          <w:color w:val="auto"/>
        </w:rPr>
      </w:pPr>
    </w:p>
    <w:p>
      <w:pPr>
        <w:spacing w:after="0"/>
        <w:tabs>
          <w:tab w:leader="none" w:pos="1860" w:val="left"/>
          <w:tab w:leader="none" w:pos="4520" w:val="left"/>
        </w:tabs>
        <w:rPr>
          <w:sz w:val="20"/>
          <w:szCs w:val="20"/>
          <w:color w:val="auto"/>
        </w:rPr>
      </w:pPr>
      <w:r>
        <w:rPr>
          <w:rFonts w:ascii="Courier New" w:cs="Courier New" w:eastAsia="Courier New" w:hAnsi="Courier New"/>
          <w:sz w:val="16"/>
          <w:szCs w:val="16"/>
          <w:color w:val="auto"/>
        </w:rPr>
        <w:t>Prospectus Summary</w:t>
        <w:tab/>
        <w:t>. . . . . . . . . . . . .</w:t>
        <w:tab/>
        <w:t>3</w:t>
      </w:r>
    </w:p>
    <w:p>
      <w:pPr>
        <w:spacing w:after="0" w:line="1" w:lineRule="exact"/>
        <w:rPr>
          <w:sz w:val="20"/>
          <w:szCs w:val="20"/>
          <w:color w:val="auto"/>
        </w:rPr>
      </w:pPr>
    </w:p>
    <w:p>
      <w:pPr>
        <w:spacing w:after="0"/>
        <w:tabs>
          <w:tab w:leader="none" w:pos="1300" w:val="left"/>
          <w:tab w:leader="none" w:pos="4520" w:val="left"/>
        </w:tabs>
        <w:rPr>
          <w:sz w:val="20"/>
          <w:szCs w:val="20"/>
          <w:color w:val="auto"/>
        </w:rPr>
      </w:pPr>
      <w:r>
        <w:rPr>
          <w:rFonts w:ascii="Courier New" w:cs="Courier New" w:eastAsia="Courier New" w:hAnsi="Courier New"/>
          <w:sz w:val="16"/>
          <w:szCs w:val="16"/>
          <w:color w:val="auto"/>
        </w:rPr>
        <w:t>Risk Factors</w:t>
        <w:tab/>
        <w:t>. . . . . . . . . . . . . . . .</w:t>
        <w:tab/>
        <w:t>4</w:t>
      </w:r>
    </w:p>
    <w:p>
      <w:pPr>
        <w:spacing w:after="0" w:line="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6"/>
          <w:szCs w:val="16"/>
          <w:color w:val="auto"/>
        </w:rPr>
        <w:t>Use of Proceeds . . . . . . . . . . . . . . .</w:t>
        <w:tab/>
        <w:t>5</w:t>
      </w:r>
    </w:p>
    <w:p>
      <w:pPr>
        <w:spacing w:after="0" w:line="1" w:lineRule="exact"/>
        <w:rPr>
          <w:sz w:val="20"/>
          <w:szCs w:val="20"/>
          <w:color w:val="auto"/>
        </w:rPr>
      </w:pPr>
    </w:p>
    <w:p>
      <w:pPr>
        <w:spacing w:after="0"/>
        <w:tabs>
          <w:tab w:leader="none" w:pos="2060" w:val="left"/>
          <w:tab w:leader="none" w:pos="4520" w:val="left"/>
        </w:tabs>
        <w:rPr>
          <w:sz w:val="20"/>
          <w:szCs w:val="20"/>
          <w:color w:val="auto"/>
        </w:rPr>
      </w:pPr>
      <w:r>
        <w:rPr>
          <w:rFonts w:ascii="Courier New" w:cs="Courier New" w:eastAsia="Courier New" w:hAnsi="Courier New"/>
          <w:sz w:val="16"/>
          <w:szCs w:val="16"/>
          <w:color w:val="auto"/>
        </w:rPr>
        <w:t>Selling Stockholders</w:t>
        <w:tab/>
        <w:t>. . . . . . . . . . . .</w:t>
        <w:tab/>
        <w:t>5</w:t>
      </w:r>
    </w:p>
    <w:p>
      <w:pPr>
        <w:spacing w:after="0" w:line="1" w:lineRule="exact"/>
        <w:rPr>
          <w:sz w:val="20"/>
          <w:szCs w:val="20"/>
          <w:color w:val="auto"/>
        </w:rPr>
      </w:pPr>
    </w:p>
    <w:p>
      <w:pPr>
        <w:spacing w:after="0"/>
        <w:tabs>
          <w:tab w:leader="none" w:pos="2060" w:val="left"/>
          <w:tab w:leader="none" w:pos="4520" w:val="left"/>
        </w:tabs>
        <w:rPr>
          <w:sz w:val="20"/>
          <w:szCs w:val="20"/>
          <w:color w:val="auto"/>
        </w:rPr>
      </w:pPr>
      <w:r>
        <w:rPr>
          <w:rFonts w:ascii="Courier New" w:cs="Courier New" w:eastAsia="Courier New" w:hAnsi="Courier New"/>
          <w:sz w:val="16"/>
          <w:szCs w:val="16"/>
          <w:color w:val="auto"/>
        </w:rPr>
        <w:t>Plan of Distribution</w:t>
        <w:tab/>
        <w:t>. . . . . . . . . . . .</w:t>
        <w:tab/>
        <w:t>6</w:t>
      </w:r>
    </w:p>
    <w:p>
      <w:pPr>
        <w:spacing w:after="0" w:line="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6"/>
          <w:szCs w:val="16"/>
          <w:color w:val="auto"/>
        </w:rPr>
        <w:t>Legal Matters . . . . . . . . . . . . . . . .</w:t>
        <w:tab/>
        <w:t>6</w:t>
      </w:r>
    </w:p>
    <w:p>
      <w:pPr>
        <w:spacing w:after="0" w:line="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6"/>
          <w:szCs w:val="16"/>
          <w:color w:val="auto"/>
        </w:rPr>
        <w:t>Experts . . . . . . . . . . . . . . . . . . .</w:t>
        <w:tab/>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4,000,000 SHARES</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USA WASTE</w:t>
      </w:r>
    </w:p>
    <w:p>
      <w:pPr>
        <w:spacing w:after="0" w:line="29"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SERVICES, INC.</w:t>
      </w:r>
    </w:p>
    <w:p>
      <w:pPr>
        <w:spacing w:after="0" w:line="33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1996</w:t>
      </w:r>
    </w:p>
    <w:p>
      <w:pPr>
        <w:sectPr>
          <w:pgSz w:w="11900" w:h="16838" w:orient="portrait"/>
          <w:cols w:equalWidth="0" w:num="1">
            <w:col w:w="10219"/>
          </w:cols>
          <w:pgMar w:left="240" w:top="271" w:right="1440" w:bottom="1440" w:gutter="0" w:footer="0" w:header="0"/>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7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00" w:type="dxa"/>
            <w:vAlign w:val="bottom"/>
          </w:tcPr>
          <w:p>
            <w:pPr>
              <w:spacing w:after="0"/>
              <w:rPr>
                <w:sz w:val="23"/>
                <w:szCs w:val="23"/>
                <w:color w:val="auto"/>
              </w:rPr>
            </w:pPr>
          </w:p>
        </w:tc>
        <w:tc>
          <w:tcPr>
            <w:tcW w:w="6820" w:type="dxa"/>
            <w:vAlign w:val="bottom"/>
          </w:tcPr>
          <w:p>
            <w:pPr>
              <w:ind w:left="2600"/>
              <w:spacing w:after="0"/>
              <w:rPr>
                <w:sz w:val="20"/>
                <w:szCs w:val="20"/>
                <w:color w:val="auto"/>
              </w:rPr>
            </w:pPr>
            <w:r>
              <w:rPr>
                <w:rFonts w:ascii="Courier New" w:cs="Courier New" w:eastAsia="Courier New" w:hAnsi="Courier New"/>
                <w:sz w:val="16"/>
                <w:szCs w:val="16"/>
                <w:color w:val="auto"/>
              </w:rPr>
              <w:t>PART II</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800" w:type="dxa"/>
            <w:vAlign w:val="bottom"/>
          </w:tcPr>
          <w:p>
            <w:pPr>
              <w:spacing w:after="0"/>
              <w:rPr>
                <w:sz w:val="24"/>
                <w:szCs w:val="24"/>
                <w:color w:val="auto"/>
              </w:rPr>
            </w:pPr>
          </w:p>
        </w:tc>
        <w:tc>
          <w:tcPr>
            <w:tcW w:w="6820" w:type="dxa"/>
            <w:vAlign w:val="bottom"/>
          </w:tcPr>
          <w:p>
            <w:pPr>
              <w:ind w:left="1180"/>
              <w:spacing w:after="0"/>
              <w:rPr>
                <w:sz w:val="20"/>
                <w:szCs w:val="20"/>
                <w:color w:val="auto"/>
              </w:rPr>
            </w:pPr>
            <w:r>
              <w:rPr>
                <w:rFonts w:ascii="Courier New" w:cs="Courier New" w:eastAsia="Courier New" w:hAnsi="Courier New"/>
                <w:sz w:val="16"/>
                <w:szCs w:val="16"/>
                <w:color w:val="auto"/>
              </w:rPr>
              <w:t>INFORMATION NOT REQUIRED IN PROSPECTUS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14.</w:t>
            </w:r>
          </w:p>
        </w:tc>
        <w:tc>
          <w:tcPr>
            <w:tcW w:w="6820" w:type="dxa"/>
            <w:vAlign w:val="bottom"/>
          </w:tcPr>
          <w:p>
            <w:pPr>
              <w:ind w:left="420"/>
              <w:spacing w:after="0"/>
              <w:rPr>
                <w:sz w:val="20"/>
                <w:szCs w:val="20"/>
                <w:color w:val="auto"/>
              </w:rPr>
            </w:pPr>
            <w:r>
              <w:rPr>
                <w:rFonts w:ascii="Courier New" w:cs="Courier New" w:eastAsia="Courier New" w:hAnsi="Courier New"/>
                <w:sz w:val="16"/>
                <w:szCs w:val="16"/>
                <w:color w:val="auto"/>
              </w:rPr>
              <w:t>OTHER EXPENSES OF ISSUANCE AND DISTRIBUTION.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6"/>
                <w:szCs w:val="16"/>
                <w:color w:val="auto"/>
              </w:rPr>
              <w:t>The expenses to be paid by the registrant in connection with this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offering other than underwriting discounts and commissions, if any, are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estimated as follows:</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Securities and Exchange Commission registration fee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$ 25,432</w:t>
            </w: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Printing and engraving  . . . . . . . . . . . . . .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Accounting services . . . . . . . . . . . . . . . .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Legal services  . . . . . . . . . . . . . . . . . .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Transfer agent and registrar fees . . . . . . . . .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Blue Sky fees and expenses  . . . . . . . . . . . .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Miscellaneous expenses  . . . . . . . . . . . . . .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4,568</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8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Total  . . . . . . . . . . . . . . . . . . . . . . . . . . . .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820" w:type="dxa"/>
            <w:vAlign w:val="bottom"/>
            <w:vMerge w:val="continue"/>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$205,000</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6"/>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15.</w:t>
            </w:r>
          </w:p>
        </w:tc>
        <w:tc>
          <w:tcPr>
            <w:tcW w:w="6820" w:type="dxa"/>
            <w:vAlign w:val="bottom"/>
          </w:tcPr>
          <w:p>
            <w:pPr>
              <w:ind w:left="420"/>
              <w:spacing w:after="0"/>
              <w:rPr>
                <w:sz w:val="20"/>
                <w:szCs w:val="20"/>
                <w:color w:val="auto"/>
              </w:rPr>
            </w:pPr>
            <w:r>
              <w:rPr>
                <w:rFonts w:ascii="Courier New" w:cs="Courier New" w:eastAsia="Courier New" w:hAnsi="Courier New"/>
                <w:sz w:val="16"/>
                <w:szCs w:val="16"/>
                <w:color w:val="auto"/>
              </w:rPr>
              <w:t>INDEMNIFICATION OF DIRECTORS AND OFFICERS.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6"/>
                <w:szCs w:val="16"/>
                <w:color w:val="auto"/>
              </w:rPr>
              <w:t>The Company's Certificate of Incorporation and Bylaws contain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provisions permitted by the Delaware Corporation Law (under which the Company</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is organized) which, in general terms, provide that directors and officers will</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be indemnified by the Company for all losses that may be incurred by them in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connection with any claim or legal action in which they may become involved by</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reason of their service as a director or officer of the Company, if they meet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certain specified conditions.  In addition, the Company's Certificate 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contains provisions permitted by the Delaware General Corporation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Law, which limit the monetary liability of directors of the Company for certain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breaches of their fiduciary duty of care and provide for the advancement by the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Company to directors and officers of expenses incurred by them in defending</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suits arising out of their service as such.  The Company has also entered into</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agreements with ifs officers and directors which essentially provide that the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Company will indemnify the officers and directors to the extent set forth in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the Certificate of Incorporation and Bylaws of the Company.  In addition, the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Company maintains a directors' and officers' liability insurance policy.</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16.</w:t>
            </w:r>
          </w:p>
        </w:tc>
        <w:tc>
          <w:tcPr>
            <w:tcW w:w="6820" w:type="dxa"/>
            <w:vAlign w:val="bottom"/>
          </w:tcPr>
          <w:p>
            <w:pPr>
              <w:ind w:left="420"/>
              <w:spacing w:after="0"/>
              <w:rPr>
                <w:sz w:val="20"/>
                <w:szCs w:val="20"/>
                <w:color w:val="auto"/>
              </w:rPr>
            </w:pPr>
            <w:r>
              <w:rPr>
                <w:rFonts w:ascii="Courier New" w:cs="Courier New" w:eastAsia="Courier New" w:hAnsi="Courier New"/>
                <w:sz w:val="16"/>
                <w:szCs w:val="16"/>
                <w:color w:val="auto"/>
              </w:rPr>
              <w:t>LIST OF EXHIBITS.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3319" w:firstLine="851"/>
        <w:spacing w:after="0" w:line="277" w:lineRule="auto"/>
        <w:rPr>
          <w:sz w:val="20"/>
          <w:szCs w:val="20"/>
          <w:color w:val="auto"/>
        </w:rPr>
      </w:pPr>
      <w:r>
        <w:rPr>
          <w:rFonts w:ascii="Courier New" w:cs="Courier New" w:eastAsia="Courier New" w:hAnsi="Courier New"/>
          <w:sz w:val="16"/>
          <w:szCs w:val="16"/>
          <w:color w:val="auto"/>
        </w:rPr>
        <w:t>The following instruments are included as exhibits to this Registration Statement and are filed herewith unless otherwise indicated. Exhibits incorporated by reference are so indicated by parenthetical information.</w:t>
      </w:r>
    </w:p>
    <w:p>
      <w:pPr>
        <w:spacing w:after="0" w:line="200" w:lineRule="exact"/>
        <w:rPr>
          <w:sz w:val="20"/>
          <w:szCs w:val="20"/>
          <w:color w:val="auto"/>
        </w:rPr>
      </w:pP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w:t>
            </w:r>
          </w:p>
        </w:tc>
        <w:tc>
          <w:tcPr>
            <w:tcW w:w="2140" w:type="dxa"/>
            <w:vAlign w:val="bottom"/>
          </w:tcPr>
          <w:p>
            <w:pPr>
              <w:ind w:left="380"/>
              <w:spacing w:after="0"/>
              <w:rPr>
                <w:sz w:val="20"/>
                <w:szCs w:val="20"/>
                <w:color w:val="auto"/>
              </w:rPr>
            </w:pPr>
            <w:r>
              <w:rPr>
                <w:rFonts w:ascii="Courier New" w:cs="Courier New" w:eastAsia="Courier New" w:hAnsi="Courier New"/>
                <w:sz w:val="16"/>
                <w:szCs w:val="16"/>
                <w:color w:val="auto"/>
              </w:rPr>
              <w:t>Opinion of Andrews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&amp; Kurth</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2"/>
        </w:trPr>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23.1</w:t>
            </w:r>
          </w:p>
        </w:tc>
        <w:tc>
          <w:tcPr>
            <w:tcW w:w="2140" w:type="dxa"/>
            <w:vAlign w:val="bottom"/>
          </w:tcPr>
          <w:p>
            <w:pPr>
              <w:ind w:left="380"/>
              <w:spacing w:after="0"/>
              <w:rPr>
                <w:sz w:val="20"/>
                <w:szCs w:val="20"/>
                <w:color w:val="auto"/>
              </w:rPr>
            </w:pPr>
            <w:r>
              <w:rPr>
                <w:rFonts w:ascii="Courier New" w:cs="Courier New" w:eastAsia="Courier New" w:hAnsi="Courier New"/>
                <w:sz w:val="16"/>
                <w:szCs w:val="16"/>
                <w:color w:val="auto"/>
              </w:rPr>
              <w:t>Consent of Andrews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&amp; Kurth</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rPr>
              <w:t>L.L.P. (Include in Exhibit 5.1)</w:t>
            </w:r>
          </w:p>
        </w:tc>
      </w:tr>
      <w:tr>
        <w:trPr>
          <w:trHeight w:val="182"/>
        </w:trPr>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23.2</w:t>
            </w:r>
          </w:p>
        </w:tc>
        <w:tc>
          <w:tcPr>
            <w:tcW w:w="2140" w:type="dxa"/>
            <w:vAlign w:val="bottom"/>
          </w:tcPr>
          <w:p>
            <w:pPr>
              <w:ind w:left="380"/>
              <w:spacing w:after="0"/>
              <w:rPr>
                <w:sz w:val="20"/>
                <w:szCs w:val="20"/>
                <w:color w:val="auto"/>
              </w:rPr>
            </w:pPr>
            <w:r>
              <w:rPr>
                <w:rFonts w:ascii="Courier New" w:cs="Courier New" w:eastAsia="Courier New" w:hAnsi="Courier New"/>
                <w:sz w:val="16"/>
                <w:szCs w:val="16"/>
                <w:color w:val="auto"/>
              </w:rPr>
              <w:t>Consent of Coopers</w:t>
            </w:r>
          </w:p>
        </w:tc>
        <w:tc>
          <w:tcPr>
            <w:tcW w:w="3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&amp; Lybrand L.L.P.</w:t>
            </w:r>
          </w:p>
        </w:tc>
      </w:tr>
      <w:tr>
        <w:trPr>
          <w:trHeight w:val="182"/>
        </w:trPr>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23.3</w:t>
            </w:r>
          </w:p>
        </w:tc>
        <w:tc>
          <w:tcPr>
            <w:tcW w:w="60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182"/>
        </w:trPr>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23.4</w:t>
            </w:r>
          </w:p>
        </w:tc>
        <w:tc>
          <w:tcPr>
            <w:tcW w:w="29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Consent of Arthur Andersen</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2"/>
        </w:trPr>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24.1</w:t>
            </w:r>
          </w:p>
        </w:tc>
        <w:tc>
          <w:tcPr>
            <w:tcW w:w="2140" w:type="dxa"/>
            <w:vAlign w:val="bottom"/>
          </w:tcPr>
          <w:p>
            <w:pPr>
              <w:ind w:left="380"/>
              <w:spacing w:after="0"/>
              <w:rPr>
                <w:sz w:val="20"/>
                <w:szCs w:val="20"/>
                <w:color w:val="auto"/>
              </w:rPr>
            </w:pPr>
            <w:r>
              <w:rPr>
                <w:rFonts w:ascii="Courier New" w:cs="Courier New" w:eastAsia="Courier New" w:hAnsi="Courier New"/>
                <w:sz w:val="16"/>
                <w:szCs w:val="16"/>
                <w:color w:val="auto"/>
              </w:rPr>
              <w:t>Powers of attorney</w:t>
            </w:r>
          </w:p>
        </w:tc>
        <w:tc>
          <w:tcPr>
            <w:tcW w:w="3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(included on the signature page contained</w:t>
            </w:r>
          </w:p>
        </w:tc>
      </w:tr>
      <w:tr>
        <w:trPr>
          <w:trHeight w:val="265"/>
        </w:trPr>
        <w:tc>
          <w:tcPr>
            <w:tcW w:w="760" w:type="dxa"/>
            <w:vAlign w:val="bottom"/>
          </w:tcPr>
          <w:p>
            <w:pPr>
              <w:spacing w:after="0"/>
              <w:rPr>
                <w:sz w:val="23"/>
                <w:szCs w:val="23"/>
                <w:color w:val="auto"/>
              </w:rPr>
            </w:pPr>
          </w:p>
        </w:tc>
        <w:tc>
          <w:tcPr>
            <w:tcW w:w="2140" w:type="dxa"/>
            <w:vAlign w:val="bottom"/>
          </w:tcPr>
          <w:p>
            <w:pPr>
              <w:ind w:left="380"/>
              <w:spacing w:after="0"/>
              <w:rPr>
                <w:sz w:val="20"/>
                <w:szCs w:val="20"/>
                <w:color w:val="auto"/>
              </w:rPr>
            </w:pPr>
            <w:r>
              <w:rPr>
                <w:rFonts w:ascii="Courier New" w:cs="Courier New" w:eastAsia="Courier New" w:hAnsi="Courier New"/>
                <w:sz w:val="16"/>
                <w:szCs w:val="16"/>
                <w:color w:val="auto"/>
              </w:rPr>
              <w:t>in Part II of this</w:t>
            </w:r>
          </w:p>
        </w:tc>
        <w:tc>
          <w:tcPr>
            <w:tcW w:w="3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Registration Statement)</w:t>
            </w:r>
          </w:p>
        </w:tc>
      </w:tr>
    </w:tbl>
    <w:p>
      <w:pPr>
        <w:spacing w:after="0" w:line="28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83" w:lineRule="exact"/>
        <w:rPr>
          <w:sz w:val="20"/>
          <w:szCs w:val="20"/>
          <w:color w:val="auto"/>
        </w:rPr>
      </w:pPr>
    </w:p>
    <w:p>
      <w:pPr>
        <w:ind w:right="2759" w:firstLine="851"/>
        <w:spacing w:after="0" w:line="259" w:lineRule="auto"/>
        <w:rPr>
          <w:sz w:val="20"/>
          <w:szCs w:val="20"/>
          <w:color w:val="auto"/>
        </w:rPr>
      </w:pPr>
      <w:r>
        <w:rPr>
          <w:rFonts w:ascii="Courier New" w:cs="Courier New" w:eastAsia="Courier New" w:hAnsi="Courier New"/>
          <w:sz w:val="16"/>
          <w:szCs w:val="16"/>
          <w:color w:val="auto"/>
        </w:rPr>
        <w:t>The Company hereby undertakes that, for purposes of determining any liability under the Securities Act of 1933, each filing of the Company's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19"/>
          </w:cols>
          <w:pgMar w:left="240" w:top="27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29" w:lineRule="exact"/>
        <w:rPr>
          <w:sz w:val="20"/>
          <w:szCs w:val="20"/>
          <w:color w:val="auto"/>
        </w:rPr>
      </w:pPr>
    </w:p>
    <w:p>
      <w:pPr>
        <w:ind w:right="2759" w:firstLine="851"/>
        <w:spacing w:after="0" w:line="263"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of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 ether such indemnification by it is against public policy as expressed in the Act and will be governed by the final adjudication of such issue.</w:t>
      </w:r>
    </w:p>
    <w:p>
      <w:pPr>
        <w:spacing w:after="0" w:line="27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Company hereby undertakes that:</w:t>
      </w:r>
    </w:p>
    <w:p>
      <w:pPr>
        <w:spacing w:after="0" w:line="183" w:lineRule="exact"/>
        <w:rPr>
          <w:sz w:val="20"/>
          <w:szCs w:val="20"/>
          <w:color w:val="auto"/>
        </w:rPr>
      </w:pPr>
    </w:p>
    <w:p>
      <w:pPr>
        <w:ind w:left="840" w:right="2759" w:firstLine="386"/>
        <w:spacing w:after="0" w:line="259" w:lineRule="auto"/>
        <w:tabs>
          <w:tab w:leader="none" w:pos="159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Company pursuant to Rule 424(b)(1), 424(b)(4) or 497(h) under the Securities Act of 1933 shall be deemed to be part of this Registration Statement as of the time it was declared effective.</w:t>
      </w:r>
    </w:p>
    <w:p>
      <w:pPr>
        <w:spacing w:after="0" w:line="85" w:lineRule="exact"/>
        <w:rPr>
          <w:rFonts w:ascii="Courier New" w:cs="Courier New" w:eastAsia="Courier New" w:hAnsi="Courier New"/>
          <w:sz w:val="16"/>
          <w:szCs w:val="16"/>
          <w:color w:val="auto"/>
        </w:rPr>
      </w:pPr>
    </w:p>
    <w:p>
      <w:pPr>
        <w:ind w:left="840" w:right="2839" w:firstLine="386"/>
        <w:spacing w:after="0" w:line="263" w:lineRule="auto"/>
        <w:tabs>
          <w:tab w:leader="none" w:pos="159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7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55" w:lineRule="exact"/>
        <w:rPr>
          <w:sz w:val="20"/>
          <w:szCs w:val="20"/>
          <w:color w:val="auto"/>
        </w:rPr>
      </w:pPr>
    </w:p>
    <w:p>
      <w:pPr>
        <w:ind w:right="2759" w:firstLine="851"/>
        <w:spacing w:after="0" w:line="26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CITY OF DALLAS, STATE OF TEXAS, ON THE 8TH DAY OF JANUARY, 1996.</w:t>
      </w:r>
    </w:p>
    <w:p>
      <w:pPr>
        <w:spacing w:after="0" w:line="8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USA WASTE SERVICES, INC.</w:t>
      </w:r>
    </w:p>
    <w:p>
      <w:pPr>
        <w:spacing w:after="0" w:line="200" w:lineRule="exact"/>
        <w:rPr>
          <w:sz w:val="20"/>
          <w:szCs w:val="20"/>
          <w:color w:val="auto"/>
        </w:rPr>
      </w:pPr>
    </w:p>
    <w:p>
      <w:pPr>
        <w:spacing w:after="0" w:line="346" w:lineRule="exact"/>
        <w:rPr>
          <w:sz w:val="20"/>
          <w:szCs w:val="20"/>
          <w:color w:val="auto"/>
        </w:rPr>
      </w:pPr>
    </w:p>
    <w:p>
      <w:pPr>
        <w:ind w:left="378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29"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6"/>
          <w:szCs w:val="16"/>
          <w:color w:val="auto"/>
        </w:rPr>
        <w:t>John E. Drury</w:t>
      </w:r>
    </w:p>
    <w:p>
      <w:pPr>
        <w:spacing w:after="0" w:line="1"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6"/>
          <w:szCs w:val="16"/>
          <w:color w:val="auto"/>
        </w:rPr>
        <w:t>Chief Executive Officer</w:t>
      </w:r>
    </w:p>
    <w:p>
      <w:pPr>
        <w:spacing w:after="0" w:line="33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POWER OF ATTORNEY</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KNOWN ALL MEN BY THESE PRESENTS, that each person whose signature</w:t>
      </w:r>
    </w:p>
    <w:p>
      <w:pPr>
        <w:spacing w:after="0" w:line="29" w:lineRule="exact"/>
        <w:rPr>
          <w:sz w:val="20"/>
          <w:szCs w:val="20"/>
          <w:color w:val="auto"/>
        </w:rPr>
      </w:pPr>
    </w:p>
    <w:p>
      <w:pPr>
        <w:ind w:right="2759"/>
        <w:spacing w:after="0" w:line="261" w:lineRule="auto"/>
        <w:rPr>
          <w:sz w:val="20"/>
          <w:szCs w:val="20"/>
          <w:color w:val="auto"/>
        </w:rPr>
      </w:pPr>
      <w:r>
        <w:rPr>
          <w:rFonts w:ascii="Courier New" w:cs="Courier New" w:eastAsia="Courier New" w:hAnsi="Courier New"/>
          <w:sz w:val="15"/>
          <w:szCs w:val="15"/>
          <w:color w:val="auto"/>
        </w:rPr>
        <w:t>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connection therewith, with the Securities and Exchange Commission, to sign any and all applications, registration statements, notices or other documents necessary or advisable to comply with the applicable state security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81" w:lineRule="exact"/>
        <w:rPr>
          <w:sz w:val="20"/>
          <w:szCs w:val="20"/>
          <w:color w:val="auto"/>
        </w:rPr>
      </w:pPr>
    </w:p>
    <w:p>
      <w:pPr>
        <w:ind w:right="3319" w:firstLine="851"/>
        <w:spacing w:after="0" w:line="296"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ON JANUARY 8, 1996.</w:t>
      </w:r>
    </w:p>
    <w:p>
      <w:pPr>
        <w:spacing w:after="0" w:line="200" w:lineRule="exact"/>
        <w:rPr>
          <w:sz w:val="20"/>
          <w:szCs w:val="20"/>
          <w:color w:val="auto"/>
        </w:rPr>
      </w:pP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35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9"/>
              </w:rPr>
              <w:t>SIGNATURE</w:t>
            </w:r>
          </w:p>
        </w:tc>
        <w:tc>
          <w:tcPr>
            <w:tcW w:w="4400" w:type="dxa"/>
            <w:vAlign w:val="bottom"/>
          </w:tcPr>
          <w:p>
            <w:pPr>
              <w:ind w:left="2220"/>
              <w:spacing w:after="0"/>
              <w:rPr>
                <w:sz w:val="20"/>
                <w:szCs w:val="20"/>
                <w:color w:val="auto"/>
              </w:rPr>
            </w:pPr>
            <w:r>
              <w:rPr>
                <w:rFonts w:ascii="Courier New" w:cs="Courier New" w:eastAsia="Courier New" w:hAnsi="Courier New"/>
                <w:sz w:val="16"/>
                <w:szCs w:val="16"/>
                <w:color w:val="auto"/>
              </w:rPr>
              <w:t>TITLE</w:t>
            </w:r>
          </w:p>
        </w:tc>
        <w:tc>
          <w:tcPr>
            <w:tcW w:w="0" w:type="dxa"/>
            <w:vAlign w:val="bottom"/>
          </w:tcPr>
          <w:p>
            <w:pPr>
              <w:spacing w:after="0"/>
              <w:rPr>
                <w:sz w:val="1"/>
                <w:szCs w:val="1"/>
                <w:color w:val="auto"/>
              </w:rPr>
            </w:pPr>
          </w:p>
        </w:tc>
      </w:tr>
      <w:tr>
        <w:trPr>
          <w:trHeight w:val="265"/>
        </w:trPr>
        <w:tc>
          <w:tcPr>
            <w:tcW w:w="354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w:t>
            </w:r>
          </w:p>
        </w:tc>
        <w:tc>
          <w:tcPr>
            <w:tcW w:w="4400" w:type="dxa"/>
            <w:vAlign w:val="bottom"/>
          </w:tcPr>
          <w:p>
            <w:pPr>
              <w:ind w:left="22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tcPr>
          <w:p>
            <w:pPr>
              <w:ind w:left="760"/>
              <w:spacing w:after="0"/>
              <w:rPr>
                <w:sz w:val="20"/>
                <w:szCs w:val="20"/>
                <w:color w:val="auto"/>
              </w:rPr>
            </w:pPr>
            <w:r>
              <w:rPr>
                <w:rFonts w:ascii="Courier New" w:cs="Courier New" w:eastAsia="Courier New" w:hAnsi="Courier New"/>
                <w:sz w:val="16"/>
                <w:szCs w:val="16"/>
                <w:color w:val="auto"/>
              </w:rPr>
              <w:t>/s/ John E. Drury</w:t>
            </w:r>
          </w:p>
        </w:tc>
        <w:tc>
          <w:tcPr>
            <w:tcW w:w="4400" w:type="dxa"/>
            <w:vAlign w:val="bottom"/>
          </w:tcPr>
          <w:p>
            <w:pPr>
              <w:ind w:left="240"/>
              <w:spacing w:after="0"/>
              <w:rPr>
                <w:sz w:val="20"/>
                <w:szCs w:val="20"/>
                <w:color w:val="auto"/>
              </w:rPr>
            </w:pPr>
            <w:r>
              <w:rPr>
                <w:rFonts w:ascii="Courier New" w:cs="Courier New" w:eastAsia="Courier New" w:hAnsi="Courier New"/>
                <w:sz w:val="16"/>
                <w:szCs w:val="16"/>
                <w:color w:val="auto"/>
              </w:rPr>
              <w:t>Chairman of the Board and Chief Executive</w:t>
            </w:r>
          </w:p>
        </w:tc>
        <w:tc>
          <w:tcPr>
            <w:tcW w:w="0" w:type="dxa"/>
            <w:vAlign w:val="bottom"/>
          </w:tcPr>
          <w:p>
            <w:pPr>
              <w:spacing w:after="0"/>
              <w:rPr>
                <w:sz w:val="1"/>
                <w:szCs w:val="1"/>
                <w:color w:val="auto"/>
              </w:rPr>
            </w:pPr>
          </w:p>
        </w:tc>
      </w:tr>
      <w:tr>
        <w:trPr>
          <w:trHeight w:val="265"/>
        </w:trPr>
        <w:tc>
          <w:tcPr>
            <w:tcW w:w="3540" w:type="dxa"/>
            <w:vAlign w:val="bottom"/>
            <w:vMerge w:val="restart"/>
          </w:tcPr>
          <w:p>
            <w:pPr>
              <w:jc w:val="center"/>
              <w:ind w:right="162"/>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JohnE.Drury</w:t>
            </w:r>
          </w:p>
        </w:tc>
        <w:tc>
          <w:tcPr>
            <w:tcW w:w="4400" w:type="dxa"/>
            <w:vAlign w:val="bottom"/>
          </w:tcPr>
          <w:p>
            <w:pPr>
              <w:ind w:left="240"/>
              <w:spacing w:after="0"/>
              <w:rPr>
                <w:sz w:val="20"/>
                <w:szCs w:val="20"/>
                <w:color w:val="auto"/>
              </w:rPr>
            </w:pPr>
            <w:r>
              <w:rPr>
                <w:rFonts w:ascii="Courier New" w:cs="Courier New" w:eastAsia="Courier New" w:hAnsi="Courier New"/>
                <w:sz w:val="16"/>
                <w:szCs w:val="16"/>
                <w:color w:val="auto"/>
              </w:rPr>
              <w:t>Officer (Principal executive officer)</w:t>
            </w:r>
          </w:p>
        </w:tc>
        <w:tc>
          <w:tcPr>
            <w:tcW w:w="0" w:type="dxa"/>
            <w:vAlign w:val="bottom"/>
          </w:tcPr>
          <w:p>
            <w:pPr>
              <w:spacing w:after="0"/>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660"/>
              <w:spacing w:after="0"/>
              <w:rPr>
                <w:sz w:val="20"/>
                <w:szCs w:val="20"/>
                <w:color w:val="auto"/>
              </w:rPr>
            </w:pPr>
            <w:r>
              <w:rPr>
                <w:rFonts w:ascii="Courier New" w:cs="Courier New" w:eastAsia="Courier New" w:hAnsi="Courier New"/>
                <w:sz w:val="16"/>
                <w:szCs w:val="16"/>
                <w:color w:val="auto"/>
              </w:rPr>
              <w:t>/s/ Earl E. DrFrates</w:t>
            </w:r>
          </w:p>
        </w:tc>
        <w:tc>
          <w:tcPr>
            <w:tcW w:w="4400" w:type="dxa"/>
            <w:vAlign w:val="bottom"/>
          </w:tcPr>
          <w:p>
            <w:pPr>
              <w:ind w:left="240"/>
              <w:spacing w:after="0"/>
              <w:rPr>
                <w:sz w:val="20"/>
                <w:szCs w:val="20"/>
                <w:color w:val="auto"/>
              </w:rPr>
            </w:pPr>
            <w:r>
              <w:rPr>
                <w:rFonts w:ascii="Courier New" w:cs="Courier New" w:eastAsia="Courier New" w:hAnsi="Courier New"/>
                <w:sz w:val="16"/>
                <w:szCs w:val="16"/>
                <w:color w:val="auto"/>
                <w:w w:val="98"/>
              </w:rPr>
              <w:t>Executive Vice President and Chief Financial</w:t>
            </w:r>
          </w:p>
        </w:tc>
        <w:tc>
          <w:tcPr>
            <w:tcW w:w="0" w:type="dxa"/>
            <w:vAlign w:val="bottom"/>
          </w:tcPr>
          <w:p>
            <w:pPr>
              <w:spacing w:after="0"/>
              <w:rPr>
                <w:sz w:val="1"/>
                <w:szCs w:val="1"/>
                <w:color w:val="auto"/>
              </w:rPr>
            </w:pPr>
          </w:p>
        </w:tc>
      </w:tr>
      <w:tr>
        <w:trPr>
          <w:trHeight w:val="265"/>
        </w:trPr>
        <w:tc>
          <w:tcPr>
            <w:tcW w:w="3540" w:type="dxa"/>
            <w:vAlign w:val="bottom"/>
            <w:vMerge w:val="restart"/>
          </w:tcPr>
          <w:p>
            <w:pPr>
              <w:jc w:val="center"/>
              <w:ind w:right="162"/>
              <w:spacing w:after="0"/>
              <w:rPr>
                <w:sz w:val="20"/>
                <w:szCs w:val="20"/>
                <w:color w:val="auto"/>
              </w:rPr>
            </w:pPr>
            <w:r>
              <w:rPr>
                <w:rFonts w:ascii="Courier New" w:cs="Courier New" w:eastAsia="Courier New" w:hAnsi="Courier New"/>
                <w:sz w:val="14"/>
                <w:szCs w:val="14"/>
                <w:color w:val="auto"/>
                <w:w w:val="74"/>
              </w:rPr>
              <w:t>-----------------------------------</w:t>
            </w:r>
            <w:r>
              <w:rPr>
                <w:rFonts w:ascii="Courier New" w:cs="Courier New" w:eastAsia="Courier New" w:hAnsi="Courier New"/>
                <w:sz w:val="27"/>
                <w:szCs w:val="27"/>
                <w:color w:val="auto"/>
                <w:w w:val="74"/>
                <w:vertAlign w:val="subscript"/>
              </w:rPr>
              <w:t>EarlE.DeFrates</w:t>
            </w:r>
          </w:p>
        </w:tc>
        <w:tc>
          <w:tcPr>
            <w:tcW w:w="4400" w:type="dxa"/>
            <w:vAlign w:val="bottom"/>
          </w:tcPr>
          <w:p>
            <w:pPr>
              <w:ind w:left="240"/>
              <w:spacing w:after="0"/>
              <w:rPr>
                <w:sz w:val="20"/>
                <w:szCs w:val="20"/>
                <w:color w:val="auto"/>
              </w:rPr>
            </w:pPr>
            <w:r>
              <w:rPr>
                <w:rFonts w:ascii="Courier New" w:cs="Courier New" w:eastAsia="Courier New" w:hAnsi="Courier New"/>
                <w:sz w:val="16"/>
                <w:szCs w:val="16"/>
                <w:color w:val="auto"/>
              </w:rPr>
              <w:t>Officer (Principal financial officer)</w:t>
            </w:r>
          </w:p>
        </w:tc>
        <w:tc>
          <w:tcPr>
            <w:tcW w:w="0" w:type="dxa"/>
            <w:vAlign w:val="bottom"/>
          </w:tcPr>
          <w:p>
            <w:pPr>
              <w:spacing w:after="0"/>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660"/>
              <w:spacing w:after="0"/>
              <w:rPr>
                <w:sz w:val="20"/>
                <w:szCs w:val="20"/>
                <w:color w:val="auto"/>
              </w:rPr>
            </w:pPr>
            <w:r>
              <w:rPr>
                <w:rFonts w:ascii="Courier New" w:cs="Courier New" w:eastAsia="Courier New" w:hAnsi="Courier New"/>
                <w:sz w:val="16"/>
                <w:szCs w:val="16"/>
                <w:color w:val="auto"/>
              </w:rPr>
              <w:t>/s/ Bruce E. Snyder</w:t>
            </w:r>
          </w:p>
        </w:tc>
        <w:tc>
          <w:tcPr>
            <w:tcW w:w="4400" w:type="dxa"/>
            <w:vAlign w:val="bottom"/>
          </w:tcPr>
          <w:p>
            <w:pPr>
              <w:ind w:left="240"/>
              <w:spacing w:after="0"/>
              <w:rPr>
                <w:sz w:val="20"/>
                <w:szCs w:val="20"/>
                <w:color w:val="auto"/>
              </w:rPr>
            </w:pPr>
            <w:r>
              <w:rPr>
                <w:rFonts w:ascii="Courier New" w:cs="Courier New" w:eastAsia="Courier New" w:hAnsi="Courier New"/>
                <w:sz w:val="16"/>
                <w:szCs w:val="16"/>
                <w:color w:val="auto"/>
              </w:rPr>
              <w:t>Vice President and Controller (Principal</w:t>
            </w:r>
          </w:p>
        </w:tc>
        <w:tc>
          <w:tcPr>
            <w:tcW w:w="0" w:type="dxa"/>
            <w:vAlign w:val="bottom"/>
          </w:tcPr>
          <w:p>
            <w:pPr>
              <w:spacing w:after="0"/>
              <w:rPr>
                <w:sz w:val="1"/>
                <w:szCs w:val="1"/>
                <w:color w:val="auto"/>
              </w:rPr>
            </w:pPr>
          </w:p>
        </w:tc>
      </w:tr>
      <w:tr>
        <w:trPr>
          <w:trHeight w:val="265"/>
        </w:trPr>
        <w:tc>
          <w:tcPr>
            <w:tcW w:w="3540" w:type="dxa"/>
            <w:vAlign w:val="bottom"/>
            <w:vMerge w:val="restart"/>
          </w:tcPr>
          <w:p>
            <w:pPr>
              <w:jc w:val="center"/>
              <w:ind w:right="162"/>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BruceE.Snyder</w:t>
            </w:r>
          </w:p>
        </w:tc>
        <w:tc>
          <w:tcPr>
            <w:tcW w:w="4400" w:type="dxa"/>
            <w:vAlign w:val="bottom"/>
          </w:tcPr>
          <w:p>
            <w:pPr>
              <w:ind w:left="240"/>
              <w:spacing w:after="0"/>
              <w:rPr>
                <w:sz w:val="20"/>
                <w:szCs w:val="20"/>
                <w:color w:val="auto"/>
              </w:rPr>
            </w:pPr>
            <w:r>
              <w:rPr>
                <w:rFonts w:ascii="Courier New" w:cs="Courier New" w:eastAsia="Courier New" w:hAnsi="Courier New"/>
                <w:sz w:val="16"/>
                <w:szCs w:val="16"/>
                <w:color w:val="auto"/>
              </w:rPr>
              <w:t>accounting officer)</w:t>
            </w:r>
          </w:p>
        </w:tc>
        <w:tc>
          <w:tcPr>
            <w:tcW w:w="0" w:type="dxa"/>
            <w:vAlign w:val="bottom"/>
          </w:tcPr>
          <w:p>
            <w:pPr>
              <w:spacing w:after="0"/>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/s/ Donald F. Moorehead, Jr.</w:t>
            </w:r>
          </w:p>
        </w:tc>
        <w:tc>
          <w:tcPr>
            <w:tcW w:w="4400" w:type="dxa"/>
            <w:vAlign w:val="bottom"/>
          </w:tcPr>
          <w:p>
            <w:pPr>
              <w:ind w:left="240"/>
              <w:spacing w:after="0"/>
              <w:rPr>
                <w:sz w:val="20"/>
                <w:szCs w:val="20"/>
                <w:color w:val="auto"/>
              </w:rPr>
            </w:pPr>
            <w:r>
              <w:rPr>
                <w:rFonts w:ascii="Courier New" w:cs="Courier New" w:eastAsia="Courier New" w:hAnsi="Courier New"/>
                <w:sz w:val="16"/>
                <w:szCs w:val="16"/>
                <w:color w:val="auto"/>
              </w:rPr>
              <w:t>Vice Chairman</w:t>
            </w:r>
          </w:p>
        </w:tc>
        <w:tc>
          <w:tcPr>
            <w:tcW w:w="0" w:type="dxa"/>
            <w:vAlign w:val="bottom"/>
          </w:tcPr>
          <w:p>
            <w:pPr>
              <w:spacing w:after="0"/>
              <w:rPr>
                <w:sz w:val="1"/>
                <w:szCs w:val="1"/>
                <w:color w:val="auto"/>
              </w:rPr>
            </w:pPr>
          </w:p>
        </w:tc>
      </w:tr>
      <w:tr>
        <w:trPr>
          <w:trHeight w:val="182"/>
        </w:trPr>
        <w:tc>
          <w:tcPr>
            <w:tcW w:w="35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w:t>
            </w:r>
          </w:p>
        </w:tc>
        <w:tc>
          <w:tcPr>
            <w:tcW w:w="4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560"/>
              <w:spacing w:after="0"/>
              <w:rPr>
                <w:sz w:val="20"/>
                <w:szCs w:val="20"/>
                <w:color w:val="auto"/>
              </w:rPr>
            </w:pPr>
            <w:r>
              <w:rPr>
                <w:rFonts w:ascii="Courier New" w:cs="Courier New" w:eastAsia="Courier New" w:hAnsi="Courier New"/>
                <w:sz w:val="16"/>
                <w:szCs w:val="16"/>
                <w:color w:val="auto"/>
              </w:rPr>
              <w:t>Donald F. Moorehead, Jr.</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71"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65"/>
        </w:trPr>
        <w:tc>
          <w:tcPr>
            <w:tcW w:w="3780" w:type="dxa"/>
            <w:vAlign w:val="bottom"/>
          </w:tcPr>
          <w:p>
            <w:pPr>
              <w:jc w:val="right"/>
              <w:ind w:right="3521"/>
              <w:spacing w:after="0"/>
              <w:rPr>
                <w:sz w:val="20"/>
                <w:szCs w:val="20"/>
                <w:color w:val="auto"/>
              </w:rPr>
            </w:pPr>
            <w:r>
              <w:rPr>
                <w:rFonts w:ascii="Courier New" w:cs="Courier New" w:eastAsia="Courier New" w:hAnsi="Courier New"/>
                <w:sz w:val="16"/>
                <w:szCs w:val="16"/>
                <w:color w:val="auto"/>
                <w:w w:val="83"/>
              </w:rPr>
              <w:t>14</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378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/s/ David Sutherland-Yoest</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President and Director</w:t>
            </w:r>
          </w:p>
        </w:tc>
        <w:tc>
          <w:tcPr>
            <w:tcW w:w="0" w:type="dxa"/>
            <w:vAlign w:val="bottom"/>
          </w:tcPr>
          <w:p>
            <w:pPr>
              <w:spacing w:after="0"/>
              <w:rPr>
                <w:sz w:val="1"/>
                <w:szCs w:val="1"/>
                <w:color w:val="auto"/>
              </w:rPr>
            </w:pPr>
          </w:p>
        </w:tc>
      </w:tr>
      <w:tr>
        <w:trPr>
          <w:trHeight w:val="182"/>
        </w:trPr>
        <w:tc>
          <w:tcPr>
            <w:tcW w:w="378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8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David Sutherland-Yoest</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78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/s/ George L. Ball</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2"/>
        </w:trPr>
        <w:tc>
          <w:tcPr>
            <w:tcW w:w="378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8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George L. Ball</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78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/s/ Peter J. Gibbons</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2"/>
        </w:trPr>
        <w:tc>
          <w:tcPr>
            <w:tcW w:w="378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8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Peter J. Gibbons</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7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/s/ Richard J. Heckmann</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2"/>
        </w:trPr>
        <w:tc>
          <w:tcPr>
            <w:tcW w:w="378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8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Richard J. Heckmann</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3780" w:type="dxa"/>
            <w:vAlign w:val="bottom"/>
            <w:vMerge w:val="restart"/>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98"/>
        </w:trPr>
        <w:tc>
          <w:tcPr>
            <w:tcW w:w="378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78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William E. Moffett</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3780" w:type="dxa"/>
            <w:vAlign w:val="bottom"/>
            <w:vMerge w:val="restart"/>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98"/>
        </w:trPr>
        <w:tc>
          <w:tcPr>
            <w:tcW w:w="378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78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John G. Rangos, Sr.</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3780" w:type="dxa"/>
            <w:vAlign w:val="bottom"/>
            <w:vMerge w:val="restart"/>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w w:val="97"/>
              </w:rPr>
              <w:t>Vice Chairman and Director</w:t>
            </w:r>
          </w:p>
        </w:tc>
        <w:tc>
          <w:tcPr>
            <w:tcW w:w="0" w:type="dxa"/>
            <w:vAlign w:val="bottom"/>
          </w:tcPr>
          <w:p>
            <w:pPr>
              <w:spacing w:after="0"/>
              <w:rPr>
                <w:sz w:val="1"/>
                <w:szCs w:val="1"/>
                <w:color w:val="auto"/>
              </w:rPr>
            </w:pPr>
          </w:p>
        </w:tc>
      </w:tr>
      <w:tr>
        <w:trPr>
          <w:trHeight w:val="98"/>
        </w:trPr>
        <w:tc>
          <w:tcPr>
            <w:tcW w:w="378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78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Alexander W. Rangos</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8"/>
        </w:trPr>
        <w:tc>
          <w:tcPr>
            <w:tcW w:w="3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II-4</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39"/>
          </w:cols>
          <w:pgMar w:left="520" w:top="27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660" w:type="dxa"/>
            <w:vAlign w:val="bottom"/>
          </w:tcPr>
          <w:p>
            <w:pPr>
              <w:spacing w:after="0"/>
              <w:rPr>
                <w:sz w:val="23"/>
                <w:szCs w:val="23"/>
                <w:color w:val="auto"/>
              </w:rPr>
            </w:pPr>
          </w:p>
        </w:tc>
        <w:tc>
          <w:tcPr>
            <w:tcW w:w="2980" w:type="dxa"/>
            <w:vAlign w:val="bottom"/>
          </w:tcPr>
          <w:p>
            <w:pPr>
              <w:ind w:left="980"/>
              <w:spacing w:after="0"/>
              <w:rPr>
                <w:sz w:val="20"/>
                <w:szCs w:val="20"/>
                <w:color w:val="auto"/>
              </w:rPr>
            </w:pPr>
            <w:r>
              <w:rPr>
                <w:rFonts w:ascii="Courier New" w:cs="Courier New" w:eastAsia="Courier New" w:hAnsi="Courier New"/>
                <w:sz w:val="16"/>
                <w:szCs w:val="16"/>
                <w:color w:val="auto"/>
              </w:rPr>
              <w:t>INDEX TO EXHIBITS</w:t>
            </w:r>
          </w:p>
        </w:tc>
        <w:tc>
          <w:tcPr>
            <w:tcW w:w="0" w:type="dxa"/>
            <w:vAlign w:val="bottom"/>
          </w:tcPr>
          <w:p>
            <w:pPr>
              <w:spacing w:after="0"/>
              <w:rPr>
                <w:sz w:val="1"/>
                <w:szCs w:val="1"/>
                <w:color w:val="auto"/>
              </w:rPr>
            </w:pPr>
          </w:p>
        </w:tc>
      </w:tr>
      <w:tr>
        <w:trPr>
          <w:trHeight w:val="616"/>
        </w:trPr>
        <w:tc>
          <w:tcPr>
            <w:tcW w:w="16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5"/>
              </w:rPr>
              <w:t>Exhibit</w:t>
            </w:r>
          </w:p>
        </w:tc>
        <w:tc>
          <w:tcPr>
            <w:tcW w:w="2980" w:type="dxa"/>
            <w:vAlign w:val="bottom"/>
            <w:vMerge w:val="restart"/>
          </w:tcPr>
          <w:p>
            <w:pPr>
              <w:ind w:left="1940"/>
              <w:spacing w:after="0"/>
              <w:rPr>
                <w:sz w:val="20"/>
                <w:szCs w:val="20"/>
                <w:color w:val="auto"/>
              </w:rPr>
            </w:pPr>
            <w:r>
              <w:rPr>
                <w:rFonts w:ascii="Courier New" w:cs="Courier New" w:eastAsia="Courier New" w:hAnsi="Courier New"/>
                <w:sz w:val="16"/>
                <w:szCs w:val="16"/>
                <w:color w:val="auto"/>
                <w:w w:val="96"/>
              </w:rPr>
              <w:t>Description</w:t>
            </w:r>
          </w:p>
        </w:tc>
        <w:tc>
          <w:tcPr>
            <w:tcW w:w="0" w:type="dxa"/>
            <w:vAlign w:val="bottom"/>
          </w:tcPr>
          <w:p>
            <w:pPr>
              <w:spacing w:after="0"/>
              <w:rPr>
                <w:sz w:val="1"/>
                <w:szCs w:val="1"/>
                <w:color w:val="auto"/>
              </w:rPr>
            </w:pPr>
          </w:p>
        </w:tc>
      </w:tr>
      <w:tr>
        <w:trPr>
          <w:trHeight w:val="182"/>
        </w:trPr>
        <w:tc>
          <w:tcPr>
            <w:tcW w:w="16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Number</w:t>
            </w:r>
          </w:p>
        </w:tc>
        <w:tc>
          <w:tcPr>
            <w:tcW w:w="2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6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2980" w:type="dxa"/>
            <w:vAlign w:val="bottom"/>
          </w:tcPr>
          <w:p>
            <w:pPr>
              <w:ind w:left="194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80"/>
        <w:spacing w:after="0"/>
        <w:tabs>
          <w:tab w:leader="none" w:pos="10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Andrews &amp; Kurth L.L.P.</w:t>
      </w:r>
    </w:p>
    <w:p>
      <w:pPr>
        <w:spacing w:after="0" w:line="29"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Andrews &amp; Kurth L.L.P. (included in Exhibit 5.1).</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Consent of Coopers &amp; Lybrand L.L.P.</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5"/>
          <w:szCs w:val="15"/>
          <w:color w:val="auto"/>
        </w:rPr>
        <w:t>Consent of Deloitte &amp; Touche LLP</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5"/>
          <w:szCs w:val="15"/>
          <w:color w:val="auto"/>
        </w:rPr>
        <w:t>Consent of Arthur Andersen LLP</w:t>
      </w:r>
    </w:p>
    <w:p>
      <w:pPr>
        <w:spacing w:after="0" w:line="1" w:lineRule="exact"/>
        <w:rPr>
          <w:sz w:val="20"/>
          <w:szCs w:val="20"/>
          <w:color w:val="auto"/>
        </w:rPr>
      </w:pPr>
    </w:p>
    <w:p>
      <w:pPr>
        <w:ind w:left="1040" w:right="2939" w:hanging="850"/>
        <w:spacing w:after="0" w:line="315" w:lineRule="auto"/>
        <w:tabs>
          <w:tab w:leader="none" w:pos="102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Powers of attorney (included on the signature page contained in Part II of this Registration Statement).</w:t>
      </w:r>
    </w:p>
    <w:p>
      <w:pPr>
        <w:sectPr>
          <w:pgSz w:w="11900" w:h="16838" w:orient="portrait"/>
          <w:cols w:equalWidth="0" w:num="1">
            <w:col w:w="9939"/>
          </w:cols>
          <w:pgMar w:left="520" w:top="27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5.1</w:t>
      </w:r>
    </w:p>
    <w:p>
      <w:pPr>
        <w:spacing w:after="0" w:line="15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ANDREWS &amp; KURTH L.L.P.</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4200 Texas Commerce Tower</w:t>
      </w:r>
    </w:p>
    <w:p>
      <w:pPr>
        <w:spacing w:after="0" w:line="1" w:lineRule="exact"/>
        <w:rPr>
          <w:sz w:val="20"/>
          <w:szCs w:val="20"/>
          <w:color w:val="auto"/>
        </w:rPr>
      </w:pPr>
    </w:p>
    <w:p>
      <w:pPr>
        <w:ind w:left="2740"/>
        <w:spacing w:after="0"/>
        <w:tabs>
          <w:tab w:leader="none" w:pos="4240" w:val="left"/>
        </w:tabs>
        <w:rPr>
          <w:sz w:val="20"/>
          <w:szCs w:val="20"/>
          <w:color w:val="auto"/>
        </w:rPr>
      </w:pPr>
      <w:r>
        <w:rPr>
          <w:rFonts w:ascii="Courier New" w:cs="Courier New" w:eastAsia="Courier New" w:hAnsi="Courier New"/>
          <w:sz w:val="16"/>
          <w:szCs w:val="16"/>
          <w:color w:val="auto"/>
        </w:rPr>
        <w:t>Houston, Texas</w:t>
      </w:r>
      <w:r>
        <w:rPr>
          <w:sz w:val="20"/>
          <w:szCs w:val="20"/>
          <w:color w:val="auto"/>
        </w:rPr>
        <w:tab/>
      </w:r>
      <w:r>
        <w:rPr>
          <w:rFonts w:ascii="Courier New" w:cs="Courier New" w:eastAsia="Courier New" w:hAnsi="Courier New"/>
          <w:sz w:val="15"/>
          <w:szCs w:val="15"/>
          <w:color w:val="auto"/>
        </w:rPr>
        <w:t>77002</w:t>
      </w:r>
    </w:p>
    <w:p>
      <w:pPr>
        <w:spacing w:after="0" w:line="33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January 8, 1996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5400 LBJ Freeway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300 - Tower One</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Dallas, Texas</w:t>
      </w:r>
      <w:r>
        <w:rPr>
          <w:sz w:val="20"/>
          <w:szCs w:val="20"/>
          <w:color w:val="auto"/>
        </w:rPr>
        <w:tab/>
      </w:r>
      <w:r>
        <w:rPr>
          <w:rFonts w:ascii="Courier New" w:cs="Courier New" w:eastAsia="Courier New" w:hAnsi="Courier New"/>
          <w:sz w:val="15"/>
          <w:szCs w:val="15"/>
          <w:color w:val="auto"/>
        </w:rPr>
        <w:t>75240</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839" w:firstLine="851"/>
        <w:spacing w:after="0" w:line="259" w:lineRule="auto"/>
        <w:rPr>
          <w:sz w:val="20"/>
          <w:szCs w:val="20"/>
          <w:color w:val="auto"/>
        </w:rPr>
      </w:pPr>
      <w:r>
        <w:rPr>
          <w:rFonts w:ascii="Courier New" w:cs="Courier New" w:eastAsia="Courier New" w:hAnsi="Courier New"/>
          <w:sz w:val="16"/>
          <w:szCs w:val="16"/>
          <w:color w:val="auto"/>
        </w:rPr>
        <w:t>We have acted as counsel for USA Waste Services, Inc., a Delaware corporation (the "Company"), in connection with the Company's Registration Statement on Form S-3 (the "Registration Statement") relating to the registration under the Securities Act of 1933, as amended, of the offering and sale of an aggregate of 4,000,000 shares (the "Shares") of common stock, par value $.01 per share, of the Company ("Common Stock") to be offered by certain Selling Stockholders named in the Registration Statement.</w:t>
      </w:r>
    </w:p>
    <w:p>
      <w:pPr>
        <w:spacing w:after="0" w:line="86" w:lineRule="exact"/>
        <w:rPr>
          <w:sz w:val="20"/>
          <w:szCs w:val="20"/>
          <w:color w:val="auto"/>
        </w:rPr>
      </w:pPr>
    </w:p>
    <w:p>
      <w:pPr>
        <w:ind w:right="2759" w:firstLine="851"/>
        <w:spacing w:after="0" w:line="256" w:lineRule="auto"/>
        <w:rPr>
          <w:sz w:val="20"/>
          <w:szCs w:val="20"/>
          <w:color w:val="auto"/>
        </w:rPr>
      </w:pPr>
      <w:r>
        <w:rPr>
          <w:rFonts w:ascii="Courier New" w:cs="Courier New" w:eastAsia="Courier New" w:hAnsi="Courier New"/>
          <w:sz w:val="16"/>
          <w:szCs w:val="16"/>
          <w:color w:val="auto"/>
        </w:rPr>
        <w:t>In so acting, we have examined a copy of the Registration Statement, copies of the Company's certificate of incorporation and bylaws, and such other instruments and documents as we have deemed necessary as a basis for the opinions hereinafter expressed. In giving such opinions, we have assumed that all signatures on all documents examined by us are genuine, that all documents submitted to us as originals are authentic, that all documents submitted to us as copies are true and correct copies of the originals thereof and that all information submitted to us was accurate and complete.</w:t>
      </w:r>
    </w:p>
    <w:p>
      <w:pPr>
        <w:spacing w:after="0" w:line="90" w:lineRule="exact"/>
        <w:rPr>
          <w:sz w:val="20"/>
          <w:szCs w:val="20"/>
          <w:color w:val="auto"/>
        </w:rPr>
      </w:pPr>
    </w:p>
    <w:p>
      <w:pPr>
        <w:ind w:right="2839" w:firstLine="851"/>
        <w:spacing w:after="0" w:line="301" w:lineRule="auto"/>
        <w:rPr>
          <w:sz w:val="20"/>
          <w:szCs w:val="20"/>
          <w:color w:val="auto"/>
        </w:rPr>
      </w:pPr>
      <w:r>
        <w:rPr>
          <w:rFonts w:ascii="Courier New" w:cs="Courier New" w:eastAsia="Courier New" w:hAnsi="Courier New"/>
          <w:sz w:val="15"/>
          <w:szCs w:val="15"/>
          <w:color w:val="auto"/>
        </w:rPr>
        <w:t>Based on our examination as aforesaid and subject to the assumptions and limitations herein set forth, we are of the opinion that the Shares to be sold by the Selling Stockholders as described in the "Plan of Distribution" of the Registration Statement are validly issued, fully paid and non-assessable.</w:t>
      </w:r>
    </w:p>
    <w:p>
      <w:pPr>
        <w:spacing w:after="0" w:line="57" w:lineRule="exact"/>
        <w:rPr>
          <w:sz w:val="20"/>
          <w:szCs w:val="20"/>
          <w:color w:val="auto"/>
        </w:rPr>
      </w:pPr>
    </w:p>
    <w:p>
      <w:pPr>
        <w:ind w:right="2759" w:firstLine="851"/>
        <w:spacing w:after="0" w:line="296" w:lineRule="auto"/>
        <w:rPr>
          <w:sz w:val="20"/>
          <w:szCs w:val="20"/>
          <w:color w:val="auto"/>
        </w:rPr>
      </w:pPr>
      <w:r>
        <w:rPr>
          <w:rFonts w:ascii="Courier New" w:cs="Courier New" w:eastAsia="Courier New" w:hAnsi="Courier New"/>
          <w:sz w:val="16"/>
          <w:szCs w:val="16"/>
          <w:color w:val="auto"/>
        </w:rPr>
        <w:t>This opinion is limited in all respects to the General Corporation Law of the State of Delaware and the laws of the United States of America insofar as such laws are concerned.</w:t>
      </w:r>
    </w:p>
    <w:p>
      <w:pPr>
        <w:spacing w:after="0" w:line="57" w:lineRule="exact"/>
        <w:rPr>
          <w:sz w:val="20"/>
          <w:szCs w:val="20"/>
          <w:color w:val="auto"/>
        </w:rPr>
      </w:pPr>
    </w:p>
    <w:p>
      <w:pPr>
        <w:ind w:right="2759" w:firstLine="851"/>
        <w:spacing w:after="0" w:line="296"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the reference to the use of our firm name under the caption "Legal Matters" therein.</w:t>
      </w:r>
    </w:p>
    <w:p>
      <w:pPr>
        <w:spacing w:after="0" w:line="5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Very truly yours,</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ANDREWS &amp; KURTH L.L.P.</w:t>
      </w:r>
    </w:p>
    <w:p>
      <w:pPr>
        <w:spacing w:after="0" w:line="18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Andrews &amp; Kurth L.L.P.</w:t>
      </w:r>
    </w:p>
    <w:p>
      <w:pPr>
        <w:sectPr>
          <w:pgSz w:w="11900" w:h="16838" w:orient="portrait"/>
          <w:cols w:equalWidth="0" w:num="1">
            <w:col w:w="10219"/>
          </w:cols>
          <w:pgMar w:left="240" w:top="114"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23.2</w:t>
      </w:r>
    </w:p>
    <w:p>
      <w:pPr>
        <w:spacing w:after="0" w:line="155"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759" w:firstLine="851"/>
        <w:spacing w:after="0" w:line="249"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10, 1995, on our audits of the consolidated financial statements of USA Waste Services, Inc. as of December 31, 1994 and 1993, and for each of the three years in the period ended December 31, 1994, which is included in USA Waste Services, Inc.'s Annual Report on Form 10-K for the fiscal year ended December 31, 1994, as amended by Form 10-K/A and included in and incorporated by reference into USA Waste Services, Inc.'s Joint Proxy Statement and Prospectus dated May 19, 1995, and our report dated July 14, 1995, on our audits of the supplemental consolidated financial statements of USA Waste Services, Inc. as of December 31, 1994 and 1993, and for each of the three years in the period ended December 31, 1994, which is included in USA Waste Services, Inc.'s Current Report on Form 8-K dated June 30, 1995. We also consent to the reference to our firm under the caption "Experts."</w:t>
      </w:r>
    </w:p>
    <w:p>
      <w:pPr>
        <w:spacing w:after="0" w:line="27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COOPERS &amp; LYBRAND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8, 1996</w:t>
      </w:r>
    </w:p>
    <w:p>
      <w:pPr>
        <w:sectPr>
          <w:pgSz w:w="11900" w:h="16838" w:orient="portrait"/>
          <w:cols w:equalWidth="0" w:num="1">
            <w:col w:w="10219"/>
          </w:cols>
          <w:pgMar w:left="240" w:top="114"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23.3</w:t>
      </w:r>
    </w:p>
    <w:p>
      <w:pPr>
        <w:spacing w:after="0" w:line="336"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INDEPENDENT AUDITORS' CONSENT</w:t>
      </w:r>
    </w:p>
    <w:p>
      <w:pPr>
        <w:spacing w:after="0" w:line="183" w:lineRule="exact"/>
        <w:rPr>
          <w:sz w:val="20"/>
          <w:szCs w:val="20"/>
          <w:color w:val="auto"/>
        </w:rPr>
      </w:pPr>
    </w:p>
    <w:p>
      <w:pPr>
        <w:ind w:right="2759" w:firstLine="851"/>
        <w:spacing w:after="0" w:line="253"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30, 1995 on the consolidated financial statements of Chambers Development Company, Inc. and subsidiaries as of December 31, 1994 and 1993 and for each of the three years in the period ended December 31, 1994 appearing in USA Waste Services, Inc.'s Current Report on Form 8-K dated June 30, 1995 (which does not include such consolidated financial statements), and appearing in the Joint Proxy Statement and Prospectus of USA Waste Services, Inc. dated May 19, 1995. We also consent to the reference to us under the heading "Experts" in the Prospectus, which is part of such Registration Statement.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8, 1996</w:t>
      </w:r>
    </w:p>
    <w:p>
      <w:pPr>
        <w:sectPr>
          <w:pgSz w:w="11900" w:h="16838" w:orient="portrait"/>
          <w:cols w:equalWidth="0" w:num="1">
            <w:col w:w="10219"/>
          </w:cols>
          <w:pgMar w:left="240" w:top="114"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183" w:lineRule="exact"/>
        <w:rPr>
          <w:sz w:val="20"/>
          <w:szCs w:val="20"/>
          <w:color w:val="auto"/>
        </w:rPr>
      </w:pPr>
    </w:p>
    <w:p>
      <w:pPr>
        <w:ind w:right="2759" w:firstLine="851"/>
        <w:spacing w:after="0" w:line="250"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on Form S-3 of our report dated September 22, 1993 on Envirofil, Inc. included in the USA Waste Services, Inc.'s previously filed Annual Report on Form 10-K for the fiscal year ended December 31, 1994, as amended by Form 10- K/A (Amendment No. 1) dated April 25, 1995 and included in and incorporated by reference in the USA Waste Services, Inc.'s previously filed Joint Proxy Statement and Prospectus dated May 19, 1995, and our report dated March 25, 1994 on the Acquired New Jersey Solid Waste Companies included in the Envirofil, Inc.'s previously filed Current Report on Form 8-K/A dated May 11, 1994 and incorporated by reference in USA Waste Services, Inc.'s previously filed Joint Proxy Statement and Prospectus dated May 19, 1995 and to all references to our Firm included in the Registration Statement.</w:t>
      </w:r>
    </w:p>
    <w:p>
      <w:pPr>
        <w:spacing w:after="0" w:line="27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ARTHUR ANDERSEN LLP</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8, 1996</w:t>
      </w:r>
    </w:p>
    <w:sectPr>
      <w:pgSz w:w="11900" w:h="16838" w:orient="portrait"/>
      <w:cols w:equalWidth="0" w:num="1">
        <w:col w:w="10219"/>
      </w:cols>
      <w:pgMar w:left="2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2019-12-20T04:15:26Z</dcterms:created>
  <dcterms:modified xsi:type="dcterms:W3CDTF">2019-12-20T04:15:26Z</dcterms:modified>
</cp:coreProperties>
</file>