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8"/>
          <w:szCs w:val="18"/>
          <w:b w:val="1"/>
          <w:bCs w:val="1"/>
          <w:color w:val="auto"/>
        </w:rPr>
        <w:t>SCHEDULE 14A</w:t>
      </w:r>
    </w:p>
    <w:p>
      <w:pPr>
        <w:spacing w:after="0" w:line="90"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3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3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98" w:lineRule="exact"/>
        <w:rPr>
          <w:rFonts w:ascii="MS PGothic" w:cs="MS PGothic" w:eastAsia="MS PGothic" w:hAnsi="MS PGothic"/>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60" w:hanging="720"/>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48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3" w:lineRule="exact"/>
        <w:rPr>
          <w:rFonts w:ascii="MS PGothic" w:cs="MS PGothic" w:eastAsia="MS PGothic" w:hAnsi="MS PGothic"/>
          <w:sz w:val="16"/>
          <w:szCs w:val="16"/>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1160" w:hanging="72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742315</wp:posOffset>
            </wp:positionH>
            <wp:positionV relativeFrom="paragraph">
              <wp:posOffset>-4447540</wp:posOffset>
            </wp:positionV>
            <wp:extent cx="6508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-3975735</wp:posOffset>
            </wp:positionV>
            <wp:extent cx="650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-3461385</wp:posOffset>
            </wp:positionV>
            <wp:extent cx="6508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-2989580</wp:posOffset>
            </wp:positionV>
            <wp:extent cx="6508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-2518410</wp:posOffset>
            </wp:positionV>
            <wp:extent cx="6508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-1249045</wp:posOffset>
            </wp:positionV>
            <wp:extent cx="6508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-777240</wp:posOffset>
            </wp:positionV>
            <wp:extent cx="6508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-305435</wp:posOffset>
            </wp:positionV>
            <wp:extent cx="6508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165735</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ectPr>
          <w:pgSz w:w="11900" w:h="16838" w:orient="portrait"/>
          <w:cols w:equalWidth="0" w:num="1">
            <w:col w:w="11200"/>
          </w:cols>
          <w:pgMar w:left="240" w:top="233" w:right="459" w:bottom="1440" w:gutter="0" w:footer="0" w:header="0"/>
        </w:sectPr>
      </w:pPr>
    </w:p>
    <w:bookmarkStart w:id="1" w:name="page2"/>
    <w:bookmarkEnd w:id="1"/>
    <w:p>
      <w:pPr>
        <w:jc w:val="center"/>
        <w:ind w:right="4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53" w:lineRule="exact"/>
        <w:rPr>
          <w:sz w:val="20"/>
          <w:szCs w:val="20"/>
          <w:color w:val="auto"/>
        </w:rPr>
      </w:pPr>
    </w:p>
    <w:p>
      <w:pPr>
        <w:jc w:val="center"/>
        <w:ind w:right="48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1"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Shareholder Meeting to Be Held on May 10, 2012.</w:t>
      </w:r>
    </w:p>
    <w:p>
      <w:pPr>
        <w:sectPr>
          <w:pgSz w:w="11900" w:h="16838" w:orient="portrait"/>
          <w:cols w:equalWidth="0" w:num="1">
            <w:col w:w="10880"/>
          </w:cols>
          <w:pgMar w:left="760" w:top="24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0"/>
        <w:spacing w:after="0"/>
        <w:rPr>
          <w:sz w:val="20"/>
          <w:szCs w:val="20"/>
          <w:color w:val="auto"/>
        </w:rPr>
      </w:pPr>
      <w:r>
        <w:rPr>
          <w:rFonts w:ascii="Arial" w:cs="Arial" w:eastAsia="Arial" w:hAnsi="Arial"/>
          <w:sz w:val="21"/>
          <w:szCs w:val="21"/>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819150</wp:posOffset>
            </wp:positionV>
            <wp:extent cx="960755"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75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04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-127635</wp:posOffset>
            </wp:positionV>
            <wp:extent cx="3027045" cy="1329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27045" cy="1329055"/>
                    </a:xfrm>
                    <a:prstGeom prst="rect">
                      <a:avLst/>
                    </a:prstGeom>
                    <a:noFill/>
                  </pic:spPr>
                </pic:pic>
              </a:graphicData>
            </a:graphic>
          </wp:anchor>
        </w:drawing>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Meeting Type:</w:t>
      </w:r>
      <w:r>
        <w:rPr>
          <w:sz w:val="20"/>
          <w:szCs w:val="20"/>
          <w:color w:val="auto"/>
        </w:rPr>
        <w:tab/>
      </w:r>
      <w:r>
        <w:rPr>
          <w:rFonts w:ascii="Arial" w:cs="Arial" w:eastAsia="Arial" w:hAnsi="Arial"/>
          <w:sz w:val="16"/>
          <w:szCs w:val="16"/>
          <w:color w:val="auto"/>
        </w:rPr>
        <w:t>Annual Meeting</w:t>
      </w:r>
    </w:p>
    <w:p>
      <w:pPr>
        <w:spacing w:after="0" w:line="3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March 13, 2012</w:t>
      </w:r>
    </w:p>
    <w:p>
      <w:pPr>
        <w:spacing w:after="0" w:line="26" w:lineRule="exact"/>
        <w:rPr>
          <w:sz w:val="20"/>
          <w:szCs w:val="20"/>
          <w:color w:val="auto"/>
        </w:rPr>
      </w:pPr>
    </w:p>
    <w:p>
      <w:pPr>
        <w:spacing w:after="0"/>
        <w:tabs>
          <w:tab w:leader="none" w:pos="600" w:val="left"/>
          <w:tab w:leader="none" w:pos="21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May 10, 2012</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11:00 a.m.</w:t>
      </w:r>
    </w:p>
    <w:p>
      <w:pPr>
        <w:spacing w:after="0" w:line="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The Maury Myers Conference Center</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Waste Management, Inc.</w:t>
      </w:r>
    </w:p>
    <w:p>
      <w:pPr>
        <w:ind w:left="960"/>
        <w:spacing w:after="0" w:line="234" w:lineRule="auto"/>
        <w:rPr>
          <w:sz w:val="20"/>
          <w:szCs w:val="20"/>
          <w:color w:val="auto"/>
        </w:rPr>
      </w:pPr>
      <w:r>
        <w:rPr>
          <w:rFonts w:ascii="Arial" w:cs="Arial" w:eastAsia="Arial" w:hAnsi="Arial"/>
          <w:sz w:val="18"/>
          <w:szCs w:val="18"/>
          <w:color w:val="auto"/>
        </w:rPr>
        <w:t>1021 Main Street</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ectPr>
          <w:pgSz w:w="11900" w:h="16838" w:orient="portrait"/>
          <w:cols w:equalWidth="0" w:num="2">
            <w:col w:w="5540" w:space="720"/>
            <w:col w:w="4620"/>
          </w:cols>
          <w:pgMar w:left="760" w:top="247" w:right="25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WASTE MANAGEMENT, INC.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1001 FANNIN STREET</w:t>
      </w:r>
    </w:p>
    <w:p>
      <w:pPr>
        <w:spacing w:after="0" w:line="221" w:lineRule="auto"/>
        <w:rPr>
          <w:sz w:val="20"/>
          <w:szCs w:val="20"/>
          <w:color w:val="auto"/>
        </w:rPr>
      </w:pPr>
      <w:r>
        <w:rPr>
          <w:rFonts w:ascii="Arial" w:cs="Arial" w:eastAsia="Arial" w:hAnsi="Arial"/>
          <w:sz w:val="14"/>
          <w:szCs w:val="14"/>
          <w:i w:val="1"/>
          <w:iCs w:val="1"/>
          <w:color w:val="auto"/>
        </w:rPr>
        <w:t>SUITE 4000</w:t>
      </w:r>
    </w:p>
    <w:p>
      <w:pPr>
        <w:spacing w:after="0"/>
        <w:rPr>
          <w:sz w:val="20"/>
          <w:szCs w:val="20"/>
          <w:color w:val="auto"/>
        </w:rPr>
      </w:pPr>
      <w:r>
        <w:rPr>
          <w:rFonts w:ascii="Arial" w:cs="Arial" w:eastAsia="Arial" w:hAnsi="Arial"/>
          <w:sz w:val="14"/>
          <w:szCs w:val="14"/>
          <w:i w:val="1"/>
          <w:i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1638935</wp:posOffset>
            </wp:positionV>
            <wp:extent cx="5143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90" w:lineRule="exact"/>
        <w:rPr>
          <w:sz w:val="20"/>
          <w:szCs w:val="20"/>
          <w:color w:val="auto"/>
        </w:rPr>
      </w:pPr>
    </w:p>
    <w:p>
      <w:pPr>
        <w:ind w:right="800"/>
        <w:spacing w:after="0" w:line="299"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-276860</wp:posOffset>
            </wp:positionV>
            <wp:extent cx="354203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42030" cy="360045"/>
                    </a:xfrm>
                    <a:prstGeom prst="rect">
                      <a:avLst/>
                    </a:prstGeom>
                    <a:noFill/>
                  </pic:spPr>
                </pic:pic>
              </a:graphicData>
            </a:graphic>
          </wp:anchor>
        </w:drawing>
      </w:r>
    </w:p>
    <w:p>
      <w:pPr>
        <w:sectPr>
          <w:pgSz w:w="11900" w:h="16838" w:orient="portrait"/>
          <w:cols w:equalWidth="0" w:num="2">
            <w:col w:w="4720" w:space="720"/>
            <w:col w:w="5440"/>
          </w:cols>
          <w:pgMar w:left="760" w:top="247" w:right="259" w:bottom="1440" w:gutter="0" w:footer="0" w:header="0"/>
          <w:type w:val="continuous"/>
        </w:sectPr>
      </w:pPr>
    </w:p>
    <w:bookmarkStart w:id="2" w:name="page3"/>
    <w:bookmarkEnd w:id="2"/>
    <w:p>
      <w:pPr>
        <w:jc w:val="center"/>
        <w:ind w:right="4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-95250</wp:posOffset>
            </wp:positionV>
            <wp:extent cx="283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-95250</wp:posOffset>
            </wp:positionV>
            <wp:extent cx="300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How to Access the Proxy Materials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-127635</wp:posOffset>
            </wp:positionV>
            <wp:extent cx="7066280" cy="2255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6280" cy="225552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Combined Proxy Statement and Annual Report on Form 10-K</w:t>
      </w:r>
    </w:p>
    <w:p>
      <w:pPr>
        <w:ind w:left="240"/>
        <w:spacing w:after="0" w:line="231" w:lineRule="auto"/>
        <w:rPr>
          <w:sz w:val="20"/>
          <w:szCs w:val="20"/>
          <w:color w:val="auto"/>
        </w:rPr>
      </w:pPr>
      <w:r>
        <w:rPr>
          <w:rFonts w:ascii="Arial" w:cs="Arial" w:eastAsia="Arial" w:hAnsi="Arial"/>
          <w:sz w:val="18"/>
          <w:szCs w:val="18"/>
          <w:b w:val="1"/>
          <w:bCs w:val="1"/>
          <w:color w:val="auto"/>
        </w:rPr>
        <w:t>How to View Online:</w:t>
      </w:r>
    </w:p>
    <w:p>
      <w:pPr>
        <w:ind w:left="240" w:right="40"/>
        <w:spacing w:after="0" w:line="252"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03655"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 </w:t>
      </w:r>
      <w:r>
        <w:rPr>
          <w:rFonts w:ascii="Arial" w:cs="Arial" w:eastAsia="Arial" w:hAnsi="Arial"/>
          <w:sz w:val="18"/>
          <w:szCs w:val="18"/>
          <w:i w:val="1"/>
          <w:iCs w:val="1"/>
          <w:color w:val="auto"/>
        </w:rPr>
        <w:t>www.proxyvote.com.</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59" w:lineRule="exact"/>
        <w:rPr>
          <w:sz w:val="20"/>
          <w:szCs w:val="20"/>
          <w:color w:val="auto"/>
        </w:rPr>
      </w:pPr>
    </w:p>
    <w:p>
      <w:pPr>
        <w:ind w:left="1740"/>
        <w:spacing w:after="0"/>
        <w:tabs>
          <w:tab w:leader="none" w:pos="35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9" w:lineRule="exact"/>
        <w:rPr>
          <w:sz w:val="20"/>
          <w:szCs w:val="20"/>
          <w:color w:val="auto"/>
        </w:rPr>
      </w:pP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940" w:hanging="195"/>
        <w:spacing w:after="0"/>
        <w:tabs>
          <w:tab w:leader="none" w:pos="19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6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ind w:left="240"/>
        <w:spacing w:after="0"/>
        <w:rPr>
          <w:sz w:val="20"/>
          <w:szCs w:val="20"/>
          <w:color w:val="auto"/>
        </w:rPr>
      </w:pPr>
      <w:r>
        <w:rPr>
          <w:sz w:val="1"/>
          <w:szCs w:val="1"/>
          <w:color w:val="auto"/>
        </w:rPr>
        <w:drawing>
          <wp:inline distT="0" distB="0" distL="0" distR="0">
            <wp:extent cx="1303655"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6"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26, 2012 to facilitate timely delivery.</w:t>
      </w:r>
    </w:p>
    <w:p>
      <w:pPr>
        <w:spacing w:after="0" w:line="200" w:lineRule="exact"/>
        <w:rPr>
          <w:sz w:val="20"/>
          <w:szCs w:val="20"/>
          <w:color w:val="auto"/>
        </w:rPr>
      </w:pPr>
    </w:p>
    <w:p>
      <w:pPr>
        <w:spacing w:after="0" w:line="221" w:lineRule="exact"/>
        <w:rPr>
          <w:sz w:val="20"/>
          <w:szCs w:val="20"/>
          <w:color w:val="auto"/>
        </w:rPr>
      </w:pPr>
    </w:p>
    <w:p>
      <w:pPr>
        <w:jc w:val="center"/>
        <w:ind w:right="320"/>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-95250</wp:posOffset>
            </wp:positionV>
            <wp:extent cx="283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-95250</wp:posOffset>
            </wp:positionV>
            <wp:extent cx="300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49530</wp:posOffset>
            </wp:positionV>
            <wp:extent cx="7040880" cy="1123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0880" cy="1123315"/>
                    </a:xfrm>
                    <a:prstGeom prst="rect">
                      <a:avLst/>
                    </a:prstGeom>
                    <a:noFill/>
                  </pic:spPr>
                </pic:pic>
              </a:graphicData>
            </a:graphic>
          </wp:anchor>
        </w:drawing>
      </w: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-293370</wp:posOffset>
            </wp:positionV>
            <wp:extent cx="51435"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314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303655"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13716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540"/>
          </w:cols>
          <w:pgMar w:left="840" w:top="395" w:right="519" w:bottom="1440" w:gutter="0" w:footer="0" w:header="0"/>
        </w:sectPr>
      </w:pPr>
    </w:p>
    <w:bookmarkStart w:id="3" w:name="page4"/>
    <w:bookmarkEnd w:id="3"/>
    <w:p>
      <w:pPr>
        <w:ind w:left="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466090</wp:posOffset>
            </wp:positionH>
            <wp:positionV relativeFrom="page">
              <wp:posOffset>183515</wp:posOffset>
            </wp:positionV>
            <wp:extent cx="380746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07460" cy="128905"/>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6574790</wp:posOffset>
            </wp:positionH>
            <wp:positionV relativeFrom="paragraph">
              <wp:posOffset>2540</wp:posOffset>
            </wp:positionV>
            <wp:extent cx="29146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1465" cy="2146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The Board of Directors recommends you vote</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Proposals 1, 2, 3 and 4:</w:t>
      </w:r>
    </w:p>
    <w:p>
      <w:pPr>
        <w:sectPr>
          <w:pgSz w:w="11900" w:h="16838" w:orient="portrait"/>
          <w:cols w:equalWidth="0" w:num="1">
            <w:col w:w="9599"/>
          </w:cols>
          <w:pgMar w:left="860" w:top="298" w:right="1440" w:bottom="1440" w:gutter="0" w:footer="0" w:header="0"/>
        </w:sectPr>
      </w:pPr>
    </w:p>
    <w:p>
      <w:pPr>
        <w:spacing w:after="0" w:line="42" w:lineRule="exact"/>
        <w:rPr>
          <w:sz w:val="20"/>
          <w:szCs w:val="20"/>
          <w:color w:val="auto"/>
        </w:rPr>
      </w:pPr>
    </w:p>
    <w:p>
      <w:pPr>
        <w:ind w:left="500" w:hanging="433"/>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7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1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1a.   Bradbury H. Anderson</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1b.   Pastora San Juan Cafferty</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1c.    Frank M. Clark, Jr.</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1d.   Patrick W. Gross</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1e.   John C. Pope</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1f.</w:t>
      </w:r>
      <w:r>
        <w:rPr>
          <w:rFonts w:ascii="Arial" w:cs="Arial" w:eastAsia="Arial" w:hAnsi="Arial"/>
          <w:sz w:val="12"/>
          <w:szCs w:val="12"/>
          <w:color w:val="auto"/>
        </w:rPr>
        <w:t>W. Robert Reum</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1g.   Steven G. Rothmeier</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1h.   David P. Steiner</w:t>
      </w:r>
    </w:p>
    <w:p>
      <w:pPr>
        <w:spacing w:after="0" w:line="203"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1i.</w:t>
      </w:r>
      <w:r>
        <w:rPr>
          <w:rFonts w:ascii="Arial" w:cs="Arial" w:eastAsia="Arial" w:hAnsi="Arial"/>
          <w:sz w:val="12"/>
          <w:szCs w:val="12"/>
          <w:color w:val="auto"/>
        </w:rPr>
        <w:t>Thomas H. Weidemeyer</w:t>
      </w:r>
    </w:p>
    <w:p>
      <w:pPr>
        <w:spacing w:after="0" w:line="203" w:lineRule="exact"/>
        <w:rPr>
          <w:rFonts w:ascii="Arial" w:cs="Arial" w:eastAsia="Arial" w:hAnsi="Arial"/>
          <w:sz w:val="14"/>
          <w:szCs w:val="14"/>
          <w:color w:val="auto"/>
        </w:rPr>
      </w:pPr>
    </w:p>
    <w:p>
      <w:pPr>
        <w:ind w:left="500" w:right="80" w:hanging="433"/>
        <w:spacing w:after="0" w:line="23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Ratify the appointment of Ernst &amp; Young, LLP as the independent registered public accounting firm for 2012.</w:t>
      </w:r>
    </w:p>
    <w:p>
      <w:pPr>
        <w:spacing w:after="0" w:line="203" w:lineRule="exact"/>
        <w:rPr>
          <w:rFonts w:ascii="Arial" w:cs="Arial" w:eastAsia="Arial" w:hAnsi="Arial"/>
          <w:sz w:val="14"/>
          <w:szCs w:val="14"/>
          <w:color w:val="auto"/>
        </w:rPr>
      </w:pPr>
    </w:p>
    <w:p>
      <w:pPr>
        <w:ind w:left="500" w:hanging="433"/>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approve our executive compensation.</w:t>
      </w:r>
    </w:p>
    <w:p>
      <w:pPr>
        <w:spacing w:after="0" w:line="203" w:lineRule="exact"/>
        <w:rPr>
          <w:rFonts w:ascii="Arial" w:cs="Arial" w:eastAsia="Arial" w:hAnsi="Arial"/>
          <w:sz w:val="14"/>
          <w:szCs w:val="14"/>
          <w:color w:val="auto"/>
        </w:rPr>
      </w:pPr>
    </w:p>
    <w:p>
      <w:pPr>
        <w:ind w:left="500" w:right="300" w:hanging="433"/>
        <w:spacing w:after="0" w:line="23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amend our Employee Stock Purchase Plan to increase the number of shares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60960</wp:posOffset>
            </wp:positionV>
            <wp:extent cx="51435" cy="53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AGAINST proposals 5 and 6:</w:t>
      </w:r>
    </w:p>
    <w:p>
      <w:pPr>
        <w:spacing w:after="0" w:line="217" w:lineRule="exact"/>
        <w:rPr>
          <w:sz w:val="20"/>
          <w:szCs w:val="20"/>
          <w:color w:val="auto"/>
        </w:rPr>
      </w:pPr>
    </w:p>
    <w:p>
      <w:pPr>
        <w:ind w:left="340" w:right="219" w:hanging="335"/>
        <w:spacing w:after="0" w:line="22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Stockholder proposal relating to a stock retention policy requiring senior executives to retain a significant percentage of stock acquired through equity pay programs until one year following termination of employment, if properly presented at the meeting.</w:t>
      </w:r>
    </w:p>
    <w:p>
      <w:pPr>
        <w:spacing w:after="0" w:line="204" w:lineRule="exact"/>
        <w:rPr>
          <w:rFonts w:ascii="Arial" w:cs="Arial" w:eastAsia="Arial" w:hAnsi="Arial"/>
          <w:sz w:val="14"/>
          <w:szCs w:val="14"/>
          <w:color w:val="auto"/>
        </w:rPr>
      </w:pPr>
    </w:p>
    <w:p>
      <w:pPr>
        <w:ind w:left="340" w:right="199" w:hanging="335"/>
        <w:spacing w:after="0" w:line="22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Stockholder proposal to amend our By-laws and other governing documents to give stockholders of the lowest percentage of our outstanding Common Stock permitted by state law the power to call special stockholder meetings, if properly presented at the meeting.</w:t>
      </w:r>
    </w:p>
    <w:p>
      <w:pPr>
        <w:spacing w:after="0" w:line="188" w:lineRule="exact"/>
        <w:rPr>
          <w:sz w:val="20"/>
          <w:szCs w:val="20"/>
          <w:color w:val="auto"/>
        </w:rPr>
      </w:pPr>
    </w:p>
    <w:p>
      <w:pPr>
        <w:ind w:right="299"/>
        <w:spacing w:after="0" w:line="236"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upon such other matters that may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come before the meeting or any adjournment or adjournments thereof.</w:t>
      </w:r>
    </w:p>
    <w:p>
      <w:pPr>
        <w:sectPr>
          <w:pgSz w:w="11900" w:h="16838" w:orient="portrait"/>
          <w:cols w:equalWidth="0" w:num="2">
            <w:col w:w="4480" w:space="720"/>
            <w:col w:w="4399"/>
          </w:cols>
          <w:pgMar w:left="860" w:top="298" w:right="1440" w:bottom="1440" w:gutter="0" w:footer="0" w:header="0"/>
          <w:type w:val="continuous"/>
        </w:sectPr>
      </w:pPr>
    </w:p>
    <w:bookmarkStart w:id="4" w:name="page5"/>
    <w:bookmarkEnd w:id="4"/>
    <w:p>
      <w:pPr>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7120890</wp:posOffset>
            </wp:positionH>
            <wp:positionV relativeFrom="page">
              <wp:posOffset>183515</wp:posOffset>
            </wp:positionV>
            <wp:extent cx="29146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1465" cy="2057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1564005</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1598295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2627630</wp:posOffset>
            </wp:positionV>
            <wp:extent cx="51435" cy="531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1435" cy="531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2019-12-09T10:05:52Z</dcterms:created>
  <dcterms:modified xsi:type="dcterms:W3CDTF">2019-12-09T10:05:52Z</dcterms:modified>
</cp:coreProperties>
</file>