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5760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53340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43"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8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44"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Waste Management, Inc.</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56515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248920</wp:posOffset>
            </wp:positionV>
            <wp:extent cx="5760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4114800</wp:posOffset>
            </wp:positionV>
            <wp:extent cx="576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20" w:right="2680"/>
        <w:spacing w:after="0" w:line="223" w:lineRule="auto"/>
        <w:rPr>
          <w:sz w:val="20"/>
          <w:szCs w:val="20"/>
          <w:color w:val="auto"/>
        </w:rPr>
      </w:pPr>
      <w:r>
        <w:rPr>
          <w:rFonts w:ascii="Arial" w:cs="Arial" w:eastAsia="Arial" w:hAnsi="Arial"/>
          <w:sz w:val="36"/>
          <w:szCs w:val="36"/>
          <w:b w:val="1"/>
          <w:bCs w:val="1"/>
          <w:color w:val="457157"/>
        </w:rPr>
        <w:t>NOTICE OF ANNUAL MEETING OF STOCKHOLDERS</w:t>
      </w:r>
      <w:r>
        <w:rPr>
          <w:rFonts w:ascii="Times New Roman" w:cs="Times New Roman" w:eastAsia="Times New Roman" w:hAnsi="Times New Roman"/>
          <w:sz w:val="64"/>
          <w:szCs w:val="64"/>
          <w:color w:val="000000"/>
        </w:rPr>
        <w:t>​</w:t>
      </w:r>
    </w:p>
    <w:p>
      <w:pPr>
        <w:sectPr>
          <w:pgSz w:w="11900" w:h="16838" w:orient="portrait"/>
          <w:cols w:equalWidth="0" w:num="1">
            <w:col w:w="9880"/>
          </w:cols>
          <w:pgMar w:left="580" w:top="97" w:right="1439" w:bottom="1440" w:gutter="0" w:footer="0" w:header="0"/>
        </w:sectPr>
      </w:pPr>
    </w:p>
    <w:p>
      <w:pPr>
        <w:spacing w:after="0" w:line="18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Date and Time:</w:t>
      </w:r>
    </w:p>
    <w:p>
      <w:pPr>
        <w:spacing w:after="0" w:line="112" w:lineRule="exact"/>
        <w:rPr>
          <w:sz w:val="20"/>
          <w:szCs w:val="20"/>
          <w:color w:val="auto"/>
        </w:rPr>
      </w:pPr>
    </w:p>
    <w:p>
      <w:pPr>
        <w:ind w:left="820"/>
        <w:spacing w:after="0" w:line="263" w:lineRule="auto"/>
        <w:rPr>
          <w:sz w:val="20"/>
          <w:szCs w:val="20"/>
          <w:color w:val="auto"/>
        </w:rPr>
      </w:pPr>
      <w:r>
        <w:rPr>
          <w:rFonts w:ascii="Arial" w:cs="Arial" w:eastAsia="Arial" w:hAnsi="Arial"/>
          <w:sz w:val="18"/>
          <w:szCs w:val="18"/>
          <w:color w:val="auto"/>
        </w:rPr>
        <w:t>Tuesday, May 14, 2024 at 10:30 a.m. Central Time</w:t>
      </w: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Place:</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Waste Management, Inc.</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Houston, Texas 77002</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Record Date: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19, 2024</w:t>
      </w:r>
    </w:p>
    <w:p>
      <w:pPr>
        <w:spacing w:after="0" w:line="220" w:lineRule="exact"/>
        <w:rPr>
          <w:sz w:val="20"/>
          <w:szCs w:val="20"/>
          <w:color w:val="auto"/>
        </w:rPr>
      </w:pPr>
    </w:p>
    <w:p>
      <w:pPr>
        <w:ind w:left="820" w:right="340"/>
        <w:spacing w:after="0" w:line="284" w:lineRule="auto"/>
        <w:rPr>
          <w:sz w:val="20"/>
          <w:szCs w:val="20"/>
          <w:color w:val="auto"/>
        </w:rPr>
      </w:pPr>
      <w:r>
        <w:rPr>
          <w:rFonts w:ascii="Arial" w:cs="Arial" w:eastAsia="Arial" w:hAnsi="Arial"/>
          <w:sz w:val="20"/>
          <w:szCs w:val="20"/>
          <w:b w:val="1"/>
          <w:bCs w:val="1"/>
          <w:color w:val="457157"/>
        </w:rPr>
        <w:t>Agenda for the Annual Meeting (or any adjournment or postponement thereof):</w:t>
      </w:r>
    </w:p>
    <w:p>
      <w:pPr>
        <w:spacing w:after="0" w:line="41" w:lineRule="exact"/>
        <w:rPr>
          <w:sz w:val="20"/>
          <w:szCs w:val="20"/>
          <w:color w:val="auto"/>
        </w:rPr>
      </w:pPr>
    </w:p>
    <w:p>
      <w:pPr>
        <w:jc w:val="both"/>
        <w:ind w:left="1000" w:hanging="184"/>
        <w:spacing w:after="0" w:line="278"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elect the nine nominees named in the attached proxy statement to our Board of Directors;</w:t>
      </w:r>
    </w:p>
    <w:p>
      <w:pPr>
        <w:spacing w:after="0" w:line="276" w:lineRule="exact"/>
        <w:rPr>
          <w:rFonts w:ascii="Arial" w:cs="Arial" w:eastAsia="Arial" w:hAnsi="Arial"/>
          <w:sz w:val="18"/>
          <w:szCs w:val="18"/>
          <w:color w:val="457157"/>
        </w:rPr>
      </w:pPr>
    </w:p>
    <w:p>
      <w:pPr>
        <w:jc w:val="both"/>
        <w:ind w:left="1000" w:hanging="184"/>
        <w:spacing w:after="0" w:line="262"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2024;</w:t>
      </w:r>
    </w:p>
    <w:p>
      <w:pPr>
        <w:spacing w:after="0" w:line="68" w:lineRule="exact"/>
        <w:rPr>
          <w:rFonts w:ascii="Arial" w:cs="Arial" w:eastAsia="Arial" w:hAnsi="Arial"/>
          <w:sz w:val="18"/>
          <w:szCs w:val="18"/>
          <w:color w:val="457157"/>
        </w:rPr>
      </w:pPr>
    </w:p>
    <w:p>
      <w:pPr>
        <w:ind w:left="100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non-binding, advisory proposal to approve our executive compensation;</w:t>
      </w:r>
    </w:p>
    <w:p>
      <w:pPr>
        <w:spacing w:after="0" w:line="44" w:lineRule="exact"/>
        <w:rPr>
          <w:rFonts w:ascii="Arial" w:cs="Arial" w:eastAsia="Arial" w:hAnsi="Arial"/>
          <w:sz w:val="18"/>
          <w:szCs w:val="18"/>
          <w:color w:val="457157"/>
        </w:rPr>
      </w:pPr>
    </w:p>
    <w:p>
      <w:pPr>
        <w:jc w:val="both"/>
        <w:ind w:left="1000" w:right="20" w:hanging="184"/>
        <w:spacing w:after="0" w:line="268"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approve an amendment to the Certificate of Incorporation to provide for officer exculpation; and</w:t>
      </w:r>
    </w:p>
    <w:p>
      <w:pPr>
        <w:spacing w:after="0" w:line="62" w:lineRule="exact"/>
        <w:rPr>
          <w:rFonts w:ascii="Arial" w:cs="Arial" w:eastAsia="Arial" w:hAnsi="Arial"/>
          <w:sz w:val="18"/>
          <w:szCs w:val="18"/>
          <w:color w:val="457157"/>
        </w:rPr>
      </w:pPr>
    </w:p>
    <w:p>
      <w:pPr>
        <w:ind w:left="1000" w:right="2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5"/>
        </w:trPr>
        <w:tc>
          <w:tcPr>
            <w:tcW w:w="320" w:type="dxa"/>
            <w:vAlign w:val="bottom"/>
            <w:vMerge w:val="restart"/>
            <w:shd w:val="clear" w:color="auto" w:fill="ECF1EE"/>
          </w:tcPr>
          <w:p>
            <w:pPr>
              <w:ind w:left="40"/>
              <w:spacing w:after="0"/>
              <w:rPr>
                <w:sz w:val="20"/>
                <w:szCs w:val="20"/>
                <w:color w:val="auto"/>
              </w:rPr>
            </w:pPr>
            <w:r>
              <w:rPr>
                <w:rFonts w:ascii="Arial" w:cs="Arial" w:eastAsia="Arial" w:hAnsi="Arial"/>
                <w:sz w:val="18"/>
                <w:szCs w:val="18"/>
                <w:b w:val="1"/>
                <w:bCs w:val="1"/>
                <w:color w:val="457157"/>
              </w:rPr>
              <w:t>​</w:t>
            </w:r>
          </w:p>
        </w:tc>
        <w:tc>
          <w:tcPr>
            <w:tcW w:w="3760" w:type="dxa"/>
            <w:vAlign w:val="bottom"/>
            <w:shd w:val="clear" w:color="auto" w:fill="ECF1EE"/>
          </w:tcPr>
          <w:p>
            <w:pPr>
              <w:jc w:val="center"/>
              <w:spacing w:after="0"/>
              <w:rPr>
                <w:sz w:val="20"/>
                <w:szCs w:val="20"/>
                <w:color w:val="auto"/>
              </w:rPr>
            </w:pPr>
            <w:r>
              <w:rPr>
                <w:rFonts w:ascii="Arial" w:cs="Arial" w:eastAsia="Arial" w:hAnsi="Arial"/>
                <w:sz w:val="18"/>
                <w:szCs w:val="18"/>
                <w:b w:val="1"/>
                <w:bCs w:val="1"/>
                <w:color w:val="457157"/>
              </w:rPr>
              <w:t>IMPORTANT NOTICE OF INTERNET</w:t>
            </w:r>
          </w:p>
        </w:tc>
        <w:tc>
          <w:tcPr>
            <w:tcW w:w="320" w:type="dxa"/>
            <w:vAlign w:val="bottom"/>
            <w:vMerge w:val="restart"/>
            <w:shd w:val="clear" w:color="auto" w:fill="ECF1EE"/>
          </w:tcPr>
          <w:p>
            <w:pPr>
              <w:ind w:left="260"/>
              <w:spacing w:after="0"/>
              <w:rPr>
                <w:sz w:val="20"/>
                <w:szCs w:val="20"/>
                <w:color w:val="auto"/>
              </w:rPr>
            </w:pPr>
            <w:r>
              <w:rPr>
                <w:rFonts w:ascii="Arial" w:cs="Arial" w:eastAsia="Arial" w:hAnsi="Arial"/>
                <w:sz w:val="18"/>
                <w:szCs w:val="18"/>
                <w:b w:val="1"/>
                <w:bCs w:val="1"/>
                <w:color w:val="457157"/>
              </w:rPr>
              <w:t>​</w:t>
            </w:r>
          </w:p>
        </w:tc>
        <w:tc>
          <w:tcPr>
            <w:tcW w:w="0" w:type="dxa"/>
            <w:vAlign w:val="bottom"/>
          </w:tcPr>
          <w:p>
            <w:pPr>
              <w:spacing w:after="0"/>
              <w:rPr>
                <w:sz w:val="1"/>
                <w:szCs w:val="1"/>
                <w:color w:val="auto"/>
              </w:rPr>
            </w:pPr>
          </w:p>
        </w:tc>
      </w:tr>
      <w:tr>
        <w:trPr>
          <w:trHeight w:val="216"/>
        </w:trPr>
        <w:tc>
          <w:tcPr>
            <w:tcW w:w="320" w:type="dxa"/>
            <w:vAlign w:val="bottom"/>
            <w:vMerge w:val="continue"/>
            <w:shd w:val="clear" w:color="auto" w:fill="ECF1EE"/>
          </w:tcPr>
          <w:p>
            <w:pPr>
              <w:spacing w:after="0"/>
              <w:rPr>
                <w:sz w:val="18"/>
                <w:szCs w:val="18"/>
                <w:color w:val="auto"/>
              </w:rPr>
            </w:pPr>
          </w:p>
        </w:tc>
        <w:tc>
          <w:tcPr>
            <w:tcW w:w="3760" w:type="dxa"/>
            <w:vAlign w:val="bottom"/>
            <w:shd w:val="clear" w:color="auto" w:fill="ECF1EE"/>
          </w:tcPr>
          <w:p>
            <w:pPr>
              <w:jc w:val="center"/>
              <w:ind w:right="10"/>
              <w:spacing w:after="0"/>
              <w:rPr>
                <w:sz w:val="20"/>
                <w:szCs w:val="20"/>
                <w:color w:val="auto"/>
              </w:rPr>
            </w:pPr>
            <w:r>
              <w:rPr>
                <w:rFonts w:ascii="Arial" w:cs="Arial" w:eastAsia="Arial" w:hAnsi="Arial"/>
                <w:sz w:val="18"/>
                <w:szCs w:val="18"/>
                <w:b w:val="1"/>
                <w:bCs w:val="1"/>
                <w:color w:val="457157"/>
              </w:rPr>
              <w:t>AVAILABILITY</w:t>
            </w:r>
          </w:p>
        </w:tc>
        <w:tc>
          <w:tcPr>
            <w:tcW w:w="320" w:type="dxa"/>
            <w:vAlign w:val="bottom"/>
            <w:vMerge w:val="continue"/>
            <w:shd w:val="clear" w:color="auto" w:fill="ECF1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 w:type="dxa"/>
            <w:vAlign w:val="bottom"/>
            <w:shd w:val="clear" w:color="auto" w:fill="ECF1EE"/>
          </w:tcPr>
          <w:p>
            <w:pPr>
              <w:spacing w:after="0"/>
              <w:rPr>
                <w:sz w:val="21"/>
                <w:szCs w:val="21"/>
                <w:color w:val="auto"/>
              </w:rPr>
            </w:pPr>
          </w:p>
        </w:tc>
        <w:tc>
          <w:tcPr>
            <w:tcW w:w="3760" w:type="dxa"/>
            <w:vAlign w:val="bottom"/>
            <w:shd w:val="clear" w:color="auto" w:fill="ECF1EE"/>
          </w:tcPr>
          <w:p>
            <w:pPr>
              <w:jc w:val="center"/>
              <w:spacing w:after="0"/>
              <w:rPr>
                <w:sz w:val="20"/>
                <w:szCs w:val="20"/>
                <w:color w:val="auto"/>
              </w:rPr>
            </w:pPr>
            <w:r>
              <w:rPr>
                <w:rFonts w:ascii="Arial" w:cs="Arial" w:eastAsia="Arial" w:hAnsi="Arial"/>
                <w:sz w:val="18"/>
                <w:szCs w:val="18"/>
                <w:b w:val="1"/>
                <w:bCs w:val="1"/>
                <w:color w:val="457157"/>
              </w:rPr>
              <w:t>OF PROXY MATERIALS:</w:t>
            </w:r>
          </w:p>
        </w:tc>
        <w:tc>
          <w:tcPr>
            <w:tcW w:w="320" w:type="dxa"/>
            <w:vAlign w:val="bottom"/>
            <w:shd w:val="clear" w:color="auto" w:fill="ECF1E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-487680</wp:posOffset>
            </wp:positionV>
            <wp:extent cx="2811780" cy="5366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11780" cy="5366385"/>
                    </a:xfrm>
                    <a:prstGeom prst="rect">
                      <a:avLst/>
                    </a:prstGeom>
                    <a:noFill/>
                  </pic:spPr>
                </pic:pic>
              </a:graphicData>
            </a:graphic>
          </wp:anchor>
        </w:drawing>
      </w:r>
    </w:p>
    <w:p>
      <w:pPr>
        <w:spacing w:after="0" w:line="2" w:lineRule="exact"/>
        <w:rPr>
          <w:sz w:val="20"/>
          <w:szCs w:val="20"/>
          <w:color w:val="auto"/>
        </w:rPr>
      </w:pPr>
    </w:p>
    <w:p>
      <w:pPr>
        <w:jc w:val="both"/>
        <w:ind w:right="60" w:firstLine="95"/>
        <w:spacing w:after="0" w:line="263" w:lineRule="auto"/>
        <w:rPr>
          <w:sz w:val="20"/>
          <w:szCs w:val="20"/>
          <w:color w:val="auto"/>
        </w:rPr>
      </w:pPr>
      <w:r>
        <w:rPr>
          <w:rFonts w:ascii="Arial" w:cs="Arial" w:eastAsia="Arial" w:hAnsi="Arial"/>
          <w:sz w:val="18"/>
          <w:szCs w:val="18"/>
          <w:b w:val="1"/>
          <w:bCs w:val="1"/>
          <w:color w:val="auto"/>
        </w:rPr>
        <w:t>This Notice of Annual Meeting and Proxy Statement and the Company’s Annual ​ Report on Form 10-K for the year ended ​ December 31, 2023 are available at investors.wm.com.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800" w:type="dxa"/>
            <w:vAlign w:val="bottom"/>
            <w:shd w:val="clear" w:color="auto" w:fill="ECF1EE"/>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You may submit your proxy via the</w:t>
            </w:r>
          </w:p>
        </w:tc>
        <w:tc>
          <w:tcPr>
            <w:tcW w:w="12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Internet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following</w:t>
            </w:r>
          </w:p>
        </w:tc>
        <w:tc>
          <w:tcPr>
            <w:tcW w:w="40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2120" w:type="dxa"/>
            <w:vAlign w:val="bottom"/>
            <w:gridSpan w:val="6"/>
          </w:tcPr>
          <w:p>
            <w:pPr>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instructions provided</w:t>
            </w:r>
          </w:p>
        </w:tc>
        <w:tc>
          <w:tcPr>
            <w:tcW w:w="260" w:type="dxa"/>
            <w:vAlign w:val="bottom"/>
          </w:tcPr>
          <w:p>
            <w:pPr>
              <w:ind w:left="8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the Notice</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8"/>
          </w:tcPr>
          <w:p>
            <w:pPr>
              <w:ind w:left="100"/>
              <w:spacing w:after="0" w:line="198" w:lineRule="exact"/>
              <w:rPr>
                <w:sz w:val="20"/>
                <w:szCs w:val="20"/>
                <w:color w:val="auto"/>
              </w:rPr>
            </w:pPr>
            <w:r>
              <w:rPr>
                <w:rFonts w:ascii="Arial" w:cs="Arial" w:eastAsia="Arial" w:hAnsi="Arial"/>
                <w:sz w:val="18"/>
                <w:szCs w:val="18"/>
                <w:color w:val="auto"/>
              </w:rPr>
              <w:t>or, if you received printed copies of</w:t>
            </w:r>
          </w:p>
        </w:tc>
        <w:tc>
          <w:tcPr>
            <w:tcW w:w="12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the proxy materials, on your proxy</w:t>
            </w:r>
          </w:p>
        </w:tc>
        <w:tc>
          <w:tcPr>
            <w:tcW w:w="12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card.</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materials  in  accordance  with  the</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instructions in the Notice, you also</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have</w:t>
            </w:r>
          </w:p>
        </w:tc>
        <w:tc>
          <w:tcPr>
            <w:tcW w:w="360" w:type="dxa"/>
            <w:vAlign w:val="bottom"/>
            <w:shd w:val="clear" w:color="auto" w:fill="ECF1EE"/>
          </w:tcPr>
          <w:p>
            <w:pPr>
              <w:ind w:left="40"/>
              <w:spacing w:after="0"/>
              <w:rPr>
                <w:sz w:val="20"/>
                <w:szCs w:val="20"/>
                <w:color w:val="auto"/>
              </w:rPr>
            </w:pPr>
            <w:r>
              <w:rPr>
                <w:rFonts w:ascii="Arial" w:cs="Arial" w:eastAsia="Arial" w:hAnsi="Arial"/>
                <w:sz w:val="18"/>
                <w:szCs w:val="18"/>
                <w:color w:val="auto"/>
              </w:rPr>
              <w:t>the</w:t>
            </w:r>
          </w:p>
        </w:tc>
        <w:tc>
          <w:tcPr>
            <w:tcW w:w="800" w:type="dxa"/>
            <w:vAlign w:val="bottom"/>
            <w:gridSpan w:val="2"/>
            <w:shd w:val="clear" w:color="auto" w:fill="ECF1EE"/>
          </w:tcPr>
          <w:p>
            <w:pPr>
              <w:ind w:left="120"/>
              <w:spacing w:after="0"/>
              <w:rPr>
                <w:sz w:val="20"/>
                <w:szCs w:val="20"/>
                <w:color w:val="auto"/>
              </w:rPr>
            </w:pPr>
            <w:r>
              <w:rPr>
                <w:rFonts w:ascii="Arial" w:cs="Arial" w:eastAsia="Arial" w:hAnsi="Arial"/>
                <w:sz w:val="18"/>
                <w:szCs w:val="18"/>
                <w:color w:val="auto"/>
              </w:rPr>
              <w:t>option</w:t>
            </w:r>
          </w:p>
        </w:tc>
        <w:tc>
          <w:tcPr>
            <w:tcW w:w="200" w:type="dxa"/>
            <w:vAlign w:val="bottom"/>
            <w:shd w:val="clear" w:color="auto" w:fill="ECF1EE"/>
          </w:tcPr>
          <w:p>
            <w:pPr>
              <w:ind w:left="20"/>
              <w:spacing w:after="0"/>
              <w:rPr>
                <w:sz w:val="20"/>
                <w:szCs w:val="20"/>
                <w:color w:val="auto"/>
              </w:rPr>
            </w:pPr>
            <w:r>
              <w:rPr>
                <w:rFonts w:ascii="Arial" w:cs="Arial" w:eastAsia="Arial" w:hAnsi="Arial"/>
                <w:sz w:val="18"/>
                <w:szCs w:val="18"/>
                <w:color w:val="auto"/>
              </w:rPr>
              <w:t>to</w:t>
            </w:r>
          </w:p>
        </w:tc>
        <w:tc>
          <w:tcPr>
            <w:tcW w:w="880" w:type="dxa"/>
            <w:vAlign w:val="bottom"/>
            <w:gridSpan w:val="2"/>
            <w:shd w:val="clear" w:color="auto" w:fill="ECF1EE"/>
          </w:tcPr>
          <w:p>
            <w:pPr>
              <w:jc w:val="right"/>
              <w:ind w:right="70"/>
              <w:spacing w:after="0"/>
              <w:rPr>
                <w:sz w:val="20"/>
                <w:szCs w:val="20"/>
                <w:color w:val="auto"/>
              </w:rPr>
            </w:pPr>
            <w:r>
              <w:rPr>
                <w:rFonts w:ascii="Arial" w:cs="Arial" w:eastAsia="Arial" w:hAnsi="Arial"/>
                <w:sz w:val="18"/>
                <w:szCs w:val="18"/>
                <w:color w:val="auto"/>
              </w:rPr>
              <w:t>submit</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your</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proxy</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by</w:t>
            </w:r>
          </w:p>
        </w:tc>
        <w:tc>
          <w:tcPr>
            <w:tcW w:w="1000" w:type="dxa"/>
            <w:vAlign w:val="bottom"/>
            <w:gridSpan w:val="3"/>
            <w:shd w:val="clear" w:color="auto" w:fill="ECF1EE"/>
          </w:tcPr>
          <w:p>
            <w:pPr>
              <w:ind w:left="20"/>
              <w:spacing w:after="0"/>
              <w:rPr>
                <w:sz w:val="20"/>
                <w:szCs w:val="20"/>
                <w:color w:val="auto"/>
              </w:rPr>
            </w:pPr>
            <w:r>
              <w:rPr>
                <w:rFonts w:ascii="Arial" w:cs="Arial" w:eastAsia="Arial" w:hAnsi="Arial"/>
                <w:sz w:val="18"/>
                <w:szCs w:val="18"/>
                <w:color w:val="auto"/>
              </w:rPr>
              <w:t>telephone</w:t>
            </w:r>
          </w:p>
        </w:tc>
        <w:tc>
          <w:tcPr>
            <w:tcW w:w="260" w:type="dxa"/>
            <w:vAlign w:val="bottom"/>
            <w:shd w:val="clear" w:color="auto" w:fill="ECF1EE"/>
          </w:tcPr>
          <w:p>
            <w:pPr>
              <w:spacing w:after="0"/>
              <w:rPr>
                <w:sz w:val="20"/>
                <w:szCs w:val="20"/>
                <w:color w:val="auto"/>
              </w:rPr>
            </w:pPr>
            <w:r>
              <w:rPr>
                <w:rFonts w:ascii="Arial" w:cs="Arial" w:eastAsia="Arial" w:hAnsi="Arial"/>
                <w:sz w:val="18"/>
                <w:szCs w:val="18"/>
                <w:color w:val="auto"/>
              </w:rPr>
              <w:t>by</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calling</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the</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toll-free  number  listed  on  your</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card.  Telephone  voting  is</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2880" w:type="dxa"/>
            <w:vAlign w:val="bottom"/>
            <w:gridSpan w:val="7"/>
            <w:shd w:val="clear" w:color="auto" w:fill="ECF1EE"/>
          </w:tcPr>
          <w:p>
            <w:pPr>
              <w:ind w:left="100"/>
              <w:spacing w:after="0"/>
              <w:rPr>
                <w:sz w:val="20"/>
                <w:szCs w:val="20"/>
                <w:color w:val="auto"/>
              </w:rPr>
            </w:pPr>
            <w:r>
              <w:rPr>
                <w:rFonts w:ascii="Arial" w:cs="Arial" w:eastAsia="Arial" w:hAnsi="Arial"/>
                <w:sz w:val="18"/>
                <w:szCs w:val="18"/>
                <w:color w:val="auto"/>
              </w:rPr>
              <w:t>available  24  hours  per  day</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until</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11:59</w:t>
            </w:r>
          </w:p>
        </w:tc>
        <w:tc>
          <w:tcPr>
            <w:tcW w:w="720" w:type="dxa"/>
            <w:vAlign w:val="bottom"/>
            <w:gridSpan w:val="2"/>
            <w:shd w:val="clear" w:color="auto" w:fill="ECF1EE"/>
          </w:tcPr>
          <w:p>
            <w:pPr>
              <w:ind w:left="160"/>
              <w:spacing w:after="0"/>
              <w:rPr>
                <w:sz w:val="20"/>
                <w:szCs w:val="20"/>
                <w:color w:val="auto"/>
              </w:rPr>
            </w:pPr>
            <w:r>
              <w:rPr>
                <w:rFonts w:ascii="Arial" w:cs="Arial" w:eastAsia="Arial" w:hAnsi="Arial"/>
                <w:sz w:val="18"/>
                <w:szCs w:val="18"/>
                <w:color w:val="auto"/>
              </w:rPr>
              <w:t>p.m.,</w:t>
            </w:r>
          </w:p>
        </w:tc>
        <w:tc>
          <w:tcPr>
            <w:tcW w:w="90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Eastern</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Time,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on</w:t>
            </w:r>
          </w:p>
        </w:tc>
        <w:tc>
          <w:tcPr>
            <w:tcW w:w="120" w:type="dxa"/>
            <w:vAlign w:val="bottom"/>
            <w:shd w:val="clear" w:color="auto" w:fill="ECF1EE"/>
          </w:tcPr>
          <w:p>
            <w:pPr>
              <w:spacing w:after="0"/>
              <w:rPr>
                <w:sz w:val="18"/>
                <w:szCs w:val="18"/>
                <w:color w:val="auto"/>
              </w:rPr>
            </w:pPr>
          </w:p>
        </w:tc>
      </w:tr>
      <w:tr>
        <w:trPr>
          <w:trHeight w:val="239"/>
        </w:trPr>
        <w:tc>
          <w:tcPr>
            <w:tcW w:w="80" w:type="dxa"/>
            <w:vAlign w:val="bottom"/>
          </w:tcPr>
          <w:p>
            <w:pPr>
              <w:spacing w:after="0"/>
              <w:rPr>
                <w:sz w:val="20"/>
                <w:szCs w:val="20"/>
                <w:color w:val="auto"/>
              </w:rPr>
            </w:pP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c>
          <w:tcPr>
            <w:tcW w:w="136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May 13, 2024.</w:t>
            </w:r>
          </w:p>
        </w:tc>
        <w:tc>
          <w:tcPr>
            <w:tcW w:w="440" w:type="dxa"/>
            <w:vAlign w:val="bottom"/>
            <w:shd w:val="clear" w:color="auto" w:fill="ECF1EE"/>
          </w:tcPr>
          <w:p>
            <w:pPr>
              <w:spacing w:after="0"/>
              <w:rPr>
                <w:sz w:val="20"/>
                <w:szCs w:val="20"/>
                <w:color w:val="auto"/>
              </w:rPr>
            </w:pPr>
          </w:p>
        </w:tc>
        <w:tc>
          <w:tcPr>
            <w:tcW w:w="200" w:type="dxa"/>
            <w:vAlign w:val="bottom"/>
            <w:shd w:val="clear" w:color="auto" w:fill="ECF1EE"/>
          </w:tcPr>
          <w:p>
            <w:pPr>
              <w:spacing w:after="0"/>
              <w:rPr>
                <w:sz w:val="20"/>
                <w:szCs w:val="20"/>
                <w:color w:val="auto"/>
              </w:rPr>
            </w:pPr>
          </w:p>
        </w:tc>
        <w:tc>
          <w:tcPr>
            <w:tcW w:w="260" w:type="dxa"/>
            <w:vAlign w:val="bottom"/>
            <w:shd w:val="clear" w:color="auto" w:fill="ECF1EE"/>
          </w:tcPr>
          <w:p>
            <w:pPr>
              <w:spacing w:after="0"/>
              <w:rPr>
                <w:sz w:val="20"/>
                <w:szCs w:val="20"/>
                <w:color w:val="auto"/>
              </w:rPr>
            </w:pPr>
          </w:p>
        </w:tc>
        <w:tc>
          <w:tcPr>
            <w:tcW w:w="620" w:type="dxa"/>
            <w:vAlign w:val="bottom"/>
            <w:shd w:val="clear" w:color="auto" w:fill="ECF1EE"/>
          </w:tcPr>
          <w:p>
            <w:pPr>
              <w:spacing w:after="0"/>
              <w:rPr>
                <w:sz w:val="20"/>
                <w:szCs w:val="20"/>
                <w:color w:val="auto"/>
              </w:rPr>
            </w:pPr>
          </w:p>
        </w:tc>
        <w:tc>
          <w:tcPr>
            <w:tcW w:w="4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materials in accordance with</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the instructions in</w:t>
            </w:r>
          </w:p>
        </w:tc>
        <w:tc>
          <w:tcPr>
            <w:tcW w:w="460" w:type="dxa"/>
            <w:vAlign w:val="bottom"/>
            <w:gridSpan w:val="2"/>
            <w:shd w:val="clear" w:color="auto" w:fill="ECF1EE"/>
          </w:tcPr>
          <w:p>
            <w:pPr>
              <w:ind w:left="80"/>
              <w:spacing w:after="0"/>
              <w:rPr>
                <w:sz w:val="20"/>
                <w:szCs w:val="20"/>
                <w:color w:val="auto"/>
              </w:rPr>
            </w:pPr>
            <w:r>
              <w:rPr>
                <w:rFonts w:ascii="Arial" w:cs="Arial" w:eastAsia="Arial" w:hAnsi="Arial"/>
                <w:sz w:val="18"/>
                <w:szCs w:val="18"/>
                <w:color w:val="auto"/>
              </w:rPr>
              <w:t>the</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Notice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would</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like</w:t>
            </w:r>
          </w:p>
        </w:tc>
        <w:tc>
          <w:tcPr>
            <w:tcW w:w="360" w:type="dxa"/>
            <w:vAlign w:val="bottom"/>
            <w:shd w:val="clear" w:color="auto" w:fill="ECF1EE"/>
          </w:tcPr>
          <w:p>
            <w:pPr>
              <w:ind w:left="100"/>
              <w:spacing w:after="0"/>
              <w:rPr>
                <w:sz w:val="20"/>
                <w:szCs w:val="20"/>
                <w:color w:val="auto"/>
              </w:rPr>
            </w:pPr>
            <w:r>
              <w:rPr>
                <w:rFonts w:ascii="Arial" w:cs="Arial" w:eastAsia="Arial" w:hAnsi="Arial"/>
                <w:sz w:val="18"/>
                <w:szCs w:val="18"/>
                <w:color w:val="auto"/>
              </w:rPr>
              <w:t>to</w:t>
            </w:r>
          </w:p>
        </w:tc>
        <w:tc>
          <w:tcPr>
            <w:tcW w:w="640" w:type="dxa"/>
            <w:vAlign w:val="bottom"/>
            <w:gridSpan w:val="2"/>
            <w:shd w:val="clear" w:color="auto" w:fill="ECF1EE"/>
          </w:tcPr>
          <w:p>
            <w:pPr>
              <w:spacing w:after="0"/>
              <w:rPr>
                <w:sz w:val="20"/>
                <w:szCs w:val="20"/>
                <w:color w:val="auto"/>
              </w:rPr>
            </w:pPr>
            <w:r>
              <w:rPr>
                <w:rFonts w:ascii="Arial" w:cs="Arial" w:eastAsia="Arial" w:hAnsi="Arial"/>
                <w:sz w:val="18"/>
                <w:szCs w:val="18"/>
                <w:color w:val="auto"/>
              </w:rPr>
              <w:t>submit</w:t>
            </w:r>
          </w:p>
        </w:tc>
        <w:tc>
          <w:tcPr>
            <w:tcW w:w="1280" w:type="dxa"/>
            <w:vAlign w:val="bottom"/>
            <w:gridSpan w:val="3"/>
            <w:shd w:val="clear" w:color="auto" w:fill="ECF1EE"/>
          </w:tcPr>
          <w:p>
            <w:pPr>
              <w:jc w:val="right"/>
              <w:spacing w:after="0"/>
              <w:rPr>
                <w:sz w:val="20"/>
                <w:szCs w:val="20"/>
                <w:color w:val="auto"/>
              </w:rPr>
            </w:pPr>
            <w:r>
              <w:rPr>
                <w:rFonts w:ascii="Arial" w:cs="Arial" w:eastAsia="Arial" w:hAnsi="Arial"/>
                <w:sz w:val="18"/>
                <w:szCs w:val="18"/>
                <w:color w:val="auto"/>
              </w:rPr>
              <w:t>your proxy by</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mail,  please  mark,  sign  and  date</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your  proxy  card  and  return  it</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promptly   in   the   postage-paid</w:t>
            </w:r>
          </w:p>
        </w:tc>
        <w:tc>
          <w:tcPr>
            <w:tcW w:w="120" w:type="dxa"/>
            <w:vAlign w:val="bottom"/>
            <w:shd w:val="clear" w:color="auto" w:fill="ECF1EE"/>
          </w:tcPr>
          <w:p>
            <w:pPr>
              <w:spacing w:after="0"/>
              <w:rPr>
                <w:sz w:val="18"/>
                <w:szCs w:val="18"/>
                <w:color w:val="auto"/>
              </w:rPr>
            </w:pPr>
          </w:p>
        </w:tc>
      </w:tr>
      <w:tr>
        <w:trPr>
          <w:trHeight w:val="248"/>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envelope provided.</w:t>
            </w:r>
          </w:p>
        </w:tc>
        <w:tc>
          <w:tcPr>
            <w:tcW w:w="200" w:type="dxa"/>
            <w:vAlign w:val="bottom"/>
            <w:shd w:val="clear" w:color="auto" w:fill="ECF1EE"/>
          </w:tcPr>
          <w:p>
            <w:pPr>
              <w:spacing w:after="0"/>
              <w:rPr>
                <w:sz w:val="21"/>
                <w:szCs w:val="21"/>
                <w:color w:val="auto"/>
              </w:rPr>
            </w:pPr>
          </w:p>
        </w:tc>
        <w:tc>
          <w:tcPr>
            <w:tcW w:w="260" w:type="dxa"/>
            <w:vAlign w:val="bottom"/>
            <w:shd w:val="clear" w:color="auto" w:fill="ECF1EE"/>
          </w:tcPr>
          <w:p>
            <w:pPr>
              <w:spacing w:after="0"/>
              <w:rPr>
                <w:sz w:val="21"/>
                <w:szCs w:val="21"/>
                <w:color w:val="auto"/>
              </w:rPr>
            </w:pPr>
          </w:p>
        </w:tc>
        <w:tc>
          <w:tcPr>
            <w:tcW w:w="620" w:type="dxa"/>
            <w:vAlign w:val="bottom"/>
            <w:shd w:val="clear" w:color="auto" w:fill="ECF1EE"/>
          </w:tcPr>
          <w:p>
            <w:pPr>
              <w:spacing w:after="0"/>
              <w:rPr>
                <w:sz w:val="21"/>
                <w:szCs w:val="21"/>
                <w:color w:val="auto"/>
              </w:rPr>
            </w:pPr>
          </w:p>
        </w:tc>
        <w:tc>
          <w:tcPr>
            <w:tcW w:w="4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r>
    </w:tbl>
    <w:p>
      <w:pPr>
        <w:spacing w:after="0" w:line="22" w:lineRule="exact"/>
        <w:rPr>
          <w:sz w:val="20"/>
          <w:szCs w:val="20"/>
          <w:color w:val="auto"/>
        </w:rPr>
      </w:pPr>
    </w:p>
    <w:p>
      <w:pPr>
        <w:jc w:val="both"/>
        <w:ind w:right="60" w:firstLine="95"/>
        <w:spacing w:after="0" w:line="259" w:lineRule="auto"/>
        <w:rPr>
          <w:sz w:val="20"/>
          <w:szCs w:val="20"/>
          <w:color w:val="auto"/>
        </w:rPr>
      </w:pPr>
      <w:r>
        <w:rPr>
          <w:rFonts w:ascii="Arial" w:cs="Arial" w:eastAsia="Arial" w:hAnsi="Arial"/>
          <w:sz w:val="18"/>
          <w:szCs w:val="18"/>
          <w:color w:val="auto"/>
        </w:rPr>
        <w:t>If your shares of Common Stock are held in street name, you will receive instructions from ​ your broker, bank or nominee that you must ​ follow in order to have your shares of Common Stock voted at the Annual Meeting.</w:t>
      </w:r>
    </w:p>
    <w:p>
      <w:pPr>
        <w:spacing w:after="0" w:line="200" w:lineRule="exact"/>
        <w:rPr>
          <w:sz w:val="20"/>
          <w:szCs w:val="20"/>
          <w:color w:val="auto"/>
        </w:rPr>
      </w:pPr>
    </w:p>
    <w:p>
      <w:pPr>
        <w:sectPr>
          <w:pgSz w:w="11900" w:h="16838" w:orient="portrait"/>
          <w:cols w:equalWidth="0" w:num="2">
            <w:col w:w="5240" w:space="240"/>
            <w:col w:w="4400"/>
          </w:cols>
          <w:pgMar w:left="580" w:top="97" w:right="1439" w:bottom="1440" w:gutter="0" w:footer="0" w:header="0"/>
          <w:type w:val="continuous"/>
        </w:sectPr>
      </w:pPr>
    </w:p>
    <w:p>
      <w:pPr>
        <w:spacing w:after="0" w:line="155" w:lineRule="exact"/>
        <w:rPr>
          <w:sz w:val="20"/>
          <w:szCs w:val="20"/>
          <w:color w:val="auto"/>
        </w:rPr>
      </w:pPr>
    </w:p>
    <w:p>
      <w:pPr>
        <w:ind w:left="820" w:right="20"/>
        <w:spacing w:after="0" w:line="296"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to vote and submit their proxies as soon as</w:t>
      </w:r>
      <w:r>
        <w:rPr>
          <w:rFonts w:ascii="Arial" w:cs="Arial" w:eastAsia="Arial" w:hAnsi="Arial"/>
          <w:sz w:val="18"/>
          <w:szCs w:val="18"/>
          <w:color w:val="auto"/>
        </w:rPr>
        <w:t xml:space="preserve"> </w:t>
      </w:r>
      <w:r>
        <w:rPr>
          <w:rFonts w:ascii="Arial" w:cs="Arial" w:eastAsia="Arial" w:hAnsi="Arial"/>
          <w:sz w:val="18"/>
          <w:szCs w:val="18"/>
          <w:b w:val="1"/>
          <w:bCs w:val="1"/>
          <w:color w:val="auto"/>
        </w:rPr>
        <w:t>possible using one of the methods described above.</w:t>
      </w:r>
    </w:p>
    <w:p>
      <w:pPr>
        <w:sectPr>
          <w:pgSz w:w="11900" w:h="16838" w:orient="portrait"/>
          <w:cols w:equalWidth="0" w:num="1">
            <w:col w:w="9880"/>
          </w:cols>
          <w:pgMar w:left="580" w:top="97" w:right="1439" w:bottom="1440" w:gutter="0" w:footer="0" w:header="0"/>
          <w:type w:val="continuous"/>
        </w:sectPr>
      </w:pPr>
    </w:p>
    <w:p>
      <w:pPr>
        <w:spacing w:after="0" w:line="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-118745</wp:posOffset>
            </wp:positionV>
            <wp:extent cx="1062990" cy="368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368300"/>
                    </a:xfrm>
                    <a:prstGeom prst="rect">
                      <a:avLst/>
                    </a:prstGeom>
                    <a:noFill/>
                  </pic:spPr>
                </pic:pic>
              </a:graphicData>
            </a:graphic>
          </wp:anchor>
        </w:drawing>
      </w:r>
    </w:p>
    <w:p>
      <w:pPr>
        <w:spacing w:after="0" w:line="367" w:lineRule="exact"/>
        <w:rPr>
          <w:sz w:val="20"/>
          <w:szCs w:val="20"/>
          <w:color w:val="auto"/>
        </w:rPr>
      </w:pPr>
    </w:p>
    <w:p>
      <w:pPr>
        <w:ind w:left="880"/>
        <w:spacing w:after="0" w:line="287"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 2024</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If your shares are held in street name through a bank or broker, visit www.proxyvote.com or follow the instructions on the Notice, proxy card or voting instructions. All stockholders may enroll at enroll.icsdelivery.com/wmi.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1478280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380"/>
            <w:col w:w="6840"/>
          </w:cols>
          <w:pgMar w:left="580" w:top="97" w:right="14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9"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PROXY STATEMENT</w:t>
      </w:r>
      <w:r>
        <w:rPr>
          <w:rFonts w:ascii="Times New Roman" w:cs="Times New Roman" w:eastAsia="Times New Roman" w:hAnsi="Times New Roman"/>
          <w:sz w:val="64"/>
          <w:szCs w:val="64"/>
          <w:color w:val="000000"/>
        </w:rPr>
        <w:t>​</w:t>
      </w:r>
    </w:p>
    <w:p>
      <w:pPr>
        <w:ind w:left="820"/>
        <w:spacing w:after="0"/>
        <w:rPr>
          <w:sz w:val="20"/>
          <w:szCs w:val="20"/>
          <w:color w:val="auto"/>
        </w:rPr>
      </w:pPr>
      <w:r>
        <w:rPr>
          <w:rFonts w:ascii="Arial" w:cs="Arial" w:eastAsia="Arial" w:hAnsi="Arial"/>
          <w:sz w:val="36"/>
          <w:szCs w:val="36"/>
          <w:b w:val="1"/>
          <w:bCs w:val="1"/>
          <w:color w:val="457157"/>
        </w:rPr>
        <w:t>TABLE OF CONTENTS</w:t>
      </w:r>
      <w:r>
        <w:rPr>
          <w:rFonts w:ascii="Times New Roman" w:cs="Times New Roman" w:eastAsia="Times New Roman" w:hAnsi="Times New Roman"/>
          <w:sz w:val="64"/>
          <w:szCs w:val="64"/>
          <w:color w:val="000000"/>
        </w:rPr>
        <w:t>​</w:t>
      </w:r>
    </w:p>
    <w:p>
      <w:pPr>
        <w:spacing w:after="0" w:line="174" w:lineRule="exact"/>
        <w:rPr>
          <w:sz w:val="20"/>
          <w:szCs w:val="20"/>
          <w:color w:val="auto"/>
        </w:rPr>
      </w:pPr>
    </w:p>
    <w:p>
      <w:pPr>
        <w:ind w:left="820"/>
        <w:spacing w:after="0"/>
        <w:tabs>
          <w:tab w:leader="none" w:pos="5120" w:val="left"/>
          <w:tab w:leader="none" w:pos="9940" w:val="left"/>
        </w:tabs>
        <w:rPr>
          <w:sz w:val="20"/>
          <w:szCs w:val="20"/>
          <w:color w:val="auto"/>
        </w:rPr>
      </w:pPr>
      <w:r>
        <w:rPr>
          <w:rFonts w:ascii="Arial" w:cs="Arial" w:eastAsia="Arial" w:hAnsi="Arial"/>
          <w:sz w:val="29"/>
          <w:szCs w:val="29"/>
          <w:b w:val="1"/>
          <w:bCs w:val="1"/>
          <w:color w:val="auto"/>
          <w:vertAlign w:val="subscript"/>
        </w:rPr>
        <w:t>​</w:t>
      </w:r>
      <w:r>
        <w:rPr>
          <w:sz w:val="20"/>
          <w:szCs w:val="20"/>
          <w:color w:val="auto"/>
        </w:rPr>
        <w:tab/>
      </w:r>
      <w:r>
        <w:rPr>
          <w:rFonts w:ascii="Arial" w:cs="Arial" w:eastAsia="Arial" w:hAnsi="Arial"/>
          <w:sz w:val="28"/>
          <w:szCs w:val="28"/>
          <w:b w:val="1"/>
          <w:bCs w:val="1"/>
          <w:u w:val="single" w:color="auto"/>
          <w:color w:val="auto"/>
          <w:vertAlign w:val="subscript"/>
        </w:rPr>
        <w:t>​</w:t>
      </w:r>
      <w:r>
        <w:rPr>
          <w:rFonts w:ascii="Arial" w:cs="Arial" w:eastAsia="Arial" w:hAnsi="Arial"/>
          <w:sz w:val="14"/>
          <w:szCs w:val="14"/>
          <w:b w:val="1"/>
          <w:bCs w:val="1"/>
          <w:u w:val="single" w:color="auto"/>
          <w:color w:val="auto"/>
        </w:rPr>
        <w:t>Page</w:t>
      </w:r>
      <w:r>
        <w:rPr>
          <w:rFonts w:ascii="Arial" w:cs="Arial" w:eastAsia="Arial" w:hAnsi="Arial"/>
          <w:sz w:val="28"/>
          <w:szCs w:val="28"/>
          <w:b w:val="1"/>
          <w:bCs w:val="1"/>
          <w:color w:val="auto"/>
          <w:vertAlign w:val="subscript"/>
        </w:rPr>
        <w:t>​​</w:t>
      </w:r>
      <w:r>
        <w:rPr>
          <w:sz w:val="20"/>
          <w:szCs w:val="20"/>
          <w:color w:val="auto"/>
        </w:rPr>
        <w:tab/>
      </w:r>
      <w:r>
        <w:rPr>
          <w:rFonts w:ascii="Arial" w:cs="Arial" w:eastAsia="Arial" w:hAnsi="Arial"/>
          <w:sz w:val="17"/>
          <w:szCs w:val="17"/>
          <w:b w:val="1"/>
          <w:bCs w:val="1"/>
          <w:color w:val="auto"/>
          <w:vertAlign w:val="subscript"/>
        </w:rPr>
        <w:t>​</w:t>
      </w:r>
      <w:r>
        <w:rPr>
          <w:rFonts w:ascii="Arial" w:cs="Arial" w:eastAsia="Arial" w:hAnsi="Arial"/>
          <w:sz w:val="17"/>
          <w:szCs w:val="17"/>
          <w:b w:val="1"/>
          <w:bCs w:val="1"/>
          <w:color w:val="auto"/>
        </w:rPr>
        <w:t>Page</w:t>
      </w:r>
      <w:r>
        <w:rPr>
          <w:rFonts w:ascii="Arial" w:cs="Arial" w:eastAsia="Arial" w:hAnsi="Arial"/>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80326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3265" cy="154305"/>
                    </a:xfrm>
                    <a:prstGeom prst="rect">
                      <a:avLst/>
                    </a:prstGeom>
                    <a:noFill/>
                  </pic:spPr>
                </pic:pic>
              </a:graphicData>
            </a:graphic>
          </wp:anchor>
        </w:drawing>
      </w:r>
    </w:p>
    <w:p>
      <w:pPr>
        <w:sectPr>
          <w:pgSz w:w="11900" w:h="16838" w:orient="portrait"/>
          <w:cols w:equalWidth="0" w:num="1">
            <w:col w:w="10380"/>
          </w:cols>
          <w:pgMar w:left="580" w:top="97" w:right="939" w:bottom="1440" w:gutter="0" w:footer="0" w:header="0"/>
        </w:sectPr>
      </w:pPr>
    </w:p>
    <w:p>
      <w:pPr>
        <w:spacing w:after="0" w:line="55"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GENERAL INFORMATION</w:t>
      </w:r>
    </w:p>
    <w:p>
      <w:pPr>
        <w:spacing w:after="0" w:line="40" w:lineRule="exact"/>
        <w:rPr>
          <w:sz w:val="20"/>
          <w:szCs w:val="20"/>
          <w:color w:val="auto"/>
        </w:rPr>
      </w:pPr>
    </w:p>
    <w:p>
      <w:pPr>
        <w:ind w:left="1000" w:right="1140" w:hanging="179"/>
        <w:spacing w:after="0" w:line="290" w:lineRule="auto"/>
        <w:rPr>
          <w:sz w:val="20"/>
          <w:szCs w:val="20"/>
          <w:color w:val="auto"/>
        </w:rPr>
      </w:pPr>
      <w:r>
        <w:rPr>
          <w:rFonts w:ascii="Arial" w:cs="Arial" w:eastAsia="Arial" w:hAnsi="Arial"/>
          <w:sz w:val="18"/>
          <w:szCs w:val="18"/>
          <w:b w:val="1"/>
          <w:bCs w:val="1"/>
          <w:u w:val="single" w:color="auto"/>
          <w:color w:val="457157"/>
        </w:rPr>
        <w:t xml:space="preserve">BOARD OF DIRECTORS </w:t>
      </w:r>
      <w:r>
        <w:rPr>
          <w:rFonts w:ascii="Arial" w:cs="Arial" w:eastAsia="Arial" w:hAnsi="Arial"/>
          <w:sz w:val="18"/>
          <w:szCs w:val="18"/>
          <w:u w:val="single" w:color="auto"/>
          <w:color w:val="0000EE"/>
        </w:rPr>
        <w:t>Nominees for Director Leadership Structure Independence of Board Members Meetings and Board Committees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-655320</wp:posOffset>
            </wp:positionV>
            <wp:extent cx="298323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-346710</wp:posOffset>
            </wp:positionV>
            <wp:extent cx="29832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-38100</wp:posOffset>
            </wp:positionV>
            <wp:extent cx="29832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79" w:lineRule="exact"/>
        <w:rPr>
          <w:sz w:val="20"/>
          <w:szCs w:val="20"/>
          <w:color w:val="auto"/>
        </w:rPr>
      </w:pPr>
    </w:p>
    <w:p>
      <w:pPr>
        <w:ind w:left="1180" w:right="920" w:hanging="179"/>
        <w:spacing w:after="0" w:line="268" w:lineRule="auto"/>
        <w:rPr>
          <w:sz w:val="20"/>
          <w:szCs w:val="20"/>
          <w:color w:val="auto"/>
        </w:rPr>
      </w:pPr>
      <w:r>
        <w:rPr>
          <w:rFonts w:ascii="Arial" w:cs="Arial" w:eastAsia="Arial" w:hAnsi="Arial"/>
          <w:sz w:val="18"/>
          <w:szCs w:val="18"/>
          <w:u w:val="single" w:color="auto"/>
          <w:color w:val="0000EE"/>
        </w:rPr>
        <w:t>Oversight of Sustainability Risk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u w:val="single" w:color="auto"/>
          <w:color w:val="0000EE"/>
        </w:rPr>
        <w:t>Audit Committee</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180" w:hanging="179"/>
        <w:spacing w:after="0" w:line="268" w:lineRule="auto"/>
        <w:rPr>
          <w:sz w:val="20"/>
          <w:szCs w:val="20"/>
          <w:color w:val="auto"/>
        </w:rPr>
      </w:pPr>
      <w:r>
        <w:rPr>
          <w:rFonts w:ascii="Arial" w:cs="Arial" w:eastAsia="Arial" w:hAnsi="Arial"/>
          <w:sz w:val="18"/>
          <w:szCs w:val="18"/>
          <w:u w:val="single" w:color="auto"/>
          <w:color w:val="0000EE"/>
        </w:rPr>
        <w:t>Management Development and Compensation Committee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Interlocks and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Insider Participation</w:t>
      </w:r>
    </w:p>
    <w:p>
      <w:pPr>
        <w:spacing w:after="0" w:line="32" w:lineRule="exact"/>
        <w:rPr>
          <w:sz w:val="20"/>
          <w:szCs w:val="20"/>
          <w:color w:val="auto"/>
        </w:rPr>
      </w:pPr>
    </w:p>
    <w:p>
      <w:pPr>
        <w:ind w:left="1000" w:right="540"/>
        <w:spacing w:after="0" w:line="281" w:lineRule="auto"/>
        <w:rPr>
          <w:sz w:val="20"/>
          <w:szCs w:val="20"/>
          <w:color w:val="auto"/>
        </w:rPr>
      </w:pPr>
      <w:r>
        <w:rPr>
          <w:rFonts w:ascii="Arial" w:cs="Arial" w:eastAsia="Arial" w:hAnsi="Arial"/>
          <w:sz w:val="18"/>
          <w:szCs w:val="18"/>
          <w:u w:val="single" w:color="auto"/>
          <w:color w:val="0000EE"/>
        </w:rPr>
        <w:t>Nominating and Governance Committee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29832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40"/>
        <w:spacing w:after="0" w:line="279" w:lineRule="auto"/>
        <w:rPr>
          <w:sz w:val="20"/>
          <w:szCs w:val="20"/>
          <w:color w:val="auto"/>
        </w:rPr>
      </w:pPr>
      <w:r>
        <w:rPr>
          <w:rFonts w:ascii="Arial" w:cs="Arial" w:eastAsia="Arial" w:hAnsi="Arial"/>
          <w:sz w:val="18"/>
          <w:szCs w:val="18"/>
          <w:u w:val="single" w:color="auto"/>
          <w:color w:val="0000EE"/>
        </w:rPr>
        <w:t>Board of Directors Governing Documents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-164465</wp:posOffset>
            </wp:positionV>
            <wp:extent cx="29832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00" w:hanging="179"/>
        <w:spacing w:after="0" w:line="268" w:lineRule="auto"/>
        <w:rPr>
          <w:sz w:val="20"/>
          <w:szCs w:val="20"/>
          <w:color w:val="auto"/>
        </w:rPr>
      </w:pPr>
      <w:r>
        <w:rPr>
          <w:rFonts w:ascii="Arial" w:cs="Arial" w:eastAsia="Arial" w:hAnsi="Arial"/>
          <w:sz w:val="18"/>
          <w:szCs w:val="18"/>
          <w:b w:val="1"/>
          <w:bCs w:val="1"/>
          <w:u w:val="single" w:color="auto"/>
          <w:color w:val="457157"/>
        </w:rPr>
        <w:t>ELECTION OF DIRECTORS (Item 1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3230" cy="274320"/>
                    </a:xfrm>
                    <a:prstGeom prst="rect">
                      <a:avLst/>
                    </a:prstGeom>
                    <a:noFill/>
                  </pic:spPr>
                </pic:pic>
              </a:graphicData>
            </a:graphic>
          </wp:anchor>
        </w:drawing>
      </w:r>
    </w:p>
    <w:p>
      <w:pPr>
        <w:ind w:left="820" w:right="1120"/>
        <w:spacing w:after="0" w:line="244" w:lineRule="auto"/>
        <w:rPr>
          <w:sz w:val="20"/>
          <w:szCs w:val="20"/>
          <w:color w:val="auto"/>
        </w:rPr>
      </w:pPr>
      <w:r>
        <w:rPr>
          <w:rFonts w:ascii="Arial" w:cs="Arial" w:eastAsia="Arial" w:hAnsi="Arial"/>
          <w:sz w:val="18"/>
          <w:szCs w:val="18"/>
          <w:b w:val="1"/>
          <w:bCs w:val="1"/>
          <w:u w:val="single" w:color="auto"/>
          <w:color w:val="457157"/>
        </w:rPr>
        <w:t>DIRECTOR AND OFFICER STOCK OWNERSHIP</w:t>
      </w:r>
    </w:p>
    <w:p>
      <w:pPr>
        <w:spacing w:after="0" w:line="1" w:lineRule="exact"/>
        <w:rPr>
          <w:sz w:val="20"/>
          <w:szCs w:val="20"/>
          <w:color w:val="auto"/>
        </w:rPr>
      </w:pPr>
    </w:p>
    <w:p>
      <w:pPr>
        <w:ind w:left="1000" w:right="780" w:hanging="179"/>
        <w:spacing w:after="0" w:line="271" w:lineRule="auto"/>
        <w:rPr>
          <w:sz w:val="20"/>
          <w:szCs w:val="20"/>
          <w:color w:val="auto"/>
        </w:rPr>
      </w:pPr>
      <w:r>
        <w:rPr>
          <w:rFonts w:ascii="Arial" w:cs="Arial" w:eastAsia="Arial" w:hAnsi="Arial"/>
          <w:sz w:val="18"/>
          <w:szCs w:val="18"/>
          <w:b w:val="1"/>
          <w:bCs w:val="1"/>
          <w:u w:val="single" w:color="auto"/>
          <w:color w:val="457157"/>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b w:val="1"/>
          <w:bCs w:val="1"/>
          <w:u w:val="single" w:color="auto"/>
          <w:color w:val="457157"/>
        </w:rPr>
        <w:t>DELINQUENT SECTION 16(A) REPORTS</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EXECUTIVE COMPENSATION</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4571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Introduction</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360" w:right="200" w:hanging="179"/>
        <w:spacing w:after="0" w:line="260" w:lineRule="auto"/>
        <w:rPr>
          <w:sz w:val="20"/>
          <w:szCs w:val="20"/>
          <w:color w:val="auto"/>
        </w:rPr>
      </w:pPr>
      <w:r>
        <w:rPr>
          <w:rFonts w:ascii="Arial" w:cs="Arial" w:eastAsia="Arial" w:hAnsi="Arial"/>
          <w:sz w:val="18"/>
          <w:szCs w:val="18"/>
          <w:u w:val="single" w:color="auto"/>
          <w:color w:val="0000EE"/>
        </w:rPr>
        <w:t>2023 Compensation Program Results and Company Performance</w:t>
      </w:r>
    </w:p>
    <w:p>
      <w:pPr>
        <w:spacing w:after="0" w:line="1" w:lineRule="exact"/>
        <w:rPr>
          <w:sz w:val="20"/>
          <w:szCs w:val="20"/>
          <w:color w:val="auto"/>
        </w:rPr>
      </w:pPr>
    </w:p>
    <w:p>
      <w:pPr>
        <w:ind w:left="1360" w:right="500" w:hanging="179"/>
        <w:spacing w:after="0" w:line="273" w:lineRule="auto"/>
        <w:rPr>
          <w:sz w:val="20"/>
          <w:szCs w:val="20"/>
          <w:color w:val="auto"/>
        </w:rPr>
      </w:pPr>
      <w:r>
        <w:rPr>
          <w:rFonts w:ascii="Arial" w:cs="Arial" w:eastAsia="Arial" w:hAnsi="Arial"/>
          <w:sz w:val="18"/>
          <w:szCs w:val="18"/>
          <w:u w:val="single" w:color="auto"/>
          <w:color w:val="0000EE"/>
        </w:rPr>
        <w:t>Consideration of Stockholder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u w:val="single" w:color="auto"/>
          <w:color w:val="0000EE"/>
        </w:rPr>
        <w:t>2024 Compensation Program Preview</w:t>
      </w:r>
    </w:p>
    <w:p>
      <w:pPr>
        <w:spacing w:after="0" w:line="32" w:lineRule="exact"/>
        <w:rPr>
          <w:sz w:val="20"/>
          <w:szCs w:val="20"/>
          <w:color w:val="auto"/>
        </w:rPr>
      </w:pPr>
    </w:p>
    <w:p>
      <w:pPr>
        <w:ind w:left="1360" w:right="220" w:hanging="179"/>
        <w:spacing w:after="0" w:line="276" w:lineRule="auto"/>
        <w:rPr>
          <w:sz w:val="20"/>
          <w:szCs w:val="20"/>
          <w:color w:val="auto"/>
        </w:rPr>
      </w:pPr>
      <w:r>
        <w:rPr>
          <w:rFonts w:ascii="Arial" w:cs="Arial" w:eastAsia="Arial" w:hAnsi="Arial"/>
          <w:sz w:val="18"/>
          <w:szCs w:val="18"/>
          <w:u w:val="single" w:color="auto"/>
          <w:color w:val="0000EE"/>
        </w:rPr>
        <w:t>Our Compensation Philosophy for Named Executive Officers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0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color w:val="000000"/>
              </w:rPr>
              <w:t>​</w:t>
            </w:r>
          </w:p>
        </w:tc>
        <w:tc>
          <w:tcPr>
            <w:tcW w:w="1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00" w:type="dxa"/>
            <w:vAlign w:val="bottom"/>
            <w:tcBorders>
              <w:top w:val="single" w:sz="8" w:color="CCEEFF"/>
              <w:bottom w:val="single" w:sz="8" w:color="0000EE"/>
            </w:tcBorders>
            <w:gridSpan w:val="25"/>
            <w:shd w:val="clear" w:color="auto" w:fill="CCEEFF"/>
          </w:tcPr>
          <w:p>
            <w:pPr>
              <w:spacing w:after="0" w:line="163" w:lineRule="exact"/>
              <w:rPr>
                <w:sz w:val="20"/>
                <w:szCs w:val="20"/>
                <w:color w:val="auto"/>
              </w:rPr>
            </w:pPr>
            <w:r>
              <w:rPr>
                <w:rFonts w:ascii="Arial" w:cs="Arial" w:eastAsia="Arial" w:hAnsi="Arial"/>
                <w:sz w:val="18"/>
                <w:szCs w:val="18"/>
                <w:color w:val="0000EE"/>
              </w:rPr>
              <w:t>Overview of Elements of Our 2023 Executive</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80" w:type="dxa"/>
            <w:vAlign w:val="bottom"/>
            <w:gridSpan w:val="9"/>
            <w:vMerge w:val="restart"/>
            <w:shd w:val="clear" w:color="auto" w:fill="CCEEFF"/>
          </w:tcPr>
          <w:p>
            <w:pPr>
              <w:spacing w:after="0" w:line="182" w:lineRule="exact"/>
              <w:rPr>
                <w:sz w:val="20"/>
                <w:szCs w:val="20"/>
                <w:color w:val="auto"/>
              </w:rPr>
            </w:pPr>
            <w:r>
              <w:rPr>
                <w:rFonts w:ascii="Arial" w:cs="Arial" w:eastAsia="Arial" w:hAnsi="Arial"/>
                <w:sz w:val="18"/>
                <w:szCs w:val="18"/>
                <w:color w:val="0000EE"/>
              </w:rPr>
              <w:t>Compensation Program</w:t>
            </w:r>
          </w:p>
        </w:tc>
        <w:tc>
          <w:tcPr>
            <w:tcW w:w="4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tcBorders>
              <w:left w:val="single" w:sz="8" w:color="CCEEFF"/>
            </w:tcBorders>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37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2080" w:type="dxa"/>
            <w:vAlign w:val="bottom"/>
            <w:tcBorders>
              <w:bottom w:val="single" w:sz="8" w:color="0000EE"/>
            </w:tcBorders>
            <w:gridSpan w:val="9"/>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66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left w:val="single" w:sz="8" w:color="CCEEFF"/>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220" w:type="dxa"/>
            <w:vAlign w:val="bottom"/>
            <w:tcBorders>
              <w:bottom w:val="single" w:sz="8" w:color="0000EE"/>
            </w:tcBorders>
            <w:vMerge w:val="continue"/>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4020" w:type="dxa"/>
            <w:vAlign w:val="bottom"/>
            <w:tcBorders>
              <w:top w:val="single" w:sz="8" w:color="CCEEFF"/>
            </w:tcBorders>
            <w:gridSpan w:val="26"/>
            <w:vMerge w:val="restart"/>
          </w:tcPr>
          <w:p>
            <w:pPr>
              <w:spacing w:after="0" w:line="182" w:lineRule="exact"/>
              <w:rPr>
                <w:sz w:val="20"/>
                <w:szCs w:val="20"/>
                <w:color w:val="auto"/>
              </w:rPr>
            </w:pPr>
            <w:r>
              <w:rPr>
                <w:rFonts w:ascii="Arial" w:cs="Arial" w:eastAsia="Arial" w:hAnsi="Arial"/>
                <w:sz w:val="18"/>
                <w:szCs w:val="18"/>
                <w:color w:val="0000EE"/>
              </w:rPr>
              <w:t>How Named Executive Officer Compensation</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4020" w:type="dxa"/>
            <w:vAlign w:val="bottom"/>
            <w:tcBorders>
              <w:bottom w:val="single" w:sz="8" w:color="0000EE"/>
            </w:tcBorders>
            <w:gridSpan w:val="26"/>
            <w:vMerge w:val="continue"/>
          </w:tcPr>
          <w:p>
            <w:pPr>
              <w:spacing w:after="0"/>
              <w:rPr>
                <w:sz w:val="15"/>
                <w:szCs w:val="15"/>
                <w:color w:val="auto"/>
              </w:rPr>
            </w:pPr>
          </w:p>
        </w:tc>
        <w:tc>
          <w:tcPr>
            <w:tcW w:w="4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60" w:type="dxa"/>
            <w:vAlign w:val="bottom"/>
            <w:gridSpan w:val="25"/>
            <w:vMerge w:val="restart"/>
          </w:tcPr>
          <w:p>
            <w:pPr>
              <w:spacing w:after="0" w:line="176" w:lineRule="exact"/>
              <w:rPr>
                <w:sz w:val="20"/>
                <w:szCs w:val="20"/>
                <w:color w:val="auto"/>
              </w:rPr>
            </w:pPr>
            <w:r>
              <w:rPr>
                <w:rFonts w:ascii="Arial" w:cs="Arial" w:eastAsia="Arial" w:hAnsi="Arial"/>
                <w:sz w:val="18"/>
                <w:szCs w:val="18"/>
                <w:color w:val="0000EE"/>
              </w:rPr>
              <w:t>Decisions are Made</w:t>
            </w: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gridSpan w:val="2"/>
            <w:vMerge w:val="restart"/>
          </w:tcPr>
          <w:p>
            <w:pPr>
              <w:jc w:val="right"/>
              <w:spacing w:after="0" w:line="203"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860" w:type="dxa"/>
            <w:vAlign w:val="bottom"/>
            <w:gridSpan w:val="25"/>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top w:val="single" w:sz="8" w:color="0000EE"/>
              <w:bottom w:val="single" w:sz="8" w:color="CCEEFF"/>
            </w:tcBorders>
          </w:tcPr>
          <w:p>
            <w:pPr>
              <w:spacing w:after="0"/>
              <w:rPr>
                <w:sz w:val="2"/>
                <w:szCs w:val="2"/>
                <w:color w:val="auto"/>
              </w:rPr>
            </w:pPr>
          </w:p>
        </w:tc>
        <w:tc>
          <w:tcPr>
            <w:tcW w:w="160" w:type="dxa"/>
            <w:vAlign w:val="bottom"/>
            <w:tcBorders>
              <w:top w:val="single" w:sz="8" w:color="0000EE"/>
              <w:bottom w:val="single" w:sz="8" w:color="CCEEFF"/>
            </w:tcBorders>
          </w:tcPr>
          <w:p>
            <w:pPr>
              <w:spacing w:after="0"/>
              <w:rPr>
                <w:sz w:val="2"/>
                <w:szCs w:val="2"/>
                <w:color w:val="auto"/>
              </w:rPr>
            </w:pPr>
          </w:p>
        </w:tc>
        <w:tc>
          <w:tcPr>
            <w:tcW w:w="280" w:type="dxa"/>
            <w:vAlign w:val="bottom"/>
            <w:tcBorders>
              <w:top w:val="single" w:sz="8" w:color="0000EE"/>
              <w:bottom w:val="single" w:sz="8" w:color="CCEEFF"/>
            </w:tcBorders>
          </w:tcPr>
          <w:p>
            <w:pPr>
              <w:spacing w:after="0"/>
              <w:rPr>
                <w:sz w:val="2"/>
                <w:szCs w:val="2"/>
                <w:color w:val="auto"/>
              </w:rPr>
            </w:pPr>
          </w:p>
        </w:tc>
        <w:tc>
          <w:tcPr>
            <w:tcW w:w="520" w:type="dxa"/>
            <w:vAlign w:val="bottom"/>
            <w:tcBorders>
              <w:top w:val="single" w:sz="8" w:color="0000EE"/>
              <w:bottom w:val="single" w:sz="8" w:color="CCEEFF"/>
            </w:tcBorders>
          </w:tcPr>
          <w:p>
            <w:pPr>
              <w:spacing w:after="0"/>
              <w:rPr>
                <w:sz w:val="2"/>
                <w:szCs w:val="2"/>
                <w:color w:val="auto"/>
              </w:rPr>
            </w:pPr>
          </w:p>
        </w:tc>
        <w:tc>
          <w:tcPr>
            <w:tcW w:w="120" w:type="dxa"/>
            <w:vAlign w:val="bottom"/>
            <w:tcBorders>
              <w:top w:val="single" w:sz="8" w:color="0000EE"/>
              <w:bottom w:val="single" w:sz="8" w:color="CCEEFF"/>
            </w:tcBorders>
          </w:tcPr>
          <w:p>
            <w:pPr>
              <w:spacing w:after="0"/>
              <w:rPr>
                <w:sz w:val="2"/>
                <w:szCs w:val="2"/>
                <w:color w:val="auto"/>
              </w:rPr>
            </w:pPr>
          </w:p>
        </w:tc>
        <w:tc>
          <w:tcPr>
            <w:tcW w:w="20" w:type="dxa"/>
            <w:vAlign w:val="bottom"/>
            <w:tcBorders>
              <w:top w:val="single" w:sz="8" w:color="0000EE"/>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top w:val="single" w:sz="8" w:color="0000EE"/>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3500" w:type="dxa"/>
            <w:vAlign w:val="bottom"/>
            <w:gridSpan w:val="18"/>
            <w:vMerge w:val="restart"/>
            <w:shd w:val="clear" w:color="auto" w:fill="CCEEFF"/>
          </w:tcPr>
          <w:p>
            <w:pPr>
              <w:spacing w:after="0" w:line="156" w:lineRule="exact"/>
              <w:rPr>
                <w:sz w:val="20"/>
                <w:szCs w:val="20"/>
                <w:color w:val="auto"/>
              </w:rPr>
            </w:pPr>
            <w:r>
              <w:rPr>
                <w:rFonts w:ascii="Arial" w:cs="Arial" w:eastAsia="Arial" w:hAnsi="Arial"/>
                <w:sz w:val="18"/>
                <w:szCs w:val="18"/>
                <w:color w:val="0000EE"/>
              </w:rPr>
              <w:t>Named Executives’ 2023 Compensation</w:t>
            </w: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3"/>
                <w:szCs w:val="13"/>
                <w:color w:val="auto"/>
              </w:rPr>
            </w:pPr>
          </w:p>
        </w:tc>
        <w:tc>
          <w:tcPr>
            <w:tcW w:w="160" w:type="dxa"/>
            <w:vAlign w:val="bottom"/>
            <w:gridSpan w:val="2"/>
            <w:vMerge w:val="restart"/>
          </w:tcPr>
          <w:p>
            <w:pPr>
              <w:jc w:val="right"/>
              <w:spacing w:after="0" w:line="195"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3"/>
                <w:szCs w:val="13"/>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3"/>
                <w:szCs w:val="13"/>
                <w:color w:val="auto"/>
              </w:rPr>
            </w:pPr>
          </w:p>
        </w:tc>
        <w:tc>
          <w:tcPr>
            <w:tcW w:w="3500" w:type="dxa"/>
            <w:vAlign w:val="bottom"/>
            <w:tcBorders>
              <w:bottom w:val="single" w:sz="8" w:color="0000EE"/>
            </w:tcBorders>
            <w:gridSpan w:val="18"/>
            <w:vMerge w:val="continue"/>
            <w:shd w:val="clear" w:color="auto" w:fill="CCEEFF"/>
          </w:tcPr>
          <w:p>
            <w:pPr>
              <w:spacing w:after="0"/>
              <w:rPr>
                <w:sz w:val="13"/>
                <w:szCs w:val="13"/>
                <w:color w:val="auto"/>
              </w:rPr>
            </w:pPr>
          </w:p>
        </w:tc>
        <w:tc>
          <w:tcPr>
            <w:tcW w:w="40" w:type="dxa"/>
            <w:vAlign w:val="bottom"/>
            <w:tcBorders>
              <w:bottom w:val="single" w:sz="8" w:color="CCEEFF"/>
            </w:tcBorders>
            <w:vMerge w:val="continue"/>
            <w:shd w:val="clear" w:color="auto" w:fill="CCEEFF"/>
          </w:tcPr>
          <w:p>
            <w:pPr>
              <w:spacing w:after="0"/>
              <w:rPr>
                <w:sz w:val="13"/>
                <w:szCs w:val="13"/>
                <w:color w:val="auto"/>
              </w:rPr>
            </w:pPr>
          </w:p>
        </w:tc>
        <w:tc>
          <w:tcPr>
            <w:tcW w:w="20" w:type="dxa"/>
            <w:vAlign w:val="bottom"/>
            <w:tcBorders>
              <w:bottom w:val="single" w:sz="8" w:color="CCEEFF"/>
            </w:tcBorders>
            <w:vMerge w:val="continue"/>
            <w:shd w:val="clear" w:color="auto" w:fill="CCEEFF"/>
          </w:tcPr>
          <w:p>
            <w:pPr>
              <w:spacing w:after="0"/>
              <w:rPr>
                <w:sz w:val="13"/>
                <w:szCs w:val="13"/>
                <w:color w:val="auto"/>
              </w:rPr>
            </w:pPr>
          </w:p>
        </w:tc>
        <w:tc>
          <w:tcPr>
            <w:tcW w:w="4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gridSpan w:val="2"/>
            <w:vMerge w:val="continue"/>
            <w:shd w:val="clear" w:color="auto" w:fill="CCEEFF"/>
          </w:tcPr>
          <w:p>
            <w:pPr>
              <w:spacing w:after="0"/>
              <w:rPr>
                <w:sz w:val="13"/>
                <w:szCs w:val="13"/>
                <w:color w:val="auto"/>
              </w:rPr>
            </w:pPr>
          </w:p>
        </w:tc>
        <w:tc>
          <w:tcPr>
            <w:tcW w:w="3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left w:val="single" w:sz="8" w:color="CCEEFF"/>
            </w:tcBorders>
            <w:vMerge w:val="continue"/>
            <w:shd w:val="clear" w:color="auto" w:fill="CCEEFF"/>
          </w:tcPr>
          <w:p>
            <w:pPr>
              <w:spacing w:after="0" w:line="20" w:lineRule="exact"/>
              <w:rPr>
                <w:sz w:val="1"/>
                <w:szCs w:val="1"/>
                <w:color w:val="auto"/>
              </w:rPr>
            </w:pPr>
          </w:p>
        </w:tc>
        <w:tc>
          <w:tcPr>
            <w:tcW w:w="200" w:type="dxa"/>
            <w:vAlign w:val="bottom"/>
            <w:tcBorders>
              <w:right w:val="single" w:sz="8" w:color="CCEEFF"/>
            </w:tcBorders>
            <w:vMerge w:val="continue"/>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14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60" w:type="dxa"/>
            <w:vAlign w:val="bottom"/>
            <w:gridSpan w:val="2"/>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0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bottom w:val="single" w:sz="8" w:color="CCEEFF"/>
            </w:tcBorders>
            <w:vMerge w:val="restart"/>
            <w:shd w:val="clear" w:color="auto" w:fill="CCEEFF"/>
          </w:tcPr>
          <w:p>
            <w:pPr>
              <w:spacing w:after="0"/>
              <w:rPr>
                <w:sz w:val="2"/>
                <w:szCs w:val="2"/>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2"/>
                <w:szCs w:val="2"/>
                <w:color w:val="auto"/>
              </w:rPr>
            </w:pPr>
          </w:p>
        </w:tc>
        <w:tc>
          <w:tcPr>
            <w:tcW w:w="160" w:type="dxa"/>
            <w:vAlign w:val="bottom"/>
            <w:tcBorders>
              <w:bottom w:val="single" w:sz="8" w:color="CCEEFF"/>
            </w:tcBorders>
            <w:vMerge w:val="restart"/>
            <w:shd w:val="clear" w:color="auto" w:fill="CCEEFF"/>
          </w:tcPr>
          <w:p>
            <w:pPr>
              <w:spacing w:after="0"/>
              <w:rPr>
                <w:sz w:val="2"/>
                <w:szCs w:val="2"/>
                <w:color w:val="auto"/>
              </w:rPr>
            </w:pPr>
          </w:p>
        </w:tc>
        <w:tc>
          <w:tcPr>
            <w:tcW w:w="3860" w:type="dxa"/>
            <w:vAlign w:val="bottom"/>
            <w:tcBorders>
              <w:bottom w:val="single" w:sz="8" w:color="CCEEFF"/>
            </w:tcBorders>
            <w:gridSpan w:val="25"/>
            <w:vMerge w:val="restart"/>
            <w:shd w:val="clear" w:color="auto" w:fill="CCEEFF"/>
          </w:tcPr>
          <w:p>
            <w:pPr>
              <w:spacing w:after="0" w:line="176" w:lineRule="exact"/>
              <w:rPr>
                <w:sz w:val="20"/>
                <w:szCs w:val="20"/>
                <w:color w:val="auto"/>
              </w:rPr>
            </w:pPr>
            <w:r>
              <w:rPr>
                <w:rFonts w:ascii="Arial" w:cs="Arial" w:eastAsia="Arial" w:hAnsi="Arial"/>
                <w:sz w:val="18"/>
                <w:szCs w:val="18"/>
                <w:color w:val="0000EE"/>
              </w:rPr>
              <w:t>Program and Results</w:t>
            </w: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860" w:type="dxa"/>
            <w:vAlign w:val="bottom"/>
            <w:gridSpan w:val="25"/>
            <w:vMerge w:val="continue"/>
            <w:shd w:val="clear" w:color="auto" w:fill="CCEEFF"/>
          </w:tcPr>
          <w:p>
            <w:pPr>
              <w:spacing w:after="0"/>
              <w:rPr>
                <w:sz w:val="11"/>
                <w:szCs w:val="11"/>
                <w:color w:val="auto"/>
              </w:rPr>
            </w:pPr>
          </w:p>
        </w:tc>
        <w:tc>
          <w:tcPr>
            <w:tcW w:w="380" w:type="dxa"/>
            <w:vAlign w:val="bottom"/>
            <w:gridSpan w:val="3"/>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Post-Employment and Change in Control</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020" w:type="dxa"/>
            <w:vAlign w:val="bottom"/>
            <w:gridSpan w:val="26"/>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440" w:type="dxa"/>
            <w:vAlign w:val="bottom"/>
            <w:tcBorders>
              <w:top w:val="single" w:sz="8" w:color="0000EE"/>
            </w:tcBorders>
            <w:gridSpan w:val="20"/>
            <w:vMerge w:val="restart"/>
          </w:tcPr>
          <w:p>
            <w:pPr>
              <w:spacing w:after="0" w:line="196" w:lineRule="exact"/>
              <w:rPr>
                <w:sz w:val="20"/>
                <w:szCs w:val="20"/>
                <w:color w:val="auto"/>
              </w:rPr>
            </w:pPr>
            <w:r>
              <w:rPr>
                <w:rFonts w:ascii="Arial" w:cs="Arial" w:eastAsia="Arial" w:hAnsi="Arial"/>
                <w:sz w:val="18"/>
                <w:szCs w:val="18"/>
                <w:color w:val="0000EE"/>
              </w:rPr>
              <w:t>Compensation; Clawback Policies</w:t>
            </w:r>
          </w:p>
        </w:tc>
        <w:tc>
          <w:tcPr>
            <w:tcW w:w="420" w:type="dxa"/>
            <w:vAlign w:val="bottom"/>
            <w:gridSpan w:val="5"/>
            <w:vMerge w:val="restart"/>
          </w:tcPr>
          <w:p>
            <w:pPr>
              <w:spacing w:after="0"/>
              <w:rPr>
                <w:sz w:val="6"/>
                <w:szCs w:val="6"/>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Borders>
              <w:top w:val="single" w:sz="8" w:color="0000EE"/>
            </w:tcBorders>
            <w:gridSpan w:val="20"/>
            <w:vMerge w:val="continue"/>
          </w:tcPr>
          <w:p>
            <w:pPr>
              <w:spacing w:after="0"/>
              <w:rPr>
                <w:sz w:val="8"/>
                <w:szCs w:val="8"/>
                <w:color w:val="auto"/>
              </w:rPr>
            </w:pPr>
          </w:p>
        </w:tc>
        <w:tc>
          <w:tcPr>
            <w:tcW w:w="420" w:type="dxa"/>
            <w:vAlign w:val="bottom"/>
            <w:gridSpan w:val="5"/>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color w:val="000000"/>
              </w:rPr>
              <w:t>​</w:t>
            </w:r>
          </w:p>
        </w:tc>
        <w:tc>
          <w:tcPr>
            <w:tcW w:w="1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20" w:type="dxa"/>
            <w:vAlign w:val="bottom"/>
            <w:gridSpan w:val="26"/>
            <w:shd w:val="clear" w:color="auto" w:fill="CCEEFF"/>
          </w:tcPr>
          <w:p>
            <w:pPr>
              <w:spacing w:after="0" w:line="202" w:lineRule="exact"/>
              <w:rPr>
                <w:sz w:val="20"/>
                <w:szCs w:val="20"/>
                <w:color w:val="auto"/>
              </w:rPr>
            </w:pPr>
            <w:r>
              <w:rPr>
                <w:rFonts w:ascii="Arial" w:cs="Arial" w:eastAsia="Arial" w:hAnsi="Arial"/>
                <w:sz w:val="18"/>
                <w:szCs w:val="18"/>
                <w:color w:val="0000EE"/>
              </w:rPr>
              <w:t>Other Compensation Policies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80" w:type="dxa"/>
            <w:vAlign w:val="bottom"/>
            <w:tcBorders>
              <w:top w:val="single" w:sz="8" w:color="CCEEFF"/>
              <w:left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780" w:type="dxa"/>
            <w:vAlign w:val="bottom"/>
            <w:tcBorders>
              <w:top w:val="single" w:sz="8" w:color="0000EE"/>
              <w:right w:val="single" w:sz="8" w:color="CCEEFF"/>
            </w:tcBorders>
            <w:gridSpan w:val="11"/>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Practices</w:t>
            </w:r>
          </w:p>
        </w:tc>
        <w:tc>
          <w:tcPr>
            <w:tcW w:w="1080" w:type="dxa"/>
            <w:vAlign w:val="bottom"/>
            <w:tcBorders>
              <w:top w:val="single" w:sz="8" w:color="CCEEFF"/>
              <w:left w:val="single" w:sz="8" w:color="CCEEFF"/>
            </w:tcBorders>
            <w:gridSpan w:val="14"/>
            <w:vMerge w:val="restart"/>
            <w:shd w:val="clear" w:color="auto" w:fill="CCEEFF"/>
          </w:tcPr>
          <w:p>
            <w:pPr>
              <w:spacing w:after="0"/>
              <w:rPr>
                <w:sz w:val="5"/>
                <w:szCs w:val="5"/>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47</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780" w:type="dxa"/>
            <w:vAlign w:val="bottom"/>
            <w:tcBorders>
              <w:right w:val="single" w:sz="8" w:color="CCEEFF"/>
            </w:tcBorders>
            <w:gridSpan w:val="11"/>
            <w:vMerge w:val="continue"/>
            <w:shd w:val="clear" w:color="auto" w:fill="CCEEFF"/>
          </w:tcPr>
          <w:p>
            <w:pPr>
              <w:spacing w:after="0" w:line="20" w:lineRule="exact"/>
              <w:rPr>
                <w:sz w:val="1"/>
                <w:szCs w:val="1"/>
                <w:color w:val="auto"/>
              </w:rPr>
            </w:pPr>
          </w:p>
        </w:tc>
        <w:tc>
          <w:tcPr>
            <w:tcW w:w="1080" w:type="dxa"/>
            <w:vAlign w:val="bottom"/>
            <w:tcBorders>
              <w:left w:val="single" w:sz="8" w:color="CCEEFF"/>
            </w:tcBorders>
            <w:gridSpan w:val="14"/>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2780" w:type="dxa"/>
            <w:vAlign w:val="bottom"/>
            <w:tcBorders>
              <w:right w:val="single" w:sz="8" w:color="CCEEFF"/>
            </w:tcBorders>
            <w:gridSpan w:val="11"/>
            <w:vMerge w:val="continue"/>
            <w:shd w:val="clear" w:color="auto" w:fill="CCEEFF"/>
          </w:tcPr>
          <w:p>
            <w:pPr>
              <w:spacing w:after="0"/>
              <w:rPr>
                <w:sz w:val="10"/>
                <w:szCs w:val="10"/>
                <w:color w:val="auto"/>
              </w:rPr>
            </w:pPr>
          </w:p>
        </w:tc>
        <w:tc>
          <w:tcPr>
            <w:tcW w:w="1080" w:type="dxa"/>
            <w:vAlign w:val="bottom"/>
            <w:tcBorders>
              <w:left w:val="single" w:sz="8" w:color="CCEEFF"/>
            </w:tcBorders>
            <w:gridSpan w:val="14"/>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140" w:type="dxa"/>
            <w:vAlign w:val="bottom"/>
            <w:gridSpan w:val="13"/>
            <w:vMerge w:val="restart"/>
          </w:tcPr>
          <w:p>
            <w:pPr>
              <w:spacing w:after="0" w:line="196" w:lineRule="exact"/>
              <w:rPr>
                <w:sz w:val="20"/>
                <w:szCs w:val="20"/>
                <w:color w:val="auto"/>
              </w:rPr>
            </w:pPr>
            <w:r>
              <w:rPr>
                <w:rFonts w:ascii="Arial" w:cs="Arial" w:eastAsia="Arial" w:hAnsi="Arial"/>
                <w:sz w:val="18"/>
                <w:szCs w:val="18"/>
                <w:b w:val="1"/>
                <w:bCs w:val="1"/>
                <w:color w:val="457157"/>
              </w:rPr>
              <w:t>Executive Compensation Tables</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tcPr>
          <w:p>
            <w:pPr>
              <w:jc w:val="right"/>
              <w:spacing w:after="0" w:line="196" w:lineRule="exact"/>
              <w:rPr>
                <w:sz w:val="20"/>
                <w:szCs w:val="20"/>
                <w:color w:val="auto"/>
              </w:rPr>
            </w:pPr>
            <w:r>
              <w:rPr>
                <w:rFonts w:ascii="Arial" w:cs="Arial" w:eastAsia="Arial" w:hAnsi="Arial"/>
                <w:sz w:val="18"/>
                <w:szCs w:val="18"/>
                <w:color w:val="0000EE"/>
                <w:w w:val="89"/>
              </w:rPr>
              <w:t>49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140" w:type="dxa"/>
            <w:vAlign w:val="bottom"/>
            <w:gridSpan w:val="13"/>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0" w:type="dxa"/>
            <w:vAlign w:val="bottom"/>
            <w:gridSpan w:val="3"/>
            <w:vMerge w:val="restart"/>
          </w:tcPr>
          <w:p>
            <w:pPr>
              <w:jc w:val="right"/>
              <w:spacing w:after="0" w:line="162"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180" w:type="dxa"/>
            <w:vAlign w:val="bottom"/>
            <w:vMerge w:val="continue"/>
          </w:tcPr>
          <w:p>
            <w:pPr>
              <w:spacing w:after="0"/>
              <w:rPr>
                <w:sz w:val="10"/>
                <w:szCs w:val="10"/>
                <w:color w:val="auto"/>
              </w:rPr>
            </w:pPr>
          </w:p>
        </w:tc>
        <w:tc>
          <w:tcPr>
            <w:tcW w:w="3140" w:type="dxa"/>
            <w:vAlign w:val="bottom"/>
            <w:tcBorders>
              <w:bottom w:val="single" w:sz="8" w:color="457157"/>
            </w:tcBorders>
            <w:gridSpan w:val="13"/>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vMerge w:val="continue"/>
          </w:tcPr>
          <w:p>
            <w:pPr>
              <w:spacing w:after="0"/>
              <w:rPr>
                <w:sz w:val="2"/>
                <w:szCs w:val="2"/>
                <w:color w:val="auto"/>
              </w:rPr>
            </w:pPr>
          </w:p>
        </w:tc>
        <w:tc>
          <w:tcPr>
            <w:tcW w:w="120" w:type="dxa"/>
            <w:vAlign w:val="bottom"/>
            <w:tcBorders>
              <w:bottom w:val="single" w:sz="8" w:color="CCEEFF"/>
            </w:tcBorders>
            <w:gridSpan w:val="2"/>
            <w:vMerge w:val="continue"/>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100" w:type="dxa"/>
            <w:vAlign w:val="bottom"/>
            <w:tcBorders>
              <w:bottom w:val="single" w:sz="8" w:color="CCEEFF"/>
            </w:tcBorders>
            <w:gridSpan w:val="2"/>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200" w:type="dxa"/>
            <w:vAlign w:val="bottom"/>
            <w:tcBorders>
              <w:bottom w:val="single" w:sz="8" w:color="CCEEFF"/>
            </w:tcBorders>
            <w:gridSpan w:val="2"/>
            <w:vMerge w:val="continue"/>
          </w:tcPr>
          <w:p>
            <w:pPr>
              <w:spacing w:after="0"/>
              <w:rPr>
                <w:sz w:val="2"/>
                <w:szCs w:val="2"/>
                <w:color w:val="auto"/>
              </w:rPr>
            </w:pPr>
          </w:p>
        </w:tc>
        <w:tc>
          <w:tcPr>
            <w:tcW w:w="14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gridSpan w:val="2"/>
            <w:vMerge w:val="continue"/>
          </w:tcPr>
          <w:p>
            <w:pPr>
              <w:spacing w:after="0"/>
              <w:rPr>
                <w:sz w:val="2"/>
                <w:szCs w:val="2"/>
                <w:color w:val="auto"/>
              </w:rPr>
            </w:pPr>
          </w:p>
        </w:tc>
        <w:tc>
          <w:tcPr>
            <w:tcW w:w="160" w:type="dxa"/>
            <w:vAlign w:val="bottom"/>
            <w:tcBorders>
              <w:bottom w:val="single" w:sz="8" w:color="CCEEFF"/>
            </w:tcBorders>
            <w:gridSpan w:val="2"/>
            <w:vMerge w:val="continue"/>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0000EE"/>
            </w:tcBorders>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left w:val="single" w:sz="8" w:color="CCEEFF"/>
              <w:bottom w:val="single" w:sz="8" w:color="CCEEFF"/>
            </w:tcBorders>
            <w:vMerge w:val="restart"/>
            <w:shd w:val="clear" w:color="auto" w:fill="CCEEFF"/>
          </w:tcPr>
          <w:p>
            <w:pPr>
              <w:spacing w:after="0"/>
              <w:rPr>
                <w:sz w:val="3"/>
                <w:szCs w:val="3"/>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3"/>
                <w:szCs w:val="3"/>
                <w:color w:val="auto"/>
              </w:rPr>
            </w:pPr>
          </w:p>
        </w:tc>
        <w:tc>
          <w:tcPr>
            <w:tcW w:w="2940" w:type="dxa"/>
            <w:vAlign w:val="bottom"/>
            <w:tcBorders>
              <w:bottom w:val="single" w:sz="8" w:color="CCEEFF"/>
              <w:right w:val="single" w:sz="8" w:color="CCEEFF"/>
            </w:tcBorders>
            <w:gridSpan w:val="12"/>
            <w:vMerge w:val="restart"/>
            <w:shd w:val="clear" w:color="auto" w:fill="CCEEFF"/>
          </w:tcPr>
          <w:p>
            <w:pPr>
              <w:spacing w:after="0" w:line="170" w:lineRule="exact"/>
              <w:rPr>
                <w:sz w:val="20"/>
                <w:szCs w:val="20"/>
                <w:color w:val="auto"/>
              </w:rPr>
            </w:pPr>
            <w:r>
              <w:rPr>
                <w:rFonts w:ascii="Arial" w:cs="Arial" w:eastAsia="Arial" w:hAnsi="Arial"/>
                <w:sz w:val="18"/>
                <w:szCs w:val="18"/>
                <w:color w:val="0000EE"/>
              </w:rPr>
              <w:t>Summary Compensation Table</w:t>
            </w:r>
          </w:p>
        </w:tc>
        <w:tc>
          <w:tcPr>
            <w:tcW w:w="1080" w:type="dxa"/>
            <w:vAlign w:val="bottom"/>
            <w:tcBorders>
              <w:left w:val="single" w:sz="8" w:color="CCEEFF"/>
              <w:bottom w:val="single" w:sz="8" w:color="CCEEFF"/>
            </w:tcBorders>
            <w:gridSpan w:val="14"/>
            <w:vMerge w:val="restart"/>
            <w:shd w:val="clear" w:color="auto" w:fill="CCEEFF"/>
          </w:tcPr>
          <w:p>
            <w:pPr>
              <w:spacing w:after="0"/>
              <w:rPr>
                <w:sz w:val="3"/>
                <w:szCs w:val="3"/>
                <w:color w:val="auto"/>
              </w:rPr>
            </w:pPr>
          </w:p>
        </w:tc>
        <w:tc>
          <w:tcPr>
            <w:tcW w:w="380" w:type="dxa"/>
            <w:vAlign w:val="bottom"/>
            <w:tcBorders>
              <w:bottom w:val="single" w:sz="8" w:color="CCEEFF"/>
            </w:tcBorders>
            <w:gridSpan w:val="3"/>
            <w:vMerge w:val="restart"/>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vMerge w:val="restart"/>
          </w:tcPr>
          <w:p>
            <w:pPr>
              <w:jc w:val="right"/>
              <w:spacing w:after="0" w:line="15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left w:val="single" w:sz="8" w:color="CCEEFF"/>
            </w:tcBorders>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2940" w:type="dxa"/>
            <w:vAlign w:val="bottom"/>
            <w:tcBorders>
              <w:right w:val="single" w:sz="8" w:color="CCEEFF"/>
            </w:tcBorders>
            <w:gridSpan w:val="12"/>
            <w:vMerge w:val="continue"/>
            <w:shd w:val="clear" w:color="auto" w:fill="CCEEFF"/>
          </w:tcPr>
          <w:p>
            <w:pPr>
              <w:spacing w:after="0"/>
              <w:rPr>
                <w:sz w:val="10"/>
                <w:szCs w:val="10"/>
                <w:color w:val="auto"/>
              </w:rPr>
            </w:pPr>
          </w:p>
        </w:tc>
        <w:tc>
          <w:tcPr>
            <w:tcW w:w="1080" w:type="dxa"/>
            <w:vAlign w:val="bottom"/>
            <w:tcBorders>
              <w:left w:val="single" w:sz="8" w:color="CCEEFF"/>
            </w:tcBorders>
            <w:gridSpan w:val="14"/>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60" w:type="dxa"/>
            <w:vAlign w:val="bottom"/>
            <w:tcBorders>
              <w:right w:val="single" w:sz="8" w:color="CCEEFF"/>
            </w:tcBorders>
            <w:shd w:val="clear" w:color="auto" w:fill="0000EE"/>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2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Grant of Plan-Based Awards in 2023</w:t>
            </w:r>
          </w:p>
        </w:tc>
        <w:tc>
          <w:tcPr>
            <w:tcW w:w="2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100" w:type="dxa"/>
            <w:vAlign w:val="bottom"/>
            <w:tcBorders>
              <w:bottom w:val="single" w:sz="8" w:color="CCEEFF"/>
            </w:tcBorders>
            <w:gridSpan w:val="2"/>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200" w:type="dxa"/>
            <w:vAlign w:val="bottom"/>
            <w:tcBorders>
              <w:bottom w:val="single" w:sz="8" w:color="CCEEFF"/>
            </w:tcBorders>
            <w:gridSpan w:val="2"/>
            <w:vMerge w:val="continue"/>
          </w:tcPr>
          <w:p>
            <w:pPr>
              <w:spacing w:after="0"/>
              <w:rPr>
                <w:sz w:val="2"/>
                <w:szCs w:val="2"/>
                <w:color w:val="auto"/>
              </w:rPr>
            </w:pPr>
          </w:p>
        </w:tc>
        <w:tc>
          <w:tcPr>
            <w:tcW w:w="14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gridSpan w:val="2"/>
            <w:vMerge w:val="continue"/>
          </w:tcPr>
          <w:p>
            <w:pPr>
              <w:spacing w:after="0"/>
              <w:rPr>
                <w:sz w:val="2"/>
                <w:szCs w:val="2"/>
                <w:color w:val="auto"/>
              </w:rPr>
            </w:pPr>
          </w:p>
        </w:tc>
        <w:tc>
          <w:tcPr>
            <w:tcW w:w="160" w:type="dxa"/>
            <w:vAlign w:val="bottom"/>
            <w:tcBorders>
              <w:bottom w:val="single" w:sz="8" w:color="CCEEFF"/>
            </w:tcBorders>
            <w:gridSpan w:val="2"/>
            <w:vMerge w:val="continue"/>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6"/>
            <w:vMerge w:val="restart"/>
            <w:shd w:val="clear" w:color="auto" w:fill="CCEEFF"/>
          </w:tcPr>
          <w:p>
            <w:pPr>
              <w:spacing w:after="0" w:line="162" w:lineRule="exact"/>
              <w:rPr>
                <w:sz w:val="20"/>
                <w:szCs w:val="20"/>
                <w:color w:val="auto"/>
              </w:rPr>
            </w:pPr>
            <w:r>
              <w:rPr>
                <w:rFonts w:ascii="Arial" w:cs="Arial" w:eastAsia="Arial" w:hAnsi="Arial"/>
                <w:sz w:val="18"/>
                <w:szCs w:val="18"/>
                <w:color w:val="0000EE"/>
              </w:rPr>
              <w:t>Outstanding Equity Awards as of</w:t>
            </w: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4020" w:type="dxa"/>
            <w:vAlign w:val="bottom"/>
            <w:gridSpan w:val="26"/>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60" w:type="dxa"/>
            <w:vAlign w:val="bottom"/>
            <w:gridSpan w:val="3"/>
            <w:vMerge w:val="continue"/>
          </w:tcPr>
          <w:p>
            <w:pPr>
              <w:spacing w:after="0"/>
              <w:rPr>
                <w:sz w:val="6"/>
                <w:szCs w:val="6"/>
                <w:color w:val="auto"/>
              </w:rPr>
            </w:pPr>
          </w:p>
        </w:tc>
        <w:tc>
          <w:tcPr>
            <w:tcW w:w="180" w:type="dxa"/>
            <w:vAlign w:val="bottom"/>
            <w:tcBorders>
              <w:top w:val="single" w:sz="8" w:color="CCEEFF"/>
              <w:left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gridSpan w:val="5"/>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December 31, 2023</w:t>
            </w:r>
          </w:p>
        </w:tc>
        <w:tc>
          <w:tcPr>
            <w:tcW w:w="1040" w:type="dxa"/>
            <w:vAlign w:val="bottom"/>
            <w:tcBorders>
              <w:top w:val="single" w:sz="8" w:color="0000EE"/>
              <w:right w:val="single" w:sz="8" w:color="CCEEFF"/>
            </w:tcBorders>
            <w:gridSpan w:val="6"/>
            <w:vMerge w:val="restart"/>
            <w:shd w:val="clear" w:color="auto" w:fill="CCEEFF"/>
          </w:tcPr>
          <w:p>
            <w:pPr>
              <w:spacing w:after="0"/>
              <w:rPr>
                <w:sz w:val="6"/>
                <w:szCs w:val="6"/>
                <w:color w:val="auto"/>
              </w:rPr>
            </w:pPr>
          </w:p>
        </w:tc>
        <w:tc>
          <w:tcPr>
            <w:tcW w:w="1080" w:type="dxa"/>
            <w:vAlign w:val="bottom"/>
            <w:tcBorders>
              <w:top w:val="single" w:sz="8" w:color="CCEEFF"/>
              <w:left w:val="single" w:sz="8" w:color="CCEEFF"/>
            </w:tcBorders>
            <w:gridSpan w:val="14"/>
            <w:vMerge w:val="restart"/>
            <w:shd w:val="clear" w:color="auto" w:fill="CCEEFF"/>
          </w:tcPr>
          <w:p>
            <w:pPr>
              <w:spacing w:after="0"/>
              <w:rPr>
                <w:sz w:val="6"/>
                <w:szCs w:val="6"/>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52</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CCEEFF"/>
              <w:left w:val="single" w:sz="8" w:color="CCEEFF"/>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740" w:type="dxa"/>
            <w:vAlign w:val="bottom"/>
            <w:tcBorders>
              <w:top w:val="single" w:sz="8" w:color="0000EE"/>
            </w:tcBorders>
            <w:gridSpan w:val="5"/>
            <w:vMerge w:val="continue"/>
            <w:shd w:val="clear" w:color="auto" w:fill="CCEEFF"/>
          </w:tcPr>
          <w:p>
            <w:pPr>
              <w:spacing w:after="0"/>
              <w:rPr>
                <w:sz w:val="8"/>
                <w:szCs w:val="8"/>
                <w:color w:val="auto"/>
              </w:rPr>
            </w:pPr>
          </w:p>
        </w:tc>
        <w:tc>
          <w:tcPr>
            <w:tcW w:w="1040" w:type="dxa"/>
            <w:vAlign w:val="bottom"/>
            <w:tcBorders>
              <w:top w:val="single" w:sz="8" w:color="0000EE"/>
              <w:right w:val="single" w:sz="8" w:color="CCEEFF"/>
            </w:tcBorders>
            <w:gridSpan w:val="6"/>
            <w:vMerge w:val="continue"/>
            <w:shd w:val="clear" w:color="auto" w:fill="CCEEFF"/>
          </w:tcPr>
          <w:p>
            <w:pPr>
              <w:spacing w:after="0"/>
              <w:rPr>
                <w:sz w:val="8"/>
                <w:szCs w:val="8"/>
                <w:color w:val="auto"/>
              </w:rPr>
            </w:pPr>
          </w:p>
        </w:tc>
        <w:tc>
          <w:tcPr>
            <w:tcW w:w="1080" w:type="dxa"/>
            <w:vAlign w:val="bottom"/>
            <w:tcBorders>
              <w:top w:val="single" w:sz="8" w:color="CCEEFF"/>
              <w:left w:val="single" w:sz="8" w:color="CCEEFF"/>
            </w:tcBorders>
            <w:gridSpan w:val="14"/>
            <w:vMerge w:val="continue"/>
            <w:shd w:val="clear" w:color="auto" w:fill="CCEEFF"/>
          </w:tcPr>
          <w:p>
            <w:pPr>
              <w:spacing w:after="0"/>
              <w:rPr>
                <w:sz w:val="8"/>
                <w:szCs w:val="8"/>
                <w:color w:val="auto"/>
              </w:rPr>
            </w:pPr>
          </w:p>
        </w:tc>
        <w:tc>
          <w:tcPr>
            <w:tcW w:w="380" w:type="dxa"/>
            <w:vAlign w:val="bottom"/>
            <w:tcBorders>
              <w:top w:val="single" w:sz="8" w:color="CCEEFF"/>
            </w:tcBorders>
            <w:gridSpan w:val="3"/>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1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Option Exercises and Stock Vested</w:t>
            </w:r>
          </w:p>
        </w:tc>
        <w:tc>
          <w:tcPr>
            <w:tcW w:w="32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53</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bottom w:val="single" w:sz="8" w:color="CCEEFF"/>
            </w:tcBorders>
            <w:vMerge w:val="restart"/>
            <w:shd w:val="clear" w:color="auto" w:fill="CCEEFF"/>
          </w:tcPr>
          <w:p>
            <w:pPr>
              <w:spacing w:after="0"/>
              <w:rPr>
                <w:sz w:val="2"/>
                <w:szCs w:val="2"/>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2"/>
                <w:szCs w:val="2"/>
                <w:color w:val="auto"/>
              </w:rPr>
            </w:pPr>
          </w:p>
        </w:tc>
        <w:tc>
          <w:tcPr>
            <w:tcW w:w="4400" w:type="dxa"/>
            <w:vAlign w:val="bottom"/>
            <w:tcBorders>
              <w:bottom w:val="single" w:sz="8" w:color="CCEEFF"/>
            </w:tcBorders>
            <w:gridSpan w:val="29"/>
            <w:vMerge w:val="restart"/>
            <w:shd w:val="clear" w:color="auto" w:fill="CCEEFF"/>
          </w:tcPr>
          <w:p>
            <w:pPr>
              <w:spacing w:after="0" w:line="189" w:lineRule="exact"/>
              <w:rPr>
                <w:sz w:val="20"/>
                <w:szCs w:val="20"/>
                <w:color w:val="auto"/>
              </w:rPr>
            </w:pPr>
            <w:r>
              <w:rPr>
                <w:rFonts w:ascii="Arial" w:cs="Arial" w:eastAsia="Arial" w:hAnsi="Arial"/>
                <w:sz w:val="18"/>
                <w:szCs w:val="18"/>
                <w:color w:val="0000EE"/>
              </w:rPr>
              <w:t xml:space="preserve">Nonqualified Deferred Compensation in 2023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color w:val="0000EE"/>
              </w:rPr>
              <w:t xml:space="preserve"> 54</w:t>
            </w:r>
          </w:p>
        </w:tc>
        <w:tc>
          <w:tcPr>
            <w:tcW w:w="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7"/>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4400" w:type="dxa"/>
            <w:vAlign w:val="bottom"/>
            <w:gridSpan w:val="29"/>
            <w:vMerge w:val="continue"/>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60" w:type="dxa"/>
            <w:vAlign w:val="bottom"/>
            <w:gridSpan w:val="3"/>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Potential Payments Upon Termination or</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13</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020" w:type="dxa"/>
            <w:vAlign w:val="bottom"/>
            <w:gridSpan w:val="26"/>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400" w:type="dxa"/>
            <w:vAlign w:val="bottom"/>
            <w:tcBorders>
              <w:top w:val="single" w:sz="8" w:color="0000EE"/>
            </w:tcBorders>
            <w:gridSpan w:val="19"/>
            <w:vMerge w:val="restart"/>
          </w:tcPr>
          <w:p>
            <w:pPr>
              <w:spacing w:after="0" w:line="196" w:lineRule="exact"/>
              <w:rPr>
                <w:sz w:val="20"/>
                <w:szCs w:val="20"/>
                <w:color w:val="auto"/>
              </w:rPr>
            </w:pPr>
            <w:r>
              <w:rPr>
                <w:rFonts w:ascii="Arial" w:cs="Arial" w:eastAsia="Arial" w:hAnsi="Arial"/>
                <w:sz w:val="18"/>
                <w:szCs w:val="18"/>
                <w:color w:val="0000EE"/>
              </w:rPr>
              <w:t>Change in Control</w:t>
            </w:r>
          </w:p>
        </w:tc>
        <w:tc>
          <w:tcPr>
            <w:tcW w:w="460" w:type="dxa"/>
            <w:vAlign w:val="bottom"/>
            <w:gridSpan w:val="6"/>
            <w:vMerge w:val="restart"/>
          </w:tcPr>
          <w:p>
            <w:pPr>
              <w:spacing w:after="0"/>
              <w:rPr>
                <w:sz w:val="6"/>
                <w:szCs w:val="6"/>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0" w:type="dxa"/>
            <w:vAlign w:val="bottom"/>
            <w:gridSpan w:val="19"/>
            <w:vMerge w:val="continue"/>
          </w:tcPr>
          <w:p>
            <w:pPr>
              <w:spacing w:after="0" w:line="20" w:lineRule="exact"/>
              <w:rPr>
                <w:sz w:val="1"/>
                <w:szCs w:val="1"/>
                <w:color w:val="auto"/>
              </w:rPr>
            </w:pPr>
          </w:p>
        </w:tc>
        <w:tc>
          <w:tcPr>
            <w:tcW w:w="460" w:type="dxa"/>
            <w:vAlign w:val="bottom"/>
            <w:gridSpan w:val="6"/>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14</w:t>
            </w:r>
            <w:r>
              <w:rPr>
                <w:rFonts w:ascii="Arial" w:cs="Arial" w:eastAsia="Arial" w:hAnsi="Arial"/>
                <w:sz w:val="18"/>
                <w:szCs w:val="18"/>
                <w:color w:val="000000"/>
              </w:rPr>
              <w:t>​</w:t>
            </w: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00" w:type="dxa"/>
            <w:vAlign w:val="bottom"/>
            <w:gridSpan w:val="19"/>
            <w:vMerge w:val="continue"/>
          </w:tcPr>
          <w:p>
            <w:pPr>
              <w:spacing w:after="0"/>
              <w:rPr>
                <w:sz w:val="8"/>
                <w:szCs w:val="8"/>
                <w:color w:val="auto"/>
              </w:rPr>
            </w:pPr>
          </w:p>
        </w:tc>
        <w:tc>
          <w:tcPr>
            <w:tcW w:w="460" w:type="dxa"/>
            <w:vAlign w:val="bottom"/>
            <w:gridSpan w:val="6"/>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3"/>
            <w:vMerge w:val="continue"/>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020" w:type="dxa"/>
            <w:vAlign w:val="bottom"/>
            <w:gridSpan w:val="2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Potential Consideration Upon Termination of</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6"/>
            <w:vMerge w:val="continue"/>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15</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8"/>
                <w:szCs w:val="8"/>
                <w:color w:val="auto"/>
              </w:rPr>
            </w:pPr>
          </w:p>
        </w:tc>
        <w:tc>
          <w:tcPr>
            <w:tcW w:w="200" w:type="dxa"/>
            <w:vAlign w:val="bottom"/>
            <w:tcBorders>
              <w:right w:val="single" w:sz="8" w:color="CCEEFF"/>
            </w:tcBorders>
            <w:vMerge w:val="continue"/>
            <w:shd w:val="clear" w:color="auto" w:fill="CCEEFF"/>
          </w:tcPr>
          <w:p>
            <w:pPr>
              <w:spacing w:after="0"/>
              <w:rPr>
                <w:sz w:val="8"/>
                <w:szCs w:val="8"/>
                <w:color w:val="auto"/>
              </w:rPr>
            </w:pPr>
          </w:p>
        </w:tc>
        <w:tc>
          <w:tcPr>
            <w:tcW w:w="4020" w:type="dxa"/>
            <w:vAlign w:val="bottom"/>
            <w:gridSpan w:val="26"/>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gridSpan w:val="3"/>
            <w:vMerge w:val="continue"/>
          </w:tcPr>
          <w:p>
            <w:pPr>
              <w:spacing w:after="0"/>
              <w:rPr>
                <w:sz w:val="8"/>
                <w:szCs w:val="8"/>
                <w:color w:val="auto"/>
              </w:rPr>
            </w:pPr>
          </w:p>
        </w:tc>
        <w:tc>
          <w:tcPr>
            <w:tcW w:w="180" w:type="dxa"/>
            <w:vAlign w:val="bottom"/>
            <w:tcBorders>
              <w:top w:val="single" w:sz="8" w:color="CCEEFF"/>
              <w:left w:val="single" w:sz="8" w:color="CCEEFF"/>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60" w:type="dxa"/>
            <w:vAlign w:val="bottom"/>
            <w:tcBorders>
              <w:top w:val="single" w:sz="8" w:color="0000EE"/>
            </w:tcBorders>
            <w:shd w:val="clear" w:color="auto" w:fill="CCEEFF"/>
          </w:tcPr>
          <w:p>
            <w:pPr>
              <w:spacing w:after="0"/>
              <w:rPr>
                <w:sz w:val="8"/>
                <w:szCs w:val="8"/>
                <w:color w:val="auto"/>
              </w:rPr>
            </w:pPr>
          </w:p>
        </w:tc>
        <w:tc>
          <w:tcPr>
            <w:tcW w:w="1100" w:type="dxa"/>
            <w:vAlign w:val="bottom"/>
            <w:tcBorders>
              <w:top w:val="single" w:sz="8" w:color="0000EE"/>
            </w:tcBorders>
            <w:gridSpan w:val="3"/>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Employment</w:t>
            </w:r>
          </w:p>
        </w:tc>
        <w:tc>
          <w:tcPr>
            <w:tcW w:w="2700" w:type="dxa"/>
            <w:vAlign w:val="bottom"/>
            <w:tcBorders>
              <w:top w:val="single" w:sz="8" w:color="0000EE"/>
            </w:tcBorders>
            <w:gridSpan w:val="20"/>
            <w:vMerge w:val="restart"/>
            <w:shd w:val="clear" w:color="auto" w:fill="CCEEFF"/>
          </w:tcPr>
          <w:p>
            <w:pPr>
              <w:spacing w:after="0"/>
              <w:rPr>
                <w:sz w:val="8"/>
                <w:szCs w:val="8"/>
                <w:color w:val="auto"/>
              </w:rPr>
            </w:pPr>
          </w:p>
        </w:tc>
        <w:tc>
          <w:tcPr>
            <w:tcW w:w="60" w:type="dxa"/>
            <w:vAlign w:val="bottom"/>
            <w:tcBorders>
              <w:top w:val="single" w:sz="8" w:color="CCEEFF"/>
            </w:tcBorders>
            <w:gridSpan w:val="2"/>
            <w:vMerge w:val="restart"/>
            <w:shd w:val="clear" w:color="auto" w:fill="CCEEFF"/>
          </w:tcPr>
          <w:p>
            <w:pPr>
              <w:spacing w:after="0"/>
              <w:rPr>
                <w:sz w:val="8"/>
                <w:szCs w:val="8"/>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57</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top w:val="single" w:sz="8" w:color="CCEEFF"/>
              <w:left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0000EE"/>
            </w:tcBorders>
            <w:gridSpan w:val="3"/>
            <w:vMerge w:val="continue"/>
            <w:shd w:val="clear" w:color="auto" w:fill="CCEEFF"/>
          </w:tcPr>
          <w:p>
            <w:pPr>
              <w:spacing w:after="0"/>
              <w:rPr>
                <w:sz w:val="6"/>
                <w:szCs w:val="6"/>
                <w:color w:val="auto"/>
              </w:rPr>
            </w:pPr>
          </w:p>
        </w:tc>
        <w:tc>
          <w:tcPr>
            <w:tcW w:w="2700" w:type="dxa"/>
            <w:vAlign w:val="bottom"/>
            <w:tcBorders>
              <w:top w:val="single" w:sz="8" w:color="0000EE"/>
            </w:tcBorders>
            <w:gridSpan w:val="20"/>
            <w:vMerge w:val="continue"/>
            <w:shd w:val="clear" w:color="auto" w:fill="CCEEFF"/>
          </w:tcPr>
          <w:p>
            <w:pPr>
              <w:spacing w:after="0"/>
              <w:rPr>
                <w:sz w:val="6"/>
                <w:szCs w:val="6"/>
                <w:color w:val="auto"/>
              </w:rPr>
            </w:pPr>
          </w:p>
        </w:tc>
        <w:tc>
          <w:tcPr>
            <w:tcW w:w="60" w:type="dxa"/>
            <w:vAlign w:val="bottom"/>
            <w:tcBorders>
              <w:top w:val="single" w:sz="8" w:color="CCEEFF"/>
            </w:tcBorders>
            <w:gridSpan w:val="2"/>
            <w:vMerge w:val="continue"/>
            <w:shd w:val="clear" w:color="auto" w:fill="CCEEFF"/>
          </w:tcPr>
          <w:p>
            <w:pPr>
              <w:spacing w:after="0"/>
              <w:rPr>
                <w:sz w:val="6"/>
                <w:szCs w:val="6"/>
                <w:color w:val="auto"/>
              </w:rPr>
            </w:pPr>
          </w:p>
        </w:tc>
        <w:tc>
          <w:tcPr>
            <w:tcW w:w="380" w:type="dxa"/>
            <w:vAlign w:val="bottom"/>
            <w:tcBorders>
              <w:top w:val="single" w:sz="8" w:color="CCEEFF"/>
            </w:tcBorders>
            <w:gridSpan w:val="3"/>
            <w:vMerge w:val="continue"/>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17</w:t>
            </w:r>
            <w:r>
              <w:rPr>
                <w:rFonts w:ascii="Arial" w:cs="Arial" w:eastAsia="Arial" w:hAnsi="Arial"/>
                <w:sz w:val="18"/>
                <w:szCs w:val="18"/>
                <w:b w:val="1"/>
                <w:bCs w:val="1"/>
                <w:color w:val="000000"/>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12"/>
          </w:tcPr>
          <w:p>
            <w:pPr>
              <w:spacing w:after="0"/>
              <w:rPr>
                <w:sz w:val="20"/>
                <w:szCs w:val="20"/>
                <w:color w:val="auto"/>
              </w:rPr>
            </w:pPr>
            <w:r>
              <w:rPr>
                <w:rFonts w:ascii="Arial" w:cs="Arial" w:eastAsia="Arial" w:hAnsi="Arial"/>
                <w:sz w:val="18"/>
                <w:szCs w:val="18"/>
                <w:color w:val="0000EE"/>
              </w:rPr>
              <w:t>Chief Executive Officer Pay Ratio</w:t>
            </w:r>
          </w:p>
        </w:tc>
        <w:tc>
          <w:tcPr>
            <w:tcW w:w="1080" w:type="dxa"/>
            <w:vAlign w:val="bottom"/>
            <w:gridSpan w:val="14"/>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260" w:type="dxa"/>
            <w:vAlign w:val="bottom"/>
            <w:gridSpan w:val="3"/>
            <w:vMerge w:val="continue"/>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200" w:type="dxa"/>
            <w:vAlign w:val="bottom"/>
            <w:tcBorders>
              <w:right w:val="single" w:sz="8" w:color="CCEEFF"/>
            </w:tcBorders>
            <w:vMerge w:val="restart"/>
            <w:shd w:val="clear" w:color="auto" w:fill="CCEEFF"/>
          </w:tcPr>
          <w:p>
            <w:pPr>
              <w:spacing w:after="0"/>
              <w:rPr>
                <w:sz w:val="5"/>
                <w:szCs w:val="5"/>
                <w:color w:val="auto"/>
              </w:rPr>
            </w:pPr>
          </w:p>
        </w:tc>
        <w:tc>
          <w:tcPr>
            <w:tcW w:w="2940" w:type="dxa"/>
            <w:vAlign w:val="bottom"/>
            <w:tcBorders>
              <w:right w:val="single" w:sz="8" w:color="CCEEFF"/>
            </w:tcBorders>
            <w:gridSpan w:val="12"/>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Equity Compensation Plan Table</w:t>
            </w:r>
          </w:p>
        </w:tc>
        <w:tc>
          <w:tcPr>
            <w:tcW w:w="1080" w:type="dxa"/>
            <w:vAlign w:val="bottom"/>
            <w:tcBorders>
              <w:left w:val="single" w:sz="8" w:color="CCEEFF"/>
            </w:tcBorders>
            <w:gridSpan w:val="14"/>
            <w:vMerge w:val="restart"/>
            <w:shd w:val="clear" w:color="auto" w:fill="CCEEFF"/>
          </w:tcPr>
          <w:p>
            <w:pPr>
              <w:spacing w:after="0"/>
              <w:rPr>
                <w:sz w:val="5"/>
                <w:szCs w:val="5"/>
                <w:color w:val="auto"/>
              </w:rPr>
            </w:pPr>
          </w:p>
        </w:tc>
        <w:tc>
          <w:tcPr>
            <w:tcW w:w="380" w:type="dxa"/>
            <w:vAlign w:val="bottom"/>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58</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vMerge w:val="continue"/>
            <w:shd w:val="clear" w:color="auto" w:fill="CCEEFF"/>
          </w:tcPr>
          <w:p>
            <w:pPr>
              <w:spacing w:after="0"/>
              <w:rPr>
                <w:sz w:val="11"/>
                <w:szCs w:val="11"/>
                <w:color w:val="auto"/>
              </w:rPr>
            </w:pPr>
          </w:p>
        </w:tc>
        <w:tc>
          <w:tcPr>
            <w:tcW w:w="2940" w:type="dxa"/>
            <w:vAlign w:val="bottom"/>
            <w:tcBorders>
              <w:top w:val="single" w:sz="8" w:color="CCEEFF"/>
              <w:right w:val="single" w:sz="8" w:color="CCEEFF"/>
            </w:tcBorders>
            <w:gridSpan w:val="12"/>
            <w:vMerge w:val="continue"/>
            <w:shd w:val="clear" w:color="auto" w:fill="CCEEFF"/>
          </w:tcPr>
          <w:p>
            <w:pPr>
              <w:spacing w:after="0"/>
              <w:rPr>
                <w:sz w:val="11"/>
                <w:szCs w:val="11"/>
                <w:color w:val="auto"/>
              </w:rPr>
            </w:pPr>
          </w:p>
        </w:tc>
        <w:tc>
          <w:tcPr>
            <w:tcW w:w="1080" w:type="dxa"/>
            <w:vAlign w:val="bottom"/>
            <w:tcBorders>
              <w:top w:val="single" w:sz="8" w:color="CCEEFF"/>
              <w:left w:val="single" w:sz="8" w:color="CCEEFF"/>
            </w:tcBorders>
            <w:gridSpan w:val="14"/>
            <w:vMerge w:val="continue"/>
            <w:shd w:val="clear" w:color="auto" w:fill="CCEEFF"/>
          </w:tcPr>
          <w:p>
            <w:pPr>
              <w:spacing w:after="0"/>
              <w:rPr>
                <w:sz w:val="11"/>
                <w:szCs w:val="11"/>
                <w:color w:val="auto"/>
              </w:rPr>
            </w:pPr>
          </w:p>
        </w:tc>
        <w:tc>
          <w:tcPr>
            <w:tcW w:w="380" w:type="dxa"/>
            <w:vAlign w:val="bottom"/>
            <w:tcBorders>
              <w:top w:val="single" w:sz="8" w:color="CCEEFF"/>
            </w:tcBorders>
            <w:gridSpan w:val="3"/>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29</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320" w:type="dxa"/>
            <w:vAlign w:val="bottom"/>
            <w:tcBorders>
              <w:bottom w:val="single" w:sz="8" w:color="457157"/>
            </w:tcBorders>
            <w:gridSpan w:val="10"/>
          </w:tcPr>
          <w:p>
            <w:pPr>
              <w:spacing w:after="0" w:line="196" w:lineRule="exact"/>
              <w:rPr>
                <w:sz w:val="20"/>
                <w:szCs w:val="20"/>
                <w:color w:val="auto"/>
              </w:rPr>
            </w:pPr>
            <w:r>
              <w:rPr>
                <w:rFonts w:ascii="Arial" w:cs="Arial" w:eastAsia="Arial" w:hAnsi="Arial"/>
                <w:sz w:val="18"/>
                <w:szCs w:val="18"/>
                <w:b w:val="1"/>
                <w:bCs w:val="1"/>
                <w:color w:val="457157"/>
              </w:rPr>
              <w:t>Pay Versus Performance</w:t>
            </w:r>
          </w:p>
        </w:tc>
        <w:tc>
          <w:tcPr>
            <w:tcW w:w="160" w:type="dxa"/>
            <w:vAlign w:val="bottom"/>
            <w:gridSpan w:val="2"/>
            <w:vMerge w:val="restart"/>
          </w:tcPr>
          <w:p>
            <w:pPr>
              <w:spacing w:after="0"/>
              <w:rPr>
                <w:sz w:val="18"/>
                <w:szCs w:val="18"/>
                <w:color w:val="auto"/>
              </w:rPr>
            </w:pPr>
          </w:p>
        </w:tc>
        <w:tc>
          <w:tcPr>
            <w:tcW w:w="660" w:type="dxa"/>
            <w:vAlign w:val="bottom"/>
            <w:vMerge w:val="restart"/>
          </w:tcPr>
          <w:p>
            <w:pPr>
              <w:spacing w:after="0"/>
              <w:rPr>
                <w:sz w:val="18"/>
                <w:szCs w:val="18"/>
                <w:color w:val="auto"/>
              </w:rPr>
            </w:pPr>
          </w:p>
        </w:tc>
        <w:tc>
          <w:tcPr>
            <w:tcW w:w="4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220" w:type="dxa"/>
            <w:vAlign w:val="bottom"/>
            <w:gridSpan w:val="3"/>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20" w:type="dxa"/>
            <w:vAlign w:val="bottom"/>
            <w:gridSpan w:val="3"/>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300" w:type="dxa"/>
            <w:vAlign w:val="bottom"/>
            <w:gridSpan w:val="7"/>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320" w:type="dxa"/>
            <w:vAlign w:val="bottom"/>
            <w:tcBorders>
              <w:top w:val="single" w:sz="8" w:color="CCEEFF"/>
              <w:left w:val="single" w:sz="8" w:color="CCEEFF"/>
              <w:bottom w:val="single" w:sz="8" w:color="457157"/>
              <w:right w:val="single" w:sz="8" w:color="CCEEFF"/>
            </w:tcBorders>
            <w:gridSpan w:val="14"/>
            <w:shd w:val="clear" w:color="auto" w:fill="CCEEFF"/>
          </w:tcPr>
          <w:p>
            <w:pPr>
              <w:spacing w:after="0" w:line="162" w:lineRule="exact"/>
              <w:rPr>
                <w:sz w:val="20"/>
                <w:szCs w:val="20"/>
                <w:color w:val="auto"/>
              </w:rPr>
            </w:pPr>
            <w:r>
              <w:rPr>
                <w:rFonts w:ascii="Arial" w:cs="Arial" w:eastAsia="Arial" w:hAnsi="Arial"/>
                <w:sz w:val="18"/>
                <w:szCs w:val="18"/>
                <w:b w:val="1"/>
                <w:bCs w:val="1"/>
                <w:color w:val="457157"/>
              </w:rPr>
              <w:t>RATIFICATION OF INDEPENDENT</w:t>
            </w:r>
          </w:p>
        </w:tc>
        <w:tc>
          <w:tcPr>
            <w:tcW w:w="1080" w:type="dxa"/>
            <w:vAlign w:val="bottom"/>
            <w:tcBorders>
              <w:top w:val="single" w:sz="8" w:color="CCEEFF"/>
              <w:left w:val="single" w:sz="8" w:color="CCEEFF"/>
              <w:bottom w:val="single" w:sz="8" w:color="CCEEFF"/>
            </w:tcBorders>
            <w:gridSpan w:val="14"/>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30</w:t>
            </w:r>
            <w:r>
              <w:rPr>
                <w:rFonts w:ascii="Arial" w:cs="Arial" w:eastAsia="Arial" w:hAnsi="Arial"/>
                <w:sz w:val="18"/>
                <w:szCs w:val="18"/>
                <w:color w:val="000000"/>
              </w:rPr>
              <w:t>​</w:t>
            </w:r>
          </w:p>
        </w:tc>
        <w:tc>
          <w:tcPr>
            <w:tcW w:w="180" w:type="dxa"/>
            <w:vAlign w:val="bottom"/>
            <w:tcBorders>
              <w:left w:val="single" w:sz="8" w:color="CCEEFF"/>
              <w:bottom w:val="single" w:sz="8" w:color="CCEEFF"/>
            </w:tcBorders>
            <w:shd w:val="clear" w:color="auto" w:fill="CCEEFF"/>
          </w:tcPr>
          <w:p>
            <w:pPr>
              <w:spacing w:after="0"/>
              <w:rPr>
                <w:sz w:val="17"/>
                <w:szCs w:val="17"/>
                <w:color w:val="auto"/>
              </w:rPr>
            </w:pPr>
          </w:p>
        </w:tc>
        <w:tc>
          <w:tcPr>
            <w:tcW w:w="3960" w:type="dxa"/>
            <w:vAlign w:val="bottom"/>
            <w:tcBorders>
              <w:bottom w:val="single" w:sz="8" w:color="457157"/>
            </w:tcBorders>
            <w:gridSpan w:val="23"/>
            <w:shd w:val="clear" w:color="auto" w:fill="CCEEFF"/>
          </w:tcPr>
          <w:p>
            <w:pPr>
              <w:spacing w:after="0" w:line="182" w:lineRule="exact"/>
              <w:rPr>
                <w:sz w:val="20"/>
                <w:szCs w:val="20"/>
                <w:color w:val="auto"/>
              </w:rPr>
            </w:pPr>
            <w:r>
              <w:rPr>
                <w:rFonts w:ascii="Arial" w:cs="Arial" w:eastAsia="Arial" w:hAnsi="Arial"/>
                <w:sz w:val="18"/>
                <w:szCs w:val="18"/>
                <w:b w:val="1"/>
                <w:bCs w:val="1"/>
                <w:color w:val="457157"/>
              </w:rPr>
              <w:t>REGISTERED PUBLIC ACCOUNTING FIRM</w:t>
            </w:r>
          </w:p>
        </w:tc>
        <w:tc>
          <w:tcPr>
            <w:tcW w:w="14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gridSpan w:val="3"/>
            <w:vMerge w:val="restart"/>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gridSpan w:val="3"/>
            <w:vMerge w:val="continue"/>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480" w:type="dxa"/>
            <w:vAlign w:val="bottom"/>
            <w:gridSpan w:val="12"/>
            <w:vMerge w:val="restart"/>
            <w:shd w:val="clear" w:color="auto" w:fill="CCEEFF"/>
          </w:tcPr>
          <w:p>
            <w:pPr>
              <w:spacing w:after="0" w:line="182" w:lineRule="exact"/>
              <w:rPr>
                <w:sz w:val="20"/>
                <w:szCs w:val="20"/>
                <w:color w:val="auto"/>
              </w:rPr>
            </w:pPr>
            <w:r>
              <w:rPr>
                <w:rFonts w:ascii="Arial" w:cs="Arial" w:eastAsia="Arial" w:hAnsi="Arial"/>
                <w:sz w:val="18"/>
                <w:szCs w:val="18"/>
                <w:b w:val="1"/>
                <w:bCs w:val="1"/>
                <w:color w:val="457157"/>
              </w:rPr>
              <w:t>(Item 2 on the Proxy Card)</w:t>
            </w:r>
          </w:p>
        </w:tc>
        <w:tc>
          <w:tcPr>
            <w:tcW w:w="660" w:type="dxa"/>
            <w:vAlign w:val="bottom"/>
            <w:tcBorders>
              <w:right w:val="single" w:sz="8" w:color="CCEEFF"/>
            </w:tcBorders>
            <w:shd w:val="clear" w:color="auto" w:fill="CCEEFF"/>
          </w:tcPr>
          <w:p>
            <w:pPr>
              <w:spacing w:after="0"/>
              <w:rPr>
                <w:sz w:val="2"/>
                <w:szCs w:val="2"/>
                <w:color w:val="auto"/>
              </w:rPr>
            </w:pPr>
          </w:p>
        </w:tc>
        <w:tc>
          <w:tcPr>
            <w:tcW w:w="480" w:type="dxa"/>
            <w:vAlign w:val="bottom"/>
            <w:tcBorders>
              <w:left w:val="single" w:sz="8" w:color="CCEEFF"/>
            </w:tcBorders>
            <w:gridSpan w:val="4"/>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220" w:type="dxa"/>
            <w:vAlign w:val="bottom"/>
            <w:gridSpan w:val="3"/>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20" w:type="dxa"/>
            <w:vAlign w:val="bottom"/>
            <w:gridSpan w:val="3"/>
            <w:vMerge w:val="continue"/>
            <w:shd w:val="clear" w:color="auto" w:fill="CCEEFF"/>
          </w:tcPr>
          <w:p>
            <w:pPr>
              <w:spacing w:after="0"/>
              <w:rPr>
                <w:sz w:val="2"/>
                <w:szCs w:val="2"/>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63</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480" w:type="dxa"/>
            <w:vAlign w:val="bottom"/>
            <w:gridSpan w:val="12"/>
            <w:vMerge w:val="continue"/>
            <w:shd w:val="clear" w:color="auto" w:fill="CCEEFF"/>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480" w:type="dxa"/>
            <w:vAlign w:val="bottom"/>
            <w:tcBorders>
              <w:left w:val="single" w:sz="8" w:color="CCEEFF"/>
            </w:tcBorders>
            <w:gridSpan w:val="4"/>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360" w:type="dxa"/>
            <w:vAlign w:val="bottom"/>
            <w:gridSpan w:val="4"/>
            <w:vMerge w:val="restart"/>
            <w:shd w:val="clear" w:color="auto" w:fill="CCEEFF"/>
          </w:tcPr>
          <w:p>
            <w:pPr>
              <w:spacing w:after="0" w:line="20" w:lineRule="exact"/>
              <w:rPr>
                <w:sz w:val="1"/>
                <w:szCs w:val="1"/>
                <w:color w:val="auto"/>
              </w:rPr>
            </w:pPr>
          </w:p>
        </w:tc>
        <w:tc>
          <w:tcPr>
            <w:tcW w:w="120" w:type="dxa"/>
            <w:vAlign w:val="bottom"/>
            <w:gridSpan w:val="3"/>
            <w:vMerge w:val="restart"/>
            <w:shd w:val="clear" w:color="auto" w:fill="CCEEFF"/>
          </w:tcPr>
          <w:p>
            <w:pPr>
              <w:spacing w:after="0" w:line="20" w:lineRule="exact"/>
              <w:rPr>
                <w:sz w:val="1"/>
                <w:szCs w:val="1"/>
                <w:color w:val="auto"/>
              </w:rPr>
            </w:pPr>
          </w:p>
        </w:tc>
        <w:tc>
          <w:tcPr>
            <w:tcW w:w="160" w:type="dxa"/>
            <w:vAlign w:val="bottom"/>
            <w:gridSpan w:val="2"/>
            <w:vMerge w:val="continue"/>
            <w:shd w:val="clear" w:color="auto" w:fill="CCEEFF"/>
          </w:tcPr>
          <w:p>
            <w:pPr>
              <w:spacing w:after="0" w:line="20" w:lineRule="exact"/>
              <w:rPr>
                <w:sz w:val="1"/>
                <w:szCs w:val="1"/>
                <w:color w:val="auto"/>
              </w:rPr>
            </w:pPr>
          </w:p>
        </w:tc>
        <w:tc>
          <w:tcPr>
            <w:tcW w:w="220" w:type="dxa"/>
            <w:vAlign w:val="bottom"/>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30</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2480" w:type="dxa"/>
            <w:vAlign w:val="bottom"/>
            <w:tcBorders>
              <w:bottom w:val="single" w:sz="8" w:color="457157"/>
            </w:tcBorders>
            <w:gridSpan w:val="12"/>
            <w:vMerge w:val="continue"/>
            <w:shd w:val="clear" w:color="auto" w:fill="CCEEFF"/>
          </w:tcPr>
          <w:p>
            <w:pPr>
              <w:spacing w:after="0"/>
              <w:rPr>
                <w:sz w:val="14"/>
                <w:szCs w:val="14"/>
                <w:color w:val="auto"/>
              </w:rPr>
            </w:pPr>
          </w:p>
        </w:tc>
        <w:tc>
          <w:tcPr>
            <w:tcW w:w="66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480" w:type="dxa"/>
            <w:vAlign w:val="bottom"/>
            <w:tcBorders>
              <w:left w:val="single" w:sz="8" w:color="CCEEFF"/>
              <w:bottom w:val="single" w:sz="8" w:color="CCEEFF"/>
            </w:tcBorders>
            <w:gridSpan w:val="4"/>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gridSpan w:val="2"/>
            <w:vMerge w:val="continue"/>
            <w:shd w:val="clear" w:color="auto" w:fill="CCEEFF"/>
          </w:tcPr>
          <w:p>
            <w:pPr>
              <w:spacing w:after="0"/>
              <w:rPr>
                <w:sz w:val="14"/>
                <w:szCs w:val="14"/>
                <w:color w:val="auto"/>
              </w:rPr>
            </w:pPr>
          </w:p>
        </w:tc>
        <w:tc>
          <w:tcPr>
            <w:tcW w:w="360" w:type="dxa"/>
            <w:vAlign w:val="bottom"/>
            <w:tcBorders>
              <w:bottom w:val="single" w:sz="8" w:color="CCEEFF"/>
            </w:tcBorders>
            <w:gridSpan w:val="4"/>
            <w:vMerge w:val="continue"/>
            <w:shd w:val="clear" w:color="auto" w:fill="CCEEFF"/>
          </w:tcPr>
          <w:p>
            <w:pPr>
              <w:spacing w:after="0"/>
              <w:rPr>
                <w:sz w:val="14"/>
                <w:szCs w:val="14"/>
                <w:color w:val="auto"/>
              </w:rPr>
            </w:pPr>
          </w:p>
        </w:tc>
        <w:tc>
          <w:tcPr>
            <w:tcW w:w="120" w:type="dxa"/>
            <w:vAlign w:val="bottom"/>
            <w:tcBorders>
              <w:bottom w:val="single" w:sz="8" w:color="CCEEFF"/>
            </w:tcBorders>
            <w:gridSpan w:val="3"/>
            <w:vMerge w:val="continue"/>
            <w:shd w:val="clear" w:color="auto" w:fill="CCEEFF"/>
          </w:tcPr>
          <w:p>
            <w:pPr>
              <w:spacing w:after="0"/>
              <w:rPr>
                <w:sz w:val="14"/>
                <w:szCs w:val="14"/>
                <w:color w:val="auto"/>
              </w:rPr>
            </w:pPr>
          </w:p>
        </w:tc>
        <w:tc>
          <w:tcPr>
            <w:tcW w:w="16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0000EE"/>
            </w:tcBorders>
            <w:vMerge w:val="continue"/>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60" w:type="dxa"/>
            <w:vAlign w:val="bottom"/>
            <w:gridSpan w:val="3"/>
            <w:vMerge w:val="continue"/>
          </w:tcPr>
          <w:p>
            <w:pPr>
              <w:spacing w:after="0"/>
              <w:rPr>
                <w:sz w:val="4"/>
                <w:szCs w:val="4"/>
                <w:color w:val="auto"/>
              </w:rPr>
            </w:pPr>
          </w:p>
        </w:tc>
        <w:tc>
          <w:tcPr>
            <w:tcW w:w="3320" w:type="dxa"/>
            <w:vAlign w:val="bottom"/>
            <w:tcBorders>
              <w:top w:val="single" w:sz="8" w:color="CCEEFF"/>
            </w:tcBorders>
            <w:gridSpan w:val="14"/>
            <w:vMerge w:val="restart"/>
          </w:tcPr>
          <w:p>
            <w:pPr>
              <w:spacing w:after="0" w:line="182" w:lineRule="exact"/>
              <w:rPr>
                <w:sz w:val="20"/>
                <w:szCs w:val="20"/>
                <w:color w:val="auto"/>
              </w:rPr>
            </w:pPr>
            <w:r>
              <w:rPr>
                <w:rFonts w:ascii="Arial" w:cs="Arial" w:eastAsia="Arial" w:hAnsi="Arial"/>
                <w:sz w:val="18"/>
                <w:szCs w:val="18"/>
                <w:b w:val="1"/>
                <w:bCs w:val="1"/>
                <w:color w:val="457157"/>
              </w:rPr>
              <w:t>ADVISORY VOTE ON EXECUTIVE</w:t>
            </w: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EE"/>
              <w:bottom w:val="single" w:sz="8" w:color="0000EE"/>
            </w:tcBorders>
            <w:gridSpan w:val="2"/>
            <w:vMerge w:val="restart"/>
          </w:tcPr>
          <w:p>
            <w:pPr>
              <w:jc w:val="right"/>
              <w:spacing w:after="0" w:line="169" w:lineRule="exact"/>
              <w:rPr>
                <w:sz w:val="20"/>
                <w:szCs w:val="20"/>
                <w:color w:val="auto"/>
              </w:rPr>
            </w:pPr>
            <w:r>
              <w:rPr>
                <w:rFonts w:ascii="Arial" w:cs="Arial" w:eastAsia="Arial" w:hAnsi="Arial"/>
                <w:sz w:val="18"/>
                <w:szCs w:val="18"/>
                <w:color w:val="0000EE"/>
                <w:w w:val="89"/>
              </w:rPr>
              <w:t>31</w:t>
            </w:r>
          </w:p>
        </w:tc>
        <w:tc>
          <w:tcPr>
            <w:tcW w:w="40" w:type="dxa"/>
            <w:vAlign w:val="bottom"/>
            <w:vMerge w:val="restart"/>
          </w:tcPr>
          <w:p>
            <w:pPr>
              <w:jc w:val="right"/>
              <w:spacing w:after="0" w:line="168"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CCEEFF"/>
              <w:bottom w:val="single" w:sz="8" w:color="457157"/>
            </w:tcBorders>
            <w:gridSpan w:val="14"/>
            <w:vMerge w:val="continue"/>
          </w:tcPr>
          <w:p>
            <w:pPr>
              <w:spacing w:after="0"/>
              <w:rPr>
                <w:sz w:val="11"/>
                <w:szCs w:val="11"/>
                <w:color w:val="auto"/>
              </w:rPr>
            </w:pPr>
          </w:p>
        </w:tc>
        <w:tc>
          <w:tcPr>
            <w:tcW w:w="480" w:type="dxa"/>
            <w:vAlign w:val="bottom"/>
            <w:gridSpan w:val="4"/>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360" w:type="dxa"/>
            <w:vAlign w:val="bottom"/>
            <w:gridSpan w:val="4"/>
            <w:vMerge w:val="restart"/>
          </w:tcPr>
          <w:p>
            <w:pPr>
              <w:spacing w:after="0"/>
              <w:rPr>
                <w:sz w:val="11"/>
                <w:szCs w:val="11"/>
                <w:color w:val="auto"/>
              </w:rPr>
            </w:pPr>
          </w:p>
        </w:tc>
        <w:tc>
          <w:tcPr>
            <w:tcW w:w="120" w:type="dxa"/>
            <w:vAlign w:val="bottom"/>
            <w:gridSpan w:val="3"/>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48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0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640" w:type="dxa"/>
            <w:vAlign w:val="bottom"/>
            <w:gridSpan w:val="31"/>
            <w:vMerge w:val="restart"/>
          </w:tcPr>
          <w:p>
            <w:pPr>
              <w:spacing w:after="0" w:line="176" w:lineRule="exact"/>
              <w:rPr>
                <w:sz w:val="20"/>
                <w:szCs w:val="20"/>
                <w:color w:val="auto"/>
              </w:rPr>
            </w:pPr>
            <w:r>
              <w:rPr>
                <w:rFonts w:ascii="Arial" w:cs="Arial" w:eastAsia="Arial" w:hAnsi="Arial"/>
                <w:sz w:val="18"/>
                <w:szCs w:val="18"/>
                <w:b w:val="1"/>
                <w:bCs w:val="1"/>
                <w:color w:val="457157"/>
              </w:rPr>
              <w:t xml:space="preserve">COMPENSATION (Item 3 on the Proxy Card)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b w:val="1"/>
                <w:bCs w:val="1"/>
                <w:color w:val="457157"/>
              </w:rPr>
              <w:t xml:space="preserve"> </w:t>
            </w:r>
            <w:r>
              <w:rPr>
                <w:rFonts w:ascii="Arial" w:cs="Arial" w:eastAsia="Arial" w:hAnsi="Arial"/>
                <w:sz w:val="18"/>
                <w:szCs w:val="18"/>
                <w:color w:val="0000EE"/>
              </w:rPr>
              <w:t>64</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01"/>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8"/>
                <w:szCs w:val="8"/>
                <w:color w:val="auto"/>
              </w:rPr>
            </w:pPr>
          </w:p>
        </w:tc>
        <w:tc>
          <w:tcPr>
            <w:tcW w:w="4640" w:type="dxa"/>
            <w:vAlign w:val="bottom"/>
            <w:gridSpan w:val="3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280" w:type="dxa"/>
            <w:vAlign w:val="bottom"/>
            <w:tcBorders>
              <w:top w:val="single" w:sz="8" w:color="457157"/>
            </w:tcBorders>
          </w:tcPr>
          <w:p>
            <w:pPr>
              <w:spacing w:after="0" w:line="20" w:lineRule="exact"/>
              <w:rPr>
                <w:sz w:val="1"/>
                <w:szCs w:val="1"/>
                <w:color w:val="auto"/>
              </w:rPr>
            </w:pPr>
          </w:p>
        </w:tc>
        <w:tc>
          <w:tcPr>
            <w:tcW w:w="52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140" w:type="dxa"/>
            <w:vAlign w:val="bottom"/>
            <w:tcBorders>
              <w:top w:val="single" w:sz="8" w:color="45715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20" w:type="dxa"/>
            <w:vAlign w:val="bottom"/>
            <w:tcBorders>
              <w:bottom w:val="single" w:sz="8" w:color="0000EE"/>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820" w:type="dxa"/>
            <w:vAlign w:val="bottom"/>
            <w:tcBorders>
              <w:left w:val="single" w:sz="8" w:color="CCEEFF"/>
              <w:bottom w:val="single" w:sz="8" w:color="CCEEFF"/>
            </w:tcBorders>
            <w:gridSpan w:val="19"/>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457157"/>
              </w:rPr>
              <w:t>APPROVAL OF AN AMENDMENT TO THE</w:t>
            </w:r>
          </w:p>
        </w:tc>
        <w:tc>
          <w:tcPr>
            <w:tcW w:w="580" w:type="dxa"/>
            <w:vAlign w:val="bottom"/>
            <w:tcBorders>
              <w:bottom w:val="single" w:sz="8" w:color="CCEEFF"/>
            </w:tcBorders>
            <w:gridSpan w:val="9"/>
            <w:vMerge w:val="restart"/>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continue"/>
          </w:tcPr>
          <w:p>
            <w:pPr>
              <w:spacing w:after="0"/>
              <w:rPr>
                <w:sz w:val="8"/>
                <w:szCs w:val="8"/>
                <w:color w:val="auto"/>
              </w:rPr>
            </w:pPr>
          </w:p>
        </w:tc>
        <w:tc>
          <w:tcPr>
            <w:tcW w:w="3820" w:type="dxa"/>
            <w:vAlign w:val="bottom"/>
            <w:tcBorders>
              <w:left w:val="single" w:sz="8" w:color="CCEEFF"/>
              <w:bottom w:val="single" w:sz="8" w:color="457157"/>
            </w:tcBorders>
            <w:gridSpan w:val="19"/>
            <w:vMerge w:val="continue"/>
            <w:shd w:val="clear" w:color="auto" w:fill="CCEEFF"/>
          </w:tcPr>
          <w:p>
            <w:pPr>
              <w:spacing w:after="0"/>
              <w:rPr>
                <w:sz w:val="8"/>
                <w:szCs w:val="8"/>
                <w:color w:val="auto"/>
              </w:rPr>
            </w:pPr>
          </w:p>
        </w:tc>
        <w:tc>
          <w:tcPr>
            <w:tcW w:w="580" w:type="dxa"/>
            <w:vAlign w:val="bottom"/>
            <w:tcBorders>
              <w:bottom w:val="single" w:sz="8" w:color="CCEEFF"/>
            </w:tcBorders>
            <w:gridSpan w:val="9"/>
            <w:vMerge w:val="continue"/>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0000EE"/>
            </w:tcBorders>
            <w:gridSpan w:val="2"/>
            <w:vMerge w:val="continue"/>
          </w:tcPr>
          <w:p>
            <w:pPr>
              <w:spacing w:after="0"/>
              <w:rPr>
                <w:sz w:val="9"/>
                <w:szCs w:val="9"/>
                <w:color w:val="auto"/>
              </w:rPr>
            </w:pPr>
          </w:p>
        </w:tc>
        <w:tc>
          <w:tcPr>
            <w:tcW w:w="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3620" w:type="dxa"/>
            <w:vAlign w:val="bottom"/>
            <w:tcBorders>
              <w:bottom w:val="single" w:sz="8" w:color="CCEEFF"/>
            </w:tcBorders>
            <w:gridSpan w:val="17"/>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457157"/>
              </w:rPr>
              <w:t>CERTIFICATE OF INCORPORATION TO</w:t>
            </w:r>
          </w:p>
        </w:tc>
        <w:tc>
          <w:tcPr>
            <w:tcW w:w="600" w:type="dxa"/>
            <w:vAlign w:val="bottom"/>
            <w:tcBorders>
              <w:bottom w:val="single" w:sz="8" w:color="CCEEFF"/>
            </w:tcBorders>
            <w:gridSpan w:val="10"/>
            <w:vMerge w:val="restart"/>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continue"/>
          </w:tcPr>
          <w:p>
            <w:pPr>
              <w:spacing w:after="0"/>
              <w:rPr>
                <w:sz w:val="5"/>
                <w:szCs w:val="5"/>
                <w:color w:val="auto"/>
              </w:rPr>
            </w:pPr>
          </w:p>
        </w:tc>
        <w:tc>
          <w:tcPr>
            <w:tcW w:w="180" w:type="dxa"/>
            <w:vAlign w:val="bottom"/>
            <w:tcBorders>
              <w:left w:val="single" w:sz="8" w:color="CCEEFF"/>
              <w:bottom w:val="single" w:sz="8" w:color="CCEEFF"/>
            </w:tcBorders>
            <w:vMerge w:val="continue"/>
            <w:shd w:val="clear" w:color="auto" w:fill="CCEEFF"/>
          </w:tcPr>
          <w:p>
            <w:pPr>
              <w:spacing w:after="0"/>
              <w:rPr>
                <w:sz w:val="5"/>
                <w:szCs w:val="5"/>
                <w:color w:val="auto"/>
              </w:rPr>
            </w:pPr>
          </w:p>
        </w:tc>
        <w:tc>
          <w:tcPr>
            <w:tcW w:w="3620" w:type="dxa"/>
            <w:vAlign w:val="bottom"/>
            <w:tcBorders>
              <w:bottom w:val="single" w:sz="8" w:color="457157"/>
            </w:tcBorders>
            <w:gridSpan w:val="17"/>
            <w:vMerge w:val="continue"/>
            <w:shd w:val="clear" w:color="auto" w:fill="CCEEFF"/>
          </w:tcPr>
          <w:p>
            <w:pPr>
              <w:spacing w:after="0"/>
              <w:rPr>
                <w:sz w:val="5"/>
                <w:szCs w:val="5"/>
                <w:color w:val="auto"/>
              </w:rPr>
            </w:pPr>
          </w:p>
        </w:tc>
        <w:tc>
          <w:tcPr>
            <w:tcW w:w="600" w:type="dxa"/>
            <w:vAlign w:val="bottom"/>
            <w:tcBorders>
              <w:bottom w:val="single" w:sz="8" w:color="CCEEFF"/>
            </w:tcBorders>
            <w:gridSpan w:val="10"/>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0" w:type="dxa"/>
            <w:vAlign w:val="bottom"/>
            <w:tcBorders>
              <w:bottom w:val="single" w:sz="8" w:color="0000EE"/>
            </w:tcBorders>
            <w:gridSpan w:val="2"/>
            <w:vMerge w:val="continue"/>
          </w:tcPr>
          <w:p>
            <w:pPr>
              <w:spacing w:after="0"/>
              <w:rPr>
                <w:sz w:val="11"/>
                <w:szCs w:val="11"/>
                <w:color w:val="auto"/>
              </w:rPr>
            </w:pPr>
          </w:p>
        </w:tc>
        <w:tc>
          <w:tcPr>
            <w:tcW w:w="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11"/>
                <w:szCs w:val="11"/>
                <w:color w:val="auto"/>
              </w:rPr>
            </w:pPr>
          </w:p>
        </w:tc>
        <w:tc>
          <w:tcPr>
            <w:tcW w:w="3740" w:type="dxa"/>
            <w:vAlign w:val="bottom"/>
            <w:tcBorders>
              <w:bottom w:val="single" w:sz="8" w:color="CCEEFF"/>
            </w:tcBorders>
            <w:gridSpan w:val="20"/>
            <w:vMerge w:val="restart"/>
            <w:shd w:val="clear" w:color="auto" w:fill="CCEEFF"/>
          </w:tcPr>
          <w:p>
            <w:pPr>
              <w:spacing w:after="0" w:line="202" w:lineRule="exact"/>
              <w:rPr>
                <w:sz w:val="20"/>
                <w:szCs w:val="20"/>
                <w:color w:val="auto"/>
              </w:rPr>
            </w:pPr>
            <w:r>
              <w:rPr>
                <w:rFonts w:ascii="Arial" w:cs="Arial" w:eastAsia="Arial" w:hAnsi="Arial"/>
                <w:sz w:val="18"/>
                <w:szCs w:val="18"/>
                <w:b w:val="1"/>
                <w:bCs w:val="1"/>
                <w:color w:val="457157"/>
              </w:rPr>
              <w:t>PROVIDE FOR OFFICER EXCULPATION</w:t>
            </w:r>
          </w:p>
        </w:tc>
        <w:tc>
          <w:tcPr>
            <w:tcW w:w="480" w:type="dxa"/>
            <w:vAlign w:val="bottom"/>
            <w:tcBorders>
              <w:bottom w:val="single" w:sz="8" w:color="CCEEFF"/>
            </w:tcBorders>
            <w:gridSpan w:val="7"/>
            <w:vMerge w:val="restart"/>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continue"/>
          </w:tcPr>
          <w:p>
            <w:pPr>
              <w:spacing w:after="0"/>
              <w:rPr>
                <w:sz w:val="4"/>
                <w:szCs w:val="4"/>
                <w:color w:val="auto"/>
              </w:rPr>
            </w:pPr>
          </w:p>
        </w:tc>
        <w:tc>
          <w:tcPr>
            <w:tcW w:w="180" w:type="dxa"/>
            <w:vAlign w:val="bottom"/>
            <w:tcBorders>
              <w:left w:val="single" w:sz="8" w:color="CCEEFF"/>
              <w:bottom w:val="single" w:sz="8" w:color="CCEEFF"/>
            </w:tcBorders>
            <w:vMerge w:val="continue"/>
            <w:shd w:val="clear" w:color="auto" w:fill="CCEEFF"/>
          </w:tcPr>
          <w:p>
            <w:pPr>
              <w:spacing w:after="0"/>
              <w:rPr>
                <w:sz w:val="4"/>
                <w:szCs w:val="4"/>
                <w:color w:val="auto"/>
              </w:rPr>
            </w:pPr>
          </w:p>
        </w:tc>
        <w:tc>
          <w:tcPr>
            <w:tcW w:w="3740" w:type="dxa"/>
            <w:vAlign w:val="bottom"/>
            <w:tcBorders>
              <w:bottom w:val="single" w:sz="8" w:color="457157"/>
            </w:tcBorders>
            <w:gridSpan w:val="20"/>
            <w:vMerge w:val="continue"/>
            <w:shd w:val="clear" w:color="auto" w:fill="CCEEFF"/>
          </w:tcPr>
          <w:p>
            <w:pPr>
              <w:spacing w:after="0"/>
              <w:rPr>
                <w:sz w:val="4"/>
                <w:szCs w:val="4"/>
                <w:color w:val="auto"/>
              </w:rPr>
            </w:pPr>
          </w:p>
        </w:tc>
        <w:tc>
          <w:tcPr>
            <w:tcW w:w="480" w:type="dxa"/>
            <w:vAlign w:val="bottom"/>
            <w:tcBorders>
              <w:bottom w:val="single" w:sz="8" w:color="CCEEFF"/>
            </w:tcBorders>
            <w:gridSpan w:val="7"/>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0000EE"/>
            </w:tcBorders>
            <w:gridSpan w:val="2"/>
            <w:vMerge w:val="continue"/>
          </w:tcPr>
          <w:p>
            <w:pPr>
              <w:spacing w:after="0"/>
              <w:rPr>
                <w:sz w:val="13"/>
                <w:szCs w:val="13"/>
                <w:color w:val="auto"/>
              </w:rPr>
            </w:pP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13"/>
                <w:szCs w:val="13"/>
                <w:color w:val="auto"/>
              </w:rPr>
            </w:pPr>
          </w:p>
        </w:tc>
        <w:tc>
          <w:tcPr>
            <w:tcW w:w="2480" w:type="dxa"/>
            <w:vAlign w:val="bottom"/>
            <w:tcBorders>
              <w:bottom w:val="single" w:sz="8" w:color="CCEEFF"/>
            </w:tcBorders>
            <w:gridSpan w:val="12"/>
            <w:vMerge w:val="restart"/>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(Item 4 on the Proxy Card)</w:t>
            </w:r>
          </w:p>
        </w:tc>
        <w:tc>
          <w:tcPr>
            <w:tcW w:w="1740" w:type="dxa"/>
            <w:vAlign w:val="bottom"/>
            <w:tcBorders>
              <w:bottom w:val="single" w:sz="8" w:color="CCEEFF"/>
            </w:tcBorders>
            <w:gridSpan w:val="15"/>
            <w:vMerge w:val="restart"/>
            <w:shd w:val="clear" w:color="auto" w:fill="CCEEFF"/>
          </w:tcPr>
          <w:p>
            <w:pPr>
              <w:spacing w:after="0"/>
              <w:rPr>
                <w:sz w:val="13"/>
                <w:szCs w:val="13"/>
                <w:color w:val="auto"/>
              </w:rPr>
            </w:pPr>
          </w:p>
        </w:tc>
        <w:tc>
          <w:tcPr>
            <w:tcW w:w="380" w:type="dxa"/>
            <w:vAlign w:val="bottom"/>
            <w:tcBorders>
              <w:bottom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65</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
        </w:trPr>
        <w:tc>
          <w:tcPr>
            <w:tcW w:w="22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tcBorders>
              <w:left w:val="single" w:sz="8" w:color="CCEEFF"/>
            </w:tcBorders>
            <w:vMerge w:val="continue"/>
            <w:shd w:val="clear" w:color="auto" w:fill="CCEEFF"/>
          </w:tcPr>
          <w:p>
            <w:pPr>
              <w:spacing w:after="0" w:line="20" w:lineRule="exact"/>
              <w:rPr>
                <w:sz w:val="1"/>
                <w:szCs w:val="1"/>
                <w:color w:val="auto"/>
              </w:rPr>
            </w:pPr>
          </w:p>
        </w:tc>
        <w:tc>
          <w:tcPr>
            <w:tcW w:w="2480" w:type="dxa"/>
            <w:vAlign w:val="bottom"/>
            <w:gridSpan w:val="12"/>
            <w:vMerge w:val="continue"/>
            <w:shd w:val="clear" w:color="auto" w:fill="CCEEFF"/>
          </w:tcPr>
          <w:p>
            <w:pPr>
              <w:spacing w:after="0" w:line="20" w:lineRule="exact"/>
              <w:rPr>
                <w:sz w:val="1"/>
                <w:szCs w:val="1"/>
                <w:color w:val="auto"/>
              </w:rPr>
            </w:pPr>
          </w:p>
        </w:tc>
        <w:tc>
          <w:tcPr>
            <w:tcW w:w="1740" w:type="dxa"/>
            <w:vAlign w:val="bottom"/>
            <w:gridSpan w:val="15"/>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457157"/>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660" w:type="dxa"/>
            <w:vAlign w:val="bottom"/>
            <w:tcBorders>
              <w:top w:val="single" w:sz="8" w:color="457157"/>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280" w:type="dxa"/>
            <w:vAlign w:val="bottom"/>
            <w:tcBorders>
              <w:top w:val="single" w:sz="8" w:color="457157"/>
            </w:tcBorders>
            <w:shd w:val="clear" w:color="auto" w:fill="CCEEFF"/>
          </w:tcPr>
          <w:p>
            <w:pPr>
              <w:spacing w:after="0" w:line="20" w:lineRule="exact"/>
              <w:rPr>
                <w:sz w:val="1"/>
                <w:szCs w:val="1"/>
                <w:color w:val="auto"/>
              </w:rPr>
            </w:pPr>
          </w:p>
        </w:tc>
        <w:tc>
          <w:tcPr>
            <w:tcW w:w="520" w:type="dxa"/>
            <w:vAlign w:val="bottom"/>
            <w:tcBorders>
              <w:top w:val="single" w:sz="8" w:color="457157"/>
            </w:tcBorders>
            <w:shd w:val="clear" w:color="auto" w:fill="CCEEFF"/>
          </w:tcPr>
          <w:p>
            <w:pPr>
              <w:spacing w:after="0" w:line="20" w:lineRule="exact"/>
              <w:rPr>
                <w:sz w:val="1"/>
                <w:szCs w:val="1"/>
                <w:color w:val="auto"/>
              </w:rPr>
            </w:pPr>
          </w:p>
        </w:tc>
        <w:tc>
          <w:tcPr>
            <w:tcW w:w="120" w:type="dxa"/>
            <w:vAlign w:val="bottom"/>
            <w:tcBorders>
              <w:top w:val="single" w:sz="8" w:color="457157"/>
            </w:tcBorders>
            <w:shd w:val="clear" w:color="auto" w:fill="CCEEFF"/>
          </w:tcPr>
          <w:p>
            <w:pPr>
              <w:spacing w:after="0" w:line="20" w:lineRule="exact"/>
              <w:rPr>
                <w:sz w:val="1"/>
                <w:szCs w:val="1"/>
                <w:color w:val="auto"/>
              </w:rPr>
            </w:pPr>
          </w:p>
        </w:tc>
        <w:tc>
          <w:tcPr>
            <w:tcW w:w="2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120" w:type="dxa"/>
            <w:vAlign w:val="bottom"/>
            <w:tcBorders>
              <w:top w:val="single" w:sz="8" w:color="457157"/>
            </w:tcBorders>
            <w:shd w:val="clear" w:color="auto" w:fill="CCEEFF"/>
          </w:tcPr>
          <w:p>
            <w:pPr>
              <w:spacing w:after="0" w:line="20" w:lineRule="exact"/>
              <w:rPr>
                <w:sz w:val="1"/>
                <w:szCs w:val="1"/>
                <w:color w:val="auto"/>
              </w:rPr>
            </w:pPr>
          </w:p>
        </w:tc>
        <w:tc>
          <w:tcPr>
            <w:tcW w:w="40" w:type="dxa"/>
            <w:vAlign w:val="bottom"/>
            <w:tcBorders>
              <w:top w:val="single" w:sz="8" w:color="457157"/>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33</w:t>
            </w:r>
            <w:r>
              <w:rPr>
                <w:rFonts w:ascii="Arial" w:cs="Arial" w:eastAsia="Arial" w:hAnsi="Arial"/>
                <w:sz w:val="18"/>
                <w:szCs w:val="18"/>
                <w:color w:val="000000"/>
              </w:rPr>
              <w:t>​</w:t>
            </w:r>
          </w:p>
        </w:tc>
        <w:tc>
          <w:tcPr>
            <w:tcW w:w="1200" w:type="dxa"/>
            <w:vAlign w:val="bottom"/>
            <w:gridSpan w:val="4"/>
          </w:tcPr>
          <w:p>
            <w:pPr>
              <w:spacing w:after="0" w:line="196" w:lineRule="exact"/>
              <w:rPr>
                <w:sz w:val="20"/>
                <w:szCs w:val="20"/>
                <w:color w:val="auto"/>
              </w:rPr>
            </w:pPr>
            <w:r>
              <w:rPr>
                <w:rFonts w:ascii="Arial" w:cs="Arial" w:eastAsia="Arial" w:hAnsi="Arial"/>
                <w:sz w:val="18"/>
                <w:szCs w:val="18"/>
                <w:b w:val="1"/>
                <w:bCs w:val="1"/>
                <w:color w:val="457157"/>
              </w:rPr>
              <w:t>APPENDIX A</w:t>
            </w:r>
          </w:p>
        </w:tc>
        <w:tc>
          <w:tcPr>
            <w:tcW w:w="3200" w:type="dxa"/>
            <w:vAlign w:val="bottom"/>
            <w:gridSpan w:val="24"/>
            <w:vMerge w:val="restart"/>
          </w:tcPr>
          <w:p>
            <w:pPr>
              <w:spacing w:after="0"/>
              <w:rPr>
                <w:sz w:val="18"/>
                <w:szCs w:val="18"/>
                <w:color w:val="auto"/>
              </w:rPr>
            </w:pPr>
          </w:p>
        </w:tc>
        <w:tc>
          <w:tcPr>
            <w:tcW w:w="380" w:type="dxa"/>
            <w:vAlign w:val="bottom"/>
            <w:gridSpan w:val="3"/>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0000EE"/>
              </w:rPr>
              <w:t>A-1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260" w:type="dxa"/>
            <w:vAlign w:val="bottom"/>
            <w:gridSpan w:val="3"/>
            <w:vMerge w:val="continue"/>
          </w:tcPr>
          <w:p>
            <w:pPr>
              <w:spacing w:after="0"/>
              <w:rPr>
                <w:sz w:val="11"/>
                <w:szCs w:val="11"/>
                <w:color w:val="auto"/>
              </w:rPr>
            </w:pPr>
          </w:p>
        </w:tc>
        <w:tc>
          <w:tcPr>
            <w:tcW w:w="1200" w:type="dxa"/>
            <w:vAlign w:val="bottom"/>
            <w:tcBorders>
              <w:top w:val="single" w:sz="8" w:color="457157"/>
            </w:tcBorders>
            <w:gridSpan w:val="4"/>
          </w:tcPr>
          <w:p>
            <w:pPr>
              <w:spacing w:after="0"/>
              <w:rPr>
                <w:sz w:val="11"/>
                <w:szCs w:val="11"/>
                <w:color w:val="auto"/>
              </w:rPr>
            </w:pPr>
          </w:p>
        </w:tc>
        <w:tc>
          <w:tcPr>
            <w:tcW w:w="3200" w:type="dxa"/>
            <w:vAlign w:val="bottom"/>
            <w:gridSpan w:val="24"/>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0000EE"/>
            </w:tcBorders>
            <w:gridSpan w:val="2"/>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35</w:t>
            </w:r>
            <w:r>
              <w:rPr>
                <w:rFonts w:ascii="Arial" w:cs="Arial" w:eastAsia="Arial" w:hAnsi="Arial"/>
                <w:sz w:val="18"/>
                <w:szCs w:val="18"/>
                <w:color w:val="000000"/>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35</w:t>
            </w:r>
            <w:r>
              <w:rPr>
                <w:rFonts w:ascii="Arial" w:cs="Arial" w:eastAsia="Arial" w:hAnsi="Arial"/>
                <w:sz w:val="18"/>
                <w:szCs w:val="18"/>
                <w:color w:val="00000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36</w:t>
            </w:r>
            <w:r>
              <w:rPr>
                <w:rFonts w:ascii="Arial" w:cs="Arial" w:eastAsia="Arial" w:hAnsi="Arial"/>
                <w:sz w:val="18"/>
                <w:szCs w:val="18"/>
                <w:color w:val="000000"/>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1307465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3">
            <w:col w:w="5060" w:space="80"/>
            <w:col w:w="100" w:space="60"/>
            <w:col w:w="5080"/>
          </w:cols>
          <w:pgMar w:left="580" w:top="97" w:right="9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GENERAL INFORMATION</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w:t>
      </w:r>
    </w:p>
    <w:p>
      <w:pPr>
        <w:spacing w:after="0" w:line="296"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Board of Directors is soliciting your proxy for the 2024 Annual Meeting of Stockholders and at any postponement or adjournment of the meeting. We are furnishing proxy materials to our stockholders primarily via the Internet. On April 2, 2024, we sent an electronic notice of how to access our proxy materials and our Annual Report to stockholders that have previously signed up to receive their proxy materials via the Internet. On April 2, 2024,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282"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color w:val="457157"/>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materials 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76" w:lineRule="exact"/>
        <w:rPr>
          <w:sz w:val="20"/>
          <w:szCs w:val="20"/>
          <w:color w:val="auto"/>
        </w:rPr>
      </w:pPr>
    </w:p>
    <w:p>
      <w:pPr>
        <w:jc w:val="both"/>
        <w:ind w:left="820" w:right="80"/>
        <w:spacing w:after="0" w:line="253" w:lineRule="auto"/>
        <w:rPr>
          <w:sz w:val="20"/>
          <w:szCs w:val="20"/>
          <w:color w:val="auto"/>
        </w:rPr>
      </w:pPr>
      <w:r>
        <w:rPr>
          <w:rFonts w:ascii="Arial" w:cs="Arial" w:eastAsia="Arial" w:hAnsi="Arial"/>
          <w:sz w:val="18"/>
          <w:szCs w:val="18"/>
          <w:b w:val="1"/>
          <w:bCs w:val="1"/>
          <w:color w:val="457157"/>
        </w:rPr>
        <w:t xml:space="preserve">Shares Outstanding on the Record Date </w:t>
      </w:r>
      <w:r>
        <w:rPr>
          <w:rFonts w:ascii="Arial" w:cs="Arial" w:eastAsia="Arial" w:hAnsi="Arial"/>
          <w:sz w:val="18"/>
          <w:szCs w:val="18"/>
          <w:color w:val="000000"/>
        </w:rPr>
        <w:t>There were 401,296,564 shares of common stock of</w:t>
      </w:r>
      <w:r>
        <w:rPr>
          <w:rFonts w:ascii="Arial" w:cs="Arial" w:eastAsia="Arial" w:hAnsi="Arial"/>
          <w:sz w:val="18"/>
          <w:szCs w:val="18"/>
          <w:b w:val="1"/>
          <w:bCs w:val="1"/>
          <w:color w:val="457157"/>
        </w:rPr>
        <w:t xml:space="preserve"> </w:t>
      </w:r>
      <w:r>
        <w:rPr>
          <w:rFonts w:ascii="Arial" w:cs="Arial" w:eastAsia="Arial" w:hAnsi="Arial"/>
          <w:sz w:val="18"/>
          <w:szCs w:val="18"/>
          <w:color w:val="000000"/>
        </w:rPr>
        <w:t>Waste Management, Inc. (our “Common Stock”) outstanding and entitled to vote as of March 19, 2024, the record date for the Annual Meeting.</w:t>
      </w:r>
    </w:p>
    <w:p>
      <w:pPr>
        <w:sectPr>
          <w:pgSz w:w="11900" w:h="16838" w:orient="portrait"/>
          <w:cols w:equalWidth="0" w:num="1">
            <w:col w:w="9940"/>
          </w:cols>
          <w:pgMar w:left="580" w:top="97" w:right="1379" w:bottom="1440" w:gutter="0" w:footer="0" w:header="0"/>
        </w:sectPr>
      </w:pPr>
    </w:p>
    <w:p>
      <w:pPr>
        <w:spacing w:after="0" w:line="74"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b w:val="1"/>
          <w:bCs w:val="1"/>
          <w:color w:val="457157"/>
        </w:rPr>
        <w:t xml:space="preserve">Attending the Meeting </w:t>
      </w:r>
      <w:r>
        <w:rPr>
          <w:rFonts w:ascii="Arial" w:cs="Arial" w:eastAsia="Arial" w:hAnsi="Arial"/>
          <w:sz w:val="18"/>
          <w:szCs w:val="18"/>
          <w:color w:val="000000"/>
        </w:rPr>
        <w:t>Annual Meeting. If you holds shares in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right="60" w:firstLine="128"/>
        <w:spacing w:after="0" w:line="246" w:lineRule="auto"/>
        <w:rPr>
          <w:sz w:val="20"/>
          <w:szCs w:val="20"/>
          <w:color w:val="auto"/>
        </w:rPr>
      </w:pPr>
      <w:r>
        <w:rPr>
          <w:rFonts w:ascii="Arial" w:cs="Arial" w:eastAsia="Arial" w:hAnsi="Arial"/>
          <w:sz w:val="18"/>
          <w:szCs w:val="18"/>
          <w:color w:val="auto"/>
        </w:rPr>
        <w:t>Only stockholders, their proxy holders and our invited guests may attend the plan to attend, please bring identification. If you are a beneficial owner that name through a bank or broker, you must also bring your bank or broker</w:t>
      </w:r>
    </w:p>
    <w:p>
      <w:pPr>
        <w:spacing w:after="0" w:line="3" w:lineRule="exact"/>
        <w:rPr>
          <w:sz w:val="20"/>
          <w:szCs w:val="20"/>
          <w:color w:val="auto"/>
        </w:rPr>
      </w:pPr>
    </w:p>
    <w:p>
      <w:pPr>
        <w:sectPr>
          <w:pgSz w:w="11900" w:h="16838" w:orient="portrait"/>
          <w:cols w:equalWidth="0" w:num="2">
            <w:col w:w="2880" w:space="80"/>
            <w:col w:w="6980"/>
          </w:cols>
          <w:pgMar w:left="580" w:top="97" w:right="1379" w:bottom="1440" w:gutter="0" w:footer="0" w:header="0"/>
          <w:type w:val="continuous"/>
        </w:sectPr>
      </w:pPr>
    </w:p>
    <w:p>
      <w:pPr>
        <w:jc w:val="both"/>
        <w:ind w:left="820" w:right="60"/>
        <w:spacing w:after="0" w:line="242" w:lineRule="auto"/>
        <w:rPr>
          <w:sz w:val="20"/>
          <w:szCs w:val="20"/>
          <w:color w:val="auto"/>
        </w:rPr>
      </w:pPr>
      <w:r>
        <w:rPr>
          <w:rFonts w:ascii="Arial" w:cs="Arial" w:eastAsia="Arial" w:hAnsi="Arial"/>
          <w:sz w:val="18"/>
          <w:szCs w:val="18"/>
          <w:color w:val="auto"/>
        </w:rPr>
        <w:t>statement showing your beneficial ownership of Waste Management, Inc. Common Stock in order to be admitted to the meeting. If you are planning to attend our Annual Meeting and require directions to the meeting, please contact our Corporate Secretary at 713-512-6200. The only items that we anticipate will be discussed at the Annual Meeting are the items set out in the Notice. We do not anticipate that there will be any presentations.</w:t>
      </w:r>
    </w:p>
    <w:p>
      <w:pPr>
        <w:spacing w:after="0" w:line="28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b w:val="1"/>
          <w:bCs w:val="1"/>
          <w:color w:val="457157"/>
        </w:rPr>
        <w:t xml:space="preserve">Voting Instructions </w:t>
      </w:r>
      <w:r>
        <w:rPr>
          <w:rFonts w:ascii="Arial" w:cs="Arial" w:eastAsia="Arial" w:hAnsi="Arial"/>
          <w:sz w:val="18"/>
          <w:szCs w:val="18"/>
          <w:color w:val="000000"/>
        </w:rPr>
        <w:t>You can submit your proxy by Internet, phone or mail. You may receive more</w:t>
      </w:r>
      <w:r>
        <w:rPr>
          <w:rFonts w:ascii="Arial" w:cs="Arial" w:eastAsia="Arial" w:hAnsi="Arial"/>
          <w:sz w:val="18"/>
          <w:szCs w:val="18"/>
          <w:b w:val="1"/>
          <w:bCs w:val="1"/>
          <w:color w:val="457157"/>
        </w:rPr>
        <w:t xml:space="preserve"> </w:t>
      </w:r>
      <w:r>
        <w:rPr>
          <w:rFonts w:ascii="Arial" w:cs="Arial" w:eastAsia="Arial" w:hAnsi="Arial"/>
          <w:sz w:val="18"/>
          <w:szCs w:val="18"/>
          <w:color w:val="000000"/>
        </w:rPr>
        <w:t>than one proxy card 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29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Other Matters </w:t>
      </w:r>
      <w:r>
        <w:rPr>
          <w:rFonts w:ascii="Arial" w:cs="Arial" w:eastAsia="Arial" w:hAnsi="Arial"/>
          <w:sz w:val="18"/>
          <w:szCs w:val="18"/>
          <w:color w:val="000000"/>
        </w:rPr>
        <w:t>The Company does not intend to bring any other matters before the Annual Meeting,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68"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Voting and Asking Questions at the Meeting </w:t>
      </w:r>
      <w:r>
        <w:rPr>
          <w:rFonts w:ascii="Arial" w:cs="Arial" w:eastAsia="Arial" w:hAnsi="Arial"/>
          <w:sz w:val="18"/>
          <w:szCs w:val="18"/>
          <w:color w:val="000000"/>
        </w:rPr>
        <w:t>Stockholders can vote and ask questions at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relevant 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290"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color w:val="457157"/>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57157"/>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w:t>
      </w:r>
    </w:p>
    <w:p>
      <w:pPr>
        <w:spacing w:after="0" w:line="24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GENERAL INFORMATION</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The Proposals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proposals are being presented for a vote of the stockholders at the Annual Meeting:</w:t>
      </w:r>
    </w:p>
    <w:p>
      <w:pPr>
        <w:spacing w:after="0" w:line="156"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180" w:type="dxa"/>
            <w:vAlign w:val="bottom"/>
            <w:tcBorders>
              <w:top w:val="single" w:sz="8" w:color="457157"/>
            </w:tcBorders>
          </w:tcPr>
          <w:p>
            <w:pPr>
              <w:spacing w:after="0"/>
              <w:rPr>
                <w:sz w:val="15"/>
                <w:szCs w:val="15"/>
                <w:color w:val="auto"/>
              </w:rPr>
            </w:pPr>
          </w:p>
        </w:tc>
        <w:tc>
          <w:tcPr>
            <w:tcW w:w="1020" w:type="dxa"/>
            <w:vAlign w:val="bottom"/>
            <w:tcBorders>
              <w:top w:val="single" w:sz="8" w:color="457157"/>
            </w:tcBorders>
          </w:tcPr>
          <w:p>
            <w:pPr>
              <w:spacing w:after="0"/>
              <w:rPr>
                <w:sz w:val="15"/>
                <w:szCs w:val="15"/>
                <w:color w:val="auto"/>
              </w:rPr>
            </w:pPr>
          </w:p>
        </w:tc>
        <w:tc>
          <w:tcPr>
            <w:tcW w:w="5520" w:type="dxa"/>
            <w:vAlign w:val="bottom"/>
            <w:tcBorders>
              <w:top w:val="single" w:sz="8" w:color="457157"/>
            </w:tcBorders>
            <w:gridSpan w:val="2"/>
            <w:vMerge w:val="restart"/>
          </w:tcPr>
          <w:p>
            <w:pPr>
              <w:ind w:left="140"/>
              <w:spacing w:after="0"/>
              <w:rPr>
                <w:sz w:val="20"/>
                <w:szCs w:val="20"/>
                <w:color w:val="auto"/>
              </w:rPr>
            </w:pPr>
            <w:r>
              <w:rPr>
                <w:rFonts w:ascii="Arial" w:cs="Arial" w:eastAsia="Arial" w:hAnsi="Arial"/>
                <w:sz w:val="32"/>
                <w:szCs w:val="32"/>
                <w:b w:val="1"/>
                <w:bCs w:val="1"/>
                <w:color w:val="457157"/>
                <w:vertAlign w:val="subscript"/>
              </w:rPr>
              <w:t>​ ​</w:t>
            </w:r>
            <w:r>
              <w:rPr>
                <w:rFonts w:ascii="Arial" w:cs="Arial" w:eastAsia="Arial" w:hAnsi="Arial"/>
                <w:sz w:val="16"/>
                <w:szCs w:val="16"/>
                <w:b w:val="1"/>
                <w:bCs w:val="1"/>
                <w:color w:val="457157"/>
              </w:rPr>
              <w:t xml:space="preserve"> Matter</w:t>
            </w:r>
          </w:p>
        </w:tc>
        <w:tc>
          <w:tcPr>
            <w:tcW w:w="2180" w:type="dxa"/>
            <w:vAlign w:val="bottom"/>
            <w:tcBorders>
              <w:top w:val="single" w:sz="8" w:color="457157"/>
            </w:tcBorders>
          </w:tcPr>
          <w:p>
            <w:pPr>
              <w:ind w:left="440"/>
              <w:spacing w:after="0" w:line="175" w:lineRule="exact"/>
              <w:rPr>
                <w:sz w:val="20"/>
                <w:szCs w:val="20"/>
                <w:color w:val="auto"/>
              </w:rPr>
            </w:pPr>
            <w:r>
              <w:rPr>
                <w:rFonts w:ascii="Arial" w:cs="Arial" w:eastAsia="Arial" w:hAnsi="Arial"/>
                <w:sz w:val="16"/>
                <w:szCs w:val="16"/>
                <w:b w:val="1"/>
                <w:bCs w:val="1"/>
                <w:color w:val="457157"/>
              </w:rPr>
              <w:t>Board Vote</w:t>
            </w:r>
          </w:p>
        </w:tc>
        <w:tc>
          <w:tcPr>
            <w:tcW w:w="160" w:type="dxa"/>
            <w:vAlign w:val="bottom"/>
            <w:tcBorders>
              <w:top w:val="single" w:sz="8" w:color="457157"/>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57157"/>
              </w:rPr>
              <w:t>​</w:t>
            </w:r>
          </w:p>
        </w:tc>
        <w:tc>
          <w:tcPr>
            <w:tcW w:w="1020" w:type="dxa"/>
            <w:vAlign w:val="bottom"/>
            <w:tcBorders>
              <w:bottom w:val="single" w:sz="8" w:color="457157"/>
            </w:tcBorders>
          </w:tcPr>
          <w:p>
            <w:pPr>
              <w:ind w:left="140"/>
              <w:spacing w:after="0"/>
              <w:rPr>
                <w:sz w:val="20"/>
                <w:szCs w:val="20"/>
                <w:color w:val="auto"/>
              </w:rPr>
            </w:pPr>
            <w:r>
              <w:rPr>
                <w:rFonts w:ascii="Arial" w:cs="Arial" w:eastAsia="Arial" w:hAnsi="Arial"/>
                <w:sz w:val="16"/>
                <w:szCs w:val="16"/>
                <w:b w:val="1"/>
                <w:bCs w:val="1"/>
                <w:color w:val="457157"/>
              </w:rPr>
              <w:t>Proposal</w:t>
            </w:r>
          </w:p>
        </w:tc>
        <w:tc>
          <w:tcPr>
            <w:tcW w:w="5520" w:type="dxa"/>
            <w:vAlign w:val="bottom"/>
            <w:tcBorders>
              <w:bottom w:val="single" w:sz="8" w:color="457157"/>
            </w:tcBorders>
            <w:gridSpan w:val="2"/>
            <w:vMerge w:val="continue"/>
          </w:tcPr>
          <w:p>
            <w:pPr>
              <w:spacing w:after="0"/>
              <w:rPr>
                <w:sz w:val="21"/>
                <w:szCs w:val="21"/>
                <w:color w:val="auto"/>
              </w:rPr>
            </w:pPr>
          </w:p>
        </w:tc>
        <w:tc>
          <w:tcPr>
            <w:tcW w:w="2180" w:type="dxa"/>
            <w:vAlign w:val="bottom"/>
            <w:tcBorders>
              <w:bottom w:val="single" w:sz="8" w:color="457157"/>
            </w:tcBorders>
          </w:tcPr>
          <w:p>
            <w:pPr>
              <w:ind w:left="220"/>
              <w:spacing w:after="0" w:line="243"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5"/>
                <w:szCs w:val="15"/>
                <w:b w:val="1"/>
                <w:bCs w:val="1"/>
                <w:color w:val="457157"/>
              </w:rPr>
              <w:t xml:space="preserve"> Recommendation</w:t>
            </w:r>
          </w:p>
        </w:tc>
        <w:tc>
          <w:tcPr>
            <w:tcW w:w="160" w:type="dxa"/>
            <w:vAlign w:val="bottom"/>
            <w:tcBorders>
              <w:bottom w:val="single" w:sz="8" w:color="457157"/>
            </w:tcBorders>
          </w:tcPr>
          <w:p>
            <w:pPr>
              <w:ind w:left="120"/>
              <w:spacing w:after="0"/>
              <w:rPr>
                <w:sz w:val="20"/>
                <w:szCs w:val="20"/>
                <w:color w:val="auto"/>
              </w:rPr>
            </w:pPr>
            <w:r>
              <w:rPr>
                <w:rFonts w:ascii="Arial" w:cs="Arial" w:eastAsia="Arial" w:hAnsi="Arial"/>
                <w:sz w:val="16"/>
                <w:szCs w:val="16"/>
                <w:b w:val="1"/>
                <w:bCs w:val="1"/>
                <w:color w:val="457157"/>
              </w:rPr>
              <w:t>​</w:t>
            </w:r>
          </w:p>
        </w:tc>
        <w:tc>
          <w:tcPr>
            <w:tcW w:w="0" w:type="dxa"/>
            <w:vAlign w:val="bottom"/>
          </w:tcPr>
          <w:p>
            <w:pPr>
              <w:spacing w:after="0"/>
              <w:rPr>
                <w:sz w:val="1"/>
                <w:szCs w:val="1"/>
                <w:color w:val="auto"/>
              </w:rPr>
            </w:pPr>
          </w:p>
        </w:tc>
      </w:tr>
      <w:tr>
        <w:trPr>
          <w:trHeight w:val="466"/>
        </w:trPr>
        <w:tc>
          <w:tcPr>
            <w:tcW w:w="180" w:type="dxa"/>
            <w:vAlign w:val="bottom"/>
            <w:shd w:val="clear" w:color="auto" w:fill="D0DCD5"/>
          </w:tcPr>
          <w:p>
            <w:pPr>
              <w:spacing w:after="0"/>
              <w:rPr>
                <w:sz w:val="24"/>
                <w:szCs w:val="24"/>
                <w:color w:val="auto"/>
              </w:rPr>
            </w:pPr>
          </w:p>
        </w:tc>
        <w:tc>
          <w:tcPr>
            <w:tcW w:w="1020" w:type="dxa"/>
            <w:vAlign w:val="bottom"/>
            <w:vMerge w:val="restart"/>
            <w:shd w:val="clear" w:color="auto" w:fill="D0DCD5"/>
          </w:tcPr>
          <w:p>
            <w:pPr>
              <w:ind w:left="320"/>
              <w:spacing w:after="0"/>
              <w:rPr>
                <w:sz w:val="20"/>
                <w:szCs w:val="20"/>
                <w:color w:val="auto"/>
              </w:rPr>
            </w:pPr>
            <w:r>
              <w:rPr>
                <w:rFonts w:ascii="Arial" w:cs="Arial" w:eastAsia="Arial" w:hAnsi="Arial"/>
                <w:sz w:val="65"/>
                <w:szCs w:val="65"/>
                <w:b w:val="1"/>
                <w:bCs w:val="1"/>
                <w:color w:val="457157"/>
              </w:rPr>
              <w:t>1</w:t>
            </w:r>
            <w:r>
              <w:rPr>
                <w:rFonts w:ascii="Arial" w:cs="Arial" w:eastAsia="Arial" w:hAnsi="Arial"/>
                <w:sz w:val="17"/>
                <w:szCs w:val="17"/>
                <w:color w:val="000000"/>
              </w:rPr>
              <w:t>​</w:t>
            </w:r>
          </w:p>
        </w:tc>
        <w:tc>
          <w:tcPr>
            <w:tcW w:w="340" w:type="dxa"/>
            <w:vAlign w:val="bottom"/>
            <w:shd w:val="clear" w:color="auto" w:fill="D0DCD5"/>
          </w:tcPr>
          <w:p>
            <w:pPr>
              <w:spacing w:after="0"/>
              <w:rPr>
                <w:sz w:val="24"/>
                <w:szCs w:val="24"/>
                <w:color w:val="auto"/>
              </w:rPr>
            </w:pPr>
          </w:p>
        </w:tc>
        <w:tc>
          <w:tcPr>
            <w:tcW w:w="5180" w:type="dxa"/>
            <w:vAlign w:val="bottom"/>
            <w:shd w:val="clear" w:color="auto" w:fill="D0DCD5"/>
          </w:tcPr>
          <w:p>
            <w:pPr>
              <w:ind w:left="4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2180" w:type="dxa"/>
            <w:vAlign w:val="bottom"/>
            <w:shd w:val="clear" w:color="auto" w:fill="D0DCD5"/>
          </w:tcPr>
          <w:p>
            <w:pPr>
              <w:ind w:left="4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160" w:type="dxa"/>
            <w:vAlign w:val="bottom"/>
            <w:shd w:val="clear" w:color="auto" w:fill="D0DCD5"/>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vMerge w:val="continue"/>
            <w:shd w:val="clear" w:color="auto" w:fill="D0DCD5"/>
          </w:tcPr>
          <w:p>
            <w:pPr>
              <w:spacing w:after="0"/>
              <w:rPr>
                <w:sz w:val="24"/>
                <w:szCs w:val="24"/>
                <w:color w:val="auto"/>
              </w:rPr>
            </w:pPr>
          </w:p>
        </w:tc>
        <w:tc>
          <w:tcPr>
            <w:tcW w:w="340" w:type="dxa"/>
            <w:vAlign w:val="bottom"/>
            <w:tcBorders>
              <w:bottom w:val="single" w:sz="8" w:color="457157"/>
            </w:tcBorders>
            <w:shd w:val="clear" w:color="auto" w:fill="D0DCD5"/>
          </w:tcPr>
          <w:p>
            <w:pPr>
              <w:ind w:left="140"/>
              <w:spacing w:after="0"/>
              <w:rPr>
                <w:sz w:val="20"/>
                <w:szCs w:val="20"/>
                <w:color w:val="auto"/>
              </w:rPr>
            </w:pPr>
            <w:r>
              <w:rPr>
                <w:rFonts w:ascii="Arial" w:cs="Arial" w:eastAsia="Arial" w:hAnsi="Arial"/>
                <w:sz w:val="18"/>
                <w:szCs w:val="18"/>
                <w:color w:val="auto"/>
              </w:rPr>
              <w:t>​ ​</w:t>
            </w:r>
          </w:p>
        </w:tc>
        <w:tc>
          <w:tcPr>
            <w:tcW w:w="5180" w:type="dxa"/>
            <w:vAlign w:val="bottom"/>
            <w:tcBorders>
              <w:bottom w:val="single" w:sz="8" w:color="457157"/>
            </w:tcBorders>
            <w:shd w:val="clear" w:color="auto" w:fill="D0DCD5"/>
          </w:tcPr>
          <w:p>
            <w:pPr>
              <w:ind w:left="40"/>
              <w:spacing w:after="0"/>
              <w:rPr>
                <w:sz w:val="20"/>
                <w:szCs w:val="20"/>
                <w:color w:val="auto"/>
              </w:rPr>
            </w:pPr>
            <w:r>
              <w:rPr>
                <w:rFonts w:ascii="Arial" w:cs="Arial" w:eastAsia="Arial" w:hAnsi="Arial"/>
                <w:sz w:val="18"/>
                <w:szCs w:val="18"/>
                <w:b w:val="1"/>
                <w:bCs w:val="1"/>
                <w:color w:val="auto"/>
              </w:rPr>
              <w:t>Statement</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nominee</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180" w:type="dxa"/>
            <w:vAlign w:val="bottom"/>
            <w:shd w:val="clear" w:color="auto" w:fill="ECF1EE"/>
          </w:tcPr>
          <w:p>
            <w:pPr>
              <w:spacing w:after="0"/>
              <w:rPr>
                <w:sz w:val="24"/>
                <w:szCs w:val="24"/>
                <w:color w:val="auto"/>
              </w:rPr>
            </w:pP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2</w:t>
            </w:r>
            <w:r>
              <w:rPr>
                <w:rFonts w:ascii="Arial" w:cs="Arial" w:eastAsia="Arial" w:hAnsi="Arial"/>
                <w:sz w:val="17"/>
                <w:szCs w:val="17"/>
                <w:color w:val="000000"/>
              </w:rPr>
              <w:t>​</w:t>
            </w:r>
          </w:p>
        </w:tc>
        <w:tc>
          <w:tcPr>
            <w:tcW w:w="340" w:type="dxa"/>
            <w:vAlign w:val="bottom"/>
            <w:shd w:val="clear" w:color="auto" w:fill="ECF1EE"/>
          </w:tcPr>
          <w:p>
            <w:pPr>
              <w:spacing w:after="0"/>
              <w:rPr>
                <w:sz w:val="24"/>
                <w:szCs w:val="24"/>
                <w:color w:val="auto"/>
              </w:rPr>
            </w:pP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continue"/>
            <w:shd w:val="clear" w:color="auto" w:fill="ECF1EE"/>
          </w:tcPr>
          <w:p>
            <w:pPr>
              <w:spacing w:after="0"/>
              <w:rPr>
                <w:sz w:val="21"/>
                <w:szCs w:val="21"/>
                <w:color w:val="auto"/>
              </w:rPr>
            </w:pPr>
          </w:p>
        </w:tc>
        <w:tc>
          <w:tcPr>
            <w:tcW w:w="5520" w:type="dxa"/>
            <w:vAlign w:val="bottom"/>
            <w:gridSpan w:val="2"/>
            <w:shd w:val="clear" w:color="auto" w:fill="ECF1EE"/>
          </w:tcPr>
          <w:p>
            <w:pPr>
              <w:ind w:left="140"/>
              <w:spacing w:after="0"/>
              <w:rPr>
                <w:sz w:val="20"/>
                <w:szCs w:val="20"/>
                <w:color w:val="auto"/>
              </w:rPr>
            </w:pPr>
            <w:r>
              <w:rPr>
                <w:rFonts w:ascii="Arial" w:cs="Arial" w:eastAsia="Arial" w:hAnsi="Arial"/>
                <w:sz w:val="18"/>
                <w:szCs w:val="18"/>
                <w:b w:val="1"/>
                <w:bCs w:val="1"/>
                <w:color w:val="auto"/>
              </w:rPr>
              <w:t>​ ​ Independent Registered Public Accounting Firm for</w:t>
            </w:r>
          </w:p>
        </w:tc>
        <w:tc>
          <w:tcPr>
            <w:tcW w:w="2180" w:type="dxa"/>
            <w:vAlign w:val="bottom"/>
            <w:vMerge w:val="continue"/>
            <w:shd w:val="clear" w:color="auto" w:fill="ECF1EE"/>
          </w:tcPr>
          <w:p>
            <w:pPr>
              <w:spacing w:after="0"/>
              <w:rPr>
                <w:sz w:val="21"/>
                <w:szCs w:val="21"/>
                <w:color w:val="auto"/>
              </w:rPr>
            </w:pPr>
          </w:p>
        </w:tc>
        <w:tc>
          <w:tcPr>
            <w:tcW w:w="160" w:type="dxa"/>
            <w:vAlign w:val="bottom"/>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8"/>
        </w:trPr>
        <w:tc>
          <w:tcPr>
            <w:tcW w:w="180" w:type="dxa"/>
            <w:vAlign w:val="bottom"/>
            <w:shd w:val="clear" w:color="auto" w:fill="ECF1EE"/>
          </w:tcPr>
          <w:p>
            <w:pPr>
              <w:spacing w:after="0"/>
              <w:rPr>
                <w:sz w:val="24"/>
                <w:szCs w:val="24"/>
                <w:color w:val="auto"/>
              </w:rPr>
            </w:pPr>
          </w:p>
        </w:tc>
        <w:tc>
          <w:tcPr>
            <w:tcW w:w="1020" w:type="dxa"/>
            <w:vAlign w:val="bottom"/>
            <w:vMerge w:val="continue"/>
            <w:shd w:val="clear" w:color="auto" w:fill="ECF1EE"/>
          </w:tcPr>
          <w:p>
            <w:pPr>
              <w:spacing w:after="0"/>
              <w:rPr>
                <w:sz w:val="24"/>
                <w:szCs w:val="24"/>
                <w:color w:val="auto"/>
              </w:rPr>
            </w:pPr>
          </w:p>
        </w:tc>
        <w:tc>
          <w:tcPr>
            <w:tcW w:w="340" w:type="dxa"/>
            <w:vAlign w:val="bottom"/>
            <w:shd w:val="clear" w:color="auto" w:fill="ECF1EE"/>
          </w:tcPr>
          <w:p>
            <w:pPr>
              <w:spacing w:after="0"/>
              <w:rPr>
                <w:sz w:val="24"/>
                <w:szCs w:val="24"/>
                <w:color w:val="auto"/>
              </w:rPr>
            </w:pP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fiscal year 2024</w:t>
            </w:r>
          </w:p>
        </w:tc>
        <w:tc>
          <w:tcPr>
            <w:tcW w:w="2180" w:type="dxa"/>
            <w:vAlign w:val="bottom"/>
            <w:shd w:val="clear" w:color="auto" w:fill="ECF1EE"/>
          </w:tcPr>
          <w:p>
            <w:pPr>
              <w:spacing w:after="0"/>
              <w:rPr>
                <w:sz w:val="24"/>
                <w:szCs w:val="24"/>
                <w:color w:val="auto"/>
              </w:rPr>
            </w:pP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0" w:type="dxa"/>
            <w:vAlign w:val="bottom"/>
            <w:tcBorders>
              <w:bottom w:val="single" w:sz="8" w:color="457157"/>
            </w:tcBorders>
            <w:shd w:val="clear" w:color="auto" w:fill="ECF1EE"/>
          </w:tcPr>
          <w:p>
            <w:pPr>
              <w:spacing w:after="0"/>
              <w:rPr>
                <w:sz w:val="6"/>
                <w:szCs w:val="6"/>
                <w:color w:val="auto"/>
              </w:rPr>
            </w:pPr>
          </w:p>
        </w:tc>
        <w:tc>
          <w:tcPr>
            <w:tcW w:w="1020" w:type="dxa"/>
            <w:vAlign w:val="bottom"/>
            <w:tcBorders>
              <w:bottom w:val="single" w:sz="8" w:color="457157"/>
            </w:tcBorders>
            <w:shd w:val="clear" w:color="auto" w:fill="ECF1EE"/>
          </w:tcPr>
          <w:p>
            <w:pPr>
              <w:spacing w:after="0"/>
              <w:rPr>
                <w:sz w:val="6"/>
                <w:szCs w:val="6"/>
                <w:color w:val="auto"/>
              </w:rPr>
            </w:pPr>
          </w:p>
        </w:tc>
        <w:tc>
          <w:tcPr>
            <w:tcW w:w="5520" w:type="dxa"/>
            <w:vAlign w:val="bottom"/>
            <w:tcBorders>
              <w:bottom w:val="single" w:sz="8" w:color="457157"/>
            </w:tcBorders>
            <w:gridSpan w:val="2"/>
            <w:shd w:val="clear" w:color="auto" w:fill="ECF1EE"/>
          </w:tcPr>
          <w:p>
            <w:pPr>
              <w:spacing w:after="0"/>
              <w:rPr>
                <w:sz w:val="6"/>
                <w:szCs w:val="6"/>
                <w:color w:val="auto"/>
              </w:rPr>
            </w:pPr>
          </w:p>
        </w:tc>
        <w:tc>
          <w:tcPr>
            <w:tcW w:w="2180" w:type="dxa"/>
            <w:vAlign w:val="bottom"/>
            <w:tcBorders>
              <w:bottom w:val="single" w:sz="8" w:color="457157"/>
            </w:tcBorders>
            <w:shd w:val="clear" w:color="auto" w:fill="ECF1EE"/>
          </w:tcPr>
          <w:p>
            <w:pPr>
              <w:spacing w:after="0"/>
              <w:rPr>
                <w:sz w:val="6"/>
                <w:szCs w:val="6"/>
                <w:color w:val="auto"/>
              </w:rPr>
            </w:pPr>
          </w:p>
        </w:tc>
        <w:tc>
          <w:tcPr>
            <w:tcW w:w="160" w:type="dxa"/>
            <w:vAlign w:val="bottom"/>
            <w:tcBorders>
              <w:bottom w:val="single" w:sz="8" w:color="457157"/>
            </w:tcBorders>
            <w:shd w:val="clear" w:color="auto" w:fill="ECF1EE"/>
          </w:tcPr>
          <w:p>
            <w:pPr>
              <w:spacing w:after="0"/>
              <w:rPr>
                <w:sz w:val="6"/>
                <w:szCs w:val="6"/>
                <w:color w:val="auto"/>
              </w:rPr>
            </w:pPr>
          </w:p>
        </w:tc>
        <w:tc>
          <w:tcPr>
            <w:tcW w:w="0" w:type="dxa"/>
            <w:vAlign w:val="bottom"/>
          </w:tcPr>
          <w:p>
            <w:pPr>
              <w:spacing w:after="0"/>
              <w:rPr>
                <w:sz w:val="1"/>
                <w:szCs w:val="1"/>
                <w:color w:val="auto"/>
              </w:rPr>
            </w:pPr>
          </w:p>
        </w:tc>
      </w:tr>
      <w:tr>
        <w:trPr>
          <w:trHeight w:val="817"/>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457157"/>
            </w:tcBorders>
            <w:shd w:val="clear" w:color="auto" w:fill="D0DCD5"/>
          </w:tcPr>
          <w:p>
            <w:pPr>
              <w:ind w:left="320"/>
              <w:spacing w:after="0"/>
              <w:rPr>
                <w:sz w:val="20"/>
                <w:szCs w:val="20"/>
                <w:color w:val="auto"/>
              </w:rPr>
            </w:pPr>
            <w:r>
              <w:rPr>
                <w:rFonts w:ascii="Arial" w:cs="Arial" w:eastAsia="Arial" w:hAnsi="Arial"/>
                <w:sz w:val="65"/>
                <w:szCs w:val="65"/>
                <w:b w:val="1"/>
                <w:bCs w:val="1"/>
                <w:color w:val="457157"/>
              </w:rPr>
              <w:t>3</w:t>
            </w:r>
            <w:r>
              <w:rPr>
                <w:rFonts w:ascii="Arial" w:cs="Arial" w:eastAsia="Arial" w:hAnsi="Arial"/>
                <w:sz w:val="17"/>
                <w:szCs w:val="17"/>
                <w:color w:val="000000"/>
              </w:rPr>
              <w:t>​</w:t>
            </w:r>
          </w:p>
        </w:tc>
        <w:tc>
          <w:tcPr>
            <w:tcW w:w="5520" w:type="dxa"/>
            <w:vAlign w:val="bottom"/>
            <w:tcBorders>
              <w:bottom w:val="single" w:sz="8" w:color="457157"/>
            </w:tcBorders>
            <w:gridSpan w:val="2"/>
            <w:shd w:val="clear" w:color="auto" w:fill="D0DCD5"/>
          </w:tcPr>
          <w:p>
            <w:pPr>
              <w:ind w:left="140"/>
              <w:spacing w:after="0"/>
              <w:rPr>
                <w:sz w:val="20"/>
                <w:szCs w:val="20"/>
                <w:color w:val="auto"/>
              </w:rPr>
            </w:pPr>
            <w:r>
              <w:rPr>
                <w:rFonts w:ascii="Arial" w:cs="Arial" w:eastAsia="Arial" w:hAnsi="Arial"/>
                <w:sz w:val="18"/>
                <w:szCs w:val="18"/>
                <w:b w:val="1"/>
                <w:bCs w:val="1"/>
                <w:color w:val="auto"/>
              </w:rPr>
              <w:t>​ ​ Approval of the Company’s Executive Compensation</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47"/>
        </w:trPr>
        <w:tc>
          <w:tcPr>
            <w:tcW w:w="180" w:type="dxa"/>
            <w:vAlign w:val="bottom"/>
            <w:vMerge w:val="restart"/>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4</w:t>
            </w:r>
            <w:r>
              <w:rPr>
                <w:rFonts w:ascii="Arial" w:cs="Arial" w:eastAsia="Arial" w:hAnsi="Arial"/>
                <w:sz w:val="17"/>
                <w:szCs w:val="17"/>
                <w:color w:val="000000"/>
              </w:rPr>
              <w:t>​</w:t>
            </w:r>
          </w:p>
        </w:tc>
        <w:tc>
          <w:tcPr>
            <w:tcW w:w="340" w:type="dxa"/>
            <w:vAlign w:val="bottom"/>
            <w:vMerge w:val="restart"/>
            <w:shd w:val="clear" w:color="auto" w:fill="ECF1EE"/>
          </w:tcPr>
          <w:p>
            <w:pPr>
              <w:ind w:left="140"/>
              <w:spacing w:after="0"/>
              <w:rPr>
                <w:sz w:val="20"/>
                <w:szCs w:val="20"/>
                <w:color w:val="auto"/>
              </w:rPr>
            </w:pPr>
            <w:r>
              <w:rPr>
                <w:rFonts w:ascii="Arial" w:cs="Arial" w:eastAsia="Arial" w:hAnsi="Arial"/>
                <w:sz w:val="18"/>
                <w:szCs w:val="18"/>
                <w:b w:val="1"/>
                <w:bCs w:val="1"/>
                <w:color w:val="auto"/>
              </w:rPr>
              <w:t>​ ​</w:t>
            </w: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Approval of an Amendment to the Certificate of</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vMerge w:val="restart"/>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58"/>
        </w:trPr>
        <w:tc>
          <w:tcPr>
            <w:tcW w:w="180" w:type="dxa"/>
            <w:vAlign w:val="bottom"/>
            <w:tcBorders>
              <w:bottom w:val="single" w:sz="8" w:color="ECF1EE"/>
            </w:tcBorders>
            <w:vMerge w:val="continue"/>
            <w:shd w:val="clear" w:color="auto" w:fill="ECF1EE"/>
          </w:tcPr>
          <w:p>
            <w:pPr>
              <w:spacing w:after="0"/>
              <w:rPr>
                <w:sz w:val="24"/>
                <w:szCs w:val="24"/>
                <w:color w:val="auto"/>
              </w:rPr>
            </w:pPr>
          </w:p>
        </w:tc>
        <w:tc>
          <w:tcPr>
            <w:tcW w:w="1020" w:type="dxa"/>
            <w:vAlign w:val="bottom"/>
            <w:tcBorders>
              <w:bottom w:val="single" w:sz="8" w:color="ECF1EE"/>
            </w:tcBorders>
            <w:vMerge w:val="continue"/>
            <w:shd w:val="clear" w:color="auto" w:fill="ECF1EE"/>
          </w:tcPr>
          <w:p>
            <w:pPr>
              <w:spacing w:after="0"/>
              <w:rPr>
                <w:sz w:val="24"/>
                <w:szCs w:val="24"/>
                <w:color w:val="auto"/>
              </w:rPr>
            </w:pPr>
          </w:p>
        </w:tc>
        <w:tc>
          <w:tcPr>
            <w:tcW w:w="340" w:type="dxa"/>
            <w:vAlign w:val="bottom"/>
            <w:tcBorders>
              <w:bottom w:val="single" w:sz="8" w:color="ECF1EE"/>
            </w:tcBorders>
            <w:vMerge w:val="continue"/>
            <w:shd w:val="clear" w:color="auto" w:fill="ECF1EE"/>
          </w:tcPr>
          <w:p>
            <w:pPr>
              <w:spacing w:after="0"/>
              <w:rPr>
                <w:sz w:val="24"/>
                <w:szCs w:val="24"/>
                <w:color w:val="auto"/>
              </w:rPr>
            </w:pPr>
          </w:p>
        </w:tc>
        <w:tc>
          <w:tcPr>
            <w:tcW w:w="5180" w:type="dxa"/>
            <w:vAlign w:val="bottom"/>
            <w:tcBorders>
              <w:bottom w:val="single" w:sz="8" w:color="ECF1EE"/>
            </w:tcBorders>
            <w:shd w:val="clear" w:color="auto" w:fill="ECF1EE"/>
          </w:tcPr>
          <w:p>
            <w:pPr>
              <w:ind w:left="20"/>
              <w:spacing w:after="0"/>
              <w:rPr>
                <w:sz w:val="20"/>
                <w:szCs w:val="20"/>
                <w:color w:val="auto"/>
              </w:rPr>
            </w:pPr>
            <w:r>
              <w:rPr>
                <w:rFonts w:ascii="Arial" w:cs="Arial" w:eastAsia="Arial" w:hAnsi="Arial"/>
                <w:sz w:val="18"/>
                <w:szCs w:val="18"/>
                <w:b w:val="1"/>
                <w:bCs w:val="1"/>
                <w:color w:val="auto"/>
              </w:rPr>
              <w:t>Incorporation to Provide for Officer Exculpation</w:t>
            </w:r>
          </w:p>
        </w:tc>
        <w:tc>
          <w:tcPr>
            <w:tcW w:w="2180" w:type="dxa"/>
            <w:vAlign w:val="bottom"/>
            <w:tcBorders>
              <w:bottom w:val="single" w:sz="8" w:color="ECF1EE"/>
            </w:tcBorders>
            <w:vMerge w:val="continue"/>
            <w:shd w:val="clear" w:color="auto" w:fill="ECF1EE"/>
          </w:tcPr>
          <w:p>
            <w:pPr>
              <w:spacing w:after="0"/>
              <w:rPr>
                <w:sz w:val="24"/>
                <w:szCs w:val="24"/>
                <w:color w:val="auto"/>
              </w:rPr>
            </w:pPr>
          </w:p>
        </w:tc>
        <w:tc>
          <w:tcPr>
            <w:tcW w:w="160" w:type="dxa"/>
            <w:vAlign w:val="bottom"/>
            <w:tcBorders>
              <w:bottom w:val="single" w:sz="8" w:color="ECF1EE"/>
            </w:tcBorders>
            <w:vMerge w:val="continue"/>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5180" w:type="dxa"/>
            <w:vAlign w:val="bottom"/>
            <w:shd w:val="clear" w:color="auto" w:fill="457157"/>
          </w:tcPr>
          <w:p>
            <w:pPr>
              <w:spacing w:after="0" w:line="20" w:lineRule="exact"/>
              <w:rPr>
                <w:sz w:val="1"/>
                <w:szCs w:val="1"/>
                <w:color w:val="auto"/>
              </w:rPr>
            </w:pPr>
          </w:p>
        </w:tc>
        <w:tc>
          <w:tcPr>
            <w:tcW w:w="21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color w:val="457157"/>
        </w:rPr>
        <w:t xml:space="preserve">Votes Required to Adopt the Proposals </w:t>
      </w:r>
      <w:r>
        <w:rPr>
          <w:rFonts w:ascii="Arial" w:cs="Arial" w:eastAsia="Arial" w:hAnsi="Arial"/>
          <w:sz w:val="18"/>
          <w:szCs w:val="18"/>
          <w:color w:val="000000"/>
        </w:rPr>
        <w:t>Each share of our Common Stock outstanding on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record date is entitled to one vote on each of the nine director nominees and one vote on each other proposal.</w:t>
      </w:r>
    </w:p>
    <w:p>
      <w:pPr>
        <w:spacing w:after="0" w:line="267"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54"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2 and 3</w:t>
      </w:r>
      <w:r>
        <w:rPr>
          <w:rFonts w:ascii="Arial" w:cs="Arial" w:eastAsia="Arial" w:hAnsi="Arial"/>
          <w:sz w:val="18"/>
          <w:szCs w:val="18"/>
          <w:color w:val="auto"/>
        </w:rPr>
        <w:t>: In order to be adopted, each of proposals 2 and 3 require the affirmative vote of the holders of a majority of the outstanding shares of Common Stock present, in person or by proxy, and entitled to vote on the matter.</w:t>
      </w:r>
    </w:p>
    <w:p>
      <w:pPr>
        <w:spacing w:after="0" w:line="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In order to be adopted, proposal 4 requires the affirmative vote of the holders of a majority of the outstanding shares of Common Stock entitled to vote on the matter.</w:t>
      </w:r>
    </w:p>
    <w:p>
      <w:pPr>
        <w:spacing w:after="0" w:line="31"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b w:val="1"/>
          <w:bCs w:val="1"/>
          <w:color w:val="457157"/>
        </w:rPr>
        <w:t xml:space="preserve">Effect of Abstentions </w:t>
      </w:r>
      <w:r>
        <w:rPr>
          <w:rFonts w:ascii="Arial" w:cs="Arial" w:eastAsia="Arial" w:hAnsi="Arial"/>
          <w:sz w:val="18"/>
          <w:szCs w:val="18"/>
          <w:color w:val="000000"/>
        </w:rPr>
        <w:t>Abstentions will have no effect on the election of directors. For each of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 xml:space="preserve">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w:t>
      </w:r>
    </w:p>
    <w:p>
      <w:pPr>
        <w:spacing w:after="0" w:line="59"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Effect of Broker Non-Votes </w:t>
      </w:r>
      <w:r>
        <w:rPr>
          <w:rFonts w:ascii="Arial" w:cs="Arial" w:eastAsia="Arial" w:hAnsi="Arial"/>
          <w:sz w:val="18"/>
          <w:szCs w:val="18"/>
          <w:color w:val="000000"/>
        </w:rPr>
        <w:t>If your shares are held by a broker, you may submit your voting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instructions to the broker 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non-vote.” To be sure your shares are voted in the manner you desire, you should instruct your broker how to vote your shares.</w:t>
      </w:r>
    </w:p>
    <w:p>
      <w:pPr>
        <w:spacing w:after="0" w:line="282"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With respect to proposal 1 and proposal 3, broker non-votes will have no effect on the outcome. With respect to proposal 4, a broker non- vote is the same as a vote against the proposal because, as stated above, approval of proposal 4 requires the affirmative vote of the holders of a majority of the outstanding shares of Common Stock entitled to vote on the matter.</w:t>
      </w:r>
    </w:p>
    <w:p>
      <w:pPr>
        <w:spacing w:after="0" w:line="62"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b w:val="1"/>
          <w:bCs w:val="1"/>
          <w:color w:val="457157"/>
        </w:rPr>
        <w:t xml:space="preserve">Quorum </w:t>
      </w:r>
      <w:r>
        <w:rPr>
          <w:rFonts w:ascii="Arial" w:cs="Arial" w:eastAsia="Arial" w:hAnsi="Arial"/>
          <w:sz w:val="18"/>
          <w:szCs w:val="18"/>
          <w:color w:val="000000"/>
        </w:rPr>
        <w:t>The holders of a majority of the shares of Common Stock outstanding on the record date</w:t>
      </w:r>
      <w:r>
        <w:rPr>
          <w:rFonts w:ascii="Arial" w:cs="Arial" w:eastAsia="Arial" w:hAnsi="Arial"/>
          <w:sz w:val="18"/>
          <w:szCs w:val="18"/>
          <w:b w:val="1"/>
          <w:bCs w:val="1"/>
          <w:color w:val="457157"/>
        </w:rPr>
        <w:t xml:space="preserve"> </w:t>
      </w:r>
      <w:r>
        <w:rPr>
          <w:rFonts w:ascii="Arial" w:cs="Arial" w:eastAsia="Arial" w:hAnsi="Arial"/>
          <w:sz w:val="18"/>
          <w:szCs w:val="18"/>
          <w:color w:val="000000"/>
        </w:rPr>
        <w:t>must be present in person or by proxy to constitute a quorum necessary to conduct the Annual Meeting. Abstentions and broker non-votes are counted for purposes of determining a quorum.</w:t>
      </w:r>
    </w:p>
    <w:p>
      <w:pPr>
        <w:spacing w:after="0" w:line="54" w:lineRule="exact"/>
        <w:rPr>
          <w:sz w:val="20"/>
          <w:szCs w:val="20"/>
          <w:color w:val="auto"/>
        </w:rPr>
      </w:pPr>
    </w:p>
    <w:p>
      <w:pPr>
        <w:ind w:left="820"/>
        <w:spacing w:after="0"/>
        <w:tabs>
          <w:tab w:leader="none" w:pos="7800" w:val="left"/>
        </w:tabs>
        <w:rPr>
          <w:sz w:val="20"/>
          <w:szCs w:val="20"/>
          <w:color w:val="auto"/>
        </w:rPr>
      </w:pPr>
      <w:r>
        <w:rPr>
          <w:rFonts w:ascii="Arial" w:cs="Arial" w:eastAsia="Arial" w:hAnsi="Arial"/>
          <w:sz w:val="18"/>
          <w:szCs w:val="18"/>
          <w:b w:val="1"/>
          <w:bCs w:val="1"/>
          <w:color w:val="457157"/>
        </w:rPr>
        <w:t>Stockholder Proposals and Nominees for the 2025 Annual Meeting</w:t>
      </w:r>
      <w:r>
        <w:rPr>
          <w:sz w:val="20"/>
          <w:szCs w:val="20"/>
          <w:color w:val="auto"/>
        </w:rPr>
        <w:tab/>
      </w:r>
      <w:r>
        <w:rPr>
          <w:rFonts w:ascii="Arial" w:cs="Arial" w:eastAsia="Arial" w:hAnsi="Arial"/>
          <w:sz w:val="18"/>
          <w:szCs w:val="18"/>
          <w:color w:val="auto"/>
        </w:rPr>
        <w:t>The Company will not</w:t>
      </w:r>
    </w:p>
    <w:p>
      <w:pPr>
        <w:spacing w:after="0" w:line="27"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consider any proposal or nomination that is not timely or otherwise does not meet the Company’s By-law and Securities and Exchange Commission (“SEC”) requirements for submitting a proposal or nomination. We also ask that you email a courtesy copy of any notice</w:t>
      </w:r>
    </w:p>
    <w:p>
      <w:pPr>
        <w:spacing w:after="0" w:line="263"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3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GENERAL INFORMATION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jc w:val="both"/>
        <w:ind w:left="820" w:right="80"/>
        <w:spacing w:after="0" w:line="268" w:lineRule="auto"/>
        <w:rPr>
          <w:sz w:val="20"/>
          <w:szCs w:val="20"/>
          <w:color w:val="auto"/>
        </w:rPr>
      </w:pPr>
      <w:r>
        <w:rPr>
          <w:rFonts w:ascii="Arial" w:cs="Arial" w:eastAsia="Arial" w:hAnsi="Arial"/>
          <w:sz w:val="18"/>
          <w:szCs w:val="18"/>
          <w:color w:val="auto"/>
        </w:rPr>
        <w:t>to GCLegal@wm.com. A copy of our By- laws may be obtained free of charge by writing to our Corporate Secretary at 800 Capitol Street, Suite 3000, Houston, Texas 77002 and is available in the “ESG — Corporate Governance” section of investors.wm.com.</w:t>
      </w:r>
    </w:p>
    <w:p>
      <w:pPr>
        <w:spacing w:after="0" w:line="6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2025 Annual Meeting must submit their proposal to our Corporate Secretary at Waste Management, Inc., 800 Capitol Street, Suite 3000, Houston, Texas 77002 for receipt on or before December 3, 2024. The proponent and the proposal must comply with the requirements set forth in the federal securities laws, including Rule 14a-8 of the Exchange Act, in order to be included in the Company’s proxy statement and proxy card for the 2025 Annual Meeting.</w:t>
      </w:r>
    </w:p>
    <w:p>
      <w:pPr>
        <w:spacing w:after="0" w:line="7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2025 Annual Meeting, a stockholder’s notice must be delivered to our Corporate Secretary at Waste Management, Inc., 800 Capitol Street, Suite 3000, Houston, Texas 77002 no earlier than December 15, 2024 and no later than January 14, 2025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14, 2025, and must also comply with all other requirements of Rule 14a-19 under the Exchange Act. The Company will disregard any proxies solicited for a stockholder’s director nominee(s) if such stockholder fails to comply with such requirements.</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Proxy Access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By-laws permit a stockholder or group of up to 20</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3, 2024, and no later than December 3, 2024, together with other information required by the Company’s By-laws.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 In addition 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2024 Annual Meeting for a fee of $17,500 plus associated costs and expenses.</w:t>
      </w:r>
    </w:p>
    <w:p>
      <w:pPr>
        <w:spacing w:after="0" w:line="290"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Annual Report </w:t>
      </w:r>
      <w:r>
        <w:rPr>
          <w:rFonts w:ascii="Arial" w:cs="Arial" w:eastAsia="Arial" w:hAnsi="Arial"/>
          <w:sz w:val="18"/>
          <w:szCs w:val="18"/>
          <w:color w:val="000000"/>
        </w:rPr>
        <w:t>A copy of our Annual Report on Form 10- K for the year ended December 31, 2023,</w:t>
      </w:r>
      <w:r>
        <w:rPr>
          <w:rFonts w:ascii="Arial" w:cs="Arial" w:eastAsia="Arial" w:hAnsi="Arial"/>
          <w:sz w:val="18"/>
          <w:szCs w:val="18"/>
          <w:b w:val="1"/>
          <w:bCs w:val="1"/>
          <w:color w:val="457157"/>
        </w:rPr>
        <w:t xml:space="preserve"> </w:t>
      </w:r>
      <w:r>
        <w:rPr>
          <w:rFonts w:ascii="Arial" w:cs="Arial" w:eastAsia="Arial" w:hAnsi="Arial"/>
          <w:sz w:val="18"/>
          <w:szCs w:val="18"/>
          <w:color w:val="000000"/>
        </w:rPr>
        <w:t>which includes our financial statements for fiscal year 2023, is included with this Proxy Statement.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b w:val="1"/>
          <w:bCs w:val="1"/>
          <w:color w:val="457157"/>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57157"/>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71"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If you wish to receive a separate copy of this Proxy Statement and Annual Report, please contact: Waste Management, Inc., Corporate Secretary, 800 Capitol Street, Suite 3000, Houston, Texas 77002, telephone 713-512-6200.</w:t>
      </w:r>
    </w:p>
    <w:p>
      <w:pPr>
        <w:spacing w:after="0" w:line="63"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1-866 -540 -7095. If you are currently receiving multiple copies of proxy materials and wish to receive only one copy for your household, please contact Broadridge.</w:t>
      </w: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041"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BOARD OF DIRECTORS</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40"/>
        <w:spacing w:after="0" w:line="254" w:lineRule="auto"/>
        <w:rPr>
          <w:sz w:val="20"/>
          <w:szCs w:val="20"/>
          <w:color w:val="auto"/>
        </w:rPr>
      </w:pPr>
      <w:r>
        <w:rPr>
          <w:rFonts w:ascii="Arial" w:cs="Arial" w:eastAsia="Arial" w:hAnsi="Arial"/>
          <w:sz w:val="18"/>
          <w:szCs w:val="18"/>
          <w:color w:val="auto"/>
        </w:rPr>
        <w:t>Our Board of Directors currently has 10 members. Each member of our Board is elected annually. Mr. John C. Pope has reached the retirement age set forth in the Company’s Corporate Governance Guidelines; therefore, he is not standing for re- election and his term as a director of the Company will expire at the 2024 Annual Meeting. The Board of Directors intends to reduce the size of the Board to nine members effective as of the expiration of Mr. Pope’s term at the 2024 Annual Meeting.</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Nominees for Director</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457157"/>
              </w:rPr>
              <w:t>​</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4"/>
                <w:szCs w:val="14"/>
                <w:b w:val="1"/>
                <w:bCs w:val="1"/>
                <w:color w:val="457157"/>
              </w:rPr>
              <w:t>Committee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1200" w:type="dxa"/>
            <w:vAlign w:val="bottom"/>
            <w:tcBorders>
              <w:top w:val="single" w:sz="8" w:color="457157"/>
            </w:tcBorders>
          </w:tcPr>
          <w:p>
            <w:pPr>
              <w:ind w:left="100"/>
              <w:spacing w:after="0"/>
              <w:rPr>
                <w:sz w:val="20"/>
                <w:szCs w:val="20"/>
                <w:color w:val="auto"/>
              </w:rPr>
            </w:pPr>
            <w:r>
              <w:rPr>
                <w:rFonts w:ascii="Arial" w:cs="Arial" w:eastAsia="Arial" w:hAnsi="Arial"/>
                <w:sz w:val="14"/>
                <w:szCs w:val="14"/>
                <w:b w:val="1"/>
                <w:bCs w:val="1"/>
                <w:color w:val="457157"/>
              </w:rPr>
              <w:t>Management</w:t>
            </w:r>
          </w:p>
        </w:tc>
        <w:tc>
          <w:tcPr>
            <w:tcW w:w="18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100" w:type="dxa"/>
            <w:vAlign w:val="bottom"/>
            <w:tcBorders>
              <w:top w:val="single" w:sz="8" w:color="457157"/>
            </w:tcBorders>
            <w:vMerge w:val="restart"/>
          </w:tcPr>
          <w:p>
            <w:pPr>
              <w:ind w:left="20"/>
              <w:spacing w:after="0"/>
              <w:rPr>
                <w:sz w:val="20"/>
                <w:szCs w:val="20"/>
                <w:color w:val="auto"/>
              </w:rPr>
            </w:pPr>
            <w:r>
              <w:rPr>
                <w:rFonts w:ascii="Arial" w:cs="Arial" w:eastAsia="Arial" w:hAnsi="Arial"/>
                <w:sz w:val="14"/>
                <w:szCs w:val="14"/>
                <w:b w:val="1"/>
                <w:bCs w:val="1"/>
                <w:color w:val="457157"/>
              </w:rPr>
              <w:t>Nominating &amp;</w:t>
            </w:r>
          </w:p>
        </w:tc>
        <w:tc>
          <w:tcPr>
            <w:tcW w:w="20" w:type="dxa"/>
            <w:vAlign w:val="bottom"/>
            <w:tcBorders>
              <w:top w:val="single" w:sz="8" w:color="457157"/>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2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Age </w:t>
            </w:r>
            <w:r>
              <w:rPr>
                <w:rFonts w:ascii="Arial" w:cs="Arial" w:eastAsia="Arial" w:hAnsi="Arial"/>
                <w:sz w:val="28"/>
                <w:szCs w:val="28"/>
                <w:b w:val="1"/>
                <w:bCs w:val="1"/>
                <w:color w:val="457157"/>
                <w:vertAlign w:val="subscript"/>
              </w:rPr>
              <w: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Independent</w:t>
            </w: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Audit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b w:val="1"/>
                <w:bCs w:val="1"/>
                <w:color w:val="457157"/>
              </w:rPr>
              <w:t>Development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457157"/>
            </w:tcBorders>
            <w:vMerge w:val="continue"/>
          </w:tcPr>
          <w:p>
            <w:pPr>
              <w:spacing w:after="0"/>
              <w:rPr>
                <w:sz w:val="17"/>
                <w:szCs w:val="17"/>
                <w:color w:val="auto"/>
              </w:rPr>
            </w:pP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w:t>
            </w:r>
          </w:p>
        </w:tc>
        <w:tc>
          <w:tcPr>
            <w:tcW w:w="560" w:type="dxa"/>
            <w:vAlign w:val="bottom"/>
            <w:tcBorders>
              <w:bottom w:val="single" w:sz="8" w:color="457157"/>
            </w:tcBorders>
            <w:gridSpan w:val="2"/>
            <w:vMerge w:val="continue"/>
          </w:tcPr>
          <w:p>
            <w:pPr>
              <w:spacing w:after="0"/>
              <w:rPr>
                <w:sz w:val="17"/>
                <w:szCs w:val="17"/>
                <w:color w:val="auto"/>
              </w:rPr>
            </w:pPr>
          </w:p>
        </w:tc>
        <w:tc>
          <w:tcPr>
            <w:tcW w:w="30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Borders>
              <w:bottom w:val="single" w:sz="8" w:color="457157"/>
            </w:tcBorders>
          </w:tcPr>
          <w:p>
            <w:pPr>
              <w:jc w:val="center"/>
              <w:ind w:right="168"/>
              <w:spacing w:after="0"/>
              <w:rPr>
                <w:sz w:val="20"/>
                <w:szCs w:val="20"/>
                <w:color w:val="auto"/>
              </w:rPr>
            </w:pPr>
            <w:r>
              <w:rPr>
                <w:rFonts w:ascii="Arial" w:cs="Arial" w:eastAsia="Arial" w:hAnsi="Arial"/>
                <w:sz w:val="14"/>
                <w:szCs w:val="14"/>
                <w:b w:val="1"/>
                <w:bCs w:val="1"/>
                <w:color w:val="457157"/>
              </w:rPr>
              <w:t>Tenure</w:t>
            </w:r>
          </w:p>
        </w:tc>
        <w:tc>
          <w:tcPr>
            <w:tcW w:w="120" w:type="dxa"/>
            <w:vAlign w:val="bottom"/>
            <w:tcBorders>
              <w:bottom w:val="single" w:sz="8" w:color="457157"/>
            </w:tcBorders>
          </w:tcPr>
          <w:p>
            <w:pPr>
              <w:ind w:left="20"/>
              <w:spacing w:after="0"/>
              <w:rPr>
                <w:sz w:val="20"/>
                <w:szCs w:val="20"/>
                <w:color w:val="auto"/>
              </w:rPr>
            </w:pPr>
            <w:r>
              <w:rPr>
                <w:rFonts w:ascii="Arial" w:cs="Arial" w:eastAsia="Arial" w:hAnsi="Arial"/>
                <w:sz w:val="14"/>
                <w:szCs w:val="14"/>
                <w:b w:val="1"/>
                <w:bCs w:val="1"/>
                <w:color w:val="457157"/>
              </w:rPr>
              <w:t>​</w:t>
            </w:r>
          </w:p>
        </w:tc>
        <w:tc>
          <w:tcPr>
            <w:tcW w:w="1080" w:type="dxa"/>
            <w:vAlign w:val="bottom"/>
            <w:tcBorders>
              <w:bottom w:val="single" w:sz="8" w:color="457157"/>
            </w:tcBorders>
            <w:gridSpan w:val="2"/>
            <w:vMerge w:val="continue"/>
          </w:tcPr>
          <w:p>
            <w:pPr>
              <w:spacing w:after="0"/>
              <w:rPr>
                <w:sz w:val="17"/>
                <w:szCs w:val="17"/>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Borders>
              <w:bottom w:val="single" w:sz="8" w:color="457157"/>
            </w:tcBorders>
            <w:gridSpan w:val="2"/>
            <w:vMerge w:val="continue"/>
          </w:tcPr>
          <w:p>
            <w:pPr>
              <w:spacing w:after="0"/>
              <w:rPr>
                <w:sz w:val="17"/>
                <w:szCs w:val="17"/>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320" w:type="dxa"/>
            <w:vAlign w:val="bottom"/>
            <w:tcBorders>
              <w:bottom w:val="single" w:sz="8" w:color="457157"/>
            </w:tcBorders>
            <w:gridSpan w:val="2"/>
          </w:tcPr>
          <w:p>
            <w:pPr>
              <w:ind w:left="40"/>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Compensation</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1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Governance</w:t>
            </w: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Thomas L. Bené</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61</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2024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Bruce E. Chinn</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060" w:type="dxa"/>
            <w:vAlign w:val="bottom"/>
            <w:tcBorders>
              <w:bottom w:val="single" w:sz="8" w:color="457157"/>
            </w:tcBorders>
          </w:tcPr>
          <w:p>
            <w:pPr>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James C. Fish, Jr.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61</w:t>
            </w:r>
          </w:p>
        </w:tc>
        <w:tc>
          <w:tcPr>
            <w:tcW w:w="1620" w:type="dxa"/>
            <w:vAlign w:val="bottom"/>
            <w:tcBorders>
              <w:bottom w:val="single" w:sz="8" w:color="457157"/>
            </w:tcBorders>
            <w:gridSpan w:val="3"/>
          </w:tcPr>
          <w:p>
            <w:pPr>
              <w:ind w:left="60"/>
              <w:spacing w:after="0" w:line="371"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2016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Andrés R. Gluski</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Victoria M. Holt</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260" w:type="dxa"/>
            <w:vAlign w:val="bottom"/>
            <w:tcBorders>
              <w:bottom w:val="single" w:sz="8" w:color="457157"/>
            </w:tcBorders>
            <w:gridSpan w:val="2"/>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Kathleen M. Mazzarella </w:t>
            </w:r>
            <w:r>
              <w:rPr>
                <w:rFonts w:ascii="Arial" w:cs="Arial" w:eastAsia="Arial" w:hAnsi="Arial"/>
                <w:sz w:val="35"/>
                <w:szCs w:val="35"/>
                <w:color w:val="auto"/>
                <w:vertAlign w:val="subscript"/>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64</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Sean E. Menke</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55</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William B. Plummer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65</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2019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Maryrose T. Sylvester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58</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76835</wp:posOffset>
            </wp:positionV>
            <wp:extent cx="1111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-2254250</wp:posOffset>
            </wp:positionV>
            <wp:extent cx="1460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-2279650</wp:posOffset>
            </wp:positionV>
            <wp:extent cx="1111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-1997075</wp:posOffset>
            </wp:positionV>
            <wp:extent cx="14605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-2022475</wp:posOffset>
            </wp:positionV>
            <wp:extent cx="1111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-1490980</wp:posOffset>
            </wp:positionV>
            <wp:extent cx="14605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-1517015</wp:posOffset>
            </wp:positionV>
            <wp:extent cx="1111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-1233805</wp:posOffset>
            </wp:positionV>
            <wp:extent cx="14605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-1259840</wp:posOffset>
            </wp:positionV>
            <wp:extent cx="1111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-976630</wp:posOffset>
            </wp:positionV>
            <wp:extent cx="14605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-1002665</wp:posOffset>
            </wp:positionV>
            <wp:extent cx="1111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-1002665</wp:posOffset>
            </wp:positionV>
            <wp:extent cx="1111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-1002665</wp:posOffset>
            </wp:positionV>
            <wp:extent cx="1111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-719455</wp:posOffset>
            </wp:positionV>
            <wp:extent cx="14605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-745490</wp:posOffset>
            </wp:positionV>
            <wp:extent cx="1111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-745490</wp:posOffset>
            </wp:positionV>
            <wp:extent cx="1111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-454025</wp:posOffset>
            </wp:positionV>
            <wp:extent cx="14605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-479425</wp:posOffset>
            </wp:positionV>
            <wp:extent cx="1111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-196850</wp:posOffset>
            </wp:positionV>
            <wp:extent cx="14605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-222250</wp:posOffset>
            </wp:positionV>
            <wp:extent cx="1111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-222250</wp:posOffset>
            </wp:positionV>
            <wp:extent cx="11112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91" w:lineRule="exact"/>
        <w:rPr>
          <w:sz w:val="20"/>
          <w:szCs w:val="20"/>
          <w:color w:val="auto"/>
        </w:rPr>
      </w:pPr>
    </w:p>
    <w:p>
      <w:pPr>
        <w:ind w:left="880"/>
        <w:spacing w:after="0"/>
        <w:tabs>
          <w:tab w:leader="none" w:pos="222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Member</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Leadership Structure</w:t>
      </w:r>
    </w:p>
    <w:p>
      <w:pPr>
        <w:spacing w:after="0" w:line="121" w:lineRule="exact"/>
        <w:rPr>
          <w:sz w:val="20"/>
          <w:szCs w:val="20"/>
          <w:color w:val="auto"/>
        </w:rPr>
      </w:pPr>
    </w:p>
    <w:p>
      <w:pPr>
        <w:jc w:val="both"/>
        <w:ind w:left="820" w:right="40"/>
        <w:spacing w:after="0" w:line="255" w:lineRule="auto"/>
        <w:rPr>
          <w:sz w:val="20"/>
          <w:szCs w:val="20"/>
          <w:color w:val="auto"/>
        </w:rPr>
      </w:pPr>
      <w:r>
        <w:rPr>
          <w:rFonts w:ascii="Arial" w:cs="Arial" w:eastAsia="Arial" w:hAnsi="Arial"/>
          <w:sz w:val="18"/>
          <w:szCs w:val="18"/>
          <w:color w:val="auto"/>
        </w:rPr>
        <w:t>Ms. Kathleen M. Mazzarella’s service as Non-Executive Chair of the Board began in May 2023, following the retirement of Mr. Thomas H. Weidemeyer.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 employee directors attend. The Non- Executive Chair also serves on all three Board committees. Stockholders and interested parties wishing to communicate with the Board or the non-employee directors should address their communications to Non-Executive Chair of the Board, c/o Waste Management, Inc., P.O. Box 53569, Houston, Texas 77052-3569.</w:t>
      </w:r>
    </w:p>
    <w:p>
      <w:pPr>
        <w:spacing w:after="0" w:line="293" w:lineRule="exact"/>
        <w:rPr>
          <w:sz w:val="20"/>
          <w:szCs w:val="20"/>
          <w:color w:val="auto"/>
        </w:rPr>
      </w:pPr>
    </w:p>
    <w:p>
      <w:pPr>
        <w:jc w:val="both"/>
        <w:ind w:left="820" w:right="40"/>
        <w:spacing w:after="0" w:line="255" w:lineRule="auto"/>
        <w:rPr>
          <w:sz w:val="20"/>
          <w:szCs w:val="20"/>
          <w:color w:val="auto"/>
        </w:rPr>
      </w:pPr>
      <w:r>
        <w:rPr>
          <w:rFonts w:ascii="Arial" w:cs="Arial" w:eastAsia="Arial" w:hAnsi="Arial"/>
          <w:sz w:val="18"/>
          <w:szCs w:val="18"/>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pacing w:after="0" w:line="250"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Independence of Board Members</w:t>
      </w:r>
    </w:p>
    <w:p>
      <w:pPr>
        <w:spacing w:after="0" w:line="12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Board of Directors has determined that each of the following eight non- employee director nominees are independent in accordance with the New York Stock Exchange listing standards: Thomas L. Bené, Bruce E. Chinn, Andrés R. Gluski, Victoria M. Holt, Kathleen M. Mazzarella, Sean E. Menke, William B. Plummer and Maryrose T. Sylvester. James C. Fish, Jr., our President and Chief Executive Officer, is also a director of the Company. As an employee of the Company, Mr. Fish is not an “independent” director.</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“ESG — Corporate Governance” section of investors.wm.com. In addition to these categorical standards, our Board makes a subjective determination of independence considering relevant facts and circumstances.</w:t>
      </w:r>
    </w:p>
    <w:p>
      <w:pPr>
        <w:spacing w:after="0" w:line="295"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Chevron Phillips Chemical Company LLC and Sabre Corporation. Ms. Mazzarella, Mr. Gluski, Mr. Chinn and Mr. Menke served as chief executive officer of these entities, respectively, for all or a portion of calender year 2023. The Board concluded there are no transactions between the Company and any entity with which a non- employee director is affiliated that are prohibited by our categorical standards of independence or give rise to a material direct or indirect interest for that non-employee director. Accordingly, the Board has determined that each non -employee director candidate meets the categorical standards of independence and that there are no relationships that would affect independence.</w:t>
      </w:r>
    </w:p>
    <w:p>
      <w:pPr>
        <w:spacing w:after="0" w:line="200" w:lineRule="exact"/>
        <w:rPr>
          <w:sz w:val="20"/>
          <w:szCs w:val="20"/>
          <w:color w:val="auto"/>
        </w:rPr>
      </w:pP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Meetings and Board Committees</w:t>
      </w:r>
    </w:p>
    <w:p>
      <w:pPr>
        <w:spacing w:after="0" w:line="12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Last year the Board held seven regular meetings and two special meetings, and each committee of the Board met independently as set forth below. Each incumbent director attended at least 75% of the meetings of the Board and the committees on which he or she served. In addition, seven of the then-serving directors attended the 2023 Annual Meeting of Stockholders. Mr. Gluski and Mr. Pope did not attend the 2023 Annual Meeting of Stockholders, after notifying the Chair of the Board and the Company of unavoidable conflicts due to travel requirements. Our Corporate Governance Guidelines provide that directors are expected to attend the annual meeting of stockholders, and if an unavoidable conflict arises, the director must notify the Chair of the Board in advance.</w:t>
      </w:r>
    </w:p>
    <w:p>
      <w:pPr>
        <w:spacing w:after="0" w:line="7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Role in Risk Oversight</w:t>
      </w:r>
    </w:p>
    <w:p>
      <w:pPr>
        <w:spacing w:after="0" w:line="108"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71"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short-term, intermediate or long-term basis.</w:t>
      </w:r>
    </w:p>
    <w:p>
      <w:pPr>
        <w:spacing w:after="0" w:line="24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We also consult with a range of outside advisors and experts throughout the year, depending on the subject matter of the 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 -looking action plans with measurable indicators and progress updates on action plans from previous assessments.</w:t>
      </w:r>
    </w:p>
    <w:p>
      <w:pPr>
        <w:spacing w:after="0" w:line="29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and Diversity &amp; Inclusion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31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 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Oversight of Sustainability Risk and Performance</w:t>
      </w:r>
    </w:p>
    <w:p>
      <w:pPr>
        <w:spacing w:after="0" w:line="12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As North America’s leading provider of comprehensive environmental services, sustainability and environmental stewardship are embedded in all that we do. We have enabled a people-first, technology-led focus to drive our mission to maximize resource value, while minimizing environmental impact, and deliver on our brand promise ALWAYS WORKING FOR A SUSTAINABLE TOMORROW®.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200" w:lineRule="exact"/>
        <w:rPr>
          <w:sz w:val="20"/>
          <w:szCs w:val="20"/>
          <w:color w:val="auto"/>
        </w:rPr>
      </w:pPr>
    </w:p>
    <w:p>
      <w:pPr>
        <w:spacing w:after="0" w:line="274"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2023, the Board received several dedicated updates regarding sustainability topics, including our sustainability growth strategy, and the Board receives regular updates from our Chief Human Resources and Diversity &amp; Inclusion Officer with respect to our people-first strategy, including workforce evolution, labor market developments and employee retention. Reflective of the importance of diversity and inclusion and safety to our organization, the full Board of Directors receives annual in-depth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sustainability-related performance, including progress toward our sustainability goals and our decarbonization plan for meeting a science-based climate target, detailed in our 2023 Sustainability Report.</w:t>
      </w:r>
    </w:p>
    <w:p>
      <w:pPr>
        <w:spacing w:after="0" w:line="200" w:lineRule="exact"/>
        <w:rPr>
          <w:sz w:val="20"/>
          <w:szCs w:val="20"/>
          <w:color w:val="auto"/>
        </w:rPr>
      </w:pPr>
    </w:p>
    <w:p>
      <w:pPr>
        <w:spacing w:after="0" w:line="309"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Company previously announced that, in response to the civil rights audit stockholder proposal that was approved at the 2022 Annual Meeting of Stockholders, it engaged a team led by former U.S. Attorney General Loretta Lynch, now a partner at Paul, Weiss, Rifkind, Wharton &amp; Garrison, to perform an independent assessment of the impact of the Company’s policies and practices on the civil rights of Company stakeholders, and to provide recommendations for further improvement. The assessment included a broad review and analysis in the areas of environmental justice and diversity and inclusion of employees and suppliers, with input from internal and external stakeholders. Our Board received several updates from our senior executives, including our Chief Legal Officer, Chief Human Resources and Diversity &amp; Inclusion Officer and Chief Sustainability Officer, on the structure and progress of the assessment, and the Board engaged directly with former U.S. Attorney General Loretta Lynch on the assessment findings and recommendations. The assessment was recently completed, and the report is available at sustainability.wm.com.</w:t>
      </w:r>
    </w:p>
    <w:p>
      <w:pPr>
        <w:spacing w:after="0" w:line="300"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Our Audit Committee also plays a significant role in oversight of sustainability risk and performance. As discussed above, our Audit Committee receives regular ERM updates with in-depth discussion on specific risk topics. At least annually, one of the in-depth discussions will look at an aspect of sustainability risk. Additionally, the Audit Committee receives quarterly reports on our compliance programs, including ethics and environmental and safety audit, with an annual in-depth review of our compliance programs with risk assessments. During 2023, our Audit Committee received updates on proposed regulatory disclosure requirements related to climate and cybersecurity and the Company’s preparations.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include third-party evaluation of our technology infrastructure and information security against the industry- standard NIST (National Institute of Standards and Technology)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incident response plan and consideration of applicable laws and regulations, including those related to privacy.</w:t>
      </w:r>
    </w:p>
    <w:p>
      <w:pPr>
        <w:spacing w:after="0" w:line="200" w:lineRule="exact"/>
        <w:rPr>
          <w:sz w:val="20"/>
          <w:szCs w:val="20"/>
          <w:color w:val="auto"/>
        </w:rPr>
      </w:pPr>
    </w:p>
    <w:p>
      <w:pPr>
        <w:spacing w:after="0" w:line="319"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below. The Committee also engages in quarterly sessions with our President and Chief Executive Officer and our Chief Human Resources and Diversity &amp; Inclusion Officer regarding talent development and succession planning at several levels of our organization. A critical component of these talent development and succession planning</w:t>
      </w:r>
    </w:p>
    <w:p>
      <w:pPr>
        <w:spacing w:after="0" w:line="6" w:lineRule="exact"/>
        <w:rPr>
          <w:sz w:val="20"/>
          <w:szCs w:val="20"/>
          <w:color w:val="auto"/>
        </w:rPr>
      </w:pPr>
    </w:p>
    <w:p>
      <w:pPr>
        <w:ind w:left="820"/>
        <w:spacing w:after="0" w:line="228" w:lineRule="auto"/>
        <w:rPr>
          <w:sz w:val="20"/>
          <w:szCs w:val="20"/>
          <w:color w:val="auto"/>
        </w:rPr>
      </w:pPr>
      <w:r>
        <w:rPr>
          <w:rFonts w:ascii="Arial" w:cs="Arial" w:eastAsia="Arial" w:hAnsi="Arial"/>
          <w:sz w:val="16"/>
          <w:szCs w:val="16"/>
          <w:color w:val="auto"/>
        </w:rPr>
        <w:t>efforts is the recognition that diversity and inclusion are fundamental Company2024ProxyvaluesStatement.Recognizing</w:t>
      </w:r>
      <w:r>
        <w:rPr>
          <w:rFonts w:ascii="Arial" w:cs="Arial" w:eastAsia="Arial" w:hAnsi="Arial"/>
          <w:sz w:val="28"/>
          <w:szCs w:val="28"/>
          <w:b w:val="1"/>
          <w:bCs w:val="1"/>
          <w:color w:val="457157"/>
        </w:rPr>
        <w:t>|</w:t>
      </w:r>
      <w:r>
        <w:rPr>
          <w:rFonts w:ascii="Arial" w:cs="Arial" w:eastAsia="Arial" w:hAnsi="Arial"/>
          <w:sz w:val="16"/>
          <w:szCs w:val="16"/>
          <w:color w:val="auto"/>
        </w:rPr>
        <w:t>7​ the importance of diversity, our Human Resources programs overseen by our MD&amp;C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-255270</wp:posOffset>
            </wp:positionV>
            <wp:extent cx="4718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embrace and cultivate respect, trust, open communication and diversity of thought and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224790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For additional information about the topics discussed above, including sustainability goals, metrics and progress, we encourage stockholders to review our 2023 Sustainability Report at sustainability.wm.com. The Sustainability Report conveys the strong linkage between the Company’s sustainability goals and our growth strategy, inclusive of the planned and ongoing expansion of the Company’s recycling and renewable energy businesses. Our 2023 Sustainability Report and the civil rights assessment report referenced above do not constitute a part of, and are not incorporated by reference into, this Proxy Statement or any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035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8203565"/>
                    </a:xfrm>
                    <a:prstGeom prst="rect">
                      <a:avLst/>
                    </a:prstGeom>
                    <a:noFill/>
                  </pic:spPr>
                </pic:pic>
              </a:graphicData>
            </a:graphic>
          </wp:anchor>
        </w:drawing>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505"/>
        </w:trPr>
        <w:tc>
          <w:tcPr>
            <w:tcW w:w="3320" w:type="dxa"/>
            <w:vAlign w:val="bottom"/>
            <w:tcBorders>
              <w:top w:val="single" w:sz="8" w:color="457157"/>
            </w:tcBorders>
            <w:gridSpan w:val="2"/>
            <w:shd w:val="clear" w:color="auto" w:fill="ECF1EE"/>
          </w:tcPr>
          <w:p>
            <w:pPr>
              <w:spacing w:after="0"/>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25"/>
                <w:szCs w:val="25"/>
                <w:b w:val="1"/>
                <w:bCs w:val="1"/>
                <w:color w:val="auto"/>
              </w:rPr>
              <w:t>THE AUDIT COMMITTEE</w:t>
            </w:r>
            <w:r>
              <w:rPr>
                <w:rFonts w:ascii="Arial" w:cs="Arial" w:eastAsia="Arial" w:hAnsi="Arial"/>
                <w:sz w:val="17"/>
                <w:szCs w:val="17"/>
                <w:color w:val="auto"/>
              </w:rPr>
              <w:t>​</w:t>
            </w:r>
          </w:p>
        </w:tc>
        <w:tc>
          <w:tcPr>
            <w:tcW w:w="5440" w:type="dxa"/>
            <w:vAlign w:val="bottom"/>
            <w:tcBorders>
              <w:top w:val="single" w:sz="8" w:color="457157"/>
            </w:tcBorders>
            <w:shd w:val="clear" w:color="auto" w:fill="ECF1EE"/>
          </w:tcPr>
          <w:p>
            <w:pPr>
              <w:spacing w:after="0"/>
              <w:rPr>
                <w:sz w:val="24"/>
                <w:szCs w:val="24"/>
                <w:color w:val="auto"/>
              </w:rPr>
            </w:pPr>
          </w:p>
        </w:tc>
        <w:tc>
          <w:tcPr>
            <w:tcW w:w="300" w:type="dxa"/>
            <w:vAlign w:val="bottom"/>
            <w:tcBorders>
              <w:top w:val="single" w:sz="8" w:color="457157"/>
            </w:tcBorders>
            <w:shd w:val="clear" w:color="auto" w:fill="ECF1EE"/>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238"/>
        </w:trPr>
        <w:tc>
          <w:tcPr>
            <w:tcW w:w="2860" w:type="dxa"/>
            <w:vAlign w:val="bottom"/>
            <w:shd w:val="clear" w:color="auto" w:fill="ECF1EE"/>
          </w:tcPr>
          <w:p>
            <w:pPr>
              <w:ind w:left="100"/>
              <w:spacing w:after="0"/>
              <w:rPr>
                <w:sz w:val="20"/>
                <w:szCs w:val="20"/>
                <w:color w:val="auto"/>
              </w:rPr>
            </w:pPr>
            <w:r>
              <w:rPr>
                <w:rFonts w:ascii="Arial" w:cs="Arial" w:eastAsia="Arial" w:hAnsi="Arial"/>
                <w:sz w:val="18"/>
                <w:szCs w:val="18"/>
                <w:b w:val="1"/>
                <w:bCs w:val="1"/>
                <w:color w:val="auto"/>
              </w:rPr>
              <w:t>Members:</w:t>
            </w:r>
          </w:p>
        </w:tc>
        <w:tc>
          <w:tcPr>
            <w:tcW w:w="460" w:type="dxa"/>
            <w:vAlign w:val="bottom"/>
            <w:shd w:val="clear" w:color="auto" w:fill="ECF1EE"/>
          </w:tcPr>
          <w:p>
            <w:pPr>
              <w:spacing w:after="0"/>
              <w:rPr>
                <w:sz w:val="20"/>
                <w:szCs w:val="20"/>
                <w:color w:val="auto"/>
              </w:rPr>
            </w:pPr>
          </w:p>
        </w:tc>
        <w:tc>
          <w:tcPr>
            <w:tcW w:w="5440" w:type="dxa"/>
            <w:vAlign w:val="bottom"/>
            <w:shd w:val="clear" w:color="auto" w:fill="ECF1EE"/>
          </w:tcPr>
          <w:p>
            <w:pPr>
              <w:ind w:left="1840"/>
              <w:spacing w:after="0"/>
              <w:rPr>
                <w:sz w:val="20"/>
                <w:szCs w:val="20"/>
                <w:color w:val="auto"/>
              </w:rPr>
            </w:pPr>
            <w:r>
              <w:rPr>
                <w:rFonts w:ascii="Arial" w:cs="Arial" w:eastAsia="Arial" w:hAnsi="Arial"/>
                <w:sz w:val="18"/>
                <w:szCs w:val="18"/>
                <w:b w:val="1"/>
                <w:bCs w:val="1"/>
                <w:color w:val="auto"/>
              </w:rPr>
              <w:t>Number of Meetings Held in 2023: 9</w:t>
            </w:r>
          </w:p>
        </w:tc>
        <w:tc>
          <w:tcPr>
            <w:tcW w:w="300" w:type="dxa"/>
            <w:vAlign w:val="bottom"/>
            <w:shd w:val="clear" w:color="auto" w:fill="ECF1EE"/>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b w:val="1"/>
                <w:bCs w:val="1"/>
                <w:color w:val="auto"/>
              </w:rPr>
              <w:t xml:space="preserve">​ William B. Plummer, </w:t>
            </w:r>
            <w:r>
              <w:rPr>
                <w:rFonts w:ascii="Arial" w:cs="Arial" w:eastAsia="Arial" w:hAnsi="Arial"/>
                <w:sz w:val="18"/>
                <w:szCs w:val="18"/>
                <w:b w:val="1"/>
                <w:bCs w:val="1"/>
                <w:i w:val="1"/>
                <w:iCs w:val="1"/>
                <w:color w:val="auto"/>
              </w:rPr>
              <w:t>Chair</w:t>
            </w:r>
          </w:p>
        </w:tc>
        <w:tc>
          <w:tcPr>
            <w:tcW w:w="5900" w:type="dxa"/>
            <w:vAlign w:val="bottom"/>
            <w:gridSpan w:val="2"/>
          </w:tcPr>
          <w:p>
            <w:pPr>
              <w:ind w:left="320"/>
              <w:spacing w:after="0"/>
              <w:rPr>
                <w:sz w:val="20"/>
                <w:szCs w:val="20"/>
                <w:color w:val="auto"/>
              </w:rPr>
            </w:pPr>
            <w:r>
              <w:rPr>
                <w:rFonts w:ascii="Arial" w:cs="Arial" w:eastAsia="Arial" w:hAnsi="Arial"/>
                <w:sz w:val="18"/>
                <w:szCs w:val="18"/>
                <w:b w:val="1"/>
                <w:bCs w:val="1"/>
                <w:color w:val="auto"/>
              </w:rPr>
              <w:t>​ ​ Victoria M. Holt</w:t>
            </w:r>
          </w:p>
        </w:tc>
        <w:tc>
          <w:tcPr>
            <w:tcW w:w="30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03"/>
        </w:trPr>
        <w:tc>
          <w:tcPr>
            <w:tcW w:w="28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Bruce E. Chinn</w:t>
            </w:r>
          </w:p>
        </w:tc>
        <w:tc>
          <w:tcPr>
            <w:tcW w:w="460" w:type="dxa"/>
            <w:vAlign w:val="bottom"/>
          </w:tcPr>
          <w:p>
            <w:pPr>
              <w:spacing w:after="0"/>
              <w:rPr>
                <w:sz w:val="17"/>
                <w:szCs w:val="17"/>
                <w:color w:val="auto"/>
              </w:rPr>
            </w:pPr>
          </w:p>
        </w:tc>
        <w:tc>
          <w:tcPr>
            <w:tcW w:w="54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860" w:type="dxa"/>
            <w:vAlign w:val="bottom"/>
          </w:tcPr>
          <w:p>
            <w:pPr>
              <w:ind w:left="100"/>
              <w:spacing w:after="0"/>
              <w:rPr>
                <w:sz w:val="20"/>
                <w:szCs w:val="20"/>
                <w:color w:val="auto"/>
              </w:rPr>
            </w:pPr>
            <w:r>
              <w:rPr>
                <w:rFonts w:ascii="Arial" w:cs="Arial" w:eastAsia="Arial" w:hAnsi="Arial"/>
                <w:sz w:val="18"/>
                <w:szCs w:val="18"/>
                <w:b w:val="1"/>
                <w:bCs w:val="1"/>
                <w:color w:val="auto"/>
              </w:rPr>
              <w:t>Andrés R. Gluski</w:t>
            </w:r>
          </w:p>
        </w:tc>
        <w:tc>
          <w:tcPr>
            <w:tcW w:w="460" w:type="dxa"/>
            <w:vAlign w:val="bottom"/>
          </w:tcPr>
          <w:p>
            <w:pPr>
              <w:spacing w:after="0"/>
              <w:rPr>
                <w:sz w:val="19"/>
                <w:szCs w:val="19"/>
                <w:color w:val="auto"/>
              </w:rPr>
            </w:pPr>
          </w:p>
        </w:tc>
        <w:tc>
          <w:tcPr>
            <w:tcW w:w="5440" w:type="dxa"/>
            <w:vAlign w:val="bottom"/>
          </w:tcPr>
          <w:p>
            <w:pPr>
              <w:ind w:left="80"/>
              <w:spacing w:after="0"/>
              <w:rPr>
                <w:sz w:val="20"/>
                <w:szCs w:val="20"/>
                <w:color w:val="auto"/>
              </w:rPr>
            </w:pPr>
            <w:r>
              <w:rPr>
                <w:rFonts w:ascii="Arial" w:cs="Arial" w:eastAsia="Arial" w:hAnsi="Arial"/>
                <w:sz w:val="18"/>
                <w:szCs w:val="18"/>
                <w:b w:val="1"/>
                <w:bCs w:val="1"/>
                <w:color w:val="auto"/>
              </w:rPr>
              <w:t>Sean E. Menke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-401955</wp:posOffset>
            </wp:positionV>
            <wp:extent cx="5743575" cy="7406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3575" cy="7406640"/>
                    </a:xfrm>
                    <a:prstGeom prst="rect">
                      <a:avLst/>
                    </a:prstGeom>
                    <a:noFill/>
                  </pic:spPr>
                </pic:pic>
              </a:graphicData>
            </a:graphic>
          </wp:anchor>
        </w:drawing>
      </w:r>
    </w:p>
    <w:p>
      <w:pPr>
        <w:ind w:left="820"/>
        <w:spacing w:after="0" w:line="184"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Mr. Plummer has been the Chair of our Audit Committee since May 2020. Each member of our Audit</w:t>
      </w:r>
      <w:r>
        <w:rPr>
          <w:rFonts w:ascii="Arial" w:cs="Arial" w:eastAsia="Arial" w:hAnsi="Arial"/>
          <w:sz w:val="32"/>
          <w:szCs w:val="32"/>
          <w:color w:val="auto"/>
          <w:vertAlign w:val="superscript"/>
        </w:rPr>
        <w:t>​</w:t>
      </w:r>
    </w:p>
    <w:tbl>
      <w:tblPr>
        <w:tblLayout w:type="fixed"/>
        <w:tblInd w:w="820" w:type="dxa"/>
        <w:tblCellMar>
          <w:top w:w="0" w:type="dxa"/>
          <w:left w:w="0" w:type="dxa"/>
          <w:bottom w:w="0" w:type="dxa"/>
          <w:right w:w="0" w:type="dxa"/>
        </w:tblCellMar>
      </w:tblPr>
      <w:tr>
        <w:trPr>
          <w:trHeight w:val="186"/>
        </w:trPr>
        <w:tc>
          <w:tcPr>
            <w:tcW w:w="9020" w:type="dxa"/>
            <w:vAlign w:val="bottom"/>
          </w:tcPr>
          <w:p>
            <w:pPr>
              <w:ind w:left="20"/>
              <w:spacing w:after="0" w:line="186" w:lineRule="exact"/>
              <w:rPr>
                <w:sz w:val="20"/>
                <w:szCs w:val="20"/>
                <w:color w:val="auto"/>
              </w:rPr>
            </w:pPr>
            <w:r>
              <w:rPr>
                <w:rFonts w:ascii="Arial" w:cs="Arial" w:eastAsia="Arial" w:hAnsi="Arial"/>
                <w:sz w:val="18"/>
                <w:szCs w:val="18"/>
                <w:color w:val="auto"/>
              </w:rPr>
              <w:t>Committee  satisfies  the  additional  New  York  Stock  Exchange  independence  standards  for  audit</w:t>
            </w:r>
          </w:p>
        </w:tc>
        <w:tc>
          <w:tcPr>
            <w:tcW w:w="60" w:type="dxa"/>
            <w:vAlign w:val="bottom"/>
          </w:tcPr>
          <w:p>
            <w:pPr>
              <w:spacing w:after="0"/>
              <w:rPr>
                <w:sz w:val="16"/>
                <w:szCs w:val="16"/>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committees set forth in Section 10A of the Exchange Act. Our Board of Directors has determined that</w:t>
            </w:r>
          </w:p>
        </w:tc>
        <w:tc>
          <w:tcPr>
            <w:tcW w:w="60" w:type="dxa"/>
            <w:vAlign w:val="bottom"/>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Audit Committee Chair Mr. Plummer, Mr. Chinn, Mr. Gluski, Ms. Holt, Ms. Mazzarella and Mr. Menke</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are audit committee financial experts as defined by the SEC based on a thorough review of their</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education  and  financial  and  public  company  experience.  Additional  information  regarding  our</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directors’ expertise and qualifications is available under “Election of Directors” below.</w:t>
            </w:r>
          </w:p>
        </w:tc>
        <w:tc>
          <w:tcPr>
            <w:tcW w:w="60" w:type="dxa"/>
            <w:vAlign w:val="bottom"/>
          </w:tcPr>
          <w:p>
            <w:pPr>
              <w:spacing w:after="0"/>
              <w:rPr>
                <w:sz w:val="17"/>
                <w:szCs w:val="17"/>
                <w:color w:val="auto"/>
              </w:rPr>
            </w:pPr>
          </w:p>
        </w:tc>
      </w:tr>
      <w:tr>
        <w:trPr>
          <w:trHeight w:val="270"/>
        </w:trPr>
        <w:tc>
          <w:tcPr>
            <w:tcW w:w="9020" w:type="dxa"/>
            <w:vAlign w:val="bottom"/>
          </w:tcPr>
          <w:p>
            <w:pPr>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7"/>
                <w:szCs w:val="17"/>
                <w:b w:val="1"/>
                <w:bCs w:val="1"/>
                <w:color w:val="auto"/>
              </w:rPr>
              <w:t>Key Functions</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9080" w:type="dxa"/>
            <w:vAlign w:val="bottom"/>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The Audit Committee’s duties are set forth in a written charter that was approved by the Board of</w:t>
            </w:r>
            <w:r>
              <w:rPr>
                <w:rFonts w:ascii="Arial" w:cs="Arial" w:eastAsia="Arial" w:hAnsi="Arial"/>
                <w:sz w:val="32"/>
                <w:szCs w:val="32"/>
                <w:color w:val="auto"/>
                <w:vertAlign w:val="superscript"/>
              </w:rPr>
              <w:t>​</w:t>
            </w: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Directors. A copy of the charter can be found by accessing the “ESG — Corporate Governance”</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section of investors.wm.com. The Audit Committee generally is responsible for overseeing all matters</w:t>
            </w:r>
          </w:p>
        </w:tc>
        <w:tc>
          <w:tcPr>
            <w:tcW w:w="60" w:type="dxa"/>
            <w:vAlign w:val="bottom"/>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relating to our financial statements and reporting, independent auditors and internal audit function. As</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part of its function, the Audit Committee reports the results of all of its reviews to the full Board. In</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fulfilling its duties, the Audit Committee, has the following responsibilities:</w:t>
            </w:r>
          </w:p>
        </w:tc>
        <w:tc>
          <w:tcPr>
            <w:tcW w:w="60" w:type="dxa"/>
            <w:vAlign w:val="bottom"/>
          </w:tcPr>
          <w:p>
            <w:pPr>
              <w:spacing w:after="0"/>
              <w:rPr>
                <w:sz w:val="17"/>
                <w:szCs w:val="17"/>
                <w:color w:val="auto"/>
              </w:rPr>
            </w:pPr>
          </w:p>
        </w:tc>
      </w:tr>
      <w:tr>
        <w:trPr>
          <w:trHeight w:val="383"/>
        </w:trPr>
        <w:tc>
          <w:tcPr>
            <w:tcW w:w="9020" w:type="dxa"/>
            <w:vAlign w:val="bottom"/>
          </w:tcPr>
          <w:p>
            <w:pPr>
              <w:spacing w:after="0" w:line="38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Administrative Responsibilities</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ind w:left="1020" w:right="120" w:hanging="177"/>
        <w:spacing w:after="0" w:line="250" w:lineRule="auto"/>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Report to the Board, at least annually, all public company audit committee memberships by members of the Audit Committee;</w:t>
      </w:r>
    </w:p>
    <w:p>
      <w:pPr>
        <w:spacing w:after="0" w:line="36"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 w:lineRule="exact"/>
        <w:rPr>
          <w:rFonts w:ascii="Arial" w:cs="Arial" w:eastAsia="Arial" w:hAnsi="Arial"/>
          <w:sz w:val="18"/>
          <w:szCs w:val="18"/>
          <w:color w:val="457157"/>
        </w:rPr>
      </w:pPr>
    </w:p>
    <w:p>
      <w:pPr>
        <w:ind w:left="1020" w:hanging="177"/>
        <w:spacing w:after="0"/>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Provide an orientation program for new Audit Committee members.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Financial Statements</w:t>
      </w:r>
      <w:r>
        <w:rPr>
          <w:sz w:val="20"/>
          <w:szCs w:val="20"/>
          <w:color w:val="auto"/>
        </w:rPr>
        <w:tab/>
      </w:r>
      <w:r>
        <w:rPr>
          <w:rFonts w:ascii="Arial" w:cs="Arial" w:eastAsia="Arial" w:hAnsi="Arial"/>
          <w:sz w:val="36"/>
          <w:szCs w:val="36"/>
          <w:color w:val="auto"/>
          <w:vertAlign w:val="superscript"/>
        </w:rPr>
        <w:t>​</w:t>
      </w:r>
    </w:p>
    <w:p>
      <w:pPr>
        <w:ind w:left="1020" w:right="6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financial statements and Forms 10-K and 10-Q with management and the independent auditor;</w:t>
      </w:r>
    </w:p>
    <w:p>
      <w:pPr>
        <w:spacing w:after="0" w:line="220" w:lineRule="exact"/>
        <w:rPr>
          <w:rFonts w:ascii="Arial" w:cs="Arial" w:eastAsia="Arial" w:hAnsi="Arial"/>
          <w:sz w:val="18"/>
          <w:szCs w:val="18"/>
          <w:color w:val="457157"/>
        </w:rPr>
      </w:pPr>
    </w:p>
    <w:p>
      <w:pPr>
        <w:ind w:left="1020" w:right="120" w:hanging="177"/>
        <w:spacing w:after="0" w:line="287"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4" w:lineRule="exact"/>
        <w:rPr>
          <w:rFonts w:ascii="Arial" w:cs="Arial" w:eastAsia="Arial" w:hAnsi="Arial"/>
          <w:sz w:val="18"/>
          <w:szCs w:val="18"/>
          <w:color w:val="457157"/>
        </w:rPr>
      </w:pPr>
    </w:p>
    <w:p>
      <w:pPr>
        <w:jc w:val="both"/>
        <w:ind w:left="1020" w:right="100" w:hanging="177"/>
        <w:spacing w:after="0" w:line="26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26"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32"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5" w:lineRule="exact"/>
        <w:rPr>
          <w:rFonts w:ascii="Arial" w:cs="Arial" w:eastAsia="Arial" w:hAnsi="Arial"/>
          <w:sz w:val="18"/>
          <w:szCs w:val="18"/>
          <w:color w:val="457157"/>
        </w:rPr>
      </w:pPr>
    </w:p>
    <w:p>
      <w:pPr>
        <w:ind w:left="10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executive officer certifications related to our reports and filings.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Independent Auditor</w:t>
      </w:r>
      <w:r>
        <w:rPr>
          <w:sz w:val="20"/>
          <w:szCs w:val="20"/>
          <w:color w:val="auto"/>
        </w:rPr>
        <w:tab/>
      </w:r>
      <w:r>
        <w:rPr>
          <w:rFonts w:ascii="Arial" w:cs="Arial" w:eastAsia="Arial" w:hAnsi="Arial"/>
          <w:sz w:val="36"/>
          <w:szCs w:val="36"/>
          <w:color w:val="auto"/>
          <w:vertAlign w:val="superscript"/>
        </w:rPr>
        <w:t>​</w:t>
      </w:r>
    </w:p>
    <w:p>
      <w:pPr>
        <w:ind w:left="1020" w:right="440" w:hanging="177"/>
        <w:spacing w:after="0" w:line="229"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Engage an independent auditor, determine the auditor’s compensation and replace the auditor if necessary;</w:t>
      </w:r>
    </w:p>
    <w:p>
      <w:pPr>
        <w:spacing w:after="0" w:line="32"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7"/>
        </w:numPr>
        <w:rPr>
          <w:rFonts w:ascii="Arial" w:cs="Arial" w:eastAsia="Arial" w:hAnsi="Arial"/>
          <w:sz w:val="18"/>
          <w:szCs w:val="18"/>
          <w:b w:val="1"/>
          <w:bCs w:val="1"/>
          <w:color w:val="457157"/>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14" w:lineRule="exact"/>
        <w:rPr>
          <w:rFonts w:ascii="Arial" w:cs="Arial" w:eastAsia="Arial" w:hAnsi="Arial"/>
          <w:sz w:val="18"/>
          <w:szCs w:val="18"/>
          <w:b w:val="1"/>
          <w:bCs w:val="1"/>
          <w:color w:val="457157"/>
        </w:rPr>
      </w:pPr>
    </w:p>
    <w:p>
      <w:pPr>
        <w:ind w:left="1020" w:right="100" w:hanging="177"/>
        <w:spacing w:after="0" w:line="271" w:lineRule="auto"/>
        <w:tabs>
          <w:tab w:leader="none" w:pos="1020" w:val="left"/>
        </w:tabs>
        <w:numPr>
          <w:ilvl w:val="0"/>
          <w:numId w:val="7"/>
        </w:numPr>
        <w:rPr>
          <w:rFonts w:ascii="Arial" w:cs="Arial" w:eastAsia="Arial" w:hAnsi="Arial"/>
          <w:sz w:val="18"/>
          <w:szCs w:val="18"/>
          <w:b w:val="1"/>
          <w:bCs w:val="1"/>
          <w:color w:val="457157"/>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18" w:lineRule="exact"/>
        <w:rPr>
          <w:rFonts w:ascii="Arial" w:cs="Arial" w:eastAsia="Arial" w:hAnsi="Arial"/>
          <w:sz w:val="18"/>
          <w:szCs w:val="18"/>
          <w:b w:val="1"/>
          <w:bCs w:val="1"/>
          <w:color w:val="457157"/>
        </w:rPr>
      </w:pPr>
    </w:p>
    <w:p>
      <w:pPr>
        <w:ind w:left="10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Pre-approve all services, including non-audit engagements, provided by the independent auditor.</w:t>
      </w:r>
    </w:p>
    <w:p>
      <w:pPr>
        <w:ind w:left="820"/>
        <w:spacing w:after="0" w:line="203"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Internal Audit</w:t>
      </w:r>
      <w:r>
        <w:rPr>
          <w:sz w:val="20"/>
          <w:szCs w:val="20"/>
          <w:color w:val="auto"/>
        </w:rPr>
        <w:tab/>
      </w:r>
      <w:r>
        <w:rPr>
          <w:rFonts w:ascii="Arial" w:cs="Arial" w:eastAsia="Arial" w:hAnsi="Arial"/>
          <w:sz w:val="36"/>
          <w:szCs w:val="36"/>
          <w:color w:val="auto"/>
          <w:vertAlign w:val="superscript"/>
        </w:rPr>
        <w:t>​</w:t>
      </w:r>
    </w:p>
    <w:p>
      <w:pPr>
        <w:spacing w:after="0" w:line="1" w:lineRule="exact"/>
        <w:rPr>
          <w:sz w:val="20"/>
          <w:szCs w:val="20"/>
          <w:color w:val="auto"/>
        </w:rPr>
      </w:pPr>
    </w:p>
    <w:p>
      <w:pPr>
        <w:ind w:left="1020" w:hanging="177"/>
        <w:spacing w:after="0"/>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the plans, staffing, reports and activities of the internal auditors; and</w:t>
      </w:r>
    </w:p>
    <w:p>
      <w:pPr>
        <w:spacing w:after="0" w:line="45" w:lineRule="exact"/>
        <w:rPr>
          <w:rFonts w:ascii="Arial" w:cs="Arial" w:eastAsia="Arial" w:hAnsi="Arial"/>
          <w:sz w:val="18"/>
          <w:szCs w:val="18"/>
          <w:color w:val="457157"/>
        </w:rPr>
      </w:pPr>
    </w:p>
    <w:p>
      <w:pPr>
        <w:jc w:val="both"/>
        <w:ind w:left="1020" w:right="100" w:hanging="177"/>
        <w:spacing w:after="0" w:line="268"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155575</wp:posOffset>
            </wp:positionV>
            <wp:extent cx="57607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40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266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6"/>
                <w:szCs w:val="16"/>
                <w:b w:val="1"/>
                <w:bCs w:val="1"/>
                <w:color w:val="auto"/>
              </w:rPr>
              <w:t>​</w:t>
            </w:r>
          </w:p>
        </w:tc>
        <w:tc>
          <w:tcPr>
            <w:tcW w:w="26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457157"/>
            </w:tcBorders>
          </w:tcPr>
          <w:p>
            <w:pPr>
              <w:spacing w:after="0"/>
              <w:rPr>
                <w:sz w:val="22"/>
                <w:szCs w:val="22"/>
                <w:color w:val="auto"/>
              </w:rPr>
            </w:pPr>
          </w:p>
        </w:tc>
        <w:tc>
          <w:tcPr>
            <w:tcW w:w="2660" w:type="dxa"/>
            <w:vAlign w:val="bottom"/>
            <w:tcBorders>
              <w:bottom w:val="single" w:sz="8" w:color="457157"/>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6400" w:type="dxa"/>
            <w:vAlign w:val="bottom"/>
          </w:tcPr>
          <w:p>
            <w:pPr>
              <w:spacing w:after="0" w:line="378" w:lineRule="exact"/>
              <w:rPr>
                <w:sz w:val="20"/>
                <w:szCs w:val="20"/>
                <w:color w:val="auto"/>
              </w:rPr>
            </w:pPr>
            <w:r>
              <w:rPr>
                <w:rFonts w:ascii="Arial" w:cs="Arial" w:eastAsia="Arial" w:hAnsi="Arial"/>
                <w:sz w:val="43"/>
                <w:szCs w:val="43"/>
                <w:b w:val="1"/>
                <w:bCs w:val="1"/>
                <w:color w:val="auto"/>
                <w:vertAlign w:val="superscript"/>
              </w:rPr>
              <w:t>​</w:t>
            </w:r>
            <w:r>
              <w:rPr>
                <w:rFonts w:ascii="Arial" w:cs="Arial" w:eastAsia="Arial" w:hAnsi="Arial"/>
                <w:sz w:val="23"/>
                <w:szCs w:val="23"/>
                <w:b w:val="1"/>
                <w:bCs w:val="1"/>
                <w:color w:val="auto"/>
              </w:rPr>
              <w:t>AUDIT COMMITTEE REPORT</w:t>
            </w:r>
          </w:p>
        </w:tc>
        <w:tc>
          <w:tcPr>
            <w:tcW w:w="2720" w:type="dxa"/>
            <w:vAlign w:val="bottom"/>
            <w:gridSpan w:val="2"/>
          </w:tcPr>
          <w:p>
            <w:pPr>
              <w:ind w:left="2620"/>
              <w:spacing w:after="0"/>
              <w:rPr>
                <w:sz w:val="20"/>
                <w:szCs w:val="20"/>
                <w:color w:val="auto"/>
              </w:rPr>
            </w:pPr>
            <w:r>
              <w:rPr>
                <w:rFonts w:ascii="Arial" w:cs="Arial" w:eastAsia="Arial" w:hAnsi="Arial"/>
                <w:sz w:val="25"/>
                <w:szCs w:val="2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-252730</wp:posOffset>
            </wp:positionV>
            <wp:extent cx="5760720" cy="7809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0720" cy="780923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jc w:val="both"/>
        <w:ind w:left="840" w:hanging="26"/>
        <w:spacing w:after="0"/>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 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51" w:lineRule="exact"/>
        <w:rPr>
          <w:sz w:val="20"/>
          <w:szCs w:val="20"/>
          <w:color w:val="auto"/>
        </w:rPr>
      </w:pPr>
    </w:p>
    <w:p>
      <w:pPr>
        <w:jc w:val="both"/>
        <w:ind w:left="840" w:hanging="26"/>
        <w:spacing w:after="0" w:line="220"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The Audit Committee has reviewed and discussed the Company’s audited financial statements as of and for the year ended December 31, 2023 with management and the independent registered public accounting firm, and has taken the following steps in making its recommendation that the Company’s financial statements be included in its Annual Report on Form 10-K.</w:t>
      </w:r>
    </w:p>
    <w:p>
      <w:pPr>
        <w:spacing w:after="0" w:line="47" w:lineRule="exact"/>
        <w:rPr>
          <w:sz w:val="20"/>
          <w:szCs w:val="20"/>
          <w:color w:val="auto"/>
        </w:rPr>
      </w:pPr>
    </w:p>
    <w:p>
      <w:pPr>
        <w:jc w:val="both"/>
        <w:ind w:left="1020" w:hanging="177"/>
        <w:spacing w:after="0" w:line="261"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First, the Audit Committee discussed with Ernst &amp; Young LLP, the Company’s independent registered public accounting firm for fiscal year 2023,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44" w:lineRule="exact"/>
        <w:rPr>
          <w:rFonts w:ascii="Arial" w:cs="Arial" w:eastAsia="Arial" w:hAnsi="Arial"/>
          <w:sz w:val="17"/>
          <w:szCs w:val="17"/>
          <w:color w:val="457157"/>
        </w:rPr>
      </w:pPr>
    </w:p>
    <w:p>
      <w:pPr>
        <w:jc w:val="both"/>
        <w:ind w:left="1020" w:hanging="177"/>
        <w:spacing w:after="0" w:line="257"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6" w:lineRule="exact"/>
        <w:rPr>
          <w:rFonts w:ascii="Arial" w:cs="Arial" w:eastAsia="Arial" w:hAnsi="Arial"/>
          <w:sz w:val="17"/>
          <w:szCs w:val="17"/>
          <w:color w:val="457157"/>
        </w:rPr>
      </w:pPr>
    </w:p>
    <w:p>
      <w:pPr>
        <w:jc w:val="both"/>
        <w:ind w:left="1020" w:hanging="177"/>
        <w:spacing w:after="0" w:line="263"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2023, as well as Ernst &amp; Young LLP’s report regarding the effectiveness of internal control over financial reporting.</w:t>
      </w:r>
    </w:p>
    <w:p>
      <w:pPr>
        <w:spacing w:after="0" w:line="236" w:lineRule="exact"/>
        <w:rPr>
          <w:rFonts w:ascii="Arial" w:cs="Arial" w:eastAsia="Arial" w:hAnsi="Arial"/>
          <w:sz w:val="17"/>
          <w:szCs w:val="17"/>
          <w:color w:val="457157"/>
        </w:rPr>
      </w:pPr>
    </w:p>
    <w:p>
      <w:pPr>
        <w:jc w:val="both"/>
        <w:ind w:left="1020" w:hanging="177"/>
        <w:spacing w:after="0" w:line="261"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Finally, the Audit Committee reviewed and discussed, with the Company’s management and Ernst &amp; Young LLP, the Company’s audited consolidated balance sheet as of December 31, 2023, and consolidated statements of operations, comprehensive income, cash flows and changes in equity for the fiscal year ended December 31, 2023, including the quality, not just the acceptability, of the accounting principles, the reasonableness of significant judgments and the clarity of the disclosure.</w:t>
      </w:r>
    </w:p>
    <w:p>
      <w:pPr>
        <w:spacing w:after="0" w:line="44" w:lineRule="exact"/>
        <w:rPr>
          <w:rFonts w:ascii="Arial" w:cs="Arial" w:eastAsia="Arial" w:hAnsi="Arial"/>
          <w:sz w:val="17"/>
          <w:szCs w:val="17"/>
          <w:color w:val="457157"/>
        </w:rPr>
      </w:pPr>
    </w:p>
    <w:p>
      <w:pPr>
        <w:jc w:val="both"/>
        <w:ind w:left="1020" w:hanging="177"/>
        <w:spacing w:after="0" w:line="257"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6" w:lineRule="exact"/>
        <w:rPr>
          <w:rFonts w:ascii="Arial" w:cs="Arial" w:eastAsia="Arial" w:hAnsi="Arial"/>
          <w:sz w:val="17"/>
          <w:szCs w:val="17"/>
          <w:color w:val="457157"/>
        </w:rPr>
      </w:pPr>
    </w:p>
    <w:p>
      <w:pPr>
        <w:jc w:val="both"/>
        <w:ind w:left="1020" w:hanging="177"/>
        <w:spacing w:after="0" w:line="263"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236" w:lineRule="exact"/>
        <w:rPr>
          <w:rFonts w:ascii="Arial" w:cs="Arial" w:eastAsia="Arial" w:hAnsi="Arial"/>
          <w:sz w:val="17"/>
          <w:szCs w:val="17"/>
          <w:color w:val="457157"/>
        </w:rPr>
      </w:pPr>
    </w:p>
    <w:p>
      <w:pPr>
        <w:jc w:val="both"/>
        <w:ind w:left="1020" w:hanging="177"/>
        <w:spacing w:after="0" w:line="261" w:lineRule="auto"/>
        <w:tabs>
          <w:tab w:leader="none" w:pos="1020" w:val="left"/>
        </w:tabs>
        <w:numPr>
          <w:ilvl w:val="0"/>
          <w:numId w:val="9"/>
        </w:numPr>
        <w:rPr>
          <w:rFonts w:ascii="Arial" w:cs="Arial" w:eastAsia="Arial" w:hAnsi="Arial"/>
          <w:sz w:val="17"/>
          <w:szCs w:val="17"/>
          <w:color w:val="457157"/>
        </w:rPr>
      </w:pPr>
      <w:r>
        <w:rPr>
          <w:rFonts w:ascii="Arial" w:cs="Arial" w:eastAsia="Arial" w:hAnsi="Arial"/>
          <w:sz w:val="17"/>
          <w:szCs w:val="17"/>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2023. The Committee has also approved the selection of Ernst &amp; Young LLP as the Company’s independent registered public accounting firm for fiscal year 2024.</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The Audit Committee of the Board of Directors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William B. Plummer, </w:t>
      </w:r>
      <w:r>
        <w:rPr>
          <w:rFonts w:ascii="Arial" w:cs="Arial" w:eastAsia="Arial" w:hAnsi="Arial"/>
          <w:sz w:val="17"/>
          <w:szCs w:val="17"/>
          <w:i w:val="1"/>
          <w:iCs w:val="1"/>
          <w:color w:val="auto"/>
        </w:rPr>
        <w:t>Chair</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Bruce E. Chinn</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Andrés R. Gluski</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Victoria M. Holt</w:t>
      </w:r>
    </w:p>
    <w:p>
      <w:pPr>
        <w:ind w:left="840"/>
        <w:spacing w:after="0" w:line="198" w:lineRule="auto"/>
        <w:rPr>
          <w:sz w:val="20"/>
          <w:szCs w:val="20"/>
          <w:color w:val="auto"/>
        </w:rPr>
      </w:pPr>
      <w:r>
        <w:rPr>
          <w:rFonts w:ascii="Arial" w:cs="Arial" w:eastAsia="Arial" w:hAnsi="Arial"/>
          <w:sz w:val="17"/>
          <w:szCs w:val="17"/>
          <w:color w:val="auto"/>
        </w:rPr>
        <w:t>Kathleen M. Mazzarella</w:t>
      </w:r>
    </w:p>
    <w:p>
      <w:pPr>
        <w:ind w:left="820"/>
        <w:spacing w:after="0"/>
        <w:tabs>
          <w:tab w:leader="none" w:pos="2400" w:val="left"/>
        </w:tabs>
        <w:rPr>
          <w:sz w:val="20"/>
          <w:szCs w:val="20"/>
          <w:color w:val="auto"/>
        </w:rPr>
      </w:pPr>
      <w:r>
        <w:rPr>
          <w:rFonts w:ascii="Arial" w:cs="Arial" w:eastAsia="Arial" w:hAnsi="Arial"/>
          <w:sz w:val="18"/>
          <w:szCs w:val="18"/>
          <w:color w:val="auto"/>
        </w:rPr>
        <w:t>10</w:t>
      </w:r>
      <w:r>
        <w:rPr>
          <w:rFonts w:ascii="Arial" w:cs="Arial" w:eastAsia="Arial" w:hAnsi="Arial"/>
          <w:sz w:val="17"/>
          <w:szCs w:val="17"/>
          <w:color w:val="auto"/>
        </w:rPr>
        <w:t>Sean</w:t>
      </w:r>
      <w:r>
        <w:rPr>
          <w:rFonts w:ascii="Arial" w:cs="Arial" w:eastAsia="Arial" w:hAnsi="Arial"/>
          <w:sz w:val="32"/>
          <w:szCs w:val="32"/>
          <w:b w:val="1"/>
          <w:bCs w:val="1"/>
          <w:color w:val="457157"/>
        </w:rPr>
        <w:t>|</w:t>
      </w:r>
      <w:r>
        <w:rPr>
          <w:rFonts w:ascii="Arial" w:cs="Arial" w:eastAsia="Arial" w:hAnsi="Arial"/>
          <w:sz w:val="18"/>
          <w:szCs w:val="18"/>
          <w:color w:val="auto"/>
        </w:rPr>
        <w:t xml:space="preserve"> </w:t>
      </w:r>
      <w:r>
        <w:rPr>
          <w:rFonts w:ascii="Arial" w:cs="Arial" w:eastAsia="Arial" w:hAnsi="Arial"/>
          <w:sz w:val="17"/>
          <w:szCs w:val="17"/>
          <w:color w:val="auto"/>
        </w:rPr>
        <w:t>E. Menke</w:t>
      </w:r>
      <w:r>
        <w:rPr>
          <w:sz w:val="20"/>
          <w:szCs w:val="20"/>
          <w:color w:val="auto"/>
        </w:rPr>
        <w:tab/>
      </w:r>
      <w:r>
        <w:rPr>
          <w:rFonts w:ascii="Arial" w:cs="Arial" w:eastAsia="Arial" w:hAnsi="Arial"/>
          <w:sz w:val="18"/>
          <w:szCs w:val="18"/>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-27305</wp:posOffset>
            </wp:positionV>
            <wp:extent cx="57607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405130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2">
            <w:col w:w="9840" w:space="0"/>
            <w:col w:w="100"/>
          </w:cols>
          <w:pgMar w:left="580" w:top="97" w:right="137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274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6320" w:type="dxa"/>
            <w:vAlign w:val="bottom"/>
            <w:tcBorders>
              <w:top w:val="single" w:sz="8" w:color="457157"/>
            </w:tcBorders>
            <w:gridSpan w:val="2"/>
          </w:tcPr>
          <w:p>
            <w:pPr>
              <w:ind w:left="3900"/>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6"/>
        </w:trPr>
        <w:tc>
          <w:tcPr>
            <w:tcW w:w="2740" w:type="dxa"/>
            <w:vAlign w:val="bottom"/>
            <w:tcBorders>
              <w:bottom w:val="single" w:sz="8" w:color="457157"/>
            </w:tcBorders>
          </w:tcPr>
          <w:p>
            <w:pPr>
              <w:spacing w:after="0"/>
              <w:rPr>
                <w:sz w:val="19"/>
                <w:szCs w:val="19"/>
                <w:color w:val="auto"/>
              </w:rPr>
            </w:pPr>
          </w:p>
        </w:tc>
        <w:tc>
          <w:tcPr>
            <w:tcW w:w="6280" w:type="dxa"/>
            <w:vAlign w:val="bottom"/>
            <w:tcBorders>
              <w:bottom w:val="single" w:sz="8" w:color="457157"/>
            </w:tcBorders>
          </w:tcPr>
          <w:p>
            <w:pPr>
              <w:spacing w:after="0"/>
              <w:rPr>
                <w:sz w:val="19"/>
                <w:szCs w:val="19"/>
                <w:color w:val="auto"/>
              </w:rPr>
            </w:pPr>
          </w:p>
        </w:tc>
        <w:tc>
          <w:tcPr>
            <w:tcW w:w="40" w:type="dxa"/>
            <w:vAlign w:val="bottom"/>
            <w:tcBorders>
              <w:bottom w:val="single" w:sz="8" w:color="457157"/>
            </w:tcBorders>
          </w:tcPr>
          <w:p>
            <w:pPr>
              <w:spacing w:after="0"/>
              <w:rPr>
                <w:sz w:val="19"/>
                <w:szCs w:val="19"/>
                <w:color w:val="auto"/>
              </w:rPr>
            </w:pPr>
          </w:p>
        </w:tc>
        <w:tc>
          <w:tcPr>
            <w:tcW w:w="60" w:type="dxa"/>
            <w:vAlign w:val="bottom"/>
          </w:tcPr>
          <w:p>
            <w:pPr>
              <w:spacing w:after="0"/>
              <w:rPr>
                <w:sz w:val="19"/>
                <w:szCs w:val="19"/>
                <w:color w:val="auto"/>
              </w:rPr>
            </w:pPr>
          </w:p>
        </w:tc>
      </w:tr>
      <w:tr>
        <w:trPr>
          <w:trHeight w:val="155"/>
        </w:trPr>
        <w:tc>
          <w:tcPr>
            <w:tcW w:w="2740" w:type="dxa"/>
            <w:vAlign w:val="bottom"/>
            <w:shd w:val="clear" w:color="auto" w:fill="ECF1EE"/>
          </w:tcPr>
          <w:p>
            <w:pPr>
              <w:spacing w:after="0" w:line="156" w:lineRule="exact"/>
              <w:rPr>
                <w:sz w:val="20"/>
                <w:szCs w:val="20"/>
                <w:color w:val="auto"/>
              </w:rPr>
            </w:pPr>
            <w:r>
              <w:rPr>
                <w:rFonts w:ascii="Arial" w:cs="Arial" w:eastAsia="Arial" w:hAnsi="Arial"/>
                <w:sz w:val="18"/>
                <w:szCs w:val="18"/>
                <w:b w:val="1"/>
                <w:bCs w:val="1"/>
                <w:color w:val="auto"/>
              </w:rPr>
              <w:t>​</w:t>
            </w:r>
          </w:p>
        </w:tc>
        <w:tc>
          <w:tcPr>
            <w:tcW w:w="6280" w:type="dxa"/>
            <w:vAlign w:val="bottom"/>
            <w:shd w:val="clear" w:color="auto" w:fill="ECF1EE"/>
          </w:tcPr>
          <w:p>
            <w:pPr>
              <w:spacing w:after="0"/>
              <w:rPr>
                <w:sz w:val="13"/>
                <w:szCs w:val="13"/>
                <w:color w:val="auto"/>
              </w:rPr>
            </w:pPr>
          </w:p>
        </w:tc>
        <w:tc>
          <w:tcPr>
            <w:tcW w:w="40" w:type="dxa"/>
            <w:vAlign w:val="bottom"/>
            <w:shd w:val="clear" w:color="auto" w:fill="ECF1EE"/>
          </w:tcPr>
          <w:p>
            <w:pPr>
              <w:spacing w:after="0" w:line="15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3"/>
                <w:szCs w:val="13"/>
                <w:color w:val="auto"/>
              </w:rPr>
            </w:pPr>
          </w:p>
        </w:tc>
      </w:tr>
      <w:tr>
        <w:trPr>
          <w:trHeight w:val="259"/>
        </w:trPr>
        <w:tc>
          <w:tcPr>
            <w:tcW w:w="9020" w:type="dxa"/>
            <w:vAlign w:val="bottom"/>
            <w:gridSpan w:val="2"/>
            <w:shd w:val="clear" w:color="auto" w:fill="ECF1EE"/>
          </w:tcPr>
          <w:p>
            <w:pPr>
              <w:ind w:left="20"/>
              <w:spacing w:after="0" w:line="259" w:lineRule="exact"/>
              <w:rPr>
                <w:sz w:val="20"/>
                <w:szCs w:val="20"/>
                <w:color w:val="auto"/>
              </w:rPr>
            </w:pPr>
            <w:r>
              <w:rPr>
                <w:rFonts w:ascii="Arial" w:cs="Arial" w:eastAsia="Arial" w:hAnsi="Arial"/>
                <w:sz w:val="25"/>
                <w:szCs w:val="25"/>
                <w:b w:val="1"/>
                <w:bCs w:val="1"/>
                <w:color w:val="auto"/>
              </w:rPr>
              <w:t>THE MANAGEMENT DEVELOPMENT AND COMPENSATION</w:t>
            </w:r>
          </w:p>
        </w:tc>
        <w:tc>
          <w:tcPr>
            <w:tcW w:w="40" w:type="dxa"/>
            <w:vAlign w:val="bottom"/>
            <w:shd w:val="clear" w:color="auto" w:fill="ECF1EE"/>
          </w:tcPr>
          <w:p>
            <w:pPr>
              <w:spacing w:after="0"/>
              <w:rPr>
                <w:sz w:val="22"/>
                <w:szCs w:val="22"/>
                <w:color w:val="auto"/>
              </w:rPr>
            </w:pPr>
          </w:p>
        </w:tc>
        <w:tc>
          <w:tcPr>
            <w:tcW w:w="60" w:type="dxa"/>
            <w:vAlign w:val="bottom"/>
          </w:tcPr>
          <w:p>
            <w:pPr>
              <w:spacing w:after="0"/>
              <w:rPr>
                <w:sz w:val="22"/>
                <w:szCs w:val="22"/>
                <w:color w:val="auto"/>
              </w:rPr>
            </w:pPr>
          </w:p>
        </w:tc>
      </w:tr>
      <w:tr>
        <w:trPr>
          <w:trHeight w:val="348"/>
        </w:trPr>
        <w:tc>
          <w:tcPr>
            <w:tcW w:w="2740" w:type="dxa"/>
            <w:vAlign w:val="bottom"/>
            <w:shd w:val="clear" w:color="auto" w:fill="ECF1EE"/>
          </w:tcPr>
          <w:p>
            <w:pPr>
              <w:ind w:left="20"/>
              <w:spacing w:after="0"/>
              <w:rPr>
                <w:sz w:val="20"/>
                <w:szCs w:val="20"/>
                <w:color w:val="auto"/>
              </w:rPr>
            </w:pPr>
            <w:r>
              <w:rPr>
                <w:rFonts w:ascii="Arial" w:cs="Arial" w:eastAsia="Arial" w:hAnsi="Arial"/>
                <w:sz w:val="25"/>
                <w:szCs w:val="25"/>
                <w:b w:val="1"/>
                <w:bCs w:val="1"/>
                <w:color w:val="auto"/>
              </w:rPr>
              <w:t>COMMITTEE</w:t>
            </w:r>
            <w:r>
              <w:rPr>
                <w:rFonts w:ascii="Arial" w:cs="Arial" w:eastAsia="Arial" w:hAnsi="Arial"/>
                <w:sz w:val="17"/>
                <w:szCs w:val="17"/>
                <w:color w:val="auto"/>
              </w:rPr>
              <w:t>​</w:t>
            </w:r>
          </w:p>
        </w:tc>
        <w:tc>
          <w:tcPr>
            <w:tcW w:w="6280" w:type="dxa"/>
            <w:vAlign w:val="bottom"/>
            <w:shd w:val="clear" w:color="auto" w:fill="ECF1EE"/>
          </w:tcPr>
          <w:p>
            <w:pPr>
              <w:spacing w:after="0"/>
              <w:rPr>
                <w:sz w:val="24"/>
                <w:szCs w:val="24"/>
                <w:color w:val="auto"/>
              </w:rPr>
            </w:pP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740" w:type="dxa"/>
            <w:vAlign w:val="bottom"/>
            <w:shd w:val="clear" w:color="auto" w:fill="ECF1EE"/>
          </w:tcPr>
          <w:p>
            <w:pPr>
              <w:ind w:left="80"/>
              <w:spacing w:after="0"/>
              <w:rPr>
                <w:sz w:val="20"/>
                <w:szCs w:val="20"/>
                <w:color w:val="auto"/>
              </w:rPr>
            </w:pPr>
            <w:r>
              <w:rPr>
                <w:rFonts w:ascii="Arial" w:cs="Arial" w:eastAsia="Arial" w:hAnsi="Arial"/>
                <w:sz w:val="18"/>
                <w:szCs w:val="18"/>
                <w:b w:val="1"/>
                <w:bCs w:val="1"/>
                <w:color w:val="auto"/>
              </w:rPr>
              <w:t>Members:</w:t>
            </w:r>
          </w:p>
        </w:tc>
        <w:tc>
          <w:tcPr>
            <w:tcW w:w="6280" w:type="dxa"/>
            <w:vAlign w:val="bottom"/>
            <w:shd w:val="clear" w:color="auto" w:fill="ECF1EE"/>
          </w:tcPr>
          <w:p>
            <w:pPr>
              <w:ind w:left="2420"/>
              <w:spacing w:after="0"/>
              <w:rPr>
                <w:sz w:val="20"/>
                <w:szCs w:val="20"/>
                <w:color w:val="auto"/>
              </w:rPr>
            </w:pPr>
            <w:r>
              <w:rPr>
                <w:rFonts w:ascii="Arial" w:cs="Arial" w:eastAsia="Arial" w:hAnsi="Arial"/>
                <w:sz w:val="18"/>
                <w:szCs w:val="18"/>
                <w:b w:val="1"/>
                <w:bCs w:val="1"/>
                <w:color w:val="auto"/>
              </w:rPr>
              <w:t>Number of Meetings Held in 2023: 5</w:t>
            </w: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8"/>
                <w:szCs w:val="18"/>
                <w:b w:val="1"/>
                <w:bCs w:val="1"/>
                <w:color w:val="auto"/>
              </w:rPr>
              <w:t xml:space="preserve">​ Andrés R. Gluski, </w:t>
            </w:r>
            <w:r>
              <w:rPr>
                <w:rFonts w:ascii="Arial" w:cs="Arial" w:eastAsia="Arial" w:hAnsi="Arial"/>
                <w:sz w:val="18"/>
                <w:szCs w:val="18"/>
                <w:b w:val="1"/>
                <w:bCs w:val="1"/>
                <w:i w:val="1"/>
                <w:iCs w:val="1"/>
                <w:color w:val="auto"/>
              </w:rPr>
              <w:t>Chair</w:t>
            </w:r>
          </w:p>
        </w:tc>
        <w:tc>
          <w:tcPr>
            <w:tcW w:w="6280" w:type="dxa"/>
            <w:vAlign w:val="bottom"/>
          </w:tcPr>
          <w:p>
            <w:pPr>
              <w:ind w:left="440"/>
              <w:spacing w:after="0"/>
              <w:rPr>
                <w:sz w:val="20"/>
                <w:szCs w:val="20"/>
                <w:color w:val="auto"/>
              </w:rPr>
            </w:pPr>
            <w:r>
              <w:rPr>
                <w:rFonts w:ascii="Arial" w:cs="Arial" w:eastAsia="Arial" w:hAnsi="Arial"/>
                <w:sz w:val="18"/>
                <w:szCs w:val="18"/>
                <w:b w:val="1"/>
                <w:bCs w:val="1"/>
                <w:color w:val="auto"/>
              </w:rPr>
              <w:t>​ ​ William B. Plummer</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Thomas L. Bené</w:t>
            </w:r>
          </w:p>
        </w:tc>
        <w:tc>
          <w:tcPr>
            <w:tcW w:w="628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John C. Pope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628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Maryrose T. Sylvester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906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Mr. Gluski has served as the Chair of our MD&amp;C Committee since May 2021. Mr. Bené was appointed</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to the MD&amp;C Committee effective March 1, 2024, after the approval of the Compensation Committee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Report below. Each member of our MD&amp;C Committee is independent in accordance with the rules and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regulations of the New York Stock Exchange.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Functions</w:t>
            </w:r>
          </w:p>
        </w:tc>
        <w:tc>
          <w:tcPr>
            <w:tcW w:w="62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-1824355</wp:posOffset>
            </wp:positionV>
            <wp:extent cx="5760720" cy="74580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7458075"/>
                    </a:xfrm>
                    <a:prstGeom prst="rect">
                      <a:avLst/>
                    </a:prstGeom>
                    <a:noFill/>
                  </pic:spPr>
                </pic:pic>
              </a:graphicData>
            </a:graphic>
          </wp:anchor>
        </w:drawing>
      </w:r>
    </w:p>
    <w:p>
      <w:pPr>
        <w:spacing w:after="0" w:line="84" w:lineRule="exact"/>
        <w:rPr>
          <w:sz w:val="20"/>
          <w:szCs w:val="20"/>
          <w:color w:val="auto"/>
        </w:rPr>
      </w:pPr>
    </w:p>
    <w:p>
      <w:pPr>
        <w:jc w:val="both"/>
        <w:ind w:left="840" w:right="880"/>
        <w:spacing w:after="0" w:line="248"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“ESG —  Corporate Governance” section of investors.wm.com. In fulfilling its duties, the MD&amp;C Committee has the following responsibilities:</w:t>
      </w:r>
    </w:p>
    <w:p>
      <w:pPr>
        <w:spacing w:after="0" w:line="292" w:lineRule="exact"/>
        <w:rPr>
          <w:sz w:val="20"/>
          <w:szCs w:val="20"/>
          <w:color w:val="auto"/>
        </w:rPr>
      </w:pPr>
    </w:p>
    <w:p>
      <w:pPr>
        <w:ind w:left="1020" w:hanging="177"/>
        <w:spacing w:after="0"/>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Review and establish policies governing the compensation and benefits of our executive officers;</w:t>
      </w:r>
    </w:p>
    <w:p>
      <w:pPr>
        <w:spacing w:after="0" w:line="117" w:lineRule="exact"/>
        <w:rPr>
          <w:rFonts w:ascii="Arial" w:cs="Arial" w:eastAsia="Arial" w:hAnsi="Arial"/>
          <w:sz w:val="18"/>
          <w:szCs w:val="18"/>
          <w:color w:val="457157"/>
        </w:rPr>
      </w:pPr>
    </w:p>
    <w:p>
      <w:pPr>
        <w:ind w:left="1020" w:right="1460" w:hanging="177"/>
        <w:spacing w:after="0"/>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Approve the compensation of our executive officers and set the incentive plan goals for those individuals;</w:t>
      </w:r>
    </w:p>
    <w:p>
      <w:pPr>
        <w:spacing w:after="0" w:line="72" w:lineRule="exact"/>
        <w:rPr>
          <w:rFonts w:ascii="Arial" w:cs="Arial" w:eastAsia="Arial" w:hAnsi="Arial"/>
          <w:sz w:val="18"/>
          <w:szCs w:val="18"/>
          <w:color w:val="457157"/>
        </w:rPr>
      </w:pPr>
    </w:p>
    <w:p>
      <w:pPr>
        <w:ind w:left="1020" w:right="1180" w:hanging="177"/>
        <w:spacing w:after="0" w:line="256"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Conduct an annual evaluation of our Chief Executive Officer by all independent directors and set his compensation;</w:t>
      </w:r>
    </w:p>
    <w:p>
      <w:pPr>
        <w:spacing w:after="0" w:line="57" w:lineRule="exact"/>
        <w:rPr>
          <w:rFonts w:ascii="Arial" w:cs="Arial" w:eastAsia="Arial" w:hAnsi="Arial"/>
          <w:sz w:val="18"/>
          <w:szCs w:val="18"/>
          <w:color w:val="457157"/>
        </w:rPr>
      </w:pPr>
    </w:p>
    <w:p>
      <w:pPr>
        <w:ind w:left="1020" w:hanging="177"/>
        <w:spacing w:after="0"/>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44" w:lineRule="exact"/>
        <w:rPr>
          <w:rFonts w:ascii="Arial" w:cs="Arial" w:eastAsia="Arial" w:hAnsi="Arial"/>
          <w:sz w:val="18"/>
          <w:szCs w:val="18"/>
          <w:color w:val="457157"/>
        </w:rPr>
      </w:pPr>
    </w:p>
    <w:p>
      <w:pPr>
        <w:ind w:left="1020" w:right="1340" w:hanging="177"/>
        <w:spacing w:after="0"/>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Recommend to the full Board new Company compensation and benefit plans or changes to our existing plans;</w:t>
      </w:r>
    </w:p>
    <w:p>
      <w:pPr>
        <w:spacing w:after="0" w:line="85" w:lineRule="exact"/>
        <w:rPr>
          <w:rFonts w:ascii="Arial" w:cs="Arial" w:eastAsia="Arial" w:hAnsi="Arial"/>
          <w:sz w:val="18"/>
          <w:szCs w:val="18"/>
          <w:color w:val="457157"/>
        </w:rPr>
      </w:pPr>
    </w:p>
    <w:p>
      <w:pPr>
        <w:ind w:left="1020" w:hanging="177"/>
        <w:spacing w:after="0"/>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57157"/>
        </w:rPr>
      </w:pPr>
    </w:p>
    <w:p>
      <w:pPr>
        <w:ind w:left="1020" w:hanging="177"/>
        <w:spacing w:after="0"/>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9020" w:type="dxa"/>
            <w:vAlign w:val="bottom"/>
          </w:tcPr>
          <w:p>
            <w:pPr>
              <w:ind w:left="20"/>
              <w:spacing w:after="0"/>
              <w:rPr>
                <w:sz w:val="20"/>
                <w:szCs w:val="20"/>
                <w:color w:val="auto"/>
              </w:rPr>
            </w:pPr>
            <w:r>
              <w:rPr>
                <w:rFonts w:ascii="Arial" w:cs="Arial" w:eastAsia="Arial" w:hAnsi="Arial"/>
                <w:sz w:val="18"/>
                <w:szCs w:val="18"/>
                <w:color w:val="auto"/>
              </w:rPr>
              <w:t>In overseeing compensation matters, the MD&amp;C Committee may delegate authority for day-to-day</w:t>
            </w:r>
          </w:p>
        </w:tc>
        <w:tc>
          <w:tcPr>
            <w:tcW w:w="60" w:type="dxa"/>
            <w:vAlign w:val="bottom"/>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administration  and  interpretation  of  the  Company’s  plans,  including  selection  of  participants,</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determination of award levels within plan parameters, and approval of award documents, to Company</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employees. However, the MD&amp;C Committee may not delegate any authority to Company employees</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under those plans for matters affecting the compensation and benefits of the executive officers.</w:t>
            </w:r>
          </w:p>
        </w:tc>
        <w:tc>
          <w:tcPr>
            <w:tcW w:w="60" w:type="dxa"/>
            <w:vAlign w:val="bottom"/>
          </w:tcPr>
          <w:p>
            <w:pPr>
              <w:spacing w:after="0"/>
              <w:rPr>
                <w:sz w:val="17"/>
                <w:szCs w:val="17"/>
                <w:color w:val="auto"/>
              </w:rPr>
            </w:pPr>
          </w:p>
        </w:tc>
      </w:tr>
      <w:tr>
        <w:trPr>
          <w:trHeight w:val="483"/>
        </w:trPr>
        <w:tc>
          <w:tcPr>
            <w:tcW w:w="902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25"/>
                <w:szCs w:val="25"/>
                <w:b w:val="1"/>
                <w:bCs w:val="1"/>
                <w:color w:val="auto"/>
              </w:rPr>
              <w:t>COMPENSATION COMMITTEE REPORT</w:t>
            </w: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43" w:lineRule="exact"/>
        <w:rPr>
          <w:sz w:val="20"/>
          <w:szCs w:val="20"/>
          <w:color w:val="auto"/>
        </w:rPr>
      </w:pPr>
    </w:p>
    <w:p>
      <w:pPr>
        <w:ind w:left="840" w:right="880"/>
        <w:spacing w:after="0" w:line="253" w:lineRule="auto"/>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with management. Based on their review and discussions, the MD&amp;C</w:t>
      </w: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9900" w:type="dxa"/>
            <w:vAlign w:val="bottom"/>
            <w:gridSpan w:val="3"/>
          </w:tcPr>
          <w:p>
            <w:pPr>
              <w:ind w:left="20"/>
              <w:spacing w:after="0" w:line="185" w:lineRule="exact"/>
              <w:rPr>
                <w:sz w:val="20"/>
                <w:szCs w:val="20"/>
                <w:color w:val="auto"/>
              </w:rPr>
            </w:pPr>
            <w:r>
              <w:rPr>
                <w:rFonts w:ascii="Arial" w:cs="Arial" w:eastAsia="Arial" w:hAnsi="Arial"/>
                <w:sz w:val="18"/>
                <w:szCs w:val="18"/>
                <w:color w:val="auto"/>
              </w:rPr>
              <w:t xml:space="preserve">Committee recommended to the Board of Directors that the </w:t>
            </w:r>
            <w:r>
              <w:rPr>
                <w:rFonts w:ascii="Arial" w:cs="Arial" w:eastAsia="Arial" w:hAnsi="Arial"/>
                <w:sz w:val="18"/>
                <w:szCs w:val="18"/>
                <w:i w:val="1"/>
                <w:iCs w:val="1"/>
                <w:color w:val="auto"/>
              </w:rPr>
              <w:t>Compensation Discussion and Analysis</w:t>
            </w: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be included in the Company’s Proxy Statement.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r>
      <w:tr>
        <w:trPr>
          <w:trHeight w:val="243"/>
        </w:trPr>
        <w:tc>
          <w:tcPr>
            <w:tcW w:w="820" w:type="dxa"/>
            <w:vAlign w:val="bottom"/>
          </w:tcPr>
          <w:p>
            <w:pPr>
              <w:spacing w:after="0"/>
              <w:rPr>
                <w:sz w:val="21"/>
                <w:szCs w:val="21"/>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 xml:space="preserve">​Andrés R. Gluski, </w:t>
            </w:r>
            <w:r>
              <w:rPr>
                <w:rFonts w:ascii="Arial" w:cs="Arial" w:eastAsia="Arial" w:hAnsi="Arial"/>
                <w:sz w:val="18"/>
                <w:szCs w:val="18"/>
                <w:i w:val="1"/>
                <w:iCs w:val="1"/>
                <w:color w:val="auto"/>
              </w:rPr>
              <w:t>Chair</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Kathleen M. Mazzarella</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William B. Plummer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John C. Pope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8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Maryrose T. Sylvester</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0"/>
        </w:trPr>
        <w:tc>
          <w:tcPr>
            <w:tcW w:w="820" w:type="dxa"/>
            <w:vAlign w:val="bottom"/>
          </w:tcPr>
          <w:p>
            <w:pPr>
              <w:spacing w:after="0"/>
              <w:rPr>
                <w:sz w:val="4"/>
                <w:szCs w:val="4"/>
                <w:color w:val="auto"/>
              </w:rPr>
            </w:pPr>
          </w:p>
        </w:tc>
        <w:tc>
          <w:tcPr>
            <w:tcW w:w="87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tcPr>
          <w:p>
            <w:pPr>
              <w:spacing w:after="0"/>
              <w:rPr>
                <w:sz w:val="4"/>
                <w:szCs w:val="4"/>
                <w:color w:val="auto"/>
              </w:rPr>
            </w:pPr>
          </w:p>
        </w:tc>
        <w:tc>
          <w:tcPr>
            <w:tcW w:w="840" w:type="dxa"/>
            <w:vAlign w:val="bottom"/>
          </w:tcPr>
          <w:p>
            <w:pPr>
              <w:spacing w:after="0"/>
              <w:rPr>
                <w:sz w:val="4"/>
                <w:szCs w:val="4"/>
                <w:color w:val="auto"/>
              </w:rPr>
            </w:pPr>
          </w:p>
        </w:tc>
      </w:tr>
      <w:tr>
        <w:trPr>
          <w:trHeight w:val="586"/>
        </w:trPr>
        <w:tc>
          <w:tcPr>
            <w:tcW w:w="820" w:type="dxa"/>
            <w:vAlign w:val="bottom"/>
          </w:tcPr>
          <w:p>
            <w:pPr>
              <w:spacing w:after="0"/>
              <w:rPr>
                <w:sz w:val="24"/>
                <w:szCs w:val="24"/>
                <w:color w:val="auto"/>
              </w:rPr>
            </w:pPr>
          </w:p>
        </w:tc>
        <w:tc>
          <w:tcPr>
            <w:tcW w:w="8760" w:type="dxa"/>
            <w:vAlign w:val="bottom"/>
          </w:tcPr>
          <w:p>
            <w:pPr>
              <w:ind w:left="6440"/>
              <w:spacing w:after="0"/>
              <w:rPr>
                <w:sz w:val="20"/>
                <w:szCs w:val="20"/>
                <w:color w:val="auto"/>
              </w:rPr>
            </w:pPr>
            <w:r>
              <w:rPr>
                <w:rFonts w:ascii="Arial" w:cs="Arial" w:eastAsia="Arial" w:hAnsi="Arial"/>
                <w:sz w:val="18"/>
                <w:szCs w:val="18"/>
                <w:color w:val="auto"/>
              </w:rPr>
              <w:t xml:space="preserve">2024 Proxy Statement  </w:t>
            </w:r>
            <w:r>
              <w:rPr>
                <w:rFonts w:ascii="Arial" w:cs="Arial" w:eastAsia="Arial" w:hAnsi="Arial"/>
                <w:sz w:val="32"/>
                <w:szCs w:val="32"/>
                <w:b w:val="1"/>
                <w:bCs w:val="1"/>
                <w:color w:val="457157"/>
              </w:rPr>
              <w: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11​</w:t>
            </w:r>
          </w:p>
        </w:tc>
      </w:tr>
      <w:tr>
        <w:trPr>
          <w:trHeight w:val="656"/>
        </w:trPr>
        <w:tc>
          <w:tcPr>
            <w:tcW w:w="82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-642620</wp:posOffset>
            </wp:positionV>
            <wp:extent cx="4718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83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7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320" w:type="dxa"/>
            <w:vAlign w:val="bottom"/>
            <w:tcBorders>
              <w:bottom w:val="single" w:sz="8" w:color="457157"/>
            </w:tcBorders>
          </w:tcPr>
          <w:p>
            <w:pPr>
              <w:spacing w:after="0"/>
              <w:rPr>
                <w:sz w:val="22"/>
                <w:szCs w:val="22"/>
                <w:color w:val="auto"/>
              </w:rPr>
            </w:pPr>
          </w:p>
        </w:tc>
        <w:tc>
          <w:tcPr>
            <w:tcW w:w="740" w:type="dxa"/>
            <w:vAlign w:val="bottom"/>
            <w:tcBorders>
              <w:bottom w:val="single" w:sz="8" w:color="457157"/>
            </w:tcBorders>
          </w:tcPr>
          <w:p>
            <w:pPr>
              <w:spacing w:after="0"/>
              <w:rPr>
                <w:sz w:val="22"/>
                <w:szCs w:val="22"/>
                <w:color w:val="auto"/>
              </w:rPr>
            </w:pPr>
          </w:p>
        </w:tc>
        <w:tc>
          <w:tcPr>
            <w:tcW w:w="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3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40" w:type="dxa"/>
            <w:vAlign w:val="bottom"/>
          </w:tcPr>
          <w:p>
            <w:pPr>
              <w:ind w:left="700"/>
              <w:spacing w:after="0" w:line="156"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8320" w:type="dxa"/>
            <w:vAlign w:val="bottom"/>
          </w:tcPr>
          <w:p>
            <w:pPr>
              <w:ind w:left="20"/>
              <w:spacing w:after="0" w:line="259" w:lineRule="exact"/>
              <w:rPr>
                <w:sz w:val="20"/>
                <w:szCs w:val="20"/>
                <w:color w:val="auto"/>
              </w:rPr>
            </w:pPr>
            <w:r>
              <w:rPr>
                <w:rFonts w:ascii="Arial" w:cs="Arial" w:eastAsia="Arial" w:hAnsi="Arial"/>
                <w:sz w:val="25"/>
                <w:szCs w:val="25"/>
                <w:b w:val="1"/>
                <w:bCs w:val="1"/>
                <w:color w:val="auto"/>
              </w:rPr>
              <w:t>COMPENSATION COMMITTEE INTERLOCKS AND INSIDER</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8320" w:type="dxa"/>
            <w:vAlign w:val="bottom"/>
          </w:tcPr>
          <w:p>
            <w:pPr>
              <w:ind w:left="20"/>
              <w:spacing w:after="0"/>
              <w:rPr>
                <w:sz w:val="20"/>
                <w:szCs w:val="20"/>
                <w:color w:val="auto"/>
              </w:rPr>
            </w:pPr>
            <w:r>
              <w:rPr>
                <w:rFonts w:ascii="Arial" w:cs="Arial" w:eastAsia="Arial" w:hAnsi="Arial"/>
                <w:sz w:val="25"/>
                <w:szCs w:val="25"/>
                <w:b w:val="1"/>
                <w:bCs w:val="1"/>
                <w:color w:val="auto"/>
              </w:rPr>
              <w:t>PARTICIPATION</w:t>
            </w:r>
            <w:r>
              <w:rPr>
                <w:rFonts w:ascii="Arial" w:cs="Arial" w:eastAsia="Arial" w:hAnsi="Arial"/>
                <w:sz w:val="17"/>
                <w:szCs w:val="17"/>
                <w:color w:val="auto"/>
              </w:rPr>
              <w: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-496570</wp:posOffset>
            </wp:positionV>
            <wp:extent cx="5760720" cy="8041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8041005"/>
                    </a:xfrm>
                    <a:prstGeom prst="rect">
                      <a:avLst/>
                    </a:prstGeom>
                    <a:noFill/>
                  </pic:spPr>
                </pic:pic>
              </a:graphicData>
            </a:graphic>
          </wp:anchor>
        </w:drawing>
      </w:r>
    </w:p>
    <w:p>
      <w:pPr>
        <w:spacing w:after="0" w:line="70" w:lineRule="exact"/>
        <w:rPr>
          <w:sz w:val="20"/>
          <w:szCs w:val="20"/>
          <w:color w:val="auto"/>
        </w:rPr>
      </w:pPr>
    </w:p>
    <w:p>
      <w:pPr>
        <w:jc w:val="both"/>
        <w:ind w:left="840" w:right="880"/>
        <w:spacing w:after="0" w:line="246" w:lineRule="auto"/>
        <w:rPr>
          <w:sz w:val="20"/>
          <w:szCs w:val="20"/>
          <w:color w:val="auto"/>
        </w:rPr>
      </w:pPr>
      <w:r>
        <w:rPr>
          <w:rFonts w:ascii="Arial" w:cs="Arial" w:eastAsia="Arial" w:hAnsi="Arial"/>
          <w:sz w:val="18"/>
          <w:szCs w:val="18"/>
          <w:color w:val="auto"/>
        </w:rPr>
        <w:t>During 2023, Ms. Mazzarella, Ms. Sylvester and Messrs. Gluski, Plummer and Pope served on the MD&amp;C Committee, as well as retired director Mr. Thomas H. Weidemeyer. No member of the MD&amp;C Committee was an officer or employee of the Company during 2023; no member of the MD&amp;C Committee is a former officer of the Company; and during 2023, none of our executive officers served as a member of a board of directors or compensation committee of any entity that has one or more executive officers who serve on our Board of Directors or MD&amp;C Committee.</w:t>
      </w:r>
    </w:p>
    <w:tbl>
      <w:tblPr>
        <w:tblLayout w:type="fixed"/>
        <w:tblInd w:w="820" w:type="dxa"/>
        <w:tblCellMar>
          <w:top w:w="0" w:type="dxa"/>
          <w:left w:w="0" w:type="dxa"/>
          <w:bottom w:w="0" w:type="dxa"/>
          <w:right w:w="0" w:type="dxa"/>
        </w:tblCellMar>
      </w:tblPr>
      <w:tr>
        <w:trPr>
          <w:trHeight w:val="442"/>
        </w:trPr>
        <w:tc>
          <w:tcPr>
            <w:tcW w:w="8940" w:type="dxa"/>
            <w:vAlign w:val="bottom"/>
            <w:gridSpan w:val="3"/>
          </w:tcPr>
          <w:p>
            <w:pPr>
              <w:spacing w:after="0" w:line="441" w:lineRule="exact"/>
              <w:rPr>
                <w:sz w:val="20"/>
                <w:szCs w:val="20"/>
                <w:color w:val="auto"/>
              </w:rPr>
            </w:pPr>
            <w:r>
              <w:rPr>
                <w:rFonts w:ascii="Arial" w:cs="Arial" w:eastAsia="Arial" w:hAnsi="Arial"/>
                <w:sz w:val="50"/>
                <w:szCs w:val="50"/>
                <w:b w:val="1"/>
                <w:bCs w:val="1"/>
                <w:color w:val="auto"/>
                <w:vertAlign w:val="superscript"/>
              </w:rPr>
              <w:t>​</w:t>
            </w:r>
            <w:r>
              <w:rPr>
                <w:rFonts w:ascii="Arial" w:cs="Arial" w:eastAsia="Arial" w:hAnsi="Arial"/>
                <w:sz w:val="25"/>
                <w:szCs w:val="25"/>
                <w:b w:val="1"/>
                <w:bCs w:val="1"/>
                <w:color w:val="auto"/>
              </w:rPr>
              <w:t>THE NOMINATING AND GOVERNANCE COMMITTEE</w:t>
            </w:r>
            <w:r>
              <w:rPr>
                <w:rFonts w:ascii="Arial" w:cs="Arial" w:eastAsia="Arial" w:hAnsi="Arial"/>
                <w:sz w:val="17"/>
                <w:szCs w:val="17"/>
                <w:color w:val="auto"/>
              </w:rPr>
              <w:t>​</w:t>
            </w:r>
          </w:p>
        </w:tc>
        <w:tc>
          <w:tcPr>
            <w:tcW w:w="160" w:type="dxa"/>
            <w:vAlign w:val="bottom"/>
          </w:tcPr>
          <w:p>
            <w:pPr>
              <w:ind w:left="80"/>
              <w:spacing w:after="0"/>
              <w:rPr>
                <w:sz w:val="20"/>
                <w:szCs w:val="20"/>
                <w:color w:val="auto"/>
              </w:rPr>
            </w:pPr>
            <w:r>
              <w:rPr>
                <w:rFonts w:ascii="Arial" w:cs="Arial" w:eastAsia="Arial" w:hAnsi="Arial"/>
                <w:sz w:val="25"/>
                <w:szCs w:val="25"/>
                <w:b w:val="1"/>
                <w:bCs w:val="1"/>
                <w:color w:val="auto"/>
              </w:rPr>
              <w:t>​</w:t>
            </w:r>
          </w:p>
        </w:tc>
      </w:tr>
      <w:tr>
        <w:trPr>
          <w:trHeight w:val="364"/>
        </w:trPr>
        <w:tc>
          <w:tcPr>
            <w:tcW w:w="2720" w:type="dxa"/>
            <w:vAlign w:val="bottom"/>
          </w:tcPr>
          <w:p>
            <w:pPr>
              <w:spacing w:after="0" w:line="36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Members:</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Number of Meetings Held in 2023:</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16"/>
        </w:trPr>
        <w:tc>
          <w:tcPr>
            <w:tcW w:w="2720" w:type="dxa"/>
            <w:vAlign w:val="bottom"/>
          </w:tcPr>
          <w:p>
            <w:pPr>
              <w:spacing w:after="0"/>
              <w:rPr>
                <w:sz w:val="18"/>
                <w:szCs w:val="18"/>
                <w:color w:val="auto"/>
              </w:rPr>
            </w:pPr>
          </w:p>
        </w:tc>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6</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2720" w:type="dxa"/>
            <w:vAlign w:val="bottom"/>
          </w:tcPr>
          <w:p>
            <w:pPr>
              <w:spacing w:after="0" w:line="256"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Victoria M. Holt, </w:t>
            </w:r>
            <w:r>
              <w:rPr>
                <w:rFonts w:ascii="Arial" w:cs="Arial" w:eastAsia="Arial" w:hAnsi="Arial"/>
                <w:sz w:val="16"/>
                <w:szCs w:val="16"/>
                <w:b w:val="1"/>
                <w:bCs w:val="1"/>
                <w:i w:val="1"/>
                <w:iCs w:val="1"/>
                <w:color w:val="auto"/>
              </w:rPr>
              <w:t>Chair</w:t>
            </w:r>
          </w:p>
        </w:tc>
        <w:tc>
          <w:tcPr>
            <w:tcW w:w="2840" w:type="dxa"/>
            <w:vAlign w:val="bottom"/>
          </w:tcPr>
          <w:p>
            <w:pPr>
              <w:ind w:left="460"/>
              <w:spacing w:after="0" w:line="256" w:lineRule="exact"/>
              <w:rPr>
                <w:sz w:val="20"/>
                <w:szCs w:val="20"/>
                <w:color w:val="auto"/>
              </w:rPr>
            </w:pPr>
            <w:r>
              <w:rPr>
                <w:rFonts w:ascii="Arial" w:cs="Arial" w:eastAsia="Arial" w:hAnsi="Arial"/>
                <w:sz w:val="29"/>
                <w:szCs w:val="29"/>
                <w:b w:val="1"/>
                <w:bCs w:val="1"/>
                <w:color w:val="auto"/>
                <w:vertAlign w:val="superscript"/>
              </w:rPr>
              <w:t>​ ​</w:t>
            </w:r>
            <w:r>
              <w:rPr>
                <w:rFonts w:ascii="Arial" w:cs="Arial" w:eastAsia="Arial" w:hAnsi="Arial"/>
                <w:sz w:val="16"/>
                <w:szCs w:val="16"/>
                <w:b w:val="1"/>
                <w:bCs w:val="1"/>
                <w:color w:val="auto"/>
              </w:rPr>
              <w:t xml:space="preserve"> John C. Pope</w:t>
            </w:r>
          </w:p>
        </w:tc>
        <w:tc>
          <w:tcPr>
            <w:tcW w:w="338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03"/>
        </w:trPr>
        <w:tc>
          <w:tcPr>
            <w:tcW w:w="27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284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Maryrose T. Sylvester</w:t>
            </w:r>
          </w:p>
        </w:tc>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7"/>
        </w:trPr>
        <w:tc>
          <w:tcPr>
            <w:tcW w:w="2720" w:type="dxa"/>
            <w:vAlign w:val="bottom"/>
          </w:tcPr>
          <w:p>
            <w:pPr>
              <w:ind w:left="100"/>
              <w:spacing w:after="0"/>
              <w:rPr>
                <w:sz w:val="20"/>
                <w:szCs w:val="20"/>
                <w:color w:val="auto"/>
              </w:rPr>
            </w:pPr>
            <w:r>
              <w:rPr>
                <w:rFonts w:ascii="Arial" w:cs="Arial" w:eastAsia="Arial" w:hAnsi="Arial"/>
                <w:sz w:val="18"/>
                <w:szCs w:val="18"/>
                <w:b w:val="1"/>
                <w:bCs w:val="1"/>
                <w:color w:val="auto"/>
              </w:rPr>
              <w:t>Sean E. Menke</w:t>
            </w:r>
          </w:p>
        </w:tc>
        <w:tc>
          <w:tcPr>
            <w:tcW w:w="28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jc w:val="both"/>
        <w:ind w:left="840" w:right="820" w:hanging="26"/>
        <w:spacing w:after="0" w:line="20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Ms. Holt was named Chair of our Nominating and Governance Committee in May 2023. Each member</w:t>
      </w:r>
      <w:r>
        <w:rPr>
          <w:rFonts w:ascii="Arial" w:cs="Arial" w:eastAsia="Arial" w:hAnsi="Arial"/>
          <w:sz w:val="35"/>
          <w:szCs w:val="35"/>
          <w:color w:val="auto"/>
          <w:vertAlign w:val="superscript"/>
        </w:rPr>
        <w:t>​</w:t>
      </w:r>
      <w:r>
        <w:rPr>
          <w:rFonts w:ascii="Arial" w:cs="Arial" w:eastAsia="Arial" w:hAnsi="Arial"/>
          <w:sz w:val="18"/>
          <w:szCs w:val="18"/>
          <w:color w:val="auto"/>
        </w:rPr>
        <w:t xml:space="preserve"> of our Nominating and Governance Committee is independent in accordance with the rules and regulations of the New York Stock Exchange.</w:t>
      </w:r>
    </w:p>
    <w:p>
      <w:pPr>
        <w:ind w:left="820"/>
        <w:spacing w:after="0" w:line="232"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r>
        <w:rPr>
          <w:sz w:val="20"/>
          <w:szCs w:val="20"/>
          <w:color w:val="auto"/>
        </w:rPr>
        <w:tab/>
      </w:r>
      <w:r>
        <w:rPr>
          <w:rFonts w:ascii="Arial" w:cs="Arial" w:eastAsia="Arial" w:hAnsi="Arial"/>
          <w:sz w:val="36"/>
          <w:szCs w:val="36"/>
          <w:color w:val="auto"/>
          <w:vertAlign w:val="superscript"/>
        </w:rPr>
        <w:t>​</w:t>
      </w:r>
    </w:p>
    <w:p>
      <w:pPr>
        <w:jc w:val="both"/>
        <w:ind w:left="840" w:right="880"/>
        <w:spacing w:after="0" w:line="247"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by accessing the “ESG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304" w:lineRule="exact"/>
        <w:rPr>
          <w:sz w:val="20"/>
          <w:szCs w:val="20"/>
          <w:color w:val="auto"/>
        </w:rPr>
      </w:pPr>
    </w:p>
    <w:p>
      <w:pPr>
        <w:ind w:left="1020" w:right="88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and recommend the composition of our Board, and the nature and duties of each of our committees, in accordance with our Corporate Governance Guidelines;</w:t>
      </w:r>
    </w:p>
    <w:p>
      <w:pPr>
        <w:spacing w:after="0" w:line="44" w:lineRule="exact"/>
        <w:rPr>
          <w:rFonts w:ascii="Arial" w:cs="Arial" w:eastAsia="Arial" w:hAnsi="Arial"/>
          <w:sz w:val="18"/>
          <w:szCs w:val="18"/>
          <w:color w:val="457157"/>
        </w:rPr>
      </w:pPr>
    </w:p>
    <w:p>
      <w:pPr>
        <w:ind w:left="1020" w:right="1160" w:hanging="177"/>
        <w:spacing w:after="0" w:line="248"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Evaluate the charters of each of the committees and recommend directors to serve as committee chairs;</w:t>
      </w:r>
    </w:p>
    <w:p>
      <w:pPr>
        <w:spacing w:after="0" w:line="299"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b w:val="1"/>
          <w:bCs w:val="1"/>
          <w:color w:val="457157"/>
        </w:rPr>
      </w:pPr>
      <w:r>
        <w:rPr>
          <w:rFonts w:ascii="Arial" w:cs="Arial" w:eastAsia="Arial" w:hAnsi="Arial"/>
          <w:sz w:val="18"/>
          <w:szCs w:val="18"/>
          <w:color w:val="auto"/>
        </w:rPr>
        <w:t>Review individual director’s performance in consultation with the Chair of the Board and review the overall effectiveness of the Board;</w:t>
      </w:r>
    </w:p>
    <w:p>
      <w:pPr>
        <w:spacing w:after="0" w:line="58" w:lineRule="exact"/>
        <w:rPr>
          <w:rFonts w:ascii="Arial" w:cs="Arial" w:eastAsia="Arial" w:hAnsi="Arial"/>
          <w:sz w:val="18"/>
          <w:szCs w:val="18"/>
          <w:b w:val="1"/>
          <w:bCs w:val="1"/>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Recommend retirement policies for the Board, the terms for directors and the proper ratio of employee directors to non-employee directors;</w:t>
      </w:r>
    </w:p>
    <w:p>
      <w:pPr>
        <w:spacing w:after="0" w:line="58"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b w:val="1"/>
          <w:bCs w:val="1"/>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8" w:lineRule="exact"/>
        <w:rPr>
          <w:rFonts w:ascii="Arial" w:cs="Arial" w:eastAsia="Arial" w:hAnsi="Arial"/>
          <w:sz w:val="18"/>
          <w:szCs w:val="18"/>
          <w:b w:val="1"/>
          <w:bCs w:val="1"/>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b w:val="1"/>
          <w:bCs w:val="1"/>
          <w:color w:val="457157"/>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44" w:lineRule="exact"/>
        <w:rPr>
          <w:rFonts w:ascii="Arial" w:cs="Arial" w:eastAsia="Arial" w:hAnsi="Arial"/>
          <w:sz w:val="18"/>
          <w:szCs w:val="18"/>
          <w:b w:val="1"/>
          <w:bCs w:val="1"/>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Identify and recommend to the Board candidates to fill director vacancies.</w:t>
      </w:r>
    </w:p>
    <w:p>
      <w:pPr>
        <w:spacing w:after="0" w:line="131" w:lineRule="exact"/>
        <w:rPr>
          <w:sz w:val="20"/>
          <w:szCs w:val="20"/>
          <w:color w:val="auto"/>
        </w:rPr>
      </w:pPr>
    </w:p>
    <w:p>
      <w:pPr>
        <w:jc w:val="both"/>
        <w:ind w:left="840" w:right="880"/>
        <w:spacing w:after="0" w:line="248" w:lineRule="auto"/>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321" w:lineRule="exact"/>
        <w:rPr>
          <w:sz w:val="20"/>
          <w:szCs w:val="20"/>
          <w:color w:val="auto"/>
        </w:rPr>
      </w:pPr>
    </w:p>
    <w:p>
      <w:pPr>
        <w:jc w:val="both"/>
        <w:ind w:left="840" w:right="880"/>
        <w:spacing w:after="0" w:line="246" w:lineRule="auto"/>
        <w:rPr>
          <w:sz w:val="20"/>
          <w:szCs w:val="20"/>
          <w:color w:val="auto"/>
        </w:rPr>
      </w:pPr>
      <w:r>
        <w:rPr>
          <w:rFonts w:ascii="Arial" w:cs="Arial" w:eastAsia="Arial" w:hAnsi="Arial"/>
          <w:sz w:val="18"/>
          <w:szCs w:val="18"/>
          <w:color w:val="auto"/>
        </w:rPr>
        <w:t>With the assistance of an external consultant, the Nominating and Governance Committee identified Mr. Thomas L. Bené as a potential director candidate. Following a robust consideration process summarized below and recommendation by the Nominating and Governance Committee, the Board</w:t>
      </w:r>
    </w:p>
    <w:tbl>
      <w:tblPr>
        <w:tblLayout w:type="fixed"/>
        <w:tblInd w:w="0" w:type="dxa"/>
        <w:tblCellMar>
          <w:top w:w="0" w:type="dxa"/>
          <w:left w:w="0" w:type="dxa"/>
          <w:bottom w:w="0" w:type="dxa"/>
          <w:right w:w="0" w:type="dxa"/>
        </w:tblCellMar>
      </w:tblPr>
      <w:tr>
        <w:trPr>
          <w:trHeight w:val="187"/>
        </w:trPr>
        <w:tc>
          <w:tcPr>
            <w:tcW w:w="820" w:type="dxa"/>
            <w:vAlign w:val="bottom"/>
          </w:tcPr>
          <w:p>
            <w:pPr>
              <w:spacing w:after="0"/>
              <w:rPr>
                <w:sz w:val="16"/>
                <w:szCs w:val="16"/>
                <w:color w:val="auto"/>
              </w:rPr>
            </w:pPr>
          </w:p>
        </w:tc>
        <w:tc>
          <w:tcPr>
            <w:tcW w:w="9060" w:type="dxa"/>
            <w:vAlign w:val="bottom"/>
            <w:gridSpan w:val="2"/>
          </w:tcPr>
          <w:p>
            <w:pPr>
              <w:ind w:left="20"/>
              <w:spacing w:after="0" w:line="187" w:lineRule="exact"/>
              <w:rPr>
                <w:sz w:val="20"/>
                <w:szCs w:val="20"/>
                <w:color w:val="auto"/>
              </w:rPr>
            </w:pPr>
            <w:r>
              <w:rPr>
                <w:rFonts w:ascii="Arial" w:cs="Arial" w:eastAsia="Arial" w:hAnsi="Arial"/>
                <w:sz w:val="18"/>
                <w:szCs w:val="18"/>
                <w:color w:val="auto"/>
              </w:rPr>
              <w:t>increased its size to 10 members and elected Mr. Bené to serve as a member of our Board, effective</w:t>
            </w:r>
          </w:p>
        </w:tc>
        <w:tc>
          <w:tcPr>
            <w:tcW w:w="840" w:type="dxa"/>
            <w:vAlign w:val="bottom"/>
          </w:tcPr>
          <w:p>
            <w:pPr>
              <w:spacing w:after="0"/>
              <w:rPr>
                <w:sz w:val="16"/>
                <w:szCs w:val="16"/>
                <w:color w:val="auto"/>
              </w:rPr>
            </w:pPr>
          </w:p>
        </w:tc>
      </w:tr>
      <w:tr>
        <w:trPr>
          <w:trHeight w:val="181"/>
        </w:trPr>
        <w:tc>
          <w:tcPr>
            <w:tcW w:w="820" w:type="dxa"/>
            <w:vAlign w:val="bottom"/>
          </w:tcPr>
          <w:p>
            <w:pPr>
              <w:spacing w:after="0"/>
              <w:rPr>
                <w:sz w:val="15"/>
                <w:szCs w:val="15"/>
                <w:color w:val="auto"/>
              </w:rPr>
            </w:pPr>
          </w:p>
        </w:tc>
        <w:tc>
          <w:tcPr>
            <w:tcW w:w="90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March 1, 2024. The Nominating and Governance Committee also recommended, and the Board</w:t>
            </w:r>
          </w:p>
        </w:tc>
        <w:tc>
          <w:tcPr>
            <w:tcW w:w="840" w:type="dxa"/>
            <w:vAlign w:val="bottom"/>
          </w:tcPr>
          <w:p>
            <w:pPr>
              <w:spacing w:after="0"/>
              <w:rPr>
                <w:sz w:val="15"/>
                <w:szCs w:val="15"/>
                <w:color w:val="auto"/>
              </w:rPr>
            </w:pPr>
          </w:p>
        </w:tc>
      </w:tr>
      <w:tr>
        <w:trPr>
          <w:trHeight w:val="81"/>
        </w:trPr>
        <w:tc>
          <w:tcPr>
            <w:tcW w:w="820" w:type="dxa"/>
            <w:vAlign w:val="bottom"/>
          </w:tcPr>
          <w:p>
            <w:pPr>
              <w:spacing w:after="0"/>
              <w:rPr>
                <w:sz w:val="7"/>
                <w:szCs w:val="7"/>
                <w:color w:val="auto"/>
              </w:rPr>
            </w:pPr>
          </w:p>
        </w:tc>
        <w:tc>
          <w:tcPr>
            <w:tcW w:w="940" w:type="dxa"/>
            <w:vAlign w:val="bottom"/>
          </w:tcPr>
          <w:p>
            <w:pPr>
              <w:spacing w:after="0" w:line="81" w:lineRule="exact"/>
              <w:rPr>
                <w:sz w:val="20"/>
                <w:szCs w:val="20"/>
                <w:color w:val="auto"/>
              </w:rPr>
            </w:pPr>
            <w:r>
              <w:rPr>
                <w:rFonts w:ascii="Arial" w:cs="Arial" w:eastAsia="Arial" w:hAnsi="Arial"/>
                <w:sz w:val="9"/>
                <w:szCs w:val="9"/>
                <w:color w:val="auto"/>
              </w:rPr>
              <w:t>12</w:t>
            </w:r>
          </w:p>
        </w:tc>
        <w:tc>
          <w:tcPr>
            <w:tcW w:w="8120" w:type="dxa"/>
            <w:vAlign w:val="bottom"/>
          </w:tcPr>
          <w:p>
            <w:pPr>
              <w:ind w:left="660"/>
              <w:spacing w:after="0" w:line="81" w:lineRule="exact"/>
              <w:rPr>
                <w:sz w:val="20"/>
                <w:szCs w:val="20"/>
                <w:color w:val="auto"/>
              </w:rPr>
            </w:pPr>
            <w:r>
              <w:rPr>
                <w:rFonts w:ascii="Arial" w:cs="Arial" w:eastAsia="Arial" w:hAnsi="Arial"/>
                <w:sz w:val="9"/>
                <w:szCs w:val="9"/>
                <w:color w:val="auto"/>
              </w:rPr>
              <w:t>2024 Proxy Statement</w:t>
            </w:r>
          </w:p>
        </w:tc>
        <w:tc>
          <w:tcPr>
            <w:tcW w:w="840" w:type="dxa"/>
            <w:vAlign w:val="bottom"/>
          </w:tcPr>
          <w:p>
            <w:pPr>
              <w:spacing w:after="0"/>
              <w:rPr>
                <w:sz w:val="7"/>
                <w:szCs w:val="7"/>
                <w:color w:val="auto"/>
              </w:rPr>
            </w:pPr>
          </w:p>
        </w:tc>
      </w:tr>
      <w:tr>
        <w:trPr>
          <w:trHeight w:val="157"/>
        </w:trPr>
        <w:tc>
          <w:tcPr>
            <w:tcW w:w="820" w:type="dxa"/>
            <w:vAlign w:val="bottom"/>
          </w:tcPr>
          <w:p>
            <w:pPr>
              <w:spacing w:after="0"/>
              <w:rPr>
                <w:sz w:val="13"/>
                <w:szCs w:val="13"/>
                <w:color w:val="auto"/>
              </w:rPr>
            </w:pPr>
          </w:p>
        </w:tc>
        <w:tc>
          <w:tcPr>
            <w:tcW w:w="940" w:type="dxa"/>
            <w:vAlign w:val="bottom"/>
          </w:tcPr>
          <w:p>
            <w:pPr>
              <w:ind w:left="20"/>
              <w:spacing w:after="0" w:line="157" w:lineRule="exact"/>
              <w:rPr>
                <w:sz w:val="20"/>
                <w:szCs w:val="20"/>
                <w:color w:val="auto"/>
              </w:rPr>
            </w:pPr>
            <w:r>
              <w:rPr>
                <w:rFonts w:ascii="Arial" w:cs="Arial" w:eastAsia="Arial" w:hAnsi="Arial"/>
                <w:sz w:val="13"/>
                <w:szCs w:val="13"/>
                <w:color w:val="auto"/>
              </w:rPr>
              <w:t>approved,</w:t>
            </w:r>
            <w:r>
              <w:rPr>
                <w:rFonts w:ascii="Arial" w:cs="Arial" w:eastAsia="Arial" w:hAnsi="Arial"/>
                <w:sz w:val="18"/>
                <w:szCs w:val="18"/>
                <w:b w:val="1"/>
                <w:bCs w:val="1"/>
                <w:color w:val="457157"/>
                <w:vertAlign w:val="superscript"/>
              </w:rPr>
              <w:t>|</w:t>
            </w:r>
          </w:p>
        </w:tc>
        <w:tc>
          <w:tcPr>
            <w:tcW w:w="8120" w:type="dxa"/>
            <w:vAlign w:val="bottom"/>
          </w:tcPr>
          <w:p>
            <w:pPr>
              <w:ind w:left="20"/>
              <w:spacing w:after="0" w:line="157" w:lineRule="exact"/>
              <w:rPr>
                <w:sz w:val="20"/>
                <w:szCs w:val="20"/>
                <w:color w:val="auto"/>
              </w:rPr>
            </w:pPr>
            <w:r>
              <w:rPr>
                <w:rFonts w:ascii="Arial" w:cs="Arial" w:eastAsia="Arial" w:hAnsi="Arial"/>
                <w:sz w:val="18"/>
                <w:szCs w:val="18"/>
                <w:color w:val="auto"/>
              </w:rPr>
              <w:t>appointment of Mr. Bené to the MD&amp;C Committee. Mr. Bené is a nominee for re-election at</w:t>
            </w:r>
          </w:p>
        </w:tc>
        <w:tc>
          <w:tcPr>
            <w:tcW w:w="840" w:type="dxa"/>
            <w:vAlign w:val="bottom"/>
          </w:tcPr>
          <w:p>
            <w:pPr>
              <w:spacing w:after="0"/>
              <w:rPr>
                <w:sz w:val="13"/>
                <w:szCs w:val="13"/>
                <w:color w:val="auto"/>
              </w:rPr>
            </w:pPr>
          </w:p>
        </w:tc>
      </w:tr>
      <w:tr>
        <w:trPr>
          <w:trHeight w:val="239"/>
        </w:trPr>
        <w:tc>
          <w:tcPr>
            <w:tcW w:w="820" w:type="dxa"/>
            <w:vAlign w:val="bottom"/>
          </w:tcPr>
          <w:p>
            <w:pPr>
              <w:spacing w:after="0"/>
              <w:rPr>
                <w:sz w:val="20"/>
                <w:szCs w:val="20"/>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color w:val="auto"/>
              </w:rPr>
              <w:t>the Annual Meeting.</w:t>
            </w:r>
          </w:p>
        </w:tc>
        <w:tc>
          <w:tcPr>
            <w:tcW w:w="840" w:type="dxa"/>
            <w:vAlign w:val="bottom"/>
          </w:tcPr>
          <w:p>
            <w:pPr>
              <w:spacing w:after="0"/>
              <w:rPr>
                <w:sz w:val="20"/>
                <w:szCs w:val="20"/>
                <w:color w:val="auto"/>
              </w:rPr>
            </w:pPr>
          </w:p>
        </w:tc>
      </w:tr>
      <w:tr>
        <w:trPr>
          <w:trHeight w:val="91"/>
        </w:trPr>
        <w:tc>
          <w:tcPr>
            <w:tcW w:w="820" w:type="dxa"/>
            <w:vAlign w:val="bottom"/>
          </w:tcPr>
          <w:p>
            <w:pPr>
              <w:spacing w:after="0"/>
              <w:rPr>
                <w:sz w:val="7"/>
                <w:szCs w:val="7"/>
                <w:color w:val="auto"/>
              </w:rPr>
            </w:pPr>
          </w:p>
        </w:tc>
        <w:tc>
          <w:tcPr>
            <w:tcW w:w="940" w:type="dxa"/>
            <w:vAlign w:val="bottom"/>
            <w:tcBorders>
              <w:bottom w:val="single" w:sz="8" w:color="457157"/>
            </w:tcBorders>
          </w:tcPr>
          <w:p>
            <w:pPr>
              <w:spacing w:after="0"/>
              <w:rPr>
                <w:sz w:val="7"/>
                <w:szCs w:val="7"/>
                <w:color w:val="auto"/>
              </w:rPr>
            </w:pPr>
          </w:p>
        </w:tc>
        <w:tc>
          <w:tcPr>
            <w:tcW w:w="8120" w:type="dxa"/>
            <w:vAlign w:val="bottom"/>
            <w:tcBorders>
              <w:bottom w:val="single" w:sz="8" w:color="457157"/>
            </w:tcBorders>
          </w:tcPr>
          <w:p>
            <w:pPr>
              <w:spacing w:after="0"/>
              <w:rPr>
                <w:sz w:val="7"/>
                <w:szCs w:val="7"/>
                <w:color w:val="auto"/>
              </w:rPr>
            </w:pPr>
          </w:p>
        </w:tc>
        <w:tc>
          <w:tcPr>
            <w:tcW w:w="840" w:type="dxa"/>
            <w:vAlign w:val="bottom"/>
          </w:tcPr>
          <w:p>
            <w:pPr>
              <w:spacing w:after="0"/>
              <w:rPr>
                <w:sz w:val="7"/>
                <w:szCs w:val="7"/>
                <w:color w:val="auto"/>
              </w:rPr>
            </w:pPr>
          </w:p>
        </w:tc>
      </w:tr>
      <w:tr>
        <w:trPr>
          <w:trHeight w:val="325"/>
        </w:trPr>
        <w:tc>
          <w:tcPr>
            <w:tcW w:w="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68"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Nominating and Governance Committee considers current and future needs of the Board as 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-1697355</wp:posOffset>
            </wp:positionV>
            <wp:extent cx="5760720" cy="5237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0720" cy="5237480"/>
                    </a:xfrm>
                    <a:prstGeom prst="rect">
                      <a:avLst/>
                    </a:prstGeom>
                    <a:noFill/>
                  </pic:spPr>
                </pic:pic>
              </a:graphicData>
            </a:graphic>
          </wp:anchor>
        </w:drawing>
      </w:r>
    </w:p>
    <w:p>
      <w:pPr>
        <w:spacing w:after="0" w:line="127"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When nominating or re-nominating individuals to serve as directors of the Company, the Nominating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376" w:lineRule="exact"/>
        <w:rPr>
          <w:sz w:val="20"/>
          <w:szCs w:val="20"/>
          <w:color w:val="auto"/>
        </w:rPr>
      </w:pPr>
    </w:p>
    <w:p>
      <w:pPr>
        <w:jc w:val="both"/>
        <w:ind w:left="840" w:right="80"/>
        <w:spacing w:after="0" w:line="245" w:lineRule="auto"/>
        <w:rPr>
          <w:sz w:val="20"/>
          <w:szCs w:val="20"/>
          <w:color w:val="auto"/>
        </w:rPr>
      </w:pPr>
      <w:r>
        <w:rPr>
          <w:rFonts w:ascii="Arial" w:cs="Arial" w:eastAsia="Arial" w:hAnsi="Arial"/>
          <w:sz w:val="18"/>
          <w:szCs w:val="18"/>
          <w:color w:val="auto"/>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Waste Management, Inc., 800 Capitol Street, Suite 3000, Houston, Texas 77002, between November 3, 2024 and December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167640</wp:posOffset>
            </wp:positionV>
            <wp:extent cx="57607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Related Party Transactions</w:t>
      </w:r>
    </w:p>
    <w:p>
      <w:pPr>
        <w:spacing w:after="0" w:line="99"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w:t>
      </w:r>
    </w:p>
    <w:p>
      <w:pPr>
        <w:spacing w:after="0" w:line="210" w:lineRule="exact"/>
        <w:rPr>
          <w:sz w:val="20"/>
          <w:szCs w:val="20"/>
          <w:color w:val="auto"/>
        </w:rPr>
      </w:pPr>
    </w:p>
    <w:p>
      <w:pPr>
        <w:jc w:val="both"/>
        <w:ind w:left="820" w:right="60" w:hanging="4"/>
        <w:spacing w:after="0" w:line="253" w:lineRule="auto"/>
        <w:tabs>
          <w:tab w:leader="none" w:pos="11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6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w:t>
      </w:r>
    </w:p>
    <w:p>
      <w:pPr>
        <w:spacing w:after="0" w:line="25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703"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49"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273"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45" w:lineRule="exact"/>
        <w:rPr>
          <w:sz w:val="20"/>
          <w:szCs w:val="20"/>
          <w:color w:val="auto"/>
        </w:rPr>
      </w:pPr>
    </w:p>
    <w:p>
      <w:pPr>
        <w:ind w:left="1360" w:right="80" w:hanging="184"/>
        <w:spacing w:after="0" w:line="287" w:lineRule="auto"/>
        <w:tabs>
          <w:tab w:leader="none" w:pos="1360" w:val="left"/>
        </w:tabs>
        <w:numPr>
          <w:ilvl w:val="0"/>
          <w:numId w:val="13"/>
        </w:numPr>
        <w:rPr>
          <w:rFonts w:ascii="Arial" w:cs="Arial" w:eastAsia="Arial" w:hAnsi="Arial"/>
          <w:sz w:val="18"/>
          <w:szCs w:val="18"/>
          <w:color w:val="457157"/>
        </w:rPr>
      </w:pPr>
      <w:r>
        <w:rPr>
          <w:rFonts w:ascii="Arial" w:cs="Arial" w:eastAsia="Arial" w:hAnsi="Arial"/>
          <w:sz w:val="18"/>
          <w:szCs w:val="18"/>
          <w:color w:val="auto"/>
        </w:rPr>
        <w:t>whether the terms of the related party transaction are fair to the Company and such terms would be reasonable in an arms-length transaction;</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3"/>
        </w:numPr>
        <w:rPr>
          <w:rFonts w:ascii="Arial" w:cs="Arial" w:eastAsia="Arial" w:hAnsi="Arial"/>
          <w:sz w:val="18"/>
          <w:szCs w:val="18"/>
          <w:color w:val="457157"/>
        </w:rPr>
      </w:pPr>
      <w:r>
        <w:rPr>
          <w:rFonts w:ascii="Arial" w:cs="Arial" w:eastAsia="Arial" w:hAnsi="Arial"/>
          <w:sz w:val="18"/>
          <w:szCs w:val="18"/>
          <w:color w:val="auto"/>
        </w:rPr>
        <w:t>whether there are business reasons for the Company to enter into the related party transaction;</w:t>
      </w:r>
    </w:p>
    <w:p>
      <w:pPr>
        <w:spacing w:after="0" w:line="117" w:lineRule="exact"/>
        <w:rPr>
          <w:rFonts w:ascii="Arial" w:cs="Arial" w:eastAsia="Arial" w:hAnsi="Arial"/>
          <w:sz w:val="18"/>
          <w:szCs w:val="18"/>
          <w:color w:val="457157"/>
        </w:rPr>
      </w:pPr>
    </w:p>
    <w:p>
      <w:pPr>
        <w:ind w:left="1360" w:right="620" w:hanging="184"/>
        <w:spacing w:after="0" w:line="263" w:lineRule="auto"/>
        <w:tabs>
          <w:tab w:leader="none" w:pos="1360" w:val="left"/>
        </w:tabs>
        <w:numPr>
          <w:ilvl w:val="0"/>
          <w:numId w:val="13"/>
        </w:numPr>
        <w:rPr>
          <w:rFonts w:ascii="Arial" w:cs="Arial" w:eastAsia="Arial" w:hAnsi="Arial"/>
          <w:sz w:val="18"/>
          <w:szCs w:val="18"/>
          <w:color w:val="457157"/>
        </w:rPr>
      </w:pPr>
      <w:r>
        <w:rPr>
          <w:rFonts w:ascii="Arial" w:cs="Arial" w:eastAsia="Arial" w:hAnsi="Arial"/>
          <w:sz w:val="18"/>
          <w:szCs w:val="18"/>
          <w:color w:val="auto"/>
        </w:rPr>
        <w:t>whether the related party transaction would impair the independence of any non-employee director;</w:t>
      </w:r>
    </w:p>
    <w:p>
      <w:pPr>
        <w:spacing w:after="0" w:line="313" w:lineRule="exact"/>
        <w:rPr>
          <w:rFonts w:ascii="Arial" w:cs="Arial" w:eastAsia="Arial" w:hAnsi="Arial"/>
          <w:sz w:val="18"/>
          <w:szCs w:val="18"/>
          <w:color w:val="457157"/>
        </w:rPr>
      </w:pPr>
    </w:p>
    <w:p>
      <w:pPr>
        <w:ind w:left="1360" w:right="80" w:hanging="184"/>
        <w:spacing w:after="0" w:line="287" w:lineRule="auto"/>
        <w:tabs>
          <w:tab w:leader="none" w:pos="1360" w:val="left"/>
        </w:tabs>
        <w:numPr>
          <w:ilvl w:val="0"/>
          <w:numId w:val="13"/>
        </w:numPr>
        <w:rPr>
          <w:rFonts w:ascii="Arial" w:cs="Arial" w:eastAsia="Arial" w:hAnsi="Arial"/>
          <w:sz w:val="18"/>
          <w:szCs w:val="18"/>
          <w:color w:val="457157"/>
        </w:rPr>
      </w:pPr>
      <w:r>
        <w:rPr>
          <w:rFonts w:ascii="Arial" w:cs="Arial" w:eastAsia="Arial" w:hAnsi="Arial"/>
          <w:sz w:val="18"/>
          <w:szCs w:val="18"/>
          <w:color w:val="auto"/>
        </w:rPr>
        <w:t>whether the related party transaction would present an improper conflict of interest for any director or executive officer of the Company; and</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3"/>
        </w:numPr>
        <w:rPr>
          <w:rFonts w:ascii="Arial" w:cs="Arial" w:eastAsia="Arial" w:hAnsi="Arial"/>
          <w:sz w:val="18"/>
          <w:szCs w:val="18"/>
          <w:color w:val="457157"/>
        </w:rPr>
      </w:pPr>
      <w:r>
        <w:rPr>
          <w:rFonts w:ascii="Arial" w:cs="Arial" w:eastAsia="Arial" w:hAnsi="Arial"/>
          <w:sz w:val="18"/>
          <w:szCs w:val="18"/>
          <w:color w:val="auto"/>
        </w:rPr>
        <w:t>whether the related party transaction is material to the Company or the individual.</w:t>
      </w:r>
    </w:p>
    <w:p>
      <w:pPr>
        <w:spacing w:after="0" w:line="77" w:lineRule="exact"/>
        <w:rPr>
          <w:sz w:val="20"/>
          <w:szCs w:val="20"/>
          <w:color w:val="auto"/>
        </w:rPr>
      </w:pPr>
    </w:p>
    <w:p>
      <w:pPr>
        <w:ind w:left="820" w:right="60"/>
        <w:spacing w:after="0" w:line="245"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w:t>
      </w:r>
    </w:p>
    <w:p>
      <w:pPr>
        <w:ind w:left="820" w:right="80"/>
        <w:spacing w:after="0" w:line="226" w:lineRule="auto"/>
        <w:rPr>
          <w:sz w:val="20"/>
          <w:szCs w:val="20"/>
          <w:color w:val="auto"/>
        </w:rPr>
      </w:pPr>
      <w:r>
        <w:rPr>
          <w:rFonts w:ascii="Arial" w:cs="Arial" w:eastAsia="Arial" w:hAnsi="Arial"/>
          <w:sz w:val="18"/>
          <w:szCs w:val="18"/>
          <w:color w:val="auto"/>
        </w:rPr>
        <w:t>and Governance Committee’s meetings. Based on its review processes for potential related party transactions in 2023, the Company identified certain continuing transactions involving employment of</w:t>
      </w:r>
    </w:p>
    <w:p>
      <w:pPr>
        <w:ind w:left="820"/>
        <w:spacing w:after="0" w:line="236" w:lineRule="auto"/>
        <w:rPr>
          <w:sz w:val="20"/>
          <w:szCs w:val="20"/>
          <w:color w:val="auto"/>
        </w:rPr>
      </w:pPr>
      <w:r>
        <w:rPr>
          <w:rFonts w:ascii="Arial" w:cs="Arial" w:eastAsia="Arial" w:hAnsi="Arial"/>
          <w:sz w:val="18"/>
          <w:szCs w:val="18"/>
          <w:color w:val="auto"/>
        </w:rPr>
        <w:t>immediate family members of executive officers that the Nominating and Governance Committee had</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previously considered and approved. The Nominating and Governance Committee re-reviewed the employment relationships set forth below and again concluded that such transactions are not</w:t>
      </w:r>
    </w:p>
    <w:p>
      <w:pPr>
        <w:spacing w:after="0" w:line="2" w:lineRule="exact"/>
        <w:rPr>
          <w:sz w:val="20"/>
          <w:szCs w:val="20"/>
          <w:color w:val="auto"/>
        </w:rPr>
      </w:pPr>
    </w:p>
    <w:p>
      <w:pPr>
        <w:ind w:left="820" w:right="60"/>
        <w:spacing w:after="0" w:line="250" w:lineRule="auto"/>
        <w:rPr>
          <w:sz w:val="20"/>
          <w:szCs w:val="20"/>
          <w:color w:val="auto"/>
        </w:rPr>
      </w:pPr>
      <w:r>
        <w:rPr>
          <w:rFonts w:ascii="Arial" w:cs="Arial" w:eastAsia="Arial" w:hAnsi="Arial"/>
          <w:sz w:val="18"/>
          <w:szCs w:val="18"/>
          <w:color w:val="auto"/>
        </w:rPr>
        <w:t>inconsistent with the interests of the Company and its stockholders. Other than as reported below, we are not aware of any other transactions in 2023 that are required to be disclosed.</w:t>
      </w:r>
    </w:p>
    <w:p>
      <w:pPr>
        <w:spacing w:after="0" w:line="50" w:lineRule="exact"/>
        <w:rPr>
          <w:sz w:val="20"/>
          <w:szCs w:val="20"/>
          <w:color w:val="auto"/>
        </w:rPr>
      </w:pPr>
    </w:p>
    <w:p>
      <w:pPr>
        <w:jc w:val="both"/>
        <w:ind w:left="1180" w:right="60"/>
        <w:spacing w:after="0" w:line="255" w:lineRule="auto"/>
        <w:rPr>
          <w:sz w:val="20"/>
          <w:szCs w:val="20"/>
          <w:color w:val="auto"/>
        </w:rPr>
      </w:pPr>
      <w:r>
        <w:rPr>
          <w:rFonts w:ascii="Arial" w:cs="Arial" w:eastAsia="Arial" w:hAnsi="Arial"/>
          <w:sz w:val="18"/>
          <w:szCs w:val="18"/>
          <w:color w:val="auto"/>
        </w:rPr>
        <w:t>Two brothers of Kelly Rooney, our Senior Vice President and Chief Human Resources and Diversity &amp; Inclusion Officer, continue to be employed by subsidiaries of Waste Management, Inc. as Senior District Managers. Each received total cash compensation in 2023 in excess of $120,000 but less than $260,000, and an equity incentive grant with a target value of less than $15,000.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In addition, Ms. Rooney is not directly or indirectly responsible for managing or overseeing the work of her brothers.</w:t>
      </w:r>
    </w:p>
    <w:p>
      <w:pPr>
        <w:spacing w:after="0" w:line="279" w:lineRule="exact"/>
        <w:rPr>
          <w:sz w:val="20"/>
          <w:szCs w:val="20"/>
          <w:color w:val="auto"/>
        </w:rPr>
      </w:pPr>
    </w:p>
    <w:p>
      <w:pPr>
        <w:jc w:val="both"/>
        <w:ind w:left="1180" w:right="60"/>
        <w:spacing w:after="0" w:line="255" w:lineRule="auto"/>
        <w:rPr>
          <w:sz w:val="20"/>
          <w:szCs w:val="20"/>
          <w:color w:val="auto"/>
        </w:rPr>
      </w:pPr>
      <w:r>
        <w:rPr>
          <w:rFonts w:ascii="Arial" w:cs="Arial" w:eastAsia="Arial" w:hAnsi="Arial"/>
          <w:sz w:val="18"/>
          <w:szCs w:val="18"/>
          <w:color w:val="auto"/>
        </w:rPr>
        <w:t>The brother- in-law of John Morris, our Executive Vice President and Chief Operating Officer, continues to be employed by a subsidiary of Waste Management, Inc. as a Senior Manager of Talent Management &amp; Learning Optimization. In 2023, he received total cash compensation in excess of $120,000, but less than $200,000.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In addition, Mr. Morris is not directly or indirectly responsible for managing or overseeing the work of his brother-in-law.</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Board of Directors Governing Documents</w:t>
      </w:r>
    </w:p>
    <w:p>
      <w:pPr>
        <w:spacing w:after="0" w:line="85"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“ESG — Corporate Governance” section of investors.wm.com.</w:t>
      </w:r>
    </w:p>
    <w:p>
      <w:pPr>
        <w:spacing w:after="0" w:line="37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Non-Employee Director Compensation</w:t>
      </w:r>
    </w:p>
    <w:p>
      <w:pPr>
        <w:spacing w:after="0" w:line="99"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Our non-employee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 Following its annual review, the MD&amp;C Committee did not recommend any changes to director compensation for 2023. As a result, the 2023 non-employee director compensation levels are consistent with the levels established in 2022.</w:t>
      </w:r>
    </w:p>
    <w:p>
      <w:pPr>
        <w:spacing w:after="0" w:line="200" w:lineRule="exact"/>
        <w:rPr>
          <w:sz w:val="20"/>
          <w:szCs w:val="20"/>
          <w:color w:val="auto"/>
        </w:r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88"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Non-employee directors receive an annual grant of shares of Common Stock under the Company’s current stock incentive plan. The shares are fully vested at the time of grant; however, non -employee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$90,000 in January 2023 and July 2023. Additionally, any director serving as Non-Executive Chair of the Board receives an additional grant of Common Stock valued at approximately $50,000 in January and July of each year.</w:t>
      </w:r>
    </w:p>
    <w:p>
      <w:pPr>
        <w:spacing w:after="0" w:line="200" w:lineRule="exact"/>
        <w:rPr>
          <w:sz w:val="20"/>
          <w:szCs w:val="20"/>
          <w:color w:val="auto"/>
        </w:rPr>
      </w:pPr>
    </w:p>
    <w:p>
      <w:pPr>
        <w:spacing w:after="0" w:line="21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88" w:lineRule="exact"/>
        <w:rPr>
          <w:sz w:val="20"/>
          <w:szCs w:val="20"/>
          <w:color w:val="auto"/>
        </w:rPr>
      </w:pPr>
    </w:p>
    <w:p>
      <w:pPr>
        <w:jc w:val="both"/>
        <w:ind w:left="820" w:right="60"/>
        <w:spacing w:after="0" w:line="273" w:lineRule="auto"/>
        <w:rPr>
          <w:sz w:val="20"/>
          <w:szCs w:val="20"/>
          <w:color w:val="auto"/>
        </w:rPr>
      </w:pPr>
      <w:r>
        <w:rPr>
          <w:rFonts w:ascii="Arial" w:cs="Arial" w:eastAsia="Arial" w:hAnsi="Arial"/>
          <w:sz w:val="18"/>
          <w:szCs w:val="18"/>
          <w:color w:val="auto"/>
        </w:rPr>
        <w:t>Non-employee directors received an annual cash retainer of $120,000 for Board service in 2023. Committee chairs received the additional annual retainer payments set forth below. Directors do not receive meeting fees in addition to the retainers. The annual cash retainer is generally paid in advance in two equal installments in January and July of each year.</w:t>
      </w:r>
    </w:p>
    <w:p>
      <w:pPr>
        <w:spacing w:after="0" w:line="71" w:lineRule="exact"/>
        <w:rPr>
          <w:sz w:val="20"/>
          <w:szCs w:val="20"/>
          <w:color w:val="auto"/>
        </w:rPr>
      </w:pPr>
    </w:p>
    <w:p>
      <w:pPr>
        <w:ind w:left="3600" w:right="2200" w:hanging="2069"/>
        <w:spacing w:after="0" w:line="26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MD&amp;C Committee Chair</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Nominating and Governance Committee Chair</w:t>
      </w: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02"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2023, this amount was $600,000.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5, 2024, all non-employee directors have reached the ownership guideline with the exception of our two newest directors, Mr. Bené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2023 Director Compensation Table</w:t>
      </w:r>
    </w:p>
    <w:p>
      <w:pPr>
        <w:spacing w:after="0" w:line="102" w:lineRule="exact"/>
        <w:rPr>
          <w:sz w:val="20"/>
          <w:szCs w:val="20"/>
          <w:color w:val="auto"/>
        </w:rPr>
      </w:pPr>
    </w:p>
    <w:p>
      <w:pPr>
        <w:ind w:left="820" w:right="80"/>
        <w:spacing w:after="0" w:line="28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2023 in accordance with the descriptions set forth above:</w:t>
      </w:r>
    </w:p>
    <w:p>
      <w:pPr>
        <w:spacing w:after="0" w:line="4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457157"/>
              </w:rPr>
              <w:t>Fees Earned</w:t>
            </w:r>
          </w:p>
        </w:tc>
        <w:tc>
          <w:tcPr>
            <w:tcW w:w="8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457157"/>
              </w:rPr>
              <w:t>Stock</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w:t>
            </w:r>
          </w:p>
        </w:tc>
        <w:tc>
          <w:tcPr>
            <w:tcW w:w="1320" w:type="dxa"/>
            <w:vAlign w:val="bottom"/>
          </w:tcPr>
          <w:p>
            <w:pPr>
              <w:spacing w:after="0"/>
              <w:rPr>
                <w:sz w:val="12"/>
                <w:szCs w:val="12"/>
                <w:color w:val="auto"/>
              </w:rPr>
            </w:pPr>
          </w:p>
        </w:tc>
        <w:tc>
          <w:tcPr>
            <w:tcW w:w="106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457157"/>
              </w:rPr>
              <w:t>or Paid in</w:t>
            </w:r>
          </w:p>
        </w:tc>
        <w:tc>
          <w:tcPr>
            <w:tcW w:w="880" w:type="dxa"/>
            <w:vAlign w:val="bottom"/>
            <w:gridSpan w:val="2"/>
          </w:tcPr>
          <w:p>
            <w:pPr>
              <w:jc w:val="right"/>
              <w:ind w:right="55"/>
              <w:spacing w:after="0" w:line="149" w:lineRule="exact"/>
              <w:rPr>
                <w:sz w:val="20"/>
                <w:szCs w:val="20"/>
                <w:color w:val="auto"/>
              </w:rPr>
            </w:pPr>
            <w:r>
              <w:rPr>
                <w:rFonts w:ascii="Arial" w:cs="Arial" w:eastAsia="Arial" w:hAnsi="Arial"/>
                <w:sz w:val="14"/>
                <w:szCs w:val="14"/>
                <w:b w:val="1"/>
                <w:bCs w:val="1"/>
                <w:color w:val="457157"/>
              </w:rPr>
              <w:t>Awards</w:t>
            </w:r>
          </w:p>
        </w:tc>
        <w:tc>
          <w:tcPr>
            <w:tcW w:w="2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457157"/>
              </w:rPr>
              <w:t>Total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80" w:type="dxa"/>
            <w:vAlign w:val="bottom"/>
            <w:vMerge w:val="continue"/>
          </w:tcPr>
          <w:p>
            <w:pPr>
              <w:spacing w:after="0"/>
              <w:rPr>
                <w:sz w:val="11"/>
                <w:szCs w:val="11"/>
                <w:color w:val="auto"/>
              </w:rPr>
            </w:pPr>
          </w:p>
        </w:tc>
        <w:tc>
          <w:tcPr>
            <w:tcW w:w="1320" w:type="dxa"/>
            <w:vAlign w:val="bottom"/>
            <w:vMerge w:val="restart"/>
          </w:tcPr>
          <w:p>
            <w:pPr>
              <w:jc w:val="center"/>
              <w:ind w:left="1072"/>
              <w:spacing w:after="0"/>
              <w:rPr>
                <w:sz w:val="20"/>
                <w:szCs w:val="20"/>
                <w:color w:val="auto"/>
              </w:rPr>
            </w:pPr>
            <w:r>
              <w:rPr>
                <w:rFonts w:ascii="Arial" w:cs="Arial" w:eastAsia="Arial" w:hAnsi="Arial"/>
                <w:sz w:val="14"/>
                <w:szCs w:val="14"/>
                <w:b w:val="1"/>
                <w:bCs w:val="1"/>
                <w:color w:val="457157"/>
              </w:rPr>
              <w:t>​</w:t>
            </w: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Cash ($)</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jc w:val="right"/>
              <w:ind w:right="15"/>
              <w:spacing w:after="0"/>
              <w:rPr>
                <w:sz w:val="20"/>
                <w:szCs w:val="20"/>
                <w:color w:val="auto"/>
              </w:rPr>
            </w:pPr>
            <w:r>
              <w:rPr>
                <w:rFonts w:ascii="Arial" w:cs="Arial" w:eastAsia="Arial" w:hAnsi="Arial"/>
                <w:sz w:val="9"/>
                <w:szCs w:val="9"/>
                <w:b w:val="1"/>
                <w:bCs w:val="1"/>
                <w:color w:val="457157"/>
                <w:w w:val="90"/>
              </w:rPr>
              <w:t>(1)</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68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48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320" w:type="dxa"/>
            <w:vAlign w:val="bottom"/>
            <w:tcBorders>
              <w:bottom w:val="single" w:sz="8" w:color="457157"/>
            </w:tcBorders>
            <w:vMerge w:val="continue"/>
          </w:tcPr>
          <w:p>
            <w:pPr>
              <w:spacing w:after="0"/>
              <w:rPr>
                <w:sz w:val="4"/>
                <w:szCs w:val="4"/>
                <w:color w:val="auto"/>
              </w:rPr>
            </w:pPr>
          </w:p>
        </w:tc>
        <w:tc>
          <w:tcPr>
            <w:tcW w:w="32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vMerge w:val="continue"/>
          </w:tcPr>
          <w:p>
            <w:pPr>
              <w:spacing w:after="0"/>
              <w:rPr>
                <w:sz w:val="4"/>
                <w:szCs w:val="4"/>
                <w:color w:val="auto"/>
              </w:rPr>
            </w:pPr>
          </w:p>
        </w:tc>
        <w:tc>
          <w:tcPr>
            <w:tcW w:w="700" w:type="dxa"/>
            <w:vAlign w:val="bottom"/>
            <w:tcBorders>
              <w:bottom w:val="single" w:sz="8" w:color="457157"/>
            </w:tcBorders>
            <w:vMerge w:val="continue"/>
          </w:tcPr>
          <w:p>
            <w:pPr>
              <w:spacing w:after="0"/>
              <w:rPr>
                <w:sz w:val="4"/>
                <w:szCs w:val="4"/>
                <w:color w:val="auto"/>
              </w:rPr>
            </w:pPr>
          </w:p>
        </w:tc>
        <w:tc>
          <w:tcPr>
            <w:tcW w:w="18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60"/>
              <w:spacing w:after="0" w:line="183" w:lineRule="exact"/>
              <w:rPr>
                <w:sz w:val="20"/>
                <w:szCs w:val="20"/>
                <w:color w:val="auto"/>
              </w:rPr>
            </w:pPr>
            <w:r>
              <w:rPr>
                <w:rFonts w:ascii="Arial" w:cs="Arial" w:eastAsia="Arial" w:hAnsi="Arial"/>
                <w:sz w:val="17"/>
                <w:szCs w:val="17"/>
                <w:color w:val="auto"/>
              </w:rPr>
              <w:t>Bruce E. Chinn</w:t>
            </w:r>
            <w:r>
              <w:rPr>
                <w:rFonts w:ascii="Arial" w:cs="Arial" w:eastAsia="Arial" w:hAnsi="Arial"/>
                <w:sz w:val="21"/>
                <w:szCs w:val="21"/>
                <w:color w:val="auto"/>
                <w:vertAlign w:val="superscript"/>
              </w:rPr>
              <w:t>(2)</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vMerge w:val="restart"/>
          </w:tcPr>
          <w:p>
            <w:pPr>
              <w:jc w:val="right"/>
              <w:spacing w:after="0"/>
              <w:rPr>
                <w:sz w:val="20"/>
                <w:szCs w:val="20"/>
                <w:color w:val="auto"/>
              </w:rPr>
            </w:pPr>
            <w:r>
              <w:rPr>
                <w:rFonts w:ascii="Arial" w:cs="Arial" w:eastAsia="Arial" w:hAnsi="Arial"/>
                <w:sz w:val="18"/>
                <w:szCs w:val="18"/>
                <w:color w:val="auto"/>
              </w:rPr>
              <w:t>​​ 106,800​​ ​</w:t>
            </w:r>
            <w:r>
              <w:rPr>
                <w:rFonts w:ascii="Arial" w:cs="Arial" w:eastAsia="Arial" w:hAnsi="Arial"/>
                <w:sz w:val="18"/>
                <w:szCs w:val="18"/>
                <w:b w:val="1"/>
                <w:bCs w:val="1"/>
                <w:color w:val="auto"/>
              </w:rPr>
              <w:t>​</w:t>
            </w:r>
            <w:r>
              <w:rPr>
                <w:rFonts w:ascii="Arial" w:cs="Arial" w:eastAsia="Arial" w:hAnsi="Arial"/>
                <w:sz w:val="18"/>
                <w:szCs w:val="18"/>
                <w:color w:val="auto"/>
              </w:rPr>
              <w:t>160,125​​ ​</w:t>
            </w:r>
            <w:r>
              <w:rPr>
                <w:rFonts w:ascii="Arial" w:cs="Arial" w:eastAsia="Arial" w:hAnsi="Arial"/>
                <w:sz w:val="18"/>
                <w:szCs w:val="18"/>
                <w:b w:val="1"/>
                <w:bCs w:val="1"/>
                <w:color w:val="auto"/>
              </w:rPr>
              <w:t>​</w:t>
            </w:r>
            <w:r>
              <w:rPr>
                <w:rFonts w:ascii="Arial" w:cs="Arial" w:eastAsia="Arial" w:hAnsi="Arial"/>
                <w:sz w:val="18"/>
                <w:szCs w:val="18"/>
                <w:color w:val="auto"/>
              </w:rPr>
              <w:t>266,925​​</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40"/>
              <w:spacing w:after="0"/>
              <w:rPr>
                <w:sz w:val="20"/>
                <w:szCs w:val="20"/>
                <w:color w:val="auto"/>
              </w:rPr>
            </w:pPr>
            <w:r>
              <w:rPr>
                <w:rFonts w:ascii="Arial" w:cs="Arial" w:eastAsia="Arial" w:hAnsi="Arial"/>
                <w:sz w:val="18"/>
                <w:szCs w:val="18"/>
                <w:color w:val="auto"/>
              </w:rPr>
              <w:t>​Andrés R. Gluski</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140,000​​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319,992​​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60"/>
              <w:spacing w:after="0" w:line="169" w:lineRule="exact"/>
              <w:rPr>
                <w:sz w:val="20"/>
                <w:szCs w:val="20"/>
                <w:color w:val="auto"/>
              </w:rPr>
            </w:pPr>
            <w:r>
              <w:rPr>
                <w:rFonts w:ascii="Arial" w:cs="Arial" w:eastAsia="Arial" w:hAnsi="Arial"/>
                <w:sz w:val="15"/>
                <w:szCs w:val="15"/>
                <w:color w:val="auto"/>
              </w:rPr>
              <w:t>Victoria M. Holt</w:t>
            </w:r>
            <w:r>
              <w:rPr>
                <w:rFonts w:ascii="Arial" w:cs="Arial" w:eastAsia="Arial" w:hAnsi="Arial"/>
                <w:sz w:val="19"/>
                <w:szCs w:val="19"/>
                <w:color w:val="auto"/>
                <w:vertAlign w:val="superscript"/>
              </w:rPr>
              <w:t>(3)</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vMerge w:val="restart"/>
          </w:tcPr>
          <w:p>
            <w:pPr>
              <w:jc w:val="right"/>
              <w:spacing w:after="0"/>
              <w:rPr>
                <w:sz w:val="20"/>
                <w:szCs w:val="20"/>
                <w:color w:val="auto"/>
              </w:rPr>
            </w:pPr>
            <w:r>
              <w:rPr>
                <w:rFonts w:ascii="Arial" w:cs="Arial" w:eastAsia="Arial" w:hAnsi="Arial"/>
                <w:sz w:val="18"/>
                <w:szCs w:val="18"/>
                <w:color w:val="auto"/>
              </w:rPr>
              <w:t>​​ 133,775​​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313,767​​</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60"/>
              <w:spacing w:after="0" w:line="169" w:lineRule="exact"/>
              <w:rPr>
                <w:sz w:val="20"/>
                <w:szCs w:val="20"/>
                <w:color w:val="auto"/>
              </w:rPr>
            </w:pPr>
            <w:r>
              <w:rPr>
                <w:rFonts w:ascii="Arial" w:cs="Arial" w:eastAsia="Arial" w:hAnsi="Arial"/>
                <w:sz w:val="15"/>
                <w:szCs w:val="15"/>
                <w:color w:val="auto"/>
              </w:rPr>
              <w:t>Kathleen M. Mazzarella</w:t>
            </w:r>
            <w:r>
              <w:rPr>
                <w:rFonts w:ascii="Arial" w:cs="Arial" w:eastAsia="Arial" w:hAnsi="Arial"/>
                <w:sz w:val="19"/>
                <w:szCs w:val="19"/>
                <w:color w:val="auto"/>
                <w:vertAlign w:val="superscript"/>
              </w:rPr>
              <w:t>(4)</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vMerge w:val="restart"/>
          </w:tcPr>
          <w:p>
            <w:pPr>
              <w:jc w:val="right"/>
              <w:spacing w:after="0"/>
              <w:rPr>
                <w:sz w:val="20"/>
                <w:szCs w:val="20"/>
                <w:color w:val="auto"/>
              </w:rPr>
            </w:pPr>
            <w:r>
              <w:rPr>
                <w:rFonts w:ascii="Arial" w:cs="Arial" w:eastAsia="Arial" w:hAnsi="Arial"/>
                <w:sz w:val="18"/>
                <w:szCs w:val="18"/>
                <w:color w:val="auto"/>
              </w:rPr>
              <w:t>​​ 198,785​​ ​</w:t>
            </w:r>
            <w:r>
              <w:rPr>
                <w:rFonts w:ascii="Arial" w:cs="Arial" w:eastAsia="Arial" w:hAnsi="Arial"/>
                <w:sz w:val="18"/>
                <w:szCs w:val="18"/>
                <w:b w:val="1"/>
                <w:bCs w:val="1"/>
                <w:color w:val="auto"/>
              </w:rPr>
              <w:t>​</w:t>
            </w:r>
            <w:r>
              <w:rPr>
                <w:rFonts w:ascii="Arial" w:cs="Arial" w:eastAsia="Arial" w:hAnsi="Arial"/>
                <w:sz w:val="18"/>
                <w:szCs w:val="18"/>
                <w:color w:val="auto"/>
              </w:rPr>
              <w:t>248,798​​ ​</w:t>
            </w:r>
            <w:r>
              <w:rPr>
                <w:rFonts w:ascii="Arial" w:cs="Arial" w:eastAsia="Arial" w:hAnsi="Arial"/>
                <w:sz w:val="18"/>
                <w:szCs w:val="18"/>
                <w:b w:val="1"/>
                <w:bCs w:val="1"/>
                <w:color w:val="auto"/>
              </w:rPr>
              <w:t>​</w:t>
            </w:r>
            <w:r>
              <w:rPr>
                <w:rFonts w:ascii="Arial" w:cs="Arial" w:eastAsia="Arial" w:hAnsi="Arial"/>
                <w:sz w:val="18"/>
                <w:szCs w:val="18"/>
                <w:color w:val="auto"/>
              </w:rPr>
              <w:t>447,583​​</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40"/>
              <w:spacing w:after="0"/>
              <w:rPr>
                <w:sz w:val="20"/>
                <w:szCs w:val="20"/>
                <w:color w:val="auto"/>
              </w:rPr>
            </w:pPr>
            <w:r>
              <w:rPr>
                <w:rFonts w:ascii="Arial" w:cs="Arial" w:eastAsia="Arial" w:hAnsi="Arial"/>
                <w:sz w:val="18"/>
                <w:szCs w:val="18"/>
                <w:color w:val="auto"/>
              </w:rPr>
              <w:t>​Sean E. Menke</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299,992​​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8"/>
                <w:szCs w:val="18"/>
                <w:color w:val="auto"/>
              </w:rPr>
              <w:t>​William B. Plummer</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145,000​​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324,992​​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8"/>
                <w:szCs w:val="18"/>
                <w:color w:val="auto"/>
              </w:rPr>
              <w:t>​John C. Pope</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299,992​​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40"/>
              <w:spacing w:after="0"/>
              <w:rPr>
                <w:sz w:val="20"/>
                <w:szCs w:val="20"/>
                <w:color w:val="auto"/>
              </w:rPr>
            </w:pPr>
            <w:r>
              <w:rPr>
                <w:rFonts w:ascii="Arial" w:cs="Arial" w:eastAsia="Arial" w:hAnsi="Arial"/>
                <w:sz w:val="18"/>
                <w:szCs w:val="18"/>
                <w:color w:val="auto"/>
              </w:rPr>
              <w:t>​Maryrose T. Sylvester</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299,992​​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60"/>
              <w:spacing w:after="0" w:line="169" w:lineRule="exact"/>
              <w:rPr>
                <w:sz w:val="20"/>
                <w:szCs w:val="20"/>
                <w:color w:val="auto"/>
              </w:rPr>
            </w:pPr>
            <w:r>
              <w:rPr>
                <w:rFonts w:ascii="Arial" w:cs="Arial" w:eastAsia="Arial" w:hAnsi="Arial"/>
                <w:sz w:val="15"/>
                <w:szCs w:val="15"/>
                <w:color w:val="auto"/>
              </w:rPr>
              <w:t>Thomas H. Weidemeyer</w:t>
            </w:r>
            <w:r>
              <w:rPr>
                <w:rFonts w:ascii="Arial" w:cs="Arial" w:eastAsia="Arial" w:hAnsi="Arial"/>
                <w:sz w:val="19"/>
                <w:szCs w:val="19"/>
                <w:color w:val="auto"/>
                <w:vertAlign w:val="superscript"/>
              </w:rPr>
              <w:t>(5)</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560" w:type="dxa"/>
            <w:vAlign w:val="bottom"/>
            <w:gridSpan w:val="6"/>
            <w:vMerge w:val="restart"/>
          </w:tcPr>
          <w:p>
            <w:pPr>
              <w:jc w:val="right"/>
              <w:spacing w:after="0"/>
              <w:rPr>
                <w:sz w:val="20"/>
                <w:szCs w:val="20"/>
                <w:color w:val="auto"/>
              </w:rPr>
            </w:pPr>
            <w:r>
              <w:rPr>
                <w:rFonts w:ascii="Arial" w:cs="Arial" w:eastAsia="Arial" w:hAnsi="Arial"/>
                <w:sz w:val="18"/>
                <w:szCs w:val="18"/>
                <w:color w:val="auto"/>
              </w:rPr>
              <w:t>110,000​​ ​</w:t>
            </w:r>
            <w:r>
              <w:rPr>
                <w:rFonts w:ascii="Arial" w:cs="Arial" w:eastAsia="Arial" w:hAnsi="Arial"/>
                <w:sz w:val="18"/>
                <w:szCs w:val="18"/>
                <w:b w:val="1"/>
                <w:bCs w:val="1"/>
                <w:color w:val="auto"/>
              </w:rPr>
              <w:t>​</w:t>
            </w:r>
            <w:r>
              <w:rPr>
                <w:rFonts w:ascii="Arial" w:cs="Arial" w:eastAsia="Arial" w:hAnsi="Arial"/>
                <w:sz w:val="18"/>
                <w:szCs w:val="18"/>
                <w:color w:val="auto"/>
              </w:rPr>
              <w:t>140,045​​ ​</w:t>
            </w:r>
            <w:r>
              <w:rPr>
                <w:rFonts w:ascii="Arial" w:cs="Arial" w:eastAsia="Arial" w:hAnsi="Arial"/>
                <w:sz w:val="18"/>
                <w:szCs w:val="18"/>
                <w:b w:val="1"/>
                <w:bCs w:val="1"/>
                <w:color w:val="auto"/>
              </w:rPr>
              <w:t>​</w:t>
            </w:r>
            <w:r>
              <w:rPr>
                <w:rFonts w:ascii="Arial" w:cs="Arial" w:eastAsia="Arial" w:hAnsi="Arial"/>
                <w:sz w:val="18"/>
                <w:szCs w:val="18"/>
                <w:color w:val="auto"/>
              </w:rPr>
              <w:t>250,045​​</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-1397000</wp:posOffset>
            </wp:positionV>
            <wp:extent cx="484314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43145" cy="1714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-1079500</wp:posOffset>
            </wp:positionV>
            <wp:extent cx="4843145"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43145" cy="16256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-753745</wp:posOffset>
            </wp:positionV>
            <wp:extent cx="484314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43145" cy="1460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-462280</wp:posOffset>
            </wp:positionV>
            <wp:extent cx="484314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43145" cy="14541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-170815</wp:posOffset>
            </wp:positionV>
            <wp:extent cx="4843145"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43145" cy="162560"/>
                    </a:xfrm>
                    <a:prstGeom prst="rect">
                      <a:avLst/>
                    </a:prstGeom>
                    <a:noFill/>
                  </pic:spPr>
                </pic:pic>
              </a:graphicData>
            </a:graphic>
          </wp:anchor>
        </w:drawing>
      </w:r>
    </w:p>
    <w:p>
      <w:pPr>
        <w:spacing w:after="0" w:line="29" w:lineRule="exact"/>
        <w:rPr>
          <w:sz w:val="20"/>
          <w:szCs w:val="20"/>
          <w:color w:val="auto"/>
        </w:rPr>
      </w:pPr>
    </w:p>
    <w:p>
      <w:pPr>
        <w:jc w:val="both"/>
        <w:ind w:left="1900" w:right="60" w:hanging="364"/>
        <w:spacing w:after="0" w:line="259" w:lineRule="auto"/>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2023,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71"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Chinn was elected to our Board effective February 10, 2023 and received prorated equity and cash compensation for service as a director from the date of election until the next regular installment of compensation payments in July 2023.</w:t>
      </w:r>
    </w:p>
    <w:p>
      <w:pPr>
        <w:spacing w:after="0" w:line="62"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Holt received prorated cash compensation for service as Chair of the Nominating and Governance Committee from May 9, 2023 until the next regular installment of compensation payments in July 2023.</w:t>
      </w:r>
    </w:p>
    <w:p>
      <w:pPr>
        <w:spacing w:after="0" w:line="62"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Mazzarella received prorated equity and cash compensation for service as Non-Executive Chair of the Board from May 9, 2023 until the next regular installment of compensation payments in July 2023.</w:t>
      </w:r>
    </w:p>
    <w:p>
      <w:pPr>
        <w:spacing w:after="0" w:line="62" w:lineRule="exact"/>
        <w:rPr>
          <w:rFonts w:ascii="Arial" w:cs="Arial" w:eastAsia="Arial" w:hAnsi="Arial"/>
          <w:sz w:val="18"/>
          <w:szCs w:val="18"/>
          <w:color w:val="auto"/>
        </w:rPr>
      </w:pPr>
    </w:p>
    <w:p>
      <w:pPr>
        <w:jc w:val="both"/>
        <w:ind w:left="1900" w:right="60" w:hanging="364"/>
        <w:spacing w:after="0" w:line="262" w:lineRule="auto"/>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2023 Annual Meeting, Mr. Weidemeyer had reached the retirement age set forth in the Company’s Corporate Governance Guidelines; therefore, he did not stand for re-election. His term as a director of the Company expired, and his service as Non-Executive Chair of the Board ended, on May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ELECTION OF DIRECTORS</w:t>
      </w:r>
      <w:r>
        <w:rPr>
          <w:rFonts w:ascii="Times New Roman" w:cs="Times New Roman" w:eastAsia="Times New Roman" w:hAnsi="Times New Roman"/>
          <w:sz w:val="64"/>
          <w:szCs w:val="64"/>
          <w:color w:val="000000"/>
        </w:rPr>
        <w:t>​</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(Item 1 on the Proxy Card — Director Nominees)</w:t>
      </w:r>
    </w:p>
    <w:p>
      <w:pPr>
        <w:spacing w:after="0" w:line="106"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first item on the proxy card is the election of nine directors to serve until the 2025 Annual Meeting of Stockholders or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200" w:lineRule="exact"/>
        <w:rPr>
          <w:sz w:val="20"/>
          <w:szCs w:val="20"/>
          <w:color w:val="auto"/>
        </w:rPr>
      </w:pPr>
    </w:p>
    <w:p>
      <w:pPr>
        <w:spacing w:after="0" w:line="321" w:lineRule="exact"/>
        <w:rPr>
          <w:sz w:val="20"/>
          <w:szCs w:val="20"/>
          <w:color w:val="auto"/>
        </w:rPr>
      </w:pPr>
    </w:p>
    <w:p>
      <w:pPr>
        <w:jc w:val="both"/>
        <w:ind w:left="820" w:right="60"/>
        <w:spacing w:after="0" w:line="270" w:lineRule="auto"/>
        <w:rPr>
          <w:sz w:val="20"/>
          <w:szCs w:val="20"/>
          <w:color w:val="auto"/>
        </w:rPr>
      </w:pPr>
      <w:r>
        <w:rPr>
          <w:rFonts w:ascii="Arial" w:cs="Arial" w:eastAsia="Arial" w:hAnsi="Arial"/>
          <w:sz w:val="18"/>
          <w:szCs w:val="18"/>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39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BOARD COMPOSITION,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114935</wp:posOffset>
            </wp:positionV>
            <wp:extent cx="5734685" cy="2794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3468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680" w:type="dxa"/>
            <w:vAlign w:val="bottom"/>
            <w:tcBorders>
              <w:top w:val="single" w:sz="8" w:color="457157"/>
            </w:tcBorders>
            <w:gridSpan w:val="2"/>
          </w:tcPr>
          <w:p>
            <w:pPr>
              <w:spacing w:after="0" w:line="162"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457157"/>
            </w:tcBorders>
          </w:tcPr>
          <w:p>
            <w:pPr>
              <w:spacing w:after="0"/>
              <w:rPr>
                <w:sz w:val="14"/>
                <w:szCs w:val="14"/>
                <w:color w:val="auto"/>
              </w:rPr>
            </w:pPr>
          </w:p>
        </w:tc>
        <w:tc>
          <w:tcPr>
            <w:tcW w:w="78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76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56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78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520" w:type="dxa"/>
            <w:vAlign w:val="bottom"/>
          </w:tcPr>
          <w:p>
            <w:pPr>
              <w:jc w:val="center"/>
              <w:ind w:right="379"/>
              <w:spacing w:after="0" w:line="16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740" w:type="dxa"/>
            <w:vAlign w:val="bottom"/>
            <w:gridSpan w:val="5"/>
          </w:tcPr>
          <w:p>
            <w:pPr>
              <w:spacing w:after="0"/>
              <w:rPr>
                <w:sz w:val="20"/>
                <w:szCs w:val="20"/>
                <w:color w:val="auto"/>
              </w:rPr>
            </w:pPr>
            <w:r>
              <w:rPr>
                <w:rFonts w:ascii="Arial" w:cs="Arial" w:eastAsia="Arial" w:hAnsi="Arial"/>
                <w:sz w:val="20"/>
                <w:szCs w:val="20"/>
                <w:b w:val="1"/>
                <w:bCs w:val="1"/>
                <w:color w:val="auto"/>
              </w:rPr>
              <w:t>ELECTION OF DIRECTORS</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457157"/>
            </w:tcBorders>
          </w:tcPr>
          <w:p>
            <w:pPr>
              <w:spacing w:after="0"/>
              <w:rPr>
                <w:sz w:val="7"/>
                <w:szCs w:val="7"/>
                <w:color w:val="auto"/>
              </w:rPr>
            </w:pPr>
          </w:p>
        </w:tc>
        <w:tc>
          <w:tcPr>
            <w:tcW w:w="1580" w:type="dxa"/>
            <w:vAlign w:val="bottom"/>
            <w:tcBorders>
              <w:bottom w:val="single" w:sz="8" w:color="457157"/>
            </w:tcBorders>
          </w:tcPr>
          <w:p>
            <w:pPr>
              <w:spacing w:after="0"/>
              <w:rPr>
                <w:sz w:val="7"/>
                <w:szCs w:val="7"/>
                <w:color w:val="auto"/>
              </w:rPr>
            </w:pPr>
          </w:p>
        </w:tc>
        <w:tc>
          <w:tcPr>
            <w:tcW w:w="200" w:type="dxa"/>
            <w:vAlign w:val="bottom"/>
            <w:tcBorders>
              <w:bottom w:val="single" w:sz="8" w:color="457157"/>
            </w:tcBorders>
          </w:tcPr>
          <w:p>
            <w:pPr>
              <w:spacing w:after="0"/>
              <w:rPr>
                <w:sz w:val="7"/>
                <w:szCs w:val="7"/>
                <w:color w:val="auto"/>
              </w:rPr>
            </w:pPr>
          </w:p>
        </w:tc>
        <w:tc>
          <w:tcPr>
            <w:tcW w:w="780" w:type="dxa"/>
            <w:vAlign w:val="bottom"/>
            <w:tcBorders>
              <w:bottom w:val="single" w:sz="8" w:color="457157"/>
            </w:tcBorders>
          </w:tcPr>
          <w:p>
            <w:pPr>
              <w:spacing w:after="0"/>
              <w:rPr>
                <w:sz w:val="7"/>
                <w:szCs w:val="7"/>
                <w:color w:val="auto"/>
              </w:rPr>
            </w:pPr>
          </w:p>
        </w:tc>
        <w:tc>
          <w:tcPr>
            <w:tcW w:w="80" w:type="dxa"/>
            <w:vAlign w:val="bottom"/>
            <w:tcBorders>
              <w:bottom w:val="single" w:sz="8" w:color="457157"/>
            </w:tcBorders>
          </w:tcPr>
          <w:p>
            <w:pPr>
              <w:spacing w:after="0"/>
              <w:rPr>
                <w:sz w:val="7"/>
                <w:szCs w:val="7"/>
                <w:color w:val="auto"/>
              </w:rPr>
            </w:pPr>
          </w:p>
        </w:tc>
        <w:tc>
          <w:tcPr>
            <w:tcW w:w="700" w:type="dxa"/>
            <w:vAlign w:val="bottom"/>
            <w:tcBorders>
              <w:bottom w:val="single" w:sz="8" w:color="457157"/>
            </w:tcBorders>
          </w:tcPr>
          <w:p>
            <w:pPr>
              <w:spacing w:after="0"/>
              <w:rPr>
                <w:sz w:val="7"/>
                <w:szCs w:val="7"/>
                <w:color w:val="auto"/>
              </w:rPr>
            </w:pPr>
          </w:p>
        </w:tc>
        <w:tc>
          <w:tcPr>
            <w:tcW w:w="20" w:type="dxa"/>
            <w:vAlign w:val="bottom"/>
            <w:tcBorders>
              <w:bottom w:val="single" w:sz="8" w:color="457157"/>
            </w:tcBorders>
          </w:tcPr>
          <w:p>
            <w:pPr>
              <w:spacing w:after="0"/>
              <w:rPr>
                <w:sz w:val="7"/>
                <w:szCs w:val="7"/>
                <w:color w:val="auto"/>
              </w:rPr>
            </w:pPr>
          </w:p>
        </w:tc>
        <w:tc>
          <w:tcPr>
            <w:tcW w:w="140" w:type="dxa"/>
            <w:vAlign w:val="bottom"/>
            <w:tcBorders>
              <w:bottom w:val="single" w:sz="8" w:color="457157"/>
            </w:tcBorders>
          </w:tcPr>
          <w:p>
            <w:pPr>
              <w:spacing w:after="0"/>
              <w:rPr>
                <w:sz w:val="7"/>
                <w:szCs w:val="7"/>
                <w:color w:val="auto"/>
              </w:rPr>
            </w:pPr>
          </w:p>
        </w:tc>
        <w:tc>
          <w:tcPr>
            <w:tcW w:w="760" w:type="dxa"/>
            <w:vAlign w:val="bottom"/>
            <w:tcBorders>
              <w:bottom w:val="single" w:sz="8" w:color="457157"/>
            </w:tcBorders>
          </w:tcPr>
          <w:p>
            <w:pPr>
              <w:spacing w:after="0"/>
              <w:rPr>
                <w:sz w:val="7"/>
                <w:szCs w:val="7"/>
                <w:color w:val="auto"/>
              </w:rPr>
            </w:pPr>
          </w:p>
        </w:tc>
        <w:tc>
          <w:tcPr>
            <w:tcW w:w="140" w:type="dxa"/>
            <w:vAlign w:val="bottom"/>
            <w:tcBorders>
              <w:bottom w:val="single" w:sz="8" w:color="457157"/>
            </w:tcBorders>
          </w:tcPr>
          <w:p>
            <w:pPr>
              <w:spacing w:after="0"/>
              <w:rPr>
                <w:sz w:val="7"/>
                <w:szCs w:val="7"/>
                <w:color w:val="auto"/>
              </w:rPr>
            </w:pPr>
          </w:p>
        </w:tc>
        <w:tc>
          <w:tcPr>
            <w:tcW w:w="560" w:type="dxa"/>
            <w:vAlign w:val="bottom"/>
            <w:tcBorders>
              <w:bottom w:val="single" w:sz="8" w:color="457157"/>
            </w:tcBorders>
          </w:tcPr>
          <w:p>
            <w:pPr>
              <w:spacing w:after="0"/>
              <w:rPr>
                <w:sz w:val="7"/>
                <w:szCs w:val="7"/>
                <w:color w:val="auto"/>
              </w:rPr>
            </w:pPr>
          </w:p>
        </w:tc>
        <w:tc>
          <w:tcPr>
            <w:tcW w:w="120" w:type="dxa"/>
            <w:vAlign w:val="bottom"/>
            <w:tcBorders>
              <w:bottom w:val="single" w:sz="8" w:color="457157"/>
            </w:tcBorders>
          </w:tcPr>
          <w:p>
            <w:pPr>
              <w:spacing w:after="0"/>
              <w:rPr>
                <w:sz w:val="7"/>
                <w:szCs w:val="7"/>
                <w:color w:val="auto"/>
              </w:rPr>
            </w:pPr>
          </w:p>
        </w:tc>
        <w:tc>
          <w:tcPr>
            <w:tcW w:w="100" w:type="dxa"/>
            <w:vAlign w:val="bottom"/>
            <w:tcBorders>
              <w:bottom w:val="single" w:sz="8" w:color="457157"/>
            </w:tcBorders>
          </w:tcPr>
          <w:p>
            <w:pPr>
              <w:spacing w:after="0"/>
              <w:rPr>
                <w:sz w:val="7"/>
                <w:szCs w:val="7"/>
                <w:color w:val="auto"/>
              </w:rPr>
            </w:pPr>
          </w:p>
        </w:tc>
        <w:tc>
          <w:tcPr>
            <w:tcW w:w="800" w:type="dxa"/>
            <w:vAlign w:val="bottom"/>
            <w:tcBorders>
              <w:bottom w:val="single" w:sz="8" w:color="457157"/>
            </w:tcBorders>
          </w:tcPr>
          <w:p>
            <w:pPr>
              <w:spacing w:after="0"/>
              <w:rPr>
                <w:sz w:val="7"/>
                <w:szCs w:val="7"/>
                <w:color w:val="auto"/>
              </w:rPr>
            </w:pPr>
          </w:p>
        </w:tc>
        <w:tc>
          <w:tcPr>
            <w:tcW w:w="120" w:type="dxa"/>
            <w:vAlign w:val="bottom"/>
            <w:tcBorders>
              <w:bottom w:val="single" w:sz="8" w:color="457157"/>
            </w:tcBorders>
          </w:tcPr>
          <w:p>
            <w:pPr>
              <w:spacing w:after="0"/>
              <w:rPr>
                <w:sz w:val="7"/>
                <w:szCs w:val="7"/>
                <w:color w:val="auto"/>
              </w:rPr>
            </w:pPr>
          </w:p>
        </w:tc>
        <w:tc>
          <w:tcPr>
            <w:tcW w:w="700" w:type="dxa"/>
            <w:vAlign w:val="bottom"/>
            <w:tcBorders>
              <w:bottom w:val="single" w:sz="8" w:color="457157"/>
            </w:tcBorders>
          </w:tcPr>
          <w:p>
            <w:pPr>
              <w:spacing w:after="0"/>
              <w:rPr>
                <w:sz w:val="7"/>
                <w:szCs w:val="7"/>
                <w:color w:val="auto"/>
              </w:rPr>
            </w:pPr>
          </w:p>
        </w:tc>
        <w:tc>
          <w:tcPr>
            <w:tcW w:w="80" w:type="dxa"/>
            <w:vAlign w:val="bottom"/>
            <w:tcBorders>
              <w:bottom w:val="single" w:sz="8" w:color="457157"/>
            </w:tcBorders>
          </w:tcPr>
          <w:p>
            <w:pPr>
              <w:spacing w:after="0"/>
              <w:rPr>
                <w:sz w:val="7"/>
                <w:szCs w:val="7"/>
                <w:color w:val="auto"/>
              </w:rPr>
            </w:pPr>
          </w:p>
        </w:tc>
        <w:tc>
          <w:tcPr>
            <w:tcW w:w="140" w:type="dxa"/>
            <w:vAlign w:val="bottom"/>
            <w:tcBorders>
              <w:bottom w:val="single" w:sz="8" w:color="457157"/>
            </w:tcBorders>
          </w:tcPr>
          <w:p>
            <w:pPr>
              <w:spacing w:after="0"/>
              <w:rPr>
                <w:sz w:val="7"/>
                <w:szCs w:val="7"/>
                <w:color w:val="auto"/>
              </w:rPr>
            </w:pPr>
          </w:p>
        </w:tc>
        <w:tc>
          <w:tcPr>
            <w:tcW w:w="780" w:type="dxa"/>
            <w:vAlign w:val="bottom"/>
            <w:tcBorders>
              <w:bottom w:val="single" w:sz="8" w:color="457157"/>
            </w:tcBorders>
          </w:tcPr>
          <w:p>
            <w:pPr>
              <w:spacing w:after="0"/>
              <w:rPr>
                <w:sz w:val="7"/>
                <w:szCs w:val="7"/>
                <w:color w:val="auto"/>
              </w:rPr>
            </w:pPr>
          </w:p>
        </w:tc>
        <w:tc>
          <w:tcPr>
            <w:tcW w:w="80" w:type="dxa"/>
            <w:vAlign w:val="bottom"/>
            <w:tcBorders>
              <w:bottom w:val="single" w:sz="8" w:color="457157"/>
            </w:tcBorders>
          </w:tcPr>
          <w:p>
            <w:pPr>
              <w:spacing w:after="0"/>
              <w:rPr>
                <w:sz w:val="7"/>
                <w:szCs w:val="7"/>
                <w:color w:val="auto"/>
              </w:rPr>
            </w:pPr>
          </w:p>
        </w:tc>
        <w:tc>
          <w:tcPr>
            <w:tcW w:w="700" w:type="dxa"/>
            <w:vAlign w:val="bottom"/>
            <w:tcBorders>
              <w:bottom w:val="single" w:sz="8" w:color="457157"/>
            </w:tcBorders>
          </w:tcPr>
          <w:p>
            <w:pPr>
              <w:spacing w:after="0"/>
              <w:rPr>
                <w:sz w:val="7"/>
                <w:szCs w:val="7"/>
                <w:color w:val="auto"/>
              </w:rPr>
            </w:pPr>
          </w:p>
        </w:tc>
        <w:tc>
          <w:tcPr>
            <w:tcW w:w="20" w:type="dxa"/>
            <w:vAlign w:val="bottom"/>
            <w:tcBorders>
              <w:bottom w:val="single" w:sz="8" w:color="457157"/>
            </w:tcBorders>
          </w:tcPr>
          <w:p>
            <w:pPr>
              <w:spacing w:after="0"/>
              <w:rPr>
                <w:sz w:val="7"/>
                <w:szCs w:val="7"/>
                <w:color w:val="auto"/>
              </w:rPr>
            </w:pPr>
          </w:p>
        </w:tc>
        <w:tc>
          <w:tcPr>
            <w:tcW w:w="120" w:type="dxa"/>
            <w:vAlign w:val="bottom"/>
            <w:tcBorders>
              <w:bottom w:val="single" w:sz="8" w:color="457157"/>
            </w:tcBorders>
          </w:tcPr>
          <w:p>
            <w:pPr>
              <w:spacing w:after="0"/>
              <w:rPr>
                <w:sz w:val="7"/>
                <w:szCs w:val="7"/>
                <w:color w:val="auto"/>
              </w:rPr>
            </w:pPr>
          </w:p>
        </w:tc>
        <w:tc>
          <w:tcPr>
            <w:tcW w:w="760" w:type="dxa"/>
            <w:vAlign w:val="bottom"/>
            <w:tcBorders>
              <w:bottom w:val="single" w:sz="8" w:color="457157"/>
            </w:tcBorders>
            <w:gridSpan w:val="2"/>
          </w:tcPr>
          <w:p>
            <w:pPr>
              <w:spacing w:after="0"/>
              <w:rPr>
                <w:sz w:val="7"/>
                <w:szCs w:val="7"/>
                <w:color w:val="auto"/>
              </w:rPr>
            </w:pPr>
          </w:p>
        </w:tc>
        <w:tc>
          <w:tcPr>
            <w:tcW w:w="100" w:type="dxa"/>
            <w:vAlign w:val="bottom"/>
            <w:tcBorders>
              <w:bottom w:val="single" w:sz="8" w:color="457157"/>
            </w:tcBorders>
          </w:tcPr>
          <w:p>
            <w:pPr>
              <w:spacing w:after="0"/>
              <w:rPr>
                <w:sz w:val="7"/>
                <w:szCs w:val="7"/>
                <w:color w:val="auto"/>
              </w:rPr>
            </w:pPr>
          </w:p>
        </w:tc>
        <w:tc>
          <w:tcPr>
            <w:tcW w:w="0" w:type="dxa"/>
            <w:vAlign w:val="bottom"/>
          </w:tcPr>
          <w:p>
            <w:pPr>
              <w:spacing w:after="0"/>
              <w:rPr>
                <w:sz w:val="1"/>
                <w:szCs w:val="1"/>
                <w:color w:val="auto"/>
              </w:rPr>
            </w:pPr>
          </w:p>
        </w:tc>
      </w:tr>
      <w:tr>
        <w:trPr>
          <w:trHeight w:val="1316"/>
        </w:trPr>
        <w:tc>
          <w:tcPr>
            <w:tcW w:w="1680" w:type="dxa"/>
            <w:vAlign w:val="bottom"/>
            <w:gridSpan w:val="2"/>
            <w:vMerge w:val="restart"/>
          </w:tcPr>
          <w:p>
            <w:pPr>
              <w:spacing w:after="0"/>
              <w:rPr>
                <w:sz w:val="20"/>
                <w:szCs w:val="20"/>
                <w:color w:val="auto"/>
              </w:rPr>
            </w:pPr>
            <w:r>
              <w:rPr>
                <w:rFonts w:ascii="Arial" w:cs="Arial" w:eastAsia="Arial" w:hAnsi="Arial"/>
                <w:sz w:val="20"/>
                <w:szCs w:val="20"/>
                <w:b w:val="1"/>
                <w:bCs w:val="1"/>
                <w:color w:val="457157"/>
              </w:rPr>
              <w:t>​ ​</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6"/>
              <w:spacing w:after="0"/>
              <w:rPr>
                <w:sz w:val="20"/>
                <w:szCs w:val="20"/>
                <w:color w:val="auto"/>
              </w:rPr>
            </w:pPr>
            <w:r>
              <w:rPr>
                <w:rFonts w:ascii="Arial" w:cs="Arial" w:eastAsia="Arial" w:hAnsi="Arial"/>
                <w:sz w:val="20"/>
                <w:szCs w:val="20"/>
                <w:b w:val="1"/>
                <w:bCs w:val="1"/>
                <w:color w:val="457157"/>
              </w:rPr>
              <w:t>Bené</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Chinn</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textDirection w:val="btLr"/>
          </w:tcPr>
          <w:p>
            <w:pPr>
              <w:ind w:left="180"/>
              <w:spacing w:after="0"/>
              <w:rPr>
                <w:sz w:val="20"/>
                <w:szCs w:val="20"/>
                <w:color w:val="auto"/>
              </w:rPr>
            </w:pPr>
            <w:r>
              <w:rPr>
                <w:rFonts w:ascii="Arial" w:cs="Arial" w:eastAsia="Arial" w:hAnsi="Arial"/>
                <w:sz w:val="20"/>
                <w:szCs w:val="20"/>
                <w:b w:val="1"/>
                <w:bCs w:val="1"/>
                <w:color w:val="457157"/>
              </w:rPr>
              <w:t>Fish</w:t>
            </w:r>
          </w:p>
        </w:tc>
        <w:tc>
          <w:tcPr>
            <w:tcW w:w="14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560" w:type="dxa"/>
            <w:vAlign w:val="bottom"/>
            <w:textDirection w:val="btLr"/>
          </w:tcPr>
          <w:p>
            <w:pPr>
              <w:spacing w:after="0"/>
              <w:rPr>
                <w:sz w:val="20"/>
                <w:szCs w:val="20"/>
                <w:color w:val="auto"/>
              </w:rPr>
            </w:pPr>
            <w:r>
              <w:rPr>
                <w:rFonts w:ascii="Arial" w:cs="Arial" w:eastAsia="Arial" w:hAnsi="Arial"/>
                <w:sz w:val="20"/>
                <w:szCs w:val="20"/>
                <w:b w:val="1"/>
                <w:bCs w:val="1"/>
                <w:color w:val="457157"/>
              </w:rPr>
              <w:t>Gluski</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800" w:type="dxa"/>
            <w:vAlign w:val="bottom"/>
            <w:textDirection w:val="btLr"/>
          </w:tcPr>
          <w:p>
            <w:pPr>
              <w:ind w:left="215"/>
              <w:spacing w:after="0"/>
              <w:rPr>
                <w:sz w:val="20"/>
                <w:szCs w:val="20"/>
                <w:color w:val="auto"/>
              </w:rPr>
            </w:pPr>
            <w:r>
              <w:rPr>
                <w:rFonts w:ascii="Arial" w:cs="Arial" w:eastAsia="Arial" w:hAnsi="Arial"/>
                <w:sz w:val="20"/>
                <w:szCs w:val="20"/>
                <w:b w:val="1"/>
                <w:bCs w:val="1"/>
                <w:color w:val="457157"/>
              </w:rPr>
              <w:t>Holt</w:t>
            </w:r>
          </w:p>
        </w:tc>
        <w:tc>
          <w:tcPr>
            <w:tcW w:w="12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ind w:left="199"/>
              <w:spacing w:after="0"/>
              <w:rPr>
                <w:sz w:val="20"/>
                <w:szCs w:val="20"/>
                <w:color w:val="auto"/>
              </w:rPr>
            </w:pPr>
            <w:r>
              <w:rPr>
                <w:rFonts w:ascii="Arial" w:cs="Arial" w:eastAsia="Arial" w:hAnsi="Arial"/>
                <w:sz w:val="20"/>
                <w:szCs w:val="20"/>
                <w:b w:val="1"/>
                <w:bCs w:val="1"/>
                <w:color w:val="457157"/>
              </w:rPr>
              <w:t>Mazzarella</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4"/>
              <w:spacing w:after="0"/>
              <w:rPr>
                <w:sz w:val="20"/>
                <w:szCs w:val="20"/>
                <w:color w:val="auto"/>
              </w:rPr>
            </w:pPr>
            <w:r>
              <w:rPr>
                <w:rFonts w:ascii="Arial" w:cs="Arial" w:eastAsia="Arial" w:hAnsi="Arial"/>
                <w:sz w:val="20"/>
                <w:szCs w:val="20"/>
                <w:b w:val="1"/>
                <w:bCs w:val="1"/>
                <w:color w:val="457157"/>
              </w:rPr>
              <w:t>Menke</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Plummer</w:t>
            </w:r>
          </w:p>
        </w:tc>
        <w:tc>
          <w:tcPr>
            <w:tcW w:w="1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gridSpan w:val="2"/>
            <w:textDirection w:val="btLr"/>
          </w:tcPr>
          <w:p>
            <w:pPr>
              <w:ind w:right="52"/>
              <w:spacing w:after="0"/>
              <w:rPr>
                <w:sz w:val="20"/>
                <w:szCs w:val="20"/>
                <w:color w:val="auto"/>
              </w:rPr>
            </w:pPr>
            <w:r>
              <w:rPr>
                <w:rFonts w:ascii="Arial" w:cs="Arial" w:eastAsia="Arial" w:hAnsi="Arial"/>
                <w:sz w:val="20"/>
                <w:szCs w:val="20"/>
                <w:b w:val="1"/>
                <w:bCs w:val="1"/>
                <w:color w:val="457157"/>
              </w:rPr>
              <w:t>Sylvester</w:t>
            </w:r>
          </w:p>
        </w:tc>
        <w:tc>
          <w:tcPr>
            <w:tcW w:w="100" w:type="dxa"/>
            <w:vAlign w:val="bottom"/>
            <w:vMerge w:val="restart"/>
          </w:tcPr>
          <w:p>
            <w:pPr>
              <w:spacing w:after="0"/>
              <w:rPr>
                <w:sz w:val="20"/>
                <w:szCs w:val="20"/>
                <w:color w:val="auto"/>
              </w:rPr>
            </w:pPr>
            <w:r>
              <w:rPr>
                <w:rFonts w:ascii="Arial" w:cs="Arial" w:eastAsia="Arial" w:hAnsi="Arial"/>
                <w:sz w:val="20"/>
                <w:szCs w:val="20"/>
                <w:b w:val="1"/>
                <w:bCs w:val="1"/>
                <w:color w:val="457157"/>
              </w:rPr>
              <w:t>​</w:t>
            </w:r>
          </w:p>
        </w:tc>
        <w:tc>
          <w:tcPr>
            <w:tcW w:w="0" w:type="dxa"/>
            <w:vAlign w:val="bottom"/>
          </w:tcPr>
          <w:p>
            <w:pPr>
              <w:spacing w:after="0"/>
              <w:rPr>
                <w:sz w:val="1"/>
                <w:szCs w:val="1"/>
                <w:color w:val="auto"/>
              </w:rPr>
            </w:pPr>
          </w:p>
        </w:tc>
      </w:tr>
      <w:tr>
        <w:trPr>
          <w:trHeight w:val="122"/>
        </w:trPr>
        <w:tc>
          <w:tcPr>
            <w:tcW w:w="168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2560" w:type="dxa"/>
            <w:vAlign w:val="bottom"/>
            <w:tcBorders>
              <w:right w:val="single" w:sz="8" w:color="457157"/>
            </w:tcBorders>
            <w:gridSpan w:val="3"/>
            <w:shd w:val="clear" w:color="auto" w:fill="457157"/>
          </w:tcPr>
          <w:p>
            <w:pPr>
              <w:spacing w:after="0"/>
              <w:rPr>
                <w:sz w:val="20"/>
                <w:szCs w:val="20"/>
                <w:color w:val="auto"/>
              </w:rPr>
            </w:pPr>
            <w:r>
              <w:rPr>
                <w:rFonts w:ascii="Arial" w:cs="Arial" w:eastAsia="Arial" w:hAnsi="Arial"/>
                <w:sz w:val="14"/>
                <w:szCs w:val="14"/>
                <w:b w:val="1"/>
                <w:bCs w:val="1"/>
                <w:color w:val="FFFFFF"/>
              </w:rPr>
              <w:t>SKILLS AND EXPERIENCE</w:t>
            </w:r>
            <w:r>
              <w:rPr>
                <w:rFonts w:ascii="Arial" w:cs="Arial" w:eastAsia="Arial" w:hAnsi="Arial"/>
                <w:sz w:val="16"/>
                <w:szCs w:val="16"/>
                <w:color w:val="000000"/>
              </w:rPr>
              <w:t>​</w:t>
            </w: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3"/>
        </w:trPr>
        <w:tc>
          <w:tcPr>
            <w:tcW w:w="100" w:type="dxa"/>
            <w:vAlign w:val="bottom"/>
            <w:shd w:val="clear" w:color="auto" w:fill="457157"/>
          </w:tcPr>
          <w:p>
            <w:pPr>
              <w:spacing w:after="0"/>
              <w:rPr>
                <w:sz w:val="7"/>
                <w:szCs w:val="7"/>
                <w:color w:val="auto"/>
              </w:rPr>
            </w:pPr>
          </w:p>
        </w:tc>
        <w:tc>
          <w:tcPr>
            <w:tcW w:w="1580" w:type="dxa"/>
            <w:vAlign w:val="bottom"/>
            <w:shd w:val="clear" w:color="auto" w:fill="457157"/>
          </w:tcPr>
          <w:p>
            <w:pPr>
              <w:spacing w:after="0"/>
              <w:rPr>
                <w:sz w:val="7"/>
                <w:szCs w:val="7"/>
                <w:color w:val="auto"/>
              </w:rPr>
            </w:pPr>
          </w:p>
        </w:tc>
        <w:tc>
          <w:tcPr>
            <w:tcW w:w="20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60" w:type="dxa"/>
            <w:vAlign w:val="bottom"/>
            <w:tcBorders>
              <w:right w:val="single" w:sz="8" w:color="457157"/>
            </w:tcBorders>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56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800" w:type="dxa"/>
            <w:vAlign w:val="bottom"/>
            <w:tcBorders>
              <w:right w:val="single" w:sz="8" w:color="457157"/>
            </w:tcBorders>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240" w:type="dxa"/>
            <w:vAlign w:val="bottom"/>
            <w:shd w:val="clear" w:color="auto" w:fill="457157"/>
          </w:tcPr>
          <w:p>
            <w:pPr>
              <w:spacing w:after="0"/>
              <w:rPr>
                <w:sz w:val="7"/>
                <w:szCs w:val="7"/>
                <w:color w:val="auto"/>
              </w:rPr>
            </w:pPr>
          </w:p>
        </w:tc>
        <w:tc>
          <w:tcPr>
            <w:tcW w:w="5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20"/>
                <w:szCs w:val="20"/>
                <w:color w:val="auto"/>
              </w:rPr>
            </w:pPr>
            <w:r>
              <w:rPr>
                <w:rFonts w:ascii="Arial" w:cs="Arial" w:eastAsia="Arial" w:hAnsi="Arial"/>
                <w:sz w:val="16"/>
                <w:szCs w:val="16"/>
                <w:b w:val="1"/>
                <w:bCs w:val="1"/>
                <w:color w:val="404040"/>
              </w:rPr>
              <w:t>Executive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shd w:val="clear" w:color="auto" w:fill="F2F2F2"/>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shd w:val="clear" w:color="auto" w:fill="F2F2F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shd w:val="clear" w:color="auto" w:fill="F2F2F2"/>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2F2F2"/>
          </w:tcPr>
          <w:p>
            <w:pPr>
              <w:spacing w:after="0"/>
              <w:rPr>
                <w:sz w:val="22"/>
                <w:szCs w:val="22"/>
                <w:color w:val="auto"/>
              </w:rPr>
            </w:pPr>
          </w:p>
        </w:tc>
        <w:tc>
          <w:tcPr>
            <w:tcW w:w="520" w:type="dxa"/>
            <w:vAlign w:val="bottom"/>
            <w:shd w:val="clear" w:color="auto" w:fill="F2F2F2"/>
          </w:tcPr>
          <w:p>
            <w:pPr>
              <w:spacing w:after="0"/>
              <w:rPr>
                <w:sz w:val="22"/>
                <w:szCs w:val="22"/>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00" w:type="dxa"/>
            <w:vAlign w:val="bottom"/>
            <w:tcBorders>
              <w:bottom w:val="single" w:sz="8" w:color="457157"/>
            </w:tcBorders>
          </w:tcPr>
          <w:p>
            <w:pPr>
              <w:spacing w:after="0"/>
              <w:rPr>
                <w:sz w:val="14"/>
                <w:szCs w:val="14"/>
                <w:color w:val="auto"/>
              </w:rPr>
            </w:pPr>
          </w:p>
        </w:tc>
        <w:tc>
          <w:tcPr>
            <w:tcW w:w="1580" w:type="dxa"/>
            <w:vAlign w:val="bottom"/>
            <w:tcBorders>
              <w:bottom w:val="single" w:sz="8" w:color="457157"/>
            </w:tcBorders>
          </w:tcPr>
          <w:p>
            <w:pPr>
              <w:spacing w:after="0" w:line="162" w:lineRule="exact"/>
              <w:rPr>
                <w:sz w:val="20"/>
                <w:szCs w:val="20"/>
                <w:color w:val="auto"/>
              </w:rPr>
            </w:pPr>
            <w:r>
              <w:rPr>
                <w:rFonts w:ascii="Arial" w:cs="Arial" w:eastAsia="Arial" w:hAnsi="Arial"/>
                <w:sz w:val="16"/>
                <w:szCs w:val="16"/>
                <w:b w:val="1"/>
                <w:bCs w:val="1"/>
                <w:color w:val="404040"/>
              </w:rPr>
              <w:t>Leadership</w:t>
            </w:r>
          </w:p>
        </w:tc>
        <w:tc>
          <w:tcPr>
            <w:tcW w:w="200" w:type="dxa"/>
            <w:vAlign w:val="bottom"/>
            <w:tcBorders>
              <w:bottom w:val="single" w:sz="8" w:color="457157"/>
            </w:tcBorders>
          </w:tcPr>
          <w:p>
            <w:pPr>
              <w:spacing w:after="0"/>
              <w:rPr>
                <w:sz w:val="14"/>
                <w:szCs w:val="14"/>
                <w:color w:val="auto"/>
              </w:rPr>
            </w:pPr>
          </w:p>
        </w:tc>
        <w:tc>
          <w:tcPr>
            <w:tcW w:w="78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60" w:type="dxa"/>
            <w:vAlign w:val="bottom"/>
            <w:tcBorders>
              <w:bottom w:val="single" w:sz="8" w:color="457157"/>
              <w:right w:val="single" w:sz="8" w:color="F2F2F2"/>
            </w:tcBorders>
            <w:shd w:val="clear" w:color="auto" w:fill="F2F2F2"/>
          </w:tcPr>
          <w:p>
            <w:pPr>
              <w:spacing w:after="0"/>
              <w:rPr>
                <w:sz w:val="14"/>
                <w:szCs w:val="14"/>
                <w:color w:val="auto"/>
              </w:rPr>
            </w:pPr>
          </w:p>
        </w:tc>
        <w:tc>
          <w:tcPr>
            <w:tcW w:w="140" w:type="dxa"/>
            <w:vAlign w:val="bottom"/>
            <w:tcBorders>
              <w:bottom w:val="single" w:sz="8" w:color="457157"/>
            </w:tcBorders>
          </w:tcPr>
          <w:p>
            <w:pPr>
              <w:spacing w:after="0"/>
              <w:rPr>
                <w:sz w:val="14"/>
                <w:szCs w:val="14"/>
                <w:color w:val="auto"/>
              </w:rPr>
            </w:pPr>
          </w:p>
        </w:tc>
        <w:tc>
          <w:tcPr>
            <w:tcW w:w="56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800" w:type="dxa"/>
            <w:vAlign w:val="bottom"/>
            <w:tcBorders>
              <w:bottom w:val="single" w:sz="8" w:color="457157"/>
              <w:right w:val="single" w:sz="8" w:color="F2F2F2"/>
            </w:tcBorders>
            <w:shd w:val="clear" w:color="auto" w:fill="F2F2F2"/>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80" w:type="dxa"/>
            <w:vAlign w:val="bottom"/>
            <w:tcBorders>
              <w:bottom w:val="single" w:sz="8" w:color="457157"/>
              <w:right w:val="single" w:sz="8" w:color="F2F2F2"/>
            </w:tcBorders>
            <w:shd w:val="clear" w:color="auto" w:fill="F2F2F2"/>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shd w:val="clear" w:color="auto" w:fill="F2F2F2"/>
          </w:tcPr>
          <w:p>
            <w:pPr>
              <w:spacing w:after="0"/>
              <w:rPr>
                <w:sz w:val="14"/>
                <w:szCs w:val="14"/>
                <w:color w:val="auto"/>
              </w:rPr>
            </w:pPr>
          </w:p>
        </w:tc>
        <w:tc>
          <w:tcPr>
            <w:tcW w:w="240" w:type="dxa"/>
            <w:vAlign w:val="bottom"/>
            <w:tcBorders>
              <w:bottom w:val="single" w:sz="8" w:color="457157"/>
            </w:tcBorders>
            <w:shd w:val="clear" w:color="auto" w:fill="F2F2F2"/>
          </w:tcPr>
          <w:p>
            <w:pPr>
              <w:spacing w:after="0"/>
              <w:rPr>
                <w:sz w:val="14"/>
                <w:szCs w:val="14"/>
                <w:color w:val="auto"/>
              </w:rPr>
            </w:pPr>
          </w:p>
        </w:tc>
        <w:tc>
          <w:tcPr>
            <w:tcW w:w="520" w:type="dxa"/>
            <w:vAlign w:val="bottom"/>
            <w:tcBorders>
              <w:bottom w:val="single" w:sz="8" w:color="457157"/>
            </w:tcBorders>
            <w:shd w:val="clear" w:color="auto" w:fill="F2F2F2"/>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Public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Board and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Governance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457157"/>
            </w:tcBorders>
          </w:tcPr>
          <w:p>
            <w:pPr>
              <w:spacing w:after="0"/>
              <w:rPr>
                <w:sz w:val="4"/>
                <w:szCs w:val="4"/>
                <w:color w:val="auto"/>
              </w:rPr>
            </w:pPr>
          </w:p>
        </w:tc>
        <w:tc>
          <w:tcPr>
            <w:tcW w:w="1780" w:type="dxa"/>
            <w:vAlign w:val="bottom"/>
            <w:tcBorders>
              <w:bottom w:val="single" w:sz="8" w:color="457157"/>
            </w:tcBorders>
            <w:gridSpan w:val="2"/>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56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tcPr>
          <w:p>
            <w:pPr>
              <w:spacing w:after="0"/>
              <w:rPr>
                <w:sz w:val="4"/>
                <w:szCs w:val="4"/>
                <w:color w:val="auto"/>
              </w:rPr>
            </w:pPr>
          </w:p>
        </w:tc>
        <w:tc>
          <w:tcPr>
            <w:tcW w:w="5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880" w:type="dxa"/>
            <w:vAlign w:val="bottom"/>
            <w:gridSpan w:val="3"/>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Strategic Planning</w:t>
            </w:r>
            <w:r>
              <w:rPr>
                <w:rFonts w:ascii="Arial" w:cs="Arial" w:eastAsia="Arial" w:hAnsi="Arial"/>
                <w:sz w:val="16"/>
                <w:szCs w:val="16"/>
                <w:color w:val="auto"/>
              </w:rPr>
              <w:t xml:space="preserve"> ​​</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2"/>
        </w:trPr>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60" w:type="dxa"/>
            <w:vAlign w:val="bottom"/>
            <w:tcBorders>
              <w:bottom w:val="single" w:sz="8" w:color="457157"/>
              <w:right w:val="single" w:sz="8" w:color="F2F2F2"/>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56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800" w:type="dxa"/>
            <w:vAlign w:val="bottom"/>
            <w:tcBorders>
              <w:bottom w:val="single" w:sz="8" w:color="457157"/>
              <w:right w:val="single" w:sz="8" w:color="F2F2F2"/>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240" w:type="dxa"/>
            <w:vAlign w:val="bottom"/>
            <w:tcBorders>
              <w:bottom w:val="single" w:sz="8" w:color="457157"/>
            </w:tcBorders>
          </w:tcPr>
          <w:p>
            <w:pPr>
              <w:spacing w:after="0"/>
              <w:rPr>
                <w:sz w:val="5"/>
                <w:szCs w:val="5"/>
                <w:color w:val="auto"/>
              </w:rPr>
            </w:pPr>
          </w:p>
        </w:tc>
        <w:tc>
          <w:tcPr>
            <w:tcW w:w="5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Operational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404040"/>
              </w:rPr>
              <w:t>Excellence</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580" w:type="dxa"/>
            <w:vAlign w:val="bottom"/>
          </w:tcPr>
          <w:p>
            <w:pPr>
              <w:spacing w:after="0" w:line="182" w:lineRule="exact"/>
              <w:rPr>
                <w:sz w:val="20"/>
                <w:szCs w:val="20"/>
                <w:color w:val="auto"/>
              </w:rPr>
            </w:pPr>
            <w:r>
              <w:rPr>
                <w:rFonts w:ascii="Arial" w:cs="Arial" w:eastAsia="Arial" w:hAnsi="Arial"/>
                <w:sz w:val="16"/>
                <w:szCs w:val="16"/>
                <w:b w:val="1"/>
                <w:bCs w:val="1"/>
                <w:color w:val="404040"/>
              </w:rPr>
              <w:t>Financial</w:t>
            </w:r>
          </w:p>
        </w:tc>
        <w:tc>
          <w:tcPr>
            <w:tcW w:w="20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Expertise and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center"/>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Capital Allocation</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Human Capital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404040"/>
              </w:rPr>
              <w:t>Management</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Sustainability/</w:t>
            </w:r>
          </w:p>
        </w:tc>
        <w:tc>
          <w:tcPr>
            <w:tcW w:w="20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right w:val="single" w:sz="8" w:color="F2F2F2"/>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F2F2F2"/>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Environmental/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Renewable Energy</w:t>
            </w:r>
          </w:p>
        </w:tc>
        <w:tc>
          <w:tcPr>
            <w:tcW w:w="20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Borders>
              <w:right w:val="single" w:sz="8" w:color="F2F2F2"/>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F2F2F2"/>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00" w:type="dxa"/>
            <w:vAlign w:val="bottom"/>
            <w:tcBorders>
              <w:top w:val="single" w:sz="8" w:color="457157"/>
            </w:tcBorders>
          </w:tcPr>
          <w:p>
            <w:pPr>
              <w:spacing w:after="0"/>
              <w:rPr>
                <w:sz w:val="16"/>
                <w:szCs w:val="16"/>
                <w:color w:val="auto"/>
              </w:rPr>
            </w:pPr>
          </w:p>
        </w:tc>
        <w:tc>
          <w:tcPr>
            <w:tcW w:w="158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404040"/>
              </w:rPr>
              <w:t>Digital /</w:t>
            </w:r>
          </w:p>
        </w:tc>
        <w:tc>
          <w:tcPr>
            <w:tcW w:w="20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60" w:type="dxa"/>
            <w:vAlign w:val="bottom"/>
            <w:tcBorders>
              <w:top w:val="single" w:sz="8" w:color="457157"/>
              <w:right w:val="single" w:sz="8" w:color="F2F2F2"/>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56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800" w:type="dxa"/>
            <w:vAlign w:val="bottom"/>
            <w:tcBorders>
              <w:top w:val="single" w:sz="8" w:color="457157"/>
              <w:right w:val="single" w:sz="8" w:color="F2F2F2"/>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240" w:type="dxa"/>
            <w:vAlign w:val="bottom"/>
            <w:tcBorders>
              <w:top w:val="single" w:sz="8" w:color="457157"/>
            </w:tcBorders>
          </w:tcPr>
          <w:p>
            <w:pPr>
              <w:spacing w:after="0"/>
              <w:rPr>
                <w:sz w:val="16"/>
                <w:szCs w:val="16"/>
                <w:color w:val="auto"/>
              </w:rPr>
            </w:pPr>
          </w:p>
        </w:tc>
        <w:tc>
          <w:tcPr>
            <w:tcW w:w="5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80" w:type="dxa"/>
            <w:vAlign w:val="bottom"/>
            <w:gridSpan w:val="2"/>
          </w:tcPr>
          <w:p>
            <w:pPr>
              <w:ind w:left="60"/>
              <w:spacing w:after="0" w:line="243" w:lineRule="exact"/>
              <w:rPr>
                <w:sz w:val="20"/>
                <w:szCs w:val="20"/>
                <w:color w:val="auto"/>
              </w:rPr>
            </w:pPr>
            <w:r>
              <w:rPr>
                <w:rFonts w:ascii="Arial" w:cs="Arial" w:eastAsia="Arial" w:hAnsi="Arial"/>
                <w:sz w:val="28"/>
                <w:szCs w:val="28"/>
                <w:color w:val="000000"/>
                <w:vertAlign w:val="subscript"/>
              </w:rPr>
              <w:t>​</w:t>
            </w:r>
            <w:r>
              <w:rPr>
                <w:rFonts w:ascii="Arial" w:cs="Arial" w:eastAsia="Arial" w:hAnsi="Arial"/>
                <w:sz w:val="15"/>
                <w:szCs w:val="15"/>
                <w:b w:val="1"/>
                <w:bCs w:val="1"/>
                <w:color w:val="404040"/>
              </w:rPr>
              <w:t>Information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5"/>
                <w:szCs w:val="15"/>
                <w:b w:val="1"/>
                <w:bCs w:val="1"/>
                <w:color w:val="404040"/>
              </w:rPr>
              <w:t>Technology /</w:t>
            </w:r>
          </w:p>
        </w:tc>
        <w:tc>
          <w:tcPr>
            <w:tcW w:w="20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F2F2F2"/>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F2F2F2"/>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Cybersecurity</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Risk Management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right w:val="single" w:sz="8" w:color="F2F2F2"/>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F2F2F2"/>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DEMOGRAPHICS</w:t>
            </w:r>
            <w:r>
              <w:rPr>
                <w:rFonts w:ascii="Arial" w:cs="Arial" w:eastAsia="Arial" w:hAnsi="Arial"/>
                <w:sz w:val="16"/>
                <w:szCs w:val="16"/>
                <w:color w:val="000000"/>
              </w:rPr>
              <w:t>​</w:t>
            </w:r>
          </w:p>
        </w:tc>
        <w:tc>
          <w:tcPr>
            <w:tcW w:w="20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9"/>
        </w:trPr>
        <w:tc>
          <w:tcPr>
            <w:tcW w:w="100" w:type="dxa"/>
            <w:vAlign w:val="bottom"/>
            <w:shd w:val="clear" w:color="auto" w:fill="457157"/>
          </w:tcPr>
          <w:p>
            <w:pPr>
              <w:spacing w:after="0"/>
              <w:rPr>
                <w:sz w:val="6"/>
                <w:szCs w:val="6"/>
                <w:color w:val="auto"/>
              </w:rPr>
            </w:pPr>
          </w:p>
        </w:tc>
        <w:tc>
          <w:tcPr>
            <w:tcW w:w="1580" w:type="dxa"/>
            <w:vAlign w:val="bottom"/>
            <w:shd w:val="clear" w:color="auto" w:fill="457157"/>
          </w:tcPr>
          <w:p>
            <w:pPr>
              <w:spacing w:after="0"/>
              <w:rPr>
                <w:sz w:val="6"/>
                <w:szCs w:val="6"/>
                <w:color w:val="auto"/>
              </w:rPr>
            </w:pPr>
          </w:p>
        </w:tc>
        <w:tc>
          <w:tcPr>
            <w:tcW w:w="20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60" w:type="dxa"/>
            <w:vAlign w:val="bottom"/>
            <w:tcBorders>
              <w:right w:val="single" w:sz="8" w:color="457157"/>
            </w:tcBorders>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56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800" w:type="dxa"/>
            <w:vAlign w:val="bottom"/>
            <w:tcBorders>
              <w:right w:val="single" w:sz="8" w:color="457157"/>
            </w:tcBorders>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60" w:type="dxa"/>
            <w:vAlign w:val="bottom"/>
            <w:gridSpan w:val="2"/>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Gender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Male</w:t>
            </w:r>
          </w:p>
        </w:tc>
        <w:tc>
          <w:tcPr>
            <w:tcW w:w="120" w:type="dxa"/>
            <w:vAlign w:val="bottom"/>
          </w:tcPr>
          <w:p>
            <w:pPr>
              <w:spacing w:after="0"/>
              <w:rPr>
                <w:sz w:val="21"/>
                <w:szCs w:val="21"/>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Female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Female</w:t>
            </w:r>
          </w:p>
        </w:tc>
        <w:tc>
          <w:tcPr>
            <w:tcW w:w="8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2F2F2"/>
          </w:tcPr>
          <w:p>
            <w:pPr>
              <w:jc w:val="center"/>
              <w:ind w:right="19"/>
              <w:spacing w:after="0"/>
              <w:rPr>
                <w:sz w:val="20"/>
                <w:szCs w:val="20"/>
                <w:color w:val="auto"/>
              </w:rPr>
            </w:pPr>
            <w:r>
              <w:rPr>
                <w:rFonts w:ascii="Arial" w:cs="Arial" w:eastAsia="Arial" w:hAnsi="Arial"/>
                <w:sz w:val="16"/>
                <w:szCs w:val="16"/>
                <w:color w:val="auto"/>
              </w:rPr>
              <w:t>Female</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right w:val="single" w:sz="8" w:color="F2F2F2"/>
            </w:tcBorders>
            <w:shd w:val="clear" w:color="auto" w:fill="F2F2F2"/>
          </w:tcPr>
          <w:p>
            <w:pPr>
              <w:spacing w:after="0"/>
              <w:rPr>
                <w:sz w:val="5"/>
                <w:szCs w:val="5"/>
                <w:color w:val="auto"/>
              </w:rPr>
            </w:pPr>
          </w:p>
        </w:tc>
        <w:tc>
          <w:tcPr>
            <w:tcW w:w="820" w:type="dxa"/>
            <w:vAlign w:val="bottom"/>
            <w:tcBorders>
              <w:bottom w:val="single" w:sz="8" w:color="457157"/>
            </w:tcBorders>
            <w:gridSpan w:val="3"/>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800" w:type="dxa"/>
            <w:vAlign w:val="bottom"/>
            <w:tcBorders>
              <w:bottom w:val="single" w:sz="8" w:color="457157"/>
              <w:right w:val="single" w:sz="8" w:color="F2F2F2"/>
            </w:tcBorders>
            <w:shd w:val="clear" w:color="auto" w:fill="F2F2F2"/>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80" w:type="dxa"/>
            <w:vAlign w:val="bottom"/>
            <w:tcBorders>
              <w:bottom w:val="single" w:sz="8" w:color="457157"/>
              <w:right w:val="single" w:sz="8" w:color="F2F2F2"/>
            </w:tcBorders>
            <w:shd w:val="clear" w:color="auto" w:fill="F2F2F2"/>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tcBorders>
            <w:gridSpan w:val="2"/>
            <w:shd w:val="clear" w:color="auto" w:fill="F2F2F2"/>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80" w:type="dxa"/>
            <w:vAlign w:val="bottom"/>
            <w:gridSpan w:val="2"/>
          </w:tcPr>
          <w:p>
            <w:pPr>
              <w:ind w:left="60"/>
              <w:spacing w:after="0" w:line="236" w:lineRule="exact"/>
              <w:rPr>
                <w:sz w:val="20"/>
                <w:szCs w:val="20"/>
                <w:color w:val="auto"/>
              </w:rPr>
            </w:pPr>
            <w:r>
              <w:rPr>
                <w:rFonts w:ascii="Arial" w:cs="Arial" w:eastAsia="Arial" w:hAnsi="Arial"/>
                <w:sz w:val="27"/>
                <w:szCs w:val="27"/>
                <w:color w:val="000000"/>
                <w:vertAlign w:val="superscript"/>
              </w:rPr>
              <w:t>​</w:t>
            </w:r>
            <w:r>
              <w:rPr>
                <w:rFonts w:ascii="Arial" w:cs="Arial" w:eastAsia="Arial" w:hAnsi="Arial"/>
                <w:sz w:val="14"/>
                <w:szCs w:val="14"/>
                <w:b w:val="1"/>
                <w:bCs w:val="1"/>
                <w:color w:val="404040"/>
              </w:rPr>
              <w:t>Race/Ethnicity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White/​</w:t>
            </w:r>
          </w:p>
        </w:tc>
        <w:tc>
          <w:tcPr>
            <w:tcW w:w="820" w:type="dxa"/>
            <w:vAlign w:val="bottom"/>
            <w:gridSpan w:val="3"/>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Hispanic</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80"/>
              <w:spacing w:after="0"/>
              <w:rPr>
                <w:sz w:val="20"/>
                <w:szCs w:val="20"/>
                <w:color w:val="auto"/>
              </w:rPr>
            </w:pPr>
            <w:r>
              <w:rPr>
                <w:rFonts w:ascii="Arial" w:cs="Arial" w:eastAsia="Arial" w:hAnsi="Arial"/>
                <w:sz w:val="16"/>
                <w:szCs w:val="16"/>
                <w:color w:val="auto"/>
              </w:rPr>
              <w:t>White/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White/​</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White/​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00" w:type="dxa"/>
            <w:vAlign w:val="bottom"/>
            <w:tcBorders>
              <w:bottom w:val="single" w:sz="8" w:color="457157"/>
            </w:tcBorders>
          </w:tcPr>
          <w:p>
            <w:pPr>
              <w:spacing w:after="0"/>
              <w:rPr>
                <w:sz w:val="8"/>
                <w:szCs w:val="8"/>
                <w:color w:val="auto"/>
              </w:rPr>
            </w:pPr>
          </w:p>
        </w:tc>
        <w:tc>
          <w:tcPr>
            <w:tcW w:w="1580" w:type="dxa"/>
            <w:vAlign w:val="bottom"/>
            <w:tcBorders>
              <w:bottom w:val="single" w:sz="8" w:color="457157"/>
            </w:tcBorders>
          </w:tcPr>
          <w:p>
            <w:pPr>
              <w:spacing w:after="0"/>
              <w:rPr>
                <w:sz w:val="8"/>
                <w:szCs w:val="8"/>
                <w:color w:val="auto"/>
              </w:rPr>
            </w:pPr>
          </w:p>
        </w:tc>
        <w:tc>
          <w:tcPr>
            <w:tcW w:w="20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6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56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80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240" w:type="dxa"/>
            <w:vAlign w:val="bottom"/>
            <w:tcBorders>
              <w:bottom w:val="single" w:sz="8" w:color="457157"/>
            </w:tcBorders>
          </w:tcPr>
          <w:p>
            <w:pPr>
              <w:spacing w:after="0"/>
              <w:rPr>
                <w:sz w:val="8"/>
                <w:szCs w:val="8"/>
                <w:color w:val="auto"/>
              </w:rPr>
            </w:pPr>
          </w:p>
        </w:tc>
        <w:tc>
          <w:tcPr>
            <w:tcW w:w="5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-5262880</wp:posOffset>
            </wp:positionV>
            <wp:extent cx="5040630" cy="5254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40630" cy="525462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sectPr>
      </w:pPr>
    </w:p>
    <w:p>
      <w:pPr>
        <w:spacing w:after="0" w:line="184" w:lineRule="exact"/>
        <w:rPr>
          <w:sz w:val="20"/>
          <w:szCs w:val="20"/>
          <w:color w:val="auto"/>
        </w:rPr>
      </w:pPr>
    </w:p>
    <w:p>
      <w:pPr>
        <w:jc w:val="both"/>
        <w:ind w:left="1180"/>
        <w:spacing w:after="0" w:line="254"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-1230630</wp:posOffset>
            </wp:positionV>
            <wp:extent cx="10287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-1230630</wp:posOffset>
            </wp:positionV>
            <wp:extent cx="7747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right="620"/>
        <w:spacing w:after="0" w:line="265" w:lineRule="auto"/>
        <w:rPr>
          <w:sz w:val="20"/>
          <w:szCs w:val="20"/>
          <w:color w:val="auto"/>
        </w:rPr>
      </w:pPr>
      <w:r>
        <w:rPr>
          <w:rFonts w:ascii="Arial" w:cs="Arial" w:eastAsia="Arial" w:hAnsi="Arial"/>
          <w:sz w:val="18"/>
          <w:szCs w:val="18"/>
          <w:color w:val="auto"/>
        </w:rPr>
        <w:t>Each director nominee’s identification of additional categories of skill and expertise in which they have substantial experience and in-depth knowledge</w:t>
      </w:r>
    </w:p>
    <w:p>
      <w:pPr>
        <w:spacing w:after="0" w:line="1512" w:lineRule="exact"/>
        <w:rPr>
          <w:sz w:val="20"/>
          <w:szCs w:val="20"/>
          <w:color w:val="auto"/>
        </w:rPr>
      </w:pPr>
    </w:p>
    <w:p>
      <w:pPr>
        <w:sectPr>
          <w:pgSz w:w="11900" w:h="16838" w:orient="portrait"/>
          <w:cols w:equalWidth="0" w:num="2">
            <w:col w:w="5240" w:space="580"/>
            <w:col w:w="4680"/>
          </w:cols>
          <w:pgMar w:left="580" w:top="9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140" w:type="dxa"/>
            <w:vAlign w:val="bottom"/>
            <w:shd w:val="clear" w:color="auto" w:fill="457157"/>
          </w:tcPr>
          <w:p>
            <w:pPr>
              <w:spacing w:after="0" w:line="20" w:lineRule="exact"/>
              <w:rPr>
                <w:sz w:val="1"/>
                <w:szCs w:val="1"/>
                <w:color w:val="auto"/>
              </w:rPr>
            </w:pPr>
          </w:p>
        </w:tc>
        <w:tc>
          <w:tcPr>
            <w:tcW w:w="31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580" w:type="dxa"/>
            <w:vAlign w:val="bottom"/>
            <w:tcBorders>
              <w:right w:val="single" w:sz="8" w:color="457157"/>
            </w:tcBorders>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6"/>
        </w:trPr>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0"/>
          </w:tcPr>
          <w:p>
            <w:pPr>
              <w:ind w:left="20"/>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tc>
      </w:tr>
      <w:tr>
        <w:trPr>
          <w:trHeight w:val="70"/>
        </w:trPr>
        <w:tc>
          <w:tcPr>
            <w:tcW w:w="1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80" w:type="dxa"/>
            <w:vAlign w:val="bottom"/>
            <w:gridSpan w:val="7"/>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4"/>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gridSpan w:val="2"/>
          </w:tcPr>
          <w:p>
            <w:pPr>
              <w:spacing w:after="0"/>
              <w:rPr>
                <w:sz w:val="6"/>
                <w:szCs w:val="6"/>
                <w:color w:val="auto"/>
              </w:rPr>
            </w:pPr>
          </w:p>
        </w:tc>
      </w:tr>
      <w:tr>
        <w:trPr>
          <w:trHeight w:val="364"/>
        </w:trPr>
        <w:tc>
          <w:tcPr>
            <w:tcW w:w="140" w:type="dxa"/>
            <w:vAlign w:val="bottom"/>
          </w:tcPr>
          <w:p>
            <w:pPr>
              <w:ind w:left="40"/>
              <w:spacing w:after="0"/>
              <w:rPr>
                <w:sz w:val="20"/>
                <w:szCs w:val="20"/>
                <w:color w:val="auto"/>
              </w:rPr>
            </w:pPr>
            <w:r>
              <w:rPr>
                <w:rFonts w:ascii="Arial" w:cs="Arial" w:eastAsia="Arial" w:hAnsi="Arial"/>
                <w:sz w:val="14"/>
                <w:szCs w:val="14"/>
                <w:color w:val="457157"/>
              </w:rPr>
              <w:t>​</w:t>
            </w:r>
          </w:p>
        </w:tc>
        <w:tc>
          <w:tcPr>
            <w:tcW w:w="3120" w:type="dxa"/>
            <w:vAlign w:val="bottom"/>
          </w:tcPr>
          <w:p>
            <w:pPr>
              <w:ind w:left="500"/>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Executive</w:t>
            </w:r>
          </w:p>
        </w:tc>
        <w:tc>
          <w:tcPr>
            <w:tcW w:w="180" w:type="dxa"/>
            <w:vAlign w:val="bottom"/>
            <w:gridSpan w:val="2"/>
          </w:tcPr>
          <w:p>
            <w:pPr>
              <w:ind w:left="100"/>
              <w:spacing w:after="0"/>
              <w:rPr>
                <w:sz w:val="20"/>
                <w:szCs w:val="20"/>
                <w:color w:val="auto"/>
              </w:rPr>
            </w:pPr>
            <w:r>
              <w:rPr>
                <w:rFonts w:ascii="Arial" w:cs="Arial" w:eastAsia="Arial" w:hAnsi="Arial"/>
                <w:sz w:val="14"/>
                <w:szCs w:val="14"/>
                <w:color w:val="457157"/>
              </w:rPr>
              <w:t>​</w:t>
            </w:r>
          </w:p>
        </w:tc>
        <w:tc>
          <w:tcPr>
            <w:tcW w:w="38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260" w:type="dxa"/>
            <w:vAlign w:val="bottom"/>
            <w:shd w:val="clear" w:color="auto" w:fill="457157"/>
          </w:tcPr>
          <w:p>
            <w:pPr>
              <w:ind w:left="240"/>
              <w:spacing w:after="0"/>
              <w:rPr>
                <w:sz w:val="20"/>
                <w:szCs w:val="20"/>
                <w:color w:val="auto"/>
              </w:rPr>
            </w:pPr>
            <w:r>
              <w:rPr>
                <w:rFonts w:ascii="Arial" w:cs="Arial" w:eastAsia="Arial" w:hAnsi="Arial"/>
                <w:sz w:val="1"/>
                <w:szCs w:val="1"/>
                <w:color w:val="457157"/>
                <w:w w:val="4294942296"/>
              </w:rPr>
              <w:t>​</w:t>
            </w:r>
          </w:p>
        </w:tc>
        <w:tc>
          <w:tcPr>
            <w:tcW w:w="2080" w:type="dxa"/>
            <w:vAlign w:val="bottom"/>
            <w:gridSpan w:val="7"/>
          </w:tcPr>
          <w:p>
            <w:pPr>
              <w:jc w:val="right"/>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Public Company Board</w:t>
            </w:r>
          </w:p>
        </w:tc>
        <w:tc>
          <w:tcPr>
            <w:tcW w:w="160" w:type="dxa"/>
            <w:vAlign w:val="bottom"/>
            <w:gridSpan w:val="2"/>
          </w:tcPr>
          <w:p>
            <w:pPr>
              <w:ind w:left="80"/>
              <w:spacing w:after="0"/>
              <w:rPr>
                <w:sz w:val="20"/>
                <w:szCs w:val="20"/>
                <w:color w:val="auto"/>
              </w:rPr>
            </w:pPr>
            <w:r>
              <w:rPr>
                <w:rFonts w:ascii="Arial" w:cs="Arial" w:eastAsia="Arial" w:hAnsi="Arial"/>
                <w:sz w:val="14"/>
                <w:szCs w:val="14"/>
                <w:color w:val="457157"/>
              </w:rPr>
              <w:t>​</w:t>
            </w:r>
          </w:p>
        </w:tc>
        <w:tc>
          <w:tcPr>
            <w:tcW w:w="12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80" w:type="dxa"/>
            <w:vAlign w:val="bottom"/>
            <w:tcBorders>
              <w:right w:val="single" w:sz="8" w:color="E5E5E5"/>
            </w:tcBorders>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900" w:type="dxa"/>
            <w:vAlign w:val="bottom"/>
            <w:gridSpan w:val="4"/>
            <w:shd w:val="clear" w:color="auto" w:fill="E5E5E5"/>
          </w:tcPr>
          <w:p>
            <w:pPr>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Strategic</w:t>
            </w:r>
          </w:p>
        </w:tc>
        <w:tc>
          <w:tcPr>
            <w:tcW w:w="12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457157"/>
              </w:rPr>
              <w:t>​</w:t>
            </w:r>
          </w:p>
        </w:tc>
        <w:tc>
          <w:tcPr>
            <w:tcW w:w="6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3120" w:type="dxa"/>
            <w:vAlign w:val="bottom"/>
          </w:tcPr>
          <w:p>
            <w:pPr>
              <w:ind w:left="580"/>
              <w:spacing w:after="0"/>
              <w:rPr>
                <w:sz w:val="20"/>
                <w:szCs w:val="20"/>
                <w:color w:val="auto"/>
              </w:rPr>
            </w:pPr>
            <w:r>
              <w:rPr>
                <w:rFonts w:ascii="Arial" w:cs="Arial" w:eastAsia="Arial" w:hAnsi="Arial"/>
                <w:sz w:val="16"/>
                <w:szCs w:val="16"/>
                <w:b w:val="1"/>
                <w:bCs w:val="1"/>
                <w:color w:val="457157"/>
              </w:rPr>
              <w:t>Leadership</w:t>
            </w:r>
            <w:r>
              <w:rPr>
                <w:rFonts w:ascii="Arial" w:cs="Arial" w:eastAsia="Arial" w:hAnsi="Arial"/>
                <w:sz w:val="14"/>
                <w:szCs w:val="14"/>
                <w:color w:val="000000"/>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457157"/>
            </w:tcBorders>
            <w:shd w:val="clear" w:color="auto" w:fill="457157"/>
          </w:tcPr>
          <w:p>
            <w:pPr>
              <w:spacing w:after="0"/>
              <w:rPr>
                <w:sz w:val="21"/>
                <w:szCs w:val="21"/>
                <w:color w:val="auto"/>
              </w:rPr>
            </w:pPr>
          </w:p>
        </w:tc>
        <w:tc>
          <w:tcPr>
            <w:tcW w:w="260" w:type="dxa"/>
            <w:vAlign w:val="bottom"/>
            <w:tcBorders>
              <w:bottom w:val="single" w:sz="8" w:color="457157"/>
            </w:tcBorders>
            <w:shd w:val="clear" w:color="auto" w:fill="457157"/>
          </w:tcPr>
          <w:p>
            <w:pPr>
              <w:spacing w:after="0"/>
              <w:rPr>
                <w:sz w:val="21"/>
                <w:szCs w:val="21"/>
                <w:color w:val="auto"/>
              </w:rPr>
            </w:pPr>
          </w:p>
        </w:tc>
        <w:tc>
          <w:tcPr>
            <w:tcW w:w="1540" w:type="dxa"/>
            <w:vAlign w:val="bottom"/>
            <w:gridSpan w:val="6"/>
          </w:tcPr>
          <w:p>
            <w:pPr>
              <w:ind w:left="80"/>
              <w:spacing w:after="0"/>
              <w:rPr>
                <w:sz w:val="20"/>
                <w:szCs w:val="20"/>
                <w:color w:val="auto"/>
              </w:rPr>
            </w:pPr>
            <w:r>
              <w:rPr>
                <w:rFonts w:ascii="Arial" w:cs="Arial" w:eastAsia="Arial" w:hAnsi="Arial"/>
                <w:sz w:val="16"/>
                <w:szCs w:val="16"/>
                <w:b w:val="1"/>
                <w:bCs w:val="1"/>
                <w:color w:val="457157"/>
              </w:rPr>
              <w:t>and Governance</w:t>
            </w:r>
            <w:r>
              <w:rPr>
                <w:rFonts w:ascii="Arial" w:cs="Arial" w:eastAsia="Arial" w:hAnsi="Arial"/>
                <w:sz w:val="14"/>
                <w:szCs w:val="14"/>
                <w:color w:val="000000"/>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457157"/>
            </w:tcBorders>
            <w:shd w:val="clear" w:color="auto" w:fill="457157"/>
          </w:tcPr>
          <w:p>
            <w:pPr>
              <w:spacing w:after="0"/>
              <w:rPr>
                <w:sz w:val="21"/>
                <w:szCs w:val="21"/>
                <w:color w:val="auto"/>
              </w:rPr>
            </w:pPr>
          </w:p>
        </w:tc>
        <w:tc>
          <w:tcPr>
            <w:tcW w:w="580" w:type="dxa"/>
            <w:vAlign w:val="bottom"/>
            <w:tcBorders>
              <w:bottom w:val="single" w:sz="8" w:color="457157"/>
              <w:right w:val="single" w:sz="8" w:color="E5E5E5"/>
            </w:tcBorders>
            <w:shd w:val="clear" w:color="auto" w:fill="457157"/>
          </w:tcPr>
          <w:p>
            <w:pPr>
              <w:spacing w:after="0"/>
              <w:rPr>
                <w:sz w:val="21"/>
                <w:szCs w:val="21"/>
                <w:color w:val="auto"/>
              </w:rPr>
            </w:pPr>
          </w:p>
        </w:tc>
        <w:tc>
          <w:tcPr>
            <w:tcW w:w="900" w:type="dxa"/>
            <w:vAlign w:val="bottom"/>
            <w:tcBorders>
              <w:bottom w:val="single" w:sz="8" w:color="E5E5E5"/>
            </w:tcBorders>
            <w:gridSpan w:val="4"/>
            <w:shd w:val="clear" w:color="auto" w:fill="E5E5E5"/>
          </w:tcPr>
          <w:p>
            <w:pPr>
              <w:ind w:left="20"/>
              <w:spacing w:after="0"/>
              <w:rPr>
                <w:sz w:val="20"/>
                <w:szCs w:val="20"/>
                <w:color w:val="auto"/>
              </w:rPr>
            </w:pPr>
            <w:r>
              <w:rPr>
                <w:rFonts w:ascii="Arial" w:cs="Arial" w:eastAsia="Arial" w:hAnsi="Arial"/>
                <w:sz w:val="16"/>
                <w:szCs w:val="16"/>
                <w:b w:val="1"/>
                <w:bCs w:val="1"/>
                <w:color w:val="457157"/>
              </w:rPr>
              <w:t>Planning</w:t>
            </w:r>
            <w:r>
              <w:rPr>
                <w:rFonts w:ascii="Arial" w:cs="Arial" w:eastAsia="Arial" w:hAnsi="Arial"/>
                <w:sz w:val="14"/>
                <w:szCs w:val="14"/>
                <w:color w:val="000000"/>
              </w:rPr>
              <w:t>​</w:t>
            </w:r>
          </w:p>
        </w:tc>
        <w:tc>
          <w:tcPr>
            <w:tcW w:w="120" w:type="dxa"/>
            <w:vAlign w:val="bottom"/>
            <w:tcBorders>
              <w:bottom w:val="single" w:sz="8" w:color="E5E5E5"/>
            </w:tcBorders>
            <w:shd w:val="clear" w:color="auto" w:fill="E5E5E5"/>
          </w:tcPr>
          <w:p>
            <w:pPr>
              <w:spacing w:after="0"/>
              <w:rPr>
                <w:sz w:val="21"/>
                <w:szCs w:val="21"/>
                <w:color w:val="auto"/>
              </w:rPr>
            </w:pPr>
          </w:p>
        </w:tc>
        <w:tc>
          <w:tcPr>
            <w:tcW w:w="420" w:type="dxa"/>
            <w:vAlign w:val="bottom"/>
            <w:tcBorders>
              <w:bottom w:val="single" w:sz="8" w:color="E5E5E5"/>
            </w:tcBorders>
            <w:shd w:val="clear" w:color="auto" w:fill="E5E5E5"/>
          </w:tcPr>
          <w:p>
            <w:pPr>
              <w:spacing w:after="0"/>
              <w:rPr>
                <w:sz w:val="21"/>
                <w:szCs w:val="21"/>
                <w:color w:val="auto"/>
              </w:rPr>
            </w:pPr>
          </w:p>
        </w:tc>
        <w:tc>
          <w:tcPr>
            <w:tcW w:w="600" w:type="dxa"/>
            <w:vAlign w:val="bottom"/>
            <w:tcBorders>
              <w:bottom w:val="single" w:sz="8" w:color="E5E5E5"/>
            </w:tcBorders>
            <w:shd w:val="clear" w:color="auto" w:fill="E5E5E5"/>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14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Directors   who   hold   or   have   held</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720" w:type="dxa"/>
            <w:vAlign w:val="bottom"/>
            <w:gridSpan w:val="9"/>
            <w:shd w:val="clear" w:color="auto" w:fill="F6F8F7"/>
          </w:tcPr>
          <w:p>
            <w:pPr>
              <w:jc w:val="right"/>
              <w:ind w:right="28"/>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 with a history of service</w:t>
            </w:r>
          </w:p>
        </w:tc>
        <w:tc>
          <w:tcPr>
            <w:tcW w:w="100" w:type="dxa"/>
            <w:vAlign w:val="bottom"/>
            <w:shd w:val="clear" w:color="auto" w:fill="F6F8F7"/>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Directors</w:t>
            </w:r>
          </w:p>
        </w:tc>
        <w:tc>
          <w:tcPr>
            <w:tcW w:w="140" w:type="dxa"/>
            <w:vAlign w:val="bottom"/>
            <w:shd w:val="clear" w:color="auto" w:fill="F2F2F2"/>
          </w:tcPr>
          <w:p>
            <w:pPr>
              <w:spacing w:after="0"/>
              <w:rPr>
                <w:sz w:val="23"/>
                <w:szCs w:val="23"/>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2F2F2"/>
          </w:tcPr>
          <w:p>
            <w:pPr>
              <w:spacing w:after="0"/>
              <w:rPr>
                <w:sz w:val="23"/>
                <w:szCs w:val="23"/>
                <w:color w:val="auto"/>
              </w:rPr>
            </w:pPr>
          </w:p>
        </w:tc>
        <w:tc>
          <w:tcPr>
            <w:tcW w:w="1020" w:type="dxa"/>
            <w:vAlign w:val="bottom"/>
            <w:gridSpan w:val="2"/>
            <w:shd w:val="clear" w:color="auto" w:fill="F2F2F2"/>
          </w:tcPr>
          <w:p>
            <w:pPr>
              <w:jc w:val="right"/>
              <w:spacing w:after="0" w:line="274" w:lineRule="exact"/>
              <w:rPr>
                <w:sz w:val="20"/>
                <w:szCs w:val="20"/>
                <w:color w:val="auto"/>
              </w:rPr>
            </w:pPr>
            <w:r>
              <w:rPr>
                <w:rFonts w:ascii="Arial" w:cs="Arial" w:eastAsia="Arial" w:hAnsi="Arial"/>
                <w:sz w:val="14"/>
                <w:szCs w:val="14"/>
                <w:color w:val="auto"/>
              </w:rPr>
              <w:t xml:space="preserve">experience  </w:t>
            </w:r>
            <w:r>
              <w:rPr>
                <w:rFonts w:ascii="Arial" w:cs="Arial" w:eastAsia="Arial" w:hAnsi="Arial"/>
                <w:sz w:val="28"/>
                <w:szCs w:val="28"/>
                <w:color w:val="auto"/>
                <w:vertAlign w:val="superscript"/>
              </w:rPr>
              <w:t>​</w:t>
            </w:r>
          </w:p>
        </w:tc>
        <w:tc>
          <w:tcPr>
            <w:tcW w:w="60" w:type="dxa"/>
            <w:vAlign w:val="bottom"/>
          </w:tcPr>
          <w:p>
            <w:pPr>
              <w:spacing w:after="0"/>
              <w:rPr>
                <w:sz w:val="23"/>
                <w:szCs w:val="23"/>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significant executive leadership positions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on  other  public  company  boards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developing</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and</w:t>
            </w:r>
          </w:p>
        </w:tc>
        <w:tc>
          <w:tcPr>
            <w:tcW w:w="5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driving</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with  large  organizations  provide  unique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help our Board function effectively</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2620" w:type="dxa"/>
            <w:vAlign w:val="bottom"/>
            <w:gridSpan w:val="8"/>
            <w:shd w:val="clear" w:color="auto" w:fill="F2F2F2"/>
          </w:tcPr>
          <w:p>
            <w:pPr>
              <w:ind w:left="60"/>
              <w:spacing w:after="0"/>
              <w:rPr>
                <w:sz w:val="20"/>
                <w:szCs w:val="20"/>
                <w:color w:val="auto"/>
              </w:rPr>
            </w:pPr>
            <w:r>
              <w:rPr>
                <w:rFonts w:ascii="Arial" w:cs="Arial" w:eastAsia="Arial" w:hAnsi="Arial"/>
                <w:sz w:val="14"/>
                <w:szCs w:val="14"/>
                <w:color w:val="auto"/>
              </w:rPr>
              <w:t>strategic direction and growth of</w:t>
            </w:r>
          </w:p>
        </w:tc>
        <w:tc>
          <w:tcPr>
            <w:tcW w:w="60" w:type="dxa"/>
            <w:vAlign w:val="bottom"/>
          </w:tcPr>
          <w:p>
            <w:pPr>
              <w:spacing w:after="0"/>
              <w:rPr>
                <w:sz w:val="15"/>
                <w:szCs w:val="15"/>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insights. These individuals have valuable</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by   drawing   on   knowledge   of</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large</w:t>
            </w:r>
          </w:p>
        </w:tc>
        <w:tc>
          <w:tcPr>
            <w:tcW w:w="1020" w:type="dxa"/>
            <w:vAlign w:val="bottom"/>
            <w:gridSpan w:val="5"/>
            <w:shd w:val="clear" w:color="auto" w:fill="F2F2F2"/>
          </w:tcPr>
          <w:p>
            <w:pPr>
              <w:jc w:val="right"/>
              <w:spacing w:after="0"/>
              <w:rPr>
                <w:sz w:val="20"/>
                <w:szCs w:val="20"/>
                <w:color w:val="auto"/>
              </w:rPr>
            </w:pPr>
            <w:r>
              <w:rPr>
                <w:rFonts w:ascii="Arial" w:cs="Arial" w:eastAsia="Arial" w:hAnsi="Arial"/>
                <w:sz w:val="14"/>
                <w:szCs w:val="14"/>
                <w:color w:val="auto"/>
              </w:rPr>
              <w:t>organizations</w:t>
            </w:r>
          </w:p>
        </w:tc>
        <w:tc>
          <w:tcPr>
            <w:tcW w:w="102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provide</w:t>
            </w:r>
          </w:p>
        </w:tc>
        <w:tc>
          <w:tcPr>
            <w:tcW w:w="60" w:type="dxa"/>
            <w:vAlign w:val="bottom"/>
          </w:tcPr>
          <w:p>
            <w:pPr>
              <w:spacing w:after="0"/>
              <w:rPr>
                <w:sz w:val="14"/>
                <w:szCs w:val="14"/>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experience developing talent and solving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governance best practices. 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valuable</w:t>
            </w:r>
          </w:p>
        </w:tc>
        <w:tc>
          <w:tcPr>
            <w:tcW w:w="7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guidance</w:t>
            </w:r>
          </w:p>
        </w:tc>
        <w:tc>
          <w:tcPr>
            <w:tcW w:w="4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problems in large, complex organizations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bring</w:t>
            </w:r>
          </w:p>
        </w:tc>
        <w:tc>
          <w:tcPr>
            <w:tcW w:w="320" w:type="dxa"/>
            <w:vAlign w:val="bottom"/>
            <w:shd w:val="clear" w:color="auto" w:fill="F6F8F7"/>
          </w:tcPr>
          <w:p>
            <w:pPr>
              <w:ind w:left="160"/>
              <w:spacing w:after="0"/>
              <w:rPr>
                <w:sz w:val="20"/>
                <w:szCs w:val="20"/>
                <w:color w:val="auto"/>
              </w:rPr>
            </w:pPr>
            <w:r>
              <w:rPr>
                <w:rFonts w:ascii="Arial" w:cs="Arial" w:eastAsia="Arial" w:hAnsi="Arial"/>
                <w:sz w:val="14"/>
                <w:szCs w:val="14"/>
                <w:color w:val="auto"/>
              </w:rPr>
              <w:t>a</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practical</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Company’s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senior</w:t>
            </w:r>
          </w:p>
        </w:tc>
        <w:tc>
          <w:tcPr>
            <w:tcW w:w="120" w:type="dxa"/>
            <w:vAlign w:val="bottom"/>
            <w:shd w:val="clear" w:color="auto" w:fill="F2F2F2"/>
          </w:tcPr>
          <w:p>
            <w:pPr>
              <w:spacing w:after="0"/>
              <w:rPr>
                <w:sz w:val="15"/>
                <w:szCs w:val="15"/>
                <w:color w:val="auto"/>
              </w:rPr>
            </w:pPr>
          </w:p>
        </w:tc>
        <w:tc>
          <w:tcPr>
            <w:tcW w:w="102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leadership</w:t>
            </w:r>
          </w:p>
        </w:tc>
        <w:tc>
          <w:tcPr>
            <w:tcW w:w="60" w:type="dxa"/>
            <w:vAlign w:val="bottom"/>
          </w:tcPr>
          <w:p>
            <w:pPr>
              <w:spacing w:after="0"/>
              <w:rPr>
                <w:sz w:val="15"/>
                <w:szCs w:val="15"/>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can capably and confidently advise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shd w:val="clear" w:color="auto" w:fill="F6F8F7"/>
          </w:tcPr>
          <w:p>
            <w:pPr>
              <w:ind w:left="180"/>
              <w:spacing w:after="0"/>
              <w:rPr>
                <w:sz w:val="20"/>
                <w:szCs w:val="20"/>
                <w:color w:val="auto"/>
              </w:rPr>
            </w:pPr>
            <w:r>
              <w:rPr>
                <w:rFonts w:ascii="Arial" w:cs="Arial" w:eastAsia="Arial" w:hAnsi="Arial"/>
                <w:sz w:val="14"/>
                <w:szCs w:val="14"/>
                <w:color w:val="auto"/>
              </w:rPr>
              <w:t>understanding</w:t>
            </w:r>
          </w:p>
        </w:tc>
        <w:tc>
          <w:tcPr>
            <w:tcW w:w="200" w:type="dxa"/>
            <w:vAlign w:val="bottom"/>
            <w:shd w:val="clear" w:color="auto" w:fill="F6F8F7"/>
          </w:tcPr>
          <w:p>
            <w:pPr>
              <w:jc w:val="right"/>
              <w:spacing w:after="0"/>
              <w:rPr>
                <w:sz w:val="20"/>
                <w:szCs w:val="20"/>
                <w:color w:val="auto"/>
              </w:rPr>
            </w:pPr>
            <w:r>
              <w:rPr>
                <w:rFonts w:ascii="Arial" w:cs="Arial" w:eastAsia="Arial" w:hAnsi="Arial"/>
                <w:sz w:val="14"/>
                <w:szCs w:val="14"/>
                <w:color w:val="auto"/>
              </w:rPr>
              <w:t>of</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organizations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team.</w:t>
            </w:r>
          </w:p>
        </w:tc>
        <w:tc>
          <w:tcPr>
            <w:tcW w:w="58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These</w:t>
            </w:r>
          </w:p>
        </w:tc>
        <w:tc>
          <w:tcPr>
            <w:tcW w:w="86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individuals</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the Company’s senior leadership team on</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and processes and the importance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40" w:type="dxa"/>
            <w:vAlign w:val="bottom"/>
            <w:shd w:val="clear" w:color="auto" w:fill="F2F2F2"/>
          </w:tcPr>
          <w:p>
            <w:pPr>
              <w:ind w:left="20"/>
              <w:spacing w:after="0"/>
              <w:rPr>
                <w:sz w:val="20"/>
                <w:szCs w:val="20"/>
                <w:color w:val="auto"/>
              </w:rPr>
            </w:pPr>
            <w:r>
              <w:rPr>
                <w:rFonts w:ascii="Arial" w:cs="Arial" w:eastAsia="Arial" w:hAnsi="Arial"/>
                <w:sz w:val="14"/>
                <w:szCs w:val="14"/>
                <w:color w:val="auto"/>
                <w:w w:val="91"/>
              </w:rPr>
              <w:t>in</w:t>
            </w:r>
          </w:p>
        </w:tc>
        <w:tc>
          <w:tcPr>
            <w:tcW w:w="160" w:type="dxa"/>
            <w:vAlign w:val="bottom"/>
            <w:shd w:val="clear" w:color="auto" w:fill="F2F2F2"/>
          </w:tcPr>
          <w:p>
            <w:pPr>
              <w:spacing w:after="0"/>
              <w:rPr>
                <w:sz w:val="15"/>
                <w:szCs w:val="15"/>
                <w:color w:val="auto"/>
              </w:rPr>
            </w:pP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areas</w:t>
            </w:r>
          </w:p>
        </w:tc>
        <w:tc>
          <w:tcPr>
            <w:tcW w:w="102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including</w:t>
            </w:r>
          </w:p>
        </w:tc>
        <w:tc>
          <w:tcPr>
            <w:tcW w:w="60" w:type="dxa"/>
            <w:vAlign w:val="bottom"/>
          </w:tcPr>
          <w:p>
            <w:pPr>
              <w:spacing w:after="0"/>
              <w:rPr>
                <w:sz w:val="15"/>
                <w:szCs w:val="15"/>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 wide range of issues. These individuals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1180" w:type="dxa"/>
            <w:vAlign w:val="bottom"/>
            <w:gridSpan w:val="5"/>
            <w:shd w:val="clear" w:color="auto" w:fill="F6F8F7"/>
          </w:tcPr>
          <w:p>
            <w:pPr>
              <w:jc w:val="right"/>
              <w:ind w:right="68"/>
              <w:spacing w:after="0"/>
              <w:rPr>
                <w:sz w:val="20"/>
                <w:szCs w:val="20"/>
                <w:color w:val="auto"/>
              </w:rPr>
            </w:pPr>
            <w:r>
              <w:rPr>
                <w:rFonts w:ascii="Arial" w:cs="Arial" w:eastAsia="Arial" w:hAnsi="Arial"/>
                <w:sz w:val="14"/>
                <w:szCs w:val="14"/>
                <w:color w:val="auto"/>
              </w:rPr>
              <w:t>management</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accountability,</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16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transformation,</w:t>
            </w:r>
          </w:p>
        </w:tc>
        <w:tc>
          <w:tcPr>
            <w:tcW w:w="86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innovation</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and</w:t>
            </w:r>
          </w:p>
        </w:tc>
        <w:tc>
          <w:tcPr>
            <w:tcW w:w="60" w:type="dxa"/>
            <w:vAlign w:val="bottom"/>
          </w:tcPr>
          <w:p>
            <w:pPr>
              <w:spacing w:after="0"/>
              <w:rPr>
                <w:sz w:val="14"/>
                <w:szCs w:val="14"/>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often  possess  extraordinary  leadership</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transparency,</w:t>
            </w: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and</w:t>
            </w:r>
          </w:p>
        </w:tc>
        <w:tc>
          <w:tcPr>
            <w:tcW w:w="320" w:type="dxa"/>
            <w:vAlign w:val="bottom"/>
            <w:shd w:val="clear" w:color="auto" w:fill="F6F8F7"/>
          </w:tcPr>
          <w:p>
            <w:pPr>
              <w:jc w:val="center"/>
              <w:spacing w:after="0"/>
              <w:rPr>
                <w:sz w:val="20"/>
                <w:szCs w:val="20"/>
                <w:color w:val="auto"/>
              </w:rPr>
            </w:pPr>
            <w:r>
              <w:rPr>
                <w:rFonts w:ascii="Arial" w:cs="Arial" w:eastAsia="Arial" w:hAnsi="Arial"/>
                <w:sz w:val="14"/>
                <w:szCs w:val="14"/>
                <w:color w:val="auto"/>
              </w:rPr>
              <w:t>the</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protection</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change</w:t>
            </w:r>
          </w:p>
        </w:tc>
        <w:tc>
          <w:tcPr>
            <w:tcW w:w="2040" w:type="dxa"/>
            <w:vAlign w:val="bottom"/>
            <w:gridSpan w:val="7"/>
            <w:shd w:val="clear" w:color="auto" w:fill="F2F2F2"/>
          </w:tcPr>
          <w:p>
            <w:pPr>
              <w:jc w:val="right"/>
              <w:ind w:right="168"/>
              <w:spacing w:after="0"/>
              <w:rPr>
                <w:sz w:val="20"/>
                <w:szCs w:val="20"/>
                <w:color w:val="auto"/>
              </w:rPr>
            </w:pPr>
            <w:r>
              <w:rPr>
                <w:rFonts w:ascii="Arial" w:cs="Arial" w:eastAsia="Arial" w:hAnsi="Arial"/>
                <w:sz w:val="14"/>
                <w:szCs w:val="14"/>
                <w:color w:val="auto"/>
              </w:rPr>
              <w:t>management.   These</w:t>
            </w:r>
          </w:p>
        </w:tc>
        <w:tc>
          <w:tcPr>
            <w:tcW w:w="60" w:type="dxa"/>
            <w:vAlign w:val="bottom"/>
          </w:tcPr>
          <w:p>
            <w:pPr>
              <w:spacing w:after="0"/>
              <w:rPr>
                <w:sz w:val="15"/>
                <w:szCs w:val="15"/>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qualities and have the ability to identify</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980" w:type="dxa"/>
            <w:vAlign w:val="bottom"/>
            <w:gridSpan w:val="4"/>
            <w:shd w:val="clear" w:color="auto" w:fill="F6F8F7"/>
          </w:tcPr>
          <w:p>
            <w:pPr>
              <w:ind w:left="80"/>
              <w:spacing w:after="0"/>
              <w:rPr>
                <w:sz w:val="20"/>
                <w:szCs w:val="20"/>
                <w:color w:val="auto"/>
              </w:rPr>
            </w:pPr>
            <w:r>
              <w:rPr>
                <w:rFonts w:ascii="Arial" w:cs="Arial" w:eastAsia="Arial" w:hAnsi="Arial"/>
                <w:sz w:val="14"/>
                <w:szCs w:val="14"/>
                <w:color w:val="auto"/>
              </w:rPr>
              <w:t>stockholder</w:t>
            </w:r>
          </w:p>
        </w:tc>
        <w:tc>
          <w:tcPr>
            <w:tcW w:w="820" w:type="dxa"/>
            <w:vAlign w:val="bottom"/>
            <w:gridSpan w:val="3"/>
            <w:shd w:val="clear" w:color="auto" w:fill="F6F8F7"/>
          </w:tcPr>
          <w:p>
            <w:pPr>
              <w:jc w:val="center"/>
              <w:ind w:right="8"/>
              <w:spacing w:after="0"/>
              <w:rPr>
                <w:sz w:val="20"/>
                <w:szCs w:val="20"/>
                <w:color w:val="auto"/>
              </w:rPr>
            </w:pPr>
            <w:r>
              <w:rPr>
                <w:rFonts w:ascii="Arial" w:cs="Arial" w:eastAsia="Arial" w:hAnsi="Arial"/>
                <w:sz w:val="14"/>
                <w:szCs w:val="14"/>
                <w:color w:val="auto"/>
              </w:rPr>
              <w:t>interests.</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individuals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often</w:t>
            </w:r>
          </w:p>
        </w:tc>
        <w:tc>
          <w:tcPr>
            <w:tcW w:w="540" w:type="dxa"/>
            <w:vAlign w:val="bottom"/>
            <w:gridSpan w:val="2"/>
            <w:shd w:val="clear" w:color="auto" w:fill="F2F2F2"/>
          </w:tcPr>
          <w:p>
            <w:pPr>
              <w:ind w:left="80"/>
              <w:spacing w:after="0"/>
              <w:rPr>
                <w:sz w:val="20"/>
                <w:szCs w:val="20"/>
                <w:color w:val="auto"/>
              </w:rPr>
            </w:pPr>
            <w:r>
              <w:rPr>
                <w:rFonts w:ascii="Arial" w:cs="Arial" w:eastAsia="Arial" w:hAnsi="Arial"/>
                <w:sz w:val="14"/>
                <w:szCs w:val="14"/>
                <w:color w:val="auto"/>
              </w:rPr>
              <w:t>also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develop these qualities in others.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ind w:right="8"/>
              <w:spacing w:after="0"/>
              <w:rPr>
                <w:sz w:val="20"/>
                <w:szCs w:val="20"/>
                <w:color w:val="auto"/>
              </w:rPr>
            </w:pPr>
            <w:r>
              <w:rPr>
                <w:rFonts w:ascii="Arial" w:cs="Arial" w:eastAsia="Arial" w:hAnsi="Arial"/>
                <w:sz w:val="14"/>
                <w:szCs w:val="14"/>
                <w:color w:val="auto"/>
              </w:rPr>
              <w:t>help</w:t>
            </w:r>
          </w:p>
        </w:tc>
        <w:tc>
          <w:tcPr>
            <w:tcW w:w="620" w:type="dxa"/>
            <w:vAlign w:val="bottom"/>
            <w:gridSpan w:val="2"/>
            <w:shd w:val="clear" w:color="auto" w:fill="F6F8F7"/>
          </w:tcPr>
          <w:p>
            <w:pPr>
              <w:ind w:left="180"/>
              <w:spacing w:after="0"/>
              <w:rPr>
                <w:sz w:val="20"/>
                <w:szCs w:val="20"/>
                <w:color w:val="auto"/>
              </w:rPr>
            </w:pPr>
            <w:r>
              <w:rPr>
                <w:rFonts w:ascii="Arial" w:cs="Arial" w:eastAsia="Arial" w:hAnsi="Arial"/>
                <w:sz w:val="14"/>
                <w:szCs w:val="14"/>
                <w:color w:val="auto"/>
              </w:rPr>
              <w:t>our</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Board</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sophisticated</w:t>
            </w:r>
          </w:p>
        </w:tc>
        <w:tc>
          <w:tcPr>
            <w:tcW w:w="160" w:type="dxa"/>
            <w:vAlign w:val="bottom"/>
            <w:shd w:val="clear" w:color="auto" w:fill="F2F2F2"/>
          </w:tcPr>
          <w:p>
            <w:pPr>
              <w:spacing w:after="0"/>
              <w:rPr>
                <w:sz w:val="15"/>
                <w:szCs w:val="15"/>
                <w:color w:val="auto"/>
              </w:rPr>
            </w:pPr>
          </w:p>
        </w:tc>
        <w:tc>
          <w:tcPr>
            <w:tcW w:w="86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experience</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in</w:t>
            </w:r>
          </w:p>
        </w:tc>
        <w:tc>
          <w:tcPr>
            <w:tcW w:w="60" w:type="dxa"/>
            <w:vAlign w:val="bottom"/>
          </w:tcPr>
          <w:p>
            <w:pPr>
              <w:spacing w:after="0"/>
              <w:rPr>
                <w:sz w:val="15"/>
                <w:szCs w:val="15"/>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structure</w:t>
            </w:r>
          </w:p>
        </w:tc>
        <w:tc>
          <w:tcPr>
            <w:tcW w:w="300" w:type="dxa"/>
            <w:vAlign w:val="bottom"/>
            <w:gridSpan w:val="2"/>
            <w:shd w:val="clear" w:color="auto" w:fill="F6F8F7"/>
          </w:tcPr>
          <w:p>
            <w:pPr>
              <w:ind w:left="20"/>
              <w:spacing w:after="0"/>
              <w:rPr>
                <w:sz w:val="20"/>
                <w:szCs w:val="20"/>
                <w:color w:val="auto"/>
              </w:rPr>
            </w:pPr>
            <w:r>
              <w:rPr>
                <w:rFonts w:ascii="Arial" w:cs="Arial" w:eastAsia="Arial" w:hAnsi="Arial"/>
                <w:sz w:val="14"/>
                <w:szCs w:val="14"/>
                <w:color w:val="auto"/>
              </w:rPr>
              <w:t>and</w:t>
            </w:r>
          </w:p>
        </w:tc>
        <w:tc>
          <w:tcPr>
            <w:tcW w:w="200" w:type="dxa"/>
            <w:vAlign w:val="bottom"/>
            <w:shd w:val="clear" w:color="auto" w:fill="F6F8F7"/>
          </w:tcPr>
          <w:p>
            <w:pPr>
              <w:spacing w:after="0"/>
              <w:rPr>
                <w:sz w:val="14"/>
                <w:szCs w:val="14"/>
                <w:color w:val="auto"/>
              </w:rPr>
            </w:pPr>
          </w:p>
        </w:tc>
        <w:tc>
          <w:tcPr>
            <w:tcW w:w="62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execute</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its</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growth</w:t>
            </w:r>
          </w:p>
        </w:tc>
        <w:tc>
          <w:tcPr>
            <w:tcW w:w="580" w:type="dxa"/>
            <w:vAlign w:val="bottom"/>
            <w:gridSpan w:val="3"/>
            <w:shd w:val="clear" w:color="auto" w:fill="F2F2F2"/>
          </w:tcPr>
          <w:p>
            <w:pPr>
              <w:ind w:left="40"/>
              <w:spacing w:after="0"/>
              <w:rPr>
                <w:sz w:val="20"/>
                <w:szCs w:val="20"/>
                <w:color w:val="auto"/>
              </w:rPr>
            </w:pPr>
            <w:r>
              <w:rPr>
                <w:rFonts w:ascii="Arial" w:cs="Arial" w:eastAsia="Arial" w:hAnsi="Arial"/>
                <w:sz w:val="14"/>
                <w:szCs w:val="14"/>
                <w:color w:val="auto"/>
              </w:rPr>
              <w:t>through</w:t>
            </w: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large</w:t>
            </w:r>
          </w:p>
        </w:tc>
        <w:tc>
          <w:tcPr>
            <w:tcW w:w="102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corporate</w:t>
            </w:r>
          </w:p>
        </w:tc>
        <w:tc>
          <w:tcPr>
            <w:tcW w:w="60" w:type="dxa"/>
            <w:vAlign w:val="bottom"/>
          </w:tcPr>
          <w:p>
            <w:pPr>
              <w:spacing w:after="0"/>
              <w:rPr>
                <w:sz w:val="14"/>
                <w:szCs w:val="14"/>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independent</w:t>
            </w:r>
          </w:p>
        </w:tc>
        <w:tc>
          <w:tcPr>
            <w:tcW w:w="80" w:type="dxa"/>
            <w:vAlign w:val="bottom"/>
            <w:shd w:val="clear" w:color="auto" w:fill="F6F8F7"/>
          </w:tcPr>
          <w:p>
            <w:pPr>
              <w:spacing w:after="0"/>
              <w:rPr>
                <w:sz w:val="15"/>
                <w:szCs w:val="15"/>
                <w:color w:val="auto"/>
              </w:rPr>
            </w:pPr>
          </w:p>
        </w:tc>
        <w:tc>
          <w:tcPr>
            <w:tcW w:w="220" w:type="dxa"/>
            <w:vAlign w:val="bottom"/>
            <w:shd w:val="clear" w:color="auto" w:fill="F6F8F7"/>
          </w:tcPr>
          <w:p>
            <w:pPr>
              <w:spacing w:after="0"/>
              <w:rPr>
                <w:sz w:val="15"/>
                <w:szCs w:val="15"/>
                <w:color w:val="auto"/>
              </w:rPr>
            </w:pPr>
          </w:p>
        </w:tc>
        <w:tc>
          <w:tcPr>
            <w:tcW w:w="820" w:type="dxa"/>
            <w:vAlign w:val="bottom"/>
            <w:gridSpan w:val="3"/>
            <w:shd w:val="clear" w:color="auto" w:fill="F6F8F7"/>
          </w:tcPr>
          <w:p>
            <w:pPr>
              <w:ind w:left="100"/>
              <w:spacing w:after="0"/>
              <w:rPr>
                <w:sz w:val="20"/>
                <w:szCs w:val="20"/>
                <w:color w:val="auto"/>
              </w:rPr>
            </w:pPr>
            <w:r>
              <w:rPr>
                <w:rFonts w:ascii="Arial" w:cs="Arial" w:eastAsia="Arial" w:hAnsi="Arial"/>
                <w:sz w:val="14"/>
                <w:szCs w:val="14"/>
                <w:color w:val="auto"/>
              </w:rPr>
              <w:t>oversight</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of</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2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including</w:t>
            </w:r>
          </w:p>
        </w:tc>
        <w:tc>
          <w:tcPr>
            <w:tcW w:w="60" w:type="dxa"/>
            <w:vAlign w:val="bottom"/>
          </w:tcPr>
          <w:p>
            <w:pPr>
              <w:spacing w:after="0"/>
              <w:rPr>
                <w:sz w:val="15"/>
                <w:szCs w:val="15"/>
                <w:color w:val="auto"/>
              </w:rPr>
            </w:pPr>
          </w:p>
        </w:tc>
      </w:tr>
      <w:tr>
        <w:trPr>
          <w:trHeight w:val="190"/>
        </w:trPr>
        <w:tc>
          <w:tcPr>
            <w:tcW w:w="140" w:type="dxa"/>
            <w:vAlign w:val="bottom"/>
            <w:shd w:val="clear" w:color="auto" w:fill="F2F2F2"/>
          </w:tcPr>
          <w:p>
            <w:pPr>
              <w:spacing w:after="0"/>
              <w:rPr>
                <w:sz w:val="16"/>
                <w:szCs w:val="16"/>
                <w:color w:val="auto"/>
              </w:rPr>
            </w:pPr>
          </w:p>
        </w:tc>
        <w:tc>
          <w:tcPr>
            <w:tcW w:w="31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management.</w:t>
            </w:r>
          </w:p>
        </w:tc>
        <w:tc>
          <w:tcPr>
            <w:tcW w:w="220" w:type="dxa"/>
            <w:vAlign w:val="bottom"/>
            <w:shd w:val="clear" w:color="auto" w:fill="F6F8F7"/>
          </w:tcPr>
          <w:p>
            <w:pPr>
              <w:spacing w:after="0"/>
              <w:rPr>
                <w:sz w:val="16"/>
                <w:szCs w:val="16"/>
                <w:color w:val="auto"/>
              </w:rPr>
            </w:pPr>
          </w:p>
        </w:tc>
        <w:tc>
          <w:tcPr>
            <w:tcW w:w="200" w:type="dxa"/>
            <w:vAlign w:val="bottom"/>
            <w:shd w:val="clear" w:color="auto" w:fill="F6F8F7"/>
          </w:tcPr>
          <w:p>
            <w:pPr>
              <w:spacing w:after="0"/>
              <w:rPr>
                <w:sz w:val="16"/>
                <w:szCs w:val="16"/>
                <w:color w:val="auto"/>
              </w:rPr>
            </w:pPr>
          </w:p>
        </w:tc>
        <w:tc>
          <w:tcPr>
            <w:tcW w:w="320" w:type="dxa"/>
            <w:vAlign w:val="bottom"/>
            <w:shd w:val="clear" w:color="auto" w:fill="F6F8F7"/>
          </w:tcPr>
          <w:p>
            <w:pPr>
              <w:spacing w:after="0"/>
              <w:rPr>
                <w:sz w:val="16"/>
                <w:szCs w:val="16"/>
                <w:color w:val="auto"/>
              </w:rPr>
            </w:pPr>
          </w:p>
        </w:tc>
        <w:tc>
          <w:tcPr>
            <w:tcW w:w="300" w:type="dxa"/>
            <w:vAlign w:val="bottom"/>
            <w:shd w:val="clear" w:color="auto" w:fill="F6F8F7"/>
          </w:tcPr>
          <w:p>
            <w:pPr>
              <w:spacing w:after="0"/>
              <w:rPr>
                <w:sz w:val="16"/>
                <w:szCs w:val="16"/>
                <w:color w:val="auto"/>
              </w:rPr>
            </w:pPr>
          </w:p>
        </w:tc>
        <w:tc>
          <w:tcPr>
            <w:tcW w:w="540" w:type="dxa"/>
            <w:vAlign w:val="bottom"/>
            <w:shd w:val="clear" w:color="auto" w:fill="F6F8F7"/>
          </w:tcPr>
          <w:p>
            <w:pPr>
              <w:spacing w:after="0"/>
              <w:rPr>
                <w:sz w:val="16"/>
                <w:szCs w:val="16"/>
                <w:color w:val="auto"/>
              </w:rPr>
            </w:pPr>
          </w:p>
        </w:tc>
        <w:tc>
          <w:tcPr>
            <w:tcW w:w="10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2020" w:type="dxa"/>
            <w:vAlign w:val="bottom"/>
            <w:gridSpan w:val="7"/>
            <w:shd w:val="clear" w:color="auto" w:fill="F2F2F2"/>
          </w:tcPr>
          <w:p>
            <w:pPr>
              <w:ind w:left="60"/>
              <w:spacing w:after="0"/>
              <w:rPr>
                <w:sz w:val="20"/>
                <w:szCs w:val="20"/>
                <w:color w:val="auto"/>
              </w:rPr>
            </w:pPr>
            <w:r>
              <w:rPr>
                <w:rFonts w:ascii="Arial" w:cs="Arial" w:eastAsia="Arial" w:hAnsi="Arial"/>
                <w:sz w:val="14"/>
                <w:szCs w:val="14"/>
                <w:color w:val="auto"/>
              </w:rPr>
              <w:t>mergers &amp; acquisitions.</w:t>
            </w:r>
          </w:p>
        </w:tc>
        <w:tc>
          <w:tcPr>
            <w:tcW w:w="60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r>
      <w:tr>
        <w:trPr>
          <w:trHeight w:val="318"/>
        </w:trPr>
        <w:tc>
          <w:tcPr>
            <w:tcW w:w="140" w:type="dxa"/>
            <w:vAlign w:val="bottom"/>
            <w:shd w:val="clear" w:color="auto" w:fill="F2F2F2"/>
          </w:tcPr>
          <w:p>
            <w:pPr>
              <w:spacing w:after="0"/>
              <w:rPr>
                <w:sz w:val="24"/>
                <w:szCs w:val="24"/>
                <w:color w:val="auto"/>
              </w:rPr>
            </w:pPr>
          </w:p>
        </w:tc>
        <w:tc>
          <w:tcPr>
            <w:tcW w:w="31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F6F8F7"/>
          </w:tcPr>
          <w:p>
            <w:pPr>
              <w:spacing w:after="0"/>
              <w:rPr>
                <w:sz w:val="24"/>
                <w:szCs w:val="24"/>
                <w:color w:val="auto"/>
              </w:rPr>
            </w:pPr>
          </w:p>
        </w:tc>
        <w:tc>
          <w:tcPr>
            <w:tcW w:w="260" w:type="dxa"/>
            <w:vAlign w:val="bottom"/>
            <w:shd w:val="clear" w:color="auto" w:fill="F6F8F7"/>
          </w:tcPr>
          <w:p>
            <w:pPr>
              <w:spacing w:after="0"/>
              <w:rPr>
                <w:sz w:val="24"/>
                <w:szCs w:val="24"/>
                <w:color w:val="auto"/>
              </w:rPr>
            </w:pPr>
          </w:p>
        </w:tc>
        <w:tc>
          <w:tcPr>
            <w:tcW w:w="420" w:type="dxa"/>
            <w:vAlign w:val="bottom"/>
            <w:shd w:val="clear" w:color="auto" w:fill="F6F8F7"/>
          </w:tcPr>
          <w:p>
            <w:pPr>
              <w:spacing w:after="0"/>
              <w:rPr>
                <w:sz w:val="24"/>
                <w:szCs w:val="24"/>
                <w:color w:val="auto"/>
              </w:rPr>
            </w:pPr>
          </w:p>
        </w:tc>
        <w:tc>
          <w:tcPr>
            <w:tcW w:w="80" w:type="dxa"/>
            <w:vAlign w:val="bottom"/>
            <w:shd w:val="clear" w:color="auto" w:fill="F6F8F7"/>
          </w:tcPr>
          <w:p>
            <w:pPr>
              <w:spacing w:after="0"/>
              <w:rPr>
                <w:sz w:val="24"/>
                <w:szCs w:val="24"/>
                <w:color w:val="auto"/>
              </w:rPr>
            </w:pPr>
          </w:p>
        </w:tc>
        <w:tc>
          <w:tcPr>
            <w:tcW w:w="220" w:type="dxa"/>
            <w:vAlign w:val="bottom"/>
            <w:shd w:val="clear" w:color="auto" w:fill="F6F8F7"/>
          </w:tcPr>
          <w:p>
            <w:pPr>
              <w:spacing w:after="0"/>
              <w:rPr>
                <w:sz w:val="24"/>
                <w:szCs w:val="24"/>
                <w:color w:val="auto"/>
              </w:rPr>
            </w:pPr>
          </w:p>
        </w:tc>
        <w:tc>
          <w:tcPr>
            <w:tcW w:w="200" w:type="dxa"/>
            <w:vAlign w:val="bottom"/>
            <w:shd w:val="clear" w:color="auto" w:fill="F6F8F7"/>
          </w:tcPr>
          <w:p>
            <w:pPr>
              <w:spacing w:after="0"/>
              <w:rPr>
                <w:sz w:val="24"/>
                <w:szCs w:val="24"/>
                <w:color w:val="auto"/>
              </w:rPr>
            </w:pPr>
          </w:p>
        </w:tc>
        <w:tc>
          <w:tcPr>
            <w:tcW w:w="320" w:type="dxa"/>
            <w:vAlign w:val="bottom"/>
            <w:shd w:val="clear" w:color="auto" w:fill="F6F8F7"/>
          </w:tcPr>
          <w:p>
            <w:pPr>
              <w:spacing w:after="0"/>
              <w:rPr>
                <w:sz w:val="24"/>
                <w:szCs w:val="24"/>
                <w:color w:val="auto"/>
              </w:rPr>
            </w:pPr>
          </w:p>
        </w:tc>
        <w:tc>
          <w:tcPr>
            <w:tcW w:w="300" w:type="dxa"/>
            <w:vAlign w:val="bottom"/>
            <w:shd w:val="clear" w:color="auto" w:fill="F6F8F7"/>
          </w:tcPr>
          <w:p>
            <w:pPr>
              <w:spacing w:after="0"/>
              <w:rPr>
                <w:sz w:val="24"/>
                <w:szCs w:val="24"/>
                <w:color w:val="auto"/>
              </w:rPr>
            </w:pPr>
          </w:p>
        </w:tc>
        <w:tc>
          <w:tcPr>
            <w:tcW w:w="540" w:type="dxa"/>
            <w:vAlign w:val="bottom"/>
            <w:shd w:val="clear" w:color="auto" w:fill="F6F8F7"/>
          </w:tcPr>
          <w:p>
            <w:pPr>
              <w:spacing w:after="0"/>
              <w:rPr>
                <w:sz w:val="24"/>
                <w:szCs w:val="24"/>
                <w:color w:val="auto"/>
              </w:rPr>
            </w:pPr>
          </w:p>
        </w:tc>
        <w:tc>
          <w:tcPr>
            <w:tcW w:w="10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580" w:type="dxa"/>
            <w:vAlign w:val="bottom"/>
            <w:tcBorders>
              <w:right w:val="single" w:sz="8" w:color="F2F2F2"/>
            </w:tcBorders>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-2322195</wp:posOffset>
            </wp:positionV>
            <wp:extent cx="4337685" cy="402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37685" cy="4025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-16510</wp:posOffset>
            </wp:positionV>
            <wp:extent cx="5760720" cy="4800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60720" cy="48006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49"/>
        </w:trPr>
        <w:tc>
          <w:tcPr>
            <w:tcW w:w="140" w:type="dxa"/>
            <w:vAlign w:val="bottom"/>
            <w:vMerge w:val="restart"/>
          </w:tcPr>
          <w:p>
            <w:pPr>
              <w:ind w:left="40"/>
              <w:spacing w:after="0"/>
              <w:rPr>
                <w:sz w:val="20"/>
                <w:szCs w:val="20"/>
                <w:color w:val="auto"/>
              </w:rPr>
            </w:pPr>
            <w:r>
              <w:rPr>
                <w:rFonts w:ascii="Arial" w:cs="Arial" w:eastAsia="Arial" w:hAnsi="Arial"/>
                <w:sz w:val="14"/>
                <w:szCs w:val="14"/>
                <w:color w:val="457157"/>
              </w:rPr>
              <w:t>​</w:t>
            </w:r>
          </w:p>
        </w:tc>
        <w:tc>
          <w:tcPr>
            <w:tcW w:w="460" w:type="dxa"/>
            <w:vAlign w:val="bottom"/>
          </w:tcPr>
          <w:p>
            <w:pPr>
              <w:spacing w:after="0"/>
              <w:rPr>
                <w:sz w:val="21"/>
                <w:szCs w:val="21"/>
                <w:color w:val="auto"/>
              </w:rPr>
            </w:pPr>
          </w:p>
        </w:tc>
        <w:tc>
          <w:tcPr>
            <w:tcW w:w="2160" w:type="dxa"/>
            <w:vAlign w:val="bottom"/>
            <w:gridSpan w:val="2"/>
            <w:vMerge w:val="restart"/>
          </w:tcPr>
          <w:p>
            <w:pPr>
              <w:jc w:val="center"/>
              <w:ind w:right="94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Operational</w:t>
            </w:r>
          </w:p>
        </w:tc>
        <w:tc>
          <w:tcPr>
            <w:tcW w:w="500" w:type="dxa"/>
            <w:vAlign w:val="bottom"/>
          </w:tcPr>
          <w:p>
            <w:pPr>
              <w:spacing w:after="0"/>
              <w:rPr>
                <w:sz w:val="21"/>
                <w:szCs w:val="21"/>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5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100"/>
              <w:spacing w:after="0"/>
              <w:rPr>
                <w:sz w:val="20"/>
                <w:szCs w:val="20"/>
                <w:color w:val="auto"/>
              </w:rPr>
            </w:pPr>
            <w:r>
              <w:rPr>
                <w:rFonts w:ascii="Arial" w:cs="Arial" w:eastAsia="Arial" w:hAnsi="Arial"/>
                <w:sz w:val="1"/>
                <w:szCs w:val="1"/>
                <w:color w:val="457157"/>
                <w:w w:val="4294942296"/>
              </w:rPr>
              <w:t>​</w:t>
            </w:r>
          </w:p>
        </w:tc>
        <w:tc>
          <w:tcPr>
            <w:tcW w:w="2060" w:type="dxa"/>
            <w:vAlign w:val="bottom"/>
            <w:gridSpan w:val="8"/>
          </w:tcPr>
          <w:p>
            <w:pPr>
              <w:ind w:left="80"/>
              <w:spacing w:after="0"/>
              <w:rPr>
                <w:sz w:val="20"/>
                <w:szCs w:val="20"/>
                <w:color w:val="auto"/>
              </w:rPr>
            </w:pPr>
            <w:r>
              <w:rPr>
                <w:rFonts w:ascii="Arial" w:cs="Arial" w:eastAsia="Arial" w:hAnsi="Arial"/>
                <w:sz w:val="16"/>
                <w:szCs w:val="16"/>
                <w:b w:val="1"/>
                <w:bCs w:val="1"/>
                <w:color w:val="457157"/>
              </w:rPr>
              <w:t>Financial Expertise</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40" w:type="dxa"/>
            <w:vAlign w:val="bottom"/>
            <w:vMerge w:val="restart"/>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1420" w:type="dxa"/>
            <w:vAlign w:val="bottom"/>
            <w:gridSpan w:val="5"/>
            <w:vMerge w:val="restart"/>
          </w:tcPr>
          <w:p>
            <w:pPr>
              <w:jc w:val="center"/>
              <w:ind w:right="2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Human Capital</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1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20" w:type="dxa"/>
            <w:vAlign w:val="bottom"/>
            <w:vMerge w:val="continue"/>
            <w:shd w:val="clear" w:color="auto" w:fill="457157"/>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gridSpan w:val="2"/>
          </w:tcPr>
          <w:p>
            <w:pPr>
              <w:ind w:left="40"/>
              <w:spacing w:after="0" w:line="111" w:lineRule="exact"/>
              <w:rPr>
                <w:sz w:val="20"/>
                <w:szCs w:val="20"/>
                <w:color w:val="auto"/>
              </w:rPr>
            </w:pPr>
            <w:r>
              <w:rPr>
                <w:rFonts w:ascii="Arial" w:cs="Arial" w:eastAsia="Arial" w:hAnsi="Arial"/>
                <w:sz w:val="11"/>
                <w:szCs w:val="11"/>
                <w:color w:val="457157"/>
              </w:rPr>
              <w:t>​</w:t>
            </w:r>
            <w:r>
              <w:rPr>
                <w:rFonts w:ascii="Arial" w:cs="Arial" w:eastAsia="Arial" w:hAnsi="Arial"/>
                <w:sz w:val="12"/>
                <w:szCs w:val="12"/>
                <w:b w:val="1"/>
                <w:bCs w:val="1"/>
                <w:color w:val="457157"/>
              </w:rPr>
              <w:t>and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vMerge w:val="continue"/>
            <w:shd w:val="clear" w:color="auto" w:fill="457157"/>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gridSpan w:val="2"/>
          </w:tcPr>
          <w:p>
            <w:pPr>
              <w:ind w:left="120"/>
              <w:spacing w:after="0"/>
              <w:rPr>
                <w:sz w:val="20"/>
                <w:szCs w:val="20"/>
                <w:color w:val="auto"/>
              </w:rPr>
            </w:pPr>
            <w:r>
              <w:rPr>
                <w:rFonts w:ascii="Arial" w:cs="Arial" w:eastAsia="Arial" w:hAnsi="Arial"/>
                <w:sz w:val="16"/>
                <w:szCs w:val="16"/>
                <w:b w:val="1"/>
                <w:bCs w:val="1"/>
                <w:color w:val="457157"/>
              </w:rPr>
              <w:t>Excellence</w:t>
            </w:r>
            <w:r>
              <w:rPr>
                <w:rFonts w:ascii="Arial" w:cs="Arial" w:eastAsia="Arial" w:hAnsi="Arial"/>
                <w:sz w:val="14"/>
                <w:szCs w:val="14"/>
                <w:color w:val="000000"/>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1640" w:type="dxa"/>
            <w:vAlign w:val="bottom"/>
            <w:gridSpan w:val="7"/>
            <w:vMerge w:val="restart"/>
          </w:tcPr>
          <w:p>
            <w:pPr>
              <w:ind w:left="80"/>
              <w:spacing w:after="0"/>
              <w:rPr>
                <w:sz w:val="20"/>
                <w:szCs w:val="20"/>
                <w:color w:val="auto"/>
              </w:rPr>
            </w:pPr>
            <w:r>
              <w:rPr>
                <w:rFonts w:ascii="Arial" w:cs="Arial" w:eastAsia="Arial" w:hAnsi="Arial"/>
                <w:sz w:val="16"/>
                <w:szCs w:val="16"/>
                <w:b w:val="1"/>
                <w:bCs w:val="1"/>
                <w:color w:val="457157"/>
              </w:rPr>
              <w:t>Capital Allocation</w:t>
            </w:r>
            <w:r>
              <w:rPr>
                <w:rFonts w:ascii="Arial" w:cs="Arial" w:eastAsia="Arial" w:hAnsi="Arial"/>
                <w:sz w:val="14"/>
                <w:szCs w:val="14"/>
                <w:color w:val="000000"/>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40" w:type="dxa"/>
            <w:vAlign w:val="bottom"/>
            <w:shd w:val="clear" w:color="auto" w:fill="457157"/>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457157"/>
            </w:tcBorders>
            <w:shd w:val="clear" w:color="auto" w:fill="457157"/>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16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540" w:type="dxa"/>
            <w:vAlign w:val="bottom"/>
            <w:tcBorders>
              <w:bottom w:val="single" w:sz="8" w:color="457157"/>
            </w:tcBorders>
            <w:shd w:val="clear" w:color="auto" w:fill="457157"/>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F6F8F7"/>
          </w:tcPr>
          <w:p>
            <w:pPr>
              <w:spacing w:after="0"/>
              <w:rPr>
                <w:sz w:val="20"/>
                <w:szCs w:val="20"/>
                <w:color w:val="auto"/>
              </w:rPr>
            </w:pPr>
            <w:r>
              <w:rPr>
                <w:rFonts w:ascii="Arial" w:cs="Arial" w:eastAsia="Arial" w:hAnsi="Arial"/>
                <w:sz w:val="14"/>
                <w:szCs w:val="14"/>
                <w:color w:val="auto"/>
              </w:rPr>
              <w:t>​</w:t>
            </w: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Directors with experience in a significant</w:t>
            </w:r>
          </w:p>
        </w:tc>
        <w:tc>
          <w:tcPr>
            <w:tcW w:w="120" w:type="dxa"/>
            <w:vAlign w:val="bottom"/>
            <w:shd w:val="clear" w:color="auto" w:fill="F6F8F7"/>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980" w:type="dxa"/>
            <w:vAlign w:val="bottom"/>
            <w:gridSpan w:val="3"/>
            <w:shd w:val="clear" w:color="auto" w:fill="F2F2F2"/>
          </w:tcPr>
          <w:p>
            <w:pPr>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w:t>
            </w:r>
          </w:p>
        </w:tc>
        <w:tc>
          <w:tcPr>
            <w:tcW w:w="200" w:type="dxa"/>
            <w:vAlign w:val="bottom"/>
            <w:shd w:val="clear" w:color="auto" w:fill="F2F2F2"/>
          </w:tcPr>
          <w:p>
            <w:pPr>
              <w:spacing w:after="0"/>
              <w:rPr>
                <w:sz w:val="23"/>
                <w:szCs w:val="23"/>
                <w:color w:val="auto"/>
              </w:rPr>
            </w:pP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280" w:type="dxa"/>
            <w:vAlign w:val="bottom"/>
            <w:shd w:val="clear" w:color="auto" w:fill="F2F2F2"/>
          </w:tcPr>
          <w:p>
            <w:pPr>
              <w:spacing w:after="0"/>
              <w:rPr>
                <w:sz w:val="23"/>
                <w:szCs w:val="23"/>
                <w:color w:val="auto"/>
              </w:rPr>
            </w:pP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deep</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Directors  with</w:t>
            </w:r>
          </w:p>
        </w:tc>
        <w:tc>
          <w:tcPr>
            <w:tcW w:w="960" w:type="dxa"/>
            <w:vAlign w:val="bottom"/>
            <w:gridSpan w:val="3"/>
          </w:tcPr>
          <w:p>
            <w:pPr>
              <w:ind w:left="180"/>
              <w:spacing w:after="0"/>
              <w:rPr>
                <w:sz w:val="20"/>
                <w:szCs w:val="20"/>
                <w:color w:val="auto"/>
              </w:rPr>
            </w:pPr>
            <w:r>
              <w:rPr>
                <w:rFonts w:ascii="Arial" w:cs="Arial" w:eastAsia="Arial" w:hAnsi="Arial"/>
                <w:sz w:val="14"/>
                <w:szCs w:val="14"/>
                <w:color w:val="auto"/>
              </w:rPr>
              <w:t>experience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operations  role  help  the  Company  to</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understanding</w:t>
            </w:r>
          </w:p>
        </w:tc>
        <w:tc>
          <w:tcPr>
            <w:tcW w:w="160" w:type="dxa"/>
            <w:vAlign w:val="bottom"/>
            <w:shd w:val="clear" w:color="auto" w:fill="F2F2F2"/>
          </w:tcPr>
          <w:p>
            <w:pPr>
              <w:spacing w:after="0"/>
              <w:rPr>
                <w:sz w:val="15"/>
                <w:szCs w:val="15"/>
                <w:color w:val="auto"/>
              </w:rPr>
            </w:pP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rPr>
              <w:t>of</w:t>
            </w:r>
          </w:p>
        </w:tc>
        <w:tc>
          <w:tcPr>
            <w:tcW w:w="740" w:type="dxa"/>
            <w:vAlign w:val="bottom"/>
            <w:gridSpan w:val="3"/>
            <w:shd w:val="clear" w:color="auto" w:fill="F2F2F2"/>
          </w:tcPr>
          <w:p>
            <w:pPr>
              <w:ind w:left="140"/>
              <w:spacing w:after="0"/>
              <w:rPr>
                <w:sz w:val="20"/>
                <w:szCs w:val="20"/>
                <w:color w:val="auto"/>
              </w:rPr>
            </w:pPr>
            <w:r>
              <w:rPr>
                <w:rFonts w:ascii="Arial" w:cs="Arial" w:eastAsia="Arial" w:hAnsi="Arial"/>
                <w:sz w:val="14"/>
                <w:szCs w:val="14"/>
                <w:color w:val="auto"/>
              </w:rPr>
              <w:t>finance</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human</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capital</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develop,   implement   and   assess   its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financial</w:t>
            </w:r>
          </w:p>
        </w:tc>
        <w:tc>
          <w:tcPr>
            <w:tcW w:w="840" w:type="dxa"/>
            <w:vAlign w:val="bottom"/>
            <w:gridSpan w:val="4"/>
            <w:shd w:val="clear" w:color="auto" w:fill="F2F2F2"/>
          </w:tcPr>
          <w:p>
            <w:pPr>
              <w:ind w:left="20"/>
              <w:spacing w:after="0"/>
              <w:rPr>
                <w:sz w:val="20"/>
                <w:szCs w:val="20"/>
                <w:color w:val="auto"/>
              </w:rPr>
            </w:pPr>
            <w:r>
              <w:rPr>
                <w:rFonts w:ascii="Arial" w:cs="Arial" w:eastAsia="Arial" w:hAnsi="Arial"/>
                <w:sz w:val="14"/>
                <w:szCs w:val="14"/>
                <w:color w:val="auto"/>
              </w:rPr>
              <w:t>reporting</w:t>
            </w:r>
          </w:p>
        </w:tc>
        <w:tc>
          <w:tcPr>
            <w:tcW w:w="4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lead</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our</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provide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valuable</w:t>
            </w:r>
          </w:p>
        </w:tc>
        <w:tc>
          <w:tcPr>
            <w:tcW w:w="640" w:type="dxa"/>
            <w:vAlign w:val="bottom"/>
            <w:gridSpan w:val="2"/>
          </w:tcPr>
          <w:p>
            <w:pPr>
              <w:spacing w:after="0"/>
              <w:rPr>
                <w:sz w:val="20"/>
                <w:szCs w:val="20"/>
                <w:color w:val="auto"/>
              </w:rPr>
            </w:pPr>
            <w:r>
              <w:rPr>
                <w:rFonts w:ascii="Arial" w:cs="Arial" w:eastAsia="Arial" w:hAnsi="Arial"/>
                <w:sz w:val="14"/>
                <w:szCs w:val="14"/>
                <w:color w:val="auto"/>
              </w:rPr>
              <w:t>guidance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operating  plan  and  capital  plan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shd w:val="clear" w:color="auto" w:fill="F2F2F2"/>
          </w:tcPr>
          <w:p>
            <w:pPr>
              <w:ind w:left="180"/>
              <w:spacing w:after="0"/>
              <w:rPr>
                <w:sz w:val="20"/>
                <w:szCs w:val="20"/>
                <w:color w:val="auto"/>
              </w:rPr>
            </w:pPr>
            <w:r>
              <w:rPr>
                <w:rFonts w:ascii="Arial" w:cs="Arial" w:eastAsia="Arial" w:hAnsi="Arial"/>
                <w:sz w:val="14"/>
                <w:szCs w:val="14"/>
                <w:color w:val="auto"/>
              </w:rPr>
              <w:t>Board’s   oversight</w:t>
            </w:r>
          </w:p>
        </w:tc>
        <w:tc>
          <w:tcPr>
            <w:tcW w:w="340" w:type="dxa"/>
            <w:vAlign w:val="bottom"/>
            <w:gridSpan w:val="2"/>
            <w:shd w:val="clear" w:color="auto" w:fill="F2F2F2"/>
          </w:tcPr>
          <w:p>
            <w:pPr>
              <w:jc w:val="center"/>
              <w:ind w:left="68"/>
              <w:spacing w:after="0"/>
              <w:rPr>
                <w:sz w:val="20"/>
                <w:szCs w:val="20"/>
                <w:color w:val="auto"/>
              </w:rPr>
            </w:pPr>
            <w:r>
              <w:rPr>
                <w:rFonts w:ascii="Arial" w:cs="Arial" w:eastAsia="Arial" w:hAnsi="Arial"/>
                <w:sz w:val="14"/>
                <w:szCs w:val="14"/>
                <w:color w:val="auto"/>
              </w:rPr>
              <w:t>of</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support</w:t>
            </w:r>
          </w:p>
        </w:tc>
        <w:tc>
          <w:tcPr>
            <w:tcW w:w="420" w:type="dxa"/>
            <w:vAlign w:val="bottom"/>
          </w:tcPr>
          <w:p>
            <w:pPr>
              <w:jc w:val="center"/>
              <w:ind w:left="47"/>
              <w:spacing w:after="0"/>
              <w:rPr>
                <w:sz w:val="20"/>
                <w:szCs w:val="20"/>
                <w:color w:val="auto"/>
              </w:rPr>
            </w:pPr>
            <w:r>
              <w:rPr>
                <w:rFonts w:ascii="Arial" w:cs="Arial" w:eastAsia="Arial" w:hAnsi="Arial"/>
                <w:sz w:val="14"/>
                <w:szCs w:val="14"/>
                <w:color w:val="auto"/>
              </w:rPr>
              <w:t>of</w:t>
            </w:r>
          </w:p>
        </w:tc>
        <w:tc>
          <w:tcPr>
            <w:tcW w:w="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the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Company’s</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execute   on   commitments   to   cost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performance</w:t>
            </w: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and</w:t>
            </w:r>
          </w:p>
        </w:tc>
        <w:tc>
          <w:tcPr>
            <w:tcW w:w="1160" w:type="dxa"/>
            <w:vAlign w:val="bottom"/>
            <w:gridSpan w:val="4"/>
            <w:shd w:val="clear" w:color="auto" w:fill="F2F2F2"/>
          </w:tcPr>
          <w:p>
            <w:pPr>
              <w:jc w:val="right"/>
              <w:ind w:right="8"/>
              <w:spacing w:after="0"/>
              <w:rPr>
                <w:sz w:val="20"/>
                <w:szCs w:val="20"/>
                <w:color w:val="auto"/>
              </w:rPr>
            </w:pPr>
            <w:r>
              <w:rPr>
                <w:rFonts w:ascii="Arial" w:cs="Arial" w:eastAsia="Arial" w:hAnsi="Arial"/>
                <w:sz w:val="14"/>
                <w:szCs w:val="14"/>
                <w:color w:val="auto"/>
              </w:rPr>
              <w:t>robust  internal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People</w:t>
            </w:r>
          </w:p>
        </w:tc>
        <w:tc>
          <w:tcPr>
            <w:tcW w:w="420" w:type="dxa"/>
            <w:vAlign w:val="bottom"/>
          </w:tcPr>
          <w:p>
            <w:pPr>
              <w:jc w:val="center"/>
              <w:ind w:left="27"/>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strategy.</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These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optimization and continuous improvement.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5"/>
            <w:shd w:val="clear" w:color="auto" w:fill="F2F2F2"/>
          </w:tcPr>
          <w:p>
            <w:pPr>
              <w:ind w:left="180"/>
              <w:spacing w:after="0"/>
              <w:rPr>
                <w:sz w:val="20"/>
                <w:szCs w:val="20"/>
                <w:color w:val="auto"/>
              </w:rPr>
            </w:pPr>
            <w:r>
              <w:rPr>
                <w:rFonts w:ascii="Arial" w:cs="Arial" w:eastAsia="Arial" w:hAnsi="Arial"/>
                <w:sz w:val="14"/>
                <w:szCs w:val="14"/>
                <w:color w:val="auto"/>
              </w:rPr>
              <w:t>controls.  These</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individuals</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individuals</w:t>
            </w:r>
          </w:p>
        </w:tc>
        <w:tc>
          <w:tcPr>
            <w:tcW w:w="940" w:type="dxa"/>
            <w:vAlign w:val="bottom"/>
            <w:gridSpan w:val="3"/>
          </w:tcPr>
          <w:p>
            <w:pPr>
              <w:jc w:val="right"/>
              <w:ind w:right="8"/>
              <w:spacing w:after="0"/>
              <w:rPr>
                <w:sz w:val="20"/>
                <w:szCs w:val="20"/>
                <w:color w:val="auto"/>
              </w:rPr>
            </w:pPr>
            <w:r>
              <w:rPr>
                <w:rFonts w:ascii="Arial" w:cs="Arial" w:eastAsia="Arial" w:hAnsi="Arial"/>
                <w:sz w:val="14"/>
                <w:szCs w:val="14"/>
                <w:color w:val="auto"/>
              </w:rPr>
              <w:t>understand</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140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Individuals  with</w:t>
            </w:r>
          </w:p>
        </w:tc>
        <w:tc>
          <w:tcPr>
            <w:tcW w:w="1720" w:type="dxa"/>
            <w:vAlign w:val="bottom"/>
            <w:gridSpan w:val="2"/>
            <w:shd w:val="clear" w:color="auto" w:fill="F6F8F7"/>
          </w:tcPr>
          <w:p>
            <w:pPr>
              <w:ind w:left="40"/>
              <w:spacing w:after="0"/>
              <w:rPr>
                <w:sz w:val="20"/>
                <w:szCs w:val="20"/>
                <w:color w:val="auto"/>
              </w:rPr>
            </w:pPr>
            <w:r>
              <w:rPr>
                <w:rFonts w:ascii="Arial" w:cs="Arial" w:eastAsia="Arial" w:hAnsi="Arial"/>
                <w:sz w:val="14"/>
                <w:szCs w:val="14"/>
                <w:color w:val="auto"/>
              </w:rPr>
              <w:t>extensive  operational</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expertise</w:t>
            </w:r>
          </w:p>
        </w:tc>
        <w:tc>
          <w:tcPr>
            <w:tcW w:w="36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in</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designing</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dynamics</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of</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attracting,</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experience in heavily regulated industries,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implementing financing and capital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motivating,</w:t>
            </w:r>
          </w:p>
        </w:tc>
        <w:tc>
          <w:tcPr>
            <w:tcW w:w="12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retaining</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including a focus on capital intensive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allocation</w:t>
            </w:r>
          </w:p>
        </w:tc>
        <w:tc>
          <w:tcPr>
            <w:tcW w:w="8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strategies,</w:t>
            </w:r>
          </w:p>
        </w:tc>
        <w:tc>
          <w:tcPr>
            <w:tcW w:w="60" w:type="dxa"/>
            <w:vAlign w:val="bottom"/>
            <w:shd w:val="clear" w:color="auto" w:fill="F2F2F2"/>
          </w:tcPr>
          <w:p>
            <w:pPr>
              <w:spacing w:after="0"/>
              <w:rPr>
                <w:sz w:val="14"/>
                <w:szCs w:val="14"/>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evaluating</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talented</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engaged</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ind w:left="60"/>
              <w:spacing w:after="0"/>
              <w:rPr>
                <w:sz w:val="20"/>
                <w:szCs w:val="20"/>
                <w:color w:val="auto"/>
              </w:rPr>
            </w:pPr>
            <w:r>
              <w:rPr>
                <w:rFonts w:ascii="Arial" w:cs="Arial" w:eastAsia="Arial" w:hAnsi="Arial"/>
                <w:sz w:val="14"/>
                <w:szCs w:val="14"/>
                <w:color w:val="auto"/>
              </w:rPr>
              <w:t>labor</w:t>
            </w:r>
          </w:p>
        </w:tc>
        <w:tc>
          <w:tcPr>
            <w:tcW w:w="940" w:type="dxa"/>
            <w:vAlign w:val="bottom"/>
            <w:shd w:val="clear" w:color="auto" w:fill="F6F8F7"/>
          </w:tcPr>
          <w:p>
            <w:pPr>
              <w:jc w:val="center"/>
              <w:ind w:left="162"/>
              <w:spacing w:after="0"/>
              <w:rPr>
                <w:sz w:val="20"/>
                <w:szCs w:val="20"/>
                <w:color w:val="auto"/>
              </w:rPr>
            </w:pPr>
            <w:r>
              <w:rPr>
                <w:rFonts w:ascii="Arial" w:cs="Arial" w:eastAsia="Arial" w:hAnsi="Arial"/>
                <w:sz w:val="14"/>
                <w:szCs w:val="14"/>
                <w:color w:val="auto"/>
              </w:rPr>
              <w:t>intensive</w:t>
            </w:r>
          </w:p>
        </w:tc>
        <w:tc>
          <w:tcPr>
            <w:tcW w:w="1220" w:type="dxa"/>
            <w:vAlign w:val="bottom"/>
            <w:shd w:val="clear" w:color="auto" w:fill="F6F8F7"/>
          </w:tcPr>
          <w:p>
            <w:pPr>
              <w:ind w:left="260"/>
              <w:spacing w:after="0"/>
              <w:rPr>
                <w:sz w:val="20"/>
                <w:szCs w:val="20"/>
                <w:color w:val="auto"/>
              </w:rPr>
            </w:pPr>
            <w:r>
              <w:rPr>
                <w:rFonts w:ascii="Arial" w:cs="Arial" w:eastAsia="Arial" w:hAnsi="Arial"/>
                <w:sz w:val="14"/>
                <w:szCs w:val="14"/>
                <w:color w:val="auto"/>
              </w:rPr>
              <w:t>businesses</w:t>
            </w:r>
          </w:p>
        </w:tc>
        <w:tc>
          <w:tcPr>
            <w:tcW w:w="500" w:type="dxa"/>
            <w:vAlign w:val="bottom"/>
            <w:shd w:val="clear" w:color="auto" w:fill="F6F8F7"/>
          </w:tcPr>
          <w:p>
            <w:pPr>
              <w:ind w:left="140"/>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stockholder returns and accessing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employees.</w:t>
            </w:r>
          </w:p>
        </w:tc>
        <w:tc>
          <w:tcPr>
            <w:tcW w:w="440" w:type="dxa"/>
            <w:vAlign w:val="bottom"/>
            <w:gridSpan w:val="2"/>
          </w:tcPr>
          <w:p>
            <w:pPr>
              <w:spacing w:after="0"/>
              <w:rPr>
                <w:sz w:val="20"/>
                <w:szCs w:val="20"/>
                <w:color w:val="auto"/>
              </w:rPr>
            </w:pPr>
            <w:r>
              <w:rPr>
                <w:rFonts w:ascii="Arial" w:cs="Arial" w:eastAsia="Arial" w:hAnsi="Arial"/>
                <w:sz w:val="14"/>
                <w:szCs w:val="14"/>
                <w:color w:val="auto"/>
              </w:rPr>
              <w:t>These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individuals</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sophisticated logistics, transportation and</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capital markets. These individuals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have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expertise</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in</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supply chain elements, provide valuable</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90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knowledge</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auto"/>
              </w:rPr>
              <w:t>of</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corporate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management,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succession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insights   on   management’s   ability   to</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finance and accounting standards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planning and creating a diverse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2620" w:type="dxa"/>
            <w:vAlign w:val="bottom"/>
            <w:gridSpan w:val="3"/>
            <w:shd w:val="clear" w:color="auto" w:fill="F6F8F7"/>
          </w:tcPr>
          <w:p>
            <w:pPr>
              <w:ind w:left="60"/>
              <w:spacing w:after="0"/>
              <w:rPr>
                <w:sz w:val="20"/>
                <w:szCs w:val="20"/>
                <w:color w:val="auto"/>
              </w:rPr>
            </w:pPr>
            <w:r>
              <w:rPr>
                <w:rFonts w:ascii="Arial" w:cs="Arial" w:eastAsia="Arial" w:hAnsi="Arial"/>
                <w:sz w:val="14"/>
                <w:szCs w:val="14"/>
                <w:color w:val="auto"/>
              </w:rPr>
              <w:t>operate effectively and efficiently.​</w:t>
            </w:r>
          </w:p>
        </w:tc>
        <w:tc>
          <w:tcPr>
            <w:tcW w:w="50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necessary</w:t>
            </w: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w w:val="97"/>
              </w:rPr>
              <w:t>for</w:t>
            </w:r>
          </w:p>
        </w:tc>
        <w:tc>
          <w:tcPr>
            <w:tcW w:w="700" w:type="dxa"/>
            <w:vAlign w:val="bottom"/>
            <w:gridSpan w:val="4"/>
            <w:shd w:val="clear" w:color="auto" w:fill="F2F2F2"/>
          </w:tcPr>
          <w:p>
            <w:pPr>
              <w:ind w:left="100"/>
              <w:spacing w:after="0"/>
              <w:rPr>
                <w:sz w:val="20"/>
                <w:szCs w:val="20"/>
                <w:color w:val="auto"/>
              </w:rPr>
            </w:pPr>
            <w:r>
              <w:rPr>
                <w:rFonts w:ascii="Arial" w:cs="Arial" w:eastAsia="Arial" w:hAnsi="Arial"/>
                <w:sz w:val="14"/>
                <w:szCs w:val="14"/>
                <w:color w:val="auto"/>
              </w:rPr>
              <w:t>effective</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oversight</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and  inclusive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workplace</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that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spacing w:after="0"/>
              <w:rPr>
                <w:sz w:val="15"/>
                <w:szCs w:val="15"/>
                <w:color w:val="auto"/>
              </w:rPr>
            </w:pPr>
          </w:p>
        </w:tc>
        <w:tc>
          <w:tcPr>
            <w:tcW w:w="940" w:type="dxa"/>
            <w:vAlign w:val="bottom"/>
            <w:shd w:val="clear" w:color="auto" w:fill="F6F8F7"/>
          </w:tcPr>
          <w:p>
            <w:pPr>
              <w:spacing w:after="0"/>
              <w:rPr>
                <w:sz w:val="15"/>
                <w:szCs w:val="15"/>
                <w:color w:val="auto"/>
              </w:rPr>
            </w:pPr>
          </w:p>
        </w:tc>
        <w:tc>
          <w:tcPr>
            <w:tcW w:w="1220" w:type="dxa"/>
            <w:vAlign w:val="bottom"/>
            <w:shd w:val="clear" w:color="auto" w:fill="F6F8F7"/>
          </w:tcPr>
          <w:p>
            <w:pPr>
              <w:spacing w:after="0"/>
              <w:rPr>
                <w:sz w:val="15"/>
                <w:szCs w:val="15"/>
                <w:color w:val="auto"/>
              </w:rPr>
            </w:pPr>
          </w:p>
        </w:tc>
        <w:tc>
          <w:tcPr>
            <w:tcW w:w="50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of</w:t>
            </w: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public</w:t>
            </w:r>
          </w:p>
        </w:tc>
        <w:tc>
          <w:tcPr>
            <w:tcW w:w="200" w:type="dxa"/>
            <w:vAlign w:val="bottom"/>
            <w:shd w:val="clear" w:color="auto" w:fill="F2F2F2"/>
          </w:tcPr>
          <w:p>
            <w:pPr>
              <w:spacing w:after="0"/>
              <w:rPr>
                <w:sz w:val="15"/>
                <w:szCs w:val="15"/>
                <w:color w:val="auto"/>
              </w:rPr>
            </w:pPr>
          </w:p>
        </w:tc>
        <w:tc>
          <w:tcPr>
            <w:tcW w:w="64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company</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prioritizes  safety  as  a  core</w:t>
            </w:r>
          </w:p>
        </w:tc>
        <w:tc>
          <w:tcPr>
            <w:tcW w:w="0" w:type="dxa"/>
            <w:vAlign w:val="bottom"/>
          </w:tcPr>
          <w:p>
            <w:pPr>
              <w:spacing w:after="0"/>
              <w:rPr>
                <w:sz w:val="1"/>
                <w:szCs w:val="1"/>
                <w:color w:val="auto"/>
              </w:rPr>
            </w:pPr>
          </w:p>
        </w:tc>
      </w:tr>
      <w:tr>
        <w:trPr>
          <w:trHeight w:val="190"/>
        </w:trPr>
        <w:tc>
          <w:tcPr>
            <w:tcW w:w="140" w:type="dxa"/>
            <w:vAlign w:val="bottom"/>
            <w:shd w:val="clear" w:color="auto" w:fill="F6F8F7"/>
          </w:tcPr>
          <w:p>
            <w:pPr>
              <w:spacing w:after="0"/>
              <w:rPr>
                <w:sz w:val="16"/>
                <w:szCs w:val="16"/>
                <w:color w:val="auto"/>
              </w:rPr>
            </w:pPr>
          </w:p>
        </w:tc>
        <w:tc>
          <w:tcPr>
            <w:tcW w:w="460" w:type="dxa"/>
            <w:vAlign w:val="bottom"/>
            <w:shd w:val="clear" w:color="auto" w:fill="F6F8F7"/>
          </w:tcPr>
          <w:p>
            <w:pPr>
              <w:spacing w:after="0"/>
              <w:rPr>
                <w:sz w:val="16"/>
                <w:szCs w:val="16"/>
                <w:color w:val="auto"/>
              </w:rPr>
            </w:pPr>
          </w:p>
        </w:tc>
        <w:tc>
          <w:tcPr>
            <w:tcW w:w="940" w:type="dxa"/>
            <w:vAlign w:val="bottom"/>
            <w:shd w:val="clear" w:color="auto" w:fill="F6F8F7"/>
          </w:tcPr>
          <w:p>
            <w:pPr>
              <w:spacing w:after="0"/>
              <w:rPr>
                <w:sz w:val="16"/>
                <w:szCs w:val="16"/>
                <w:color w:val="auto"/>
              </w:rPr>
            </w:pPr>
          </w:p>
        </w:tc>
        <w:tc>
          <w:tcPr>
            <w:tcW w:w="1220" w:type="dxa"/>
            <w:vAlign w:val="bottom"/>
            <w:shd w:val="clear" w:color="auto" w:fill="F6F8F7"/>
          </w:tcPr>
          <w:p>
            <w:pPr>
              <w:spacing w:after="0"/>
              <w:rPr>
                <w:sz w:val="16"/>
                <w:szCs w:val="16"/>
                <w:color w:val="auto"/>
              </w:rPr>
            </w:pPr>
          </w:p>
        </w:tc>
        <w:tc>
          <w:tcPr>
            <w:tcW w:w="500" w:type="dxa"/>
            <w:vAlign w:val="bottom"/>
            <w:shd w:val="clear" w:color="auto" w:fill="F6F8F7"/>
          </w:tcPr>
          <w:p>
            <w:pPr>
              <w:spacing w:after="0"/>
              <w:rPr>
                <w:sz w:val="16"/>
                <w:szCs w:val="16"/>
                <w:color w:val="auto"/>
              </w:rPr>
            </w:pPr>
          </w:p>
        </w:tc>
        <w:tc>
          <w:tcPr>
            <w:tcW w:w="12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reporting.</w:t>
            </w:r>
          </w:p>
        </w:tc>
        <w:tc>
          <w:tcPr>
            <w:tcW w:w="20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value.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6"/>
        </w:trPr>
        <w:tc>
          <w:tcPr>
            <w:tcW w:w="140" w:type="dxa"/>
            <w:vAlign w:val="bottom"/>
            <w:shd w:val="clear" w:color="auto" w:fill="F6F8F7"/>
          </w:tcPr>
          <w:p>
            <w:pPr>
              <w:spacing w:after="0"/>
              <w:rPr>
                <w:sz w:val="24"/>
                <w:szCs w:val="24"/>
                <w:color w:val="auto"/>
              </w:rPr>
            </w:pPr>
          </w:p>
        </w:tc>
        <w:tc>
          <w:tcPr>
            <w:tcW w:w="460" w:type="dxa"/>
            <w:vAlign w:val="bottom"/>
            <w:shd w:val="clear" w:color="auto" w:fill="F6F8F7"/>
          </w:tcPr>
          <w:p>
            <w:pPr>
              <w:spacing w:after="0"/>
              <w:rPr>
                <w:sz w:val="24"/>
                <w:szCs w:val="24"/>
                <w:color w:val="auto"/>
              </w:rPr>
            </w:pPr>
          </w:p>
        </w:tc>
        <w:tc>
          <w:tcPr>
            <w:tcW w:w="940" w:type="dxa"/>
            <w:vAlign w:val="bottom"/>
            <w:shd w:val="clear" w:color="auto" w:fill="F6F8F7"/>
          </w:tcPr>
          <w:p>
            <w:pPr>
              <w:spacing w:after="0"/>
              <w:rPr>
                <w:sz w:val="24"/>
                <w:szCs w:val="24"/>
                <w:color w:val="auto"/>
              </w:rPr>
            </w:pPr>
          </w:p>
        </w:tc>
        <w:tc>
          <w:tcPr>
            <w:tcW w:w="1220" w:type="dxa"/>
            <w:vAlign w:val="bottom"/>
            <w:shd w:val="clear" w:color="auto" w:fill="F6F8F7"/>
          </w:tcPr>
          <w:p>
            <w:pPr>
              <w:spacing w:after="0"/>
              <w:rPr>
                <w:sz w:val="24"/>
                <w:szCs w:val="24"/>
                <w:color w:val="auto"/>
              </w:rPr>
            </w:pPr>
          </w:p>
        </w:tc>
        <w:tc>
          <w:tcPr>
            <w:tcW w:w="500" w:type="dxa"/>
            <w:vAlign w:val="bottom"/>
            <w:shd w:val="clear" w:color="auto" w:fill="F6F8F7"/>
          </w:tcPr>
          <w:p>
            <w:pPr>
              <w:spacing w:after="0"/>
              <w:rPr>
                <w:sz w:val="24"/>
                <w:szCs w:val="24"/>
                <w:color w:val="auto"/>
              </w:rPr>
            </w:pPr>
          </w:p>
        </w:tc>
        <w:tc>
          <w:tcPr>
            <w:tcW w:w="12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34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-2245360</wp:posOffset>
            </wp:positionV>
            <wp:extent cx="5760720" cy="268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457157"/>
        </w:rPr>
        <w: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405" w:lineRule="exact"/>
        <w:rPr>
          <w:sz w:val="20"/>
          <w:szCs w:val="20"/>
          <w:color w:val="auto"/>
        </w:rPr>
      </w:pPr>
    </w:p>
    <w:p>
      <w:pPr>
        <w:sectPr>
          <w:pgSz w:w="11900" w:h="16838" w:orient="portrait"/>
          <w:cols w:equalWidth="0" w:num="2">
            <w:col w:w="9640" w:space="160"/>
            <w:col w:w="14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2920" w:type="dxa"/>
            <w:vAlign w:val="bottom"/>
            <w:vMerge w:val="restart"/>
          </w:tcPr>
          <w:p>
            <w:pPr>
              <w:ind w:left="28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Sustainability/Environmental/</w:t>
            </w:r>
          </w:p>
        </w:tc>
        <w:tc>
          <w:tcPr>
            <w:tcW w:w="16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900" w:type="dxa"/>
            <w:vAlign w:val="bottom"/>
          </w:tcPr>
          <w:p>
            <w:pPr>
              <w:ind w:left="80"/>
              <w:spacing w:after="0"/>
              <w:rPr>
                <w:sz w:val="20"/>
                <w:szCs w:val="20"/>
                <w:color w:val="auto"/>
              </w:rPr>
            </w:pPr>
            <w:r>
              <w:rPr>
                <w:rFonts w:ascii="Arial" w:cs="Arial" w:eastAsia="Arial" w:hAnsi="Arial"/>
                <w:sz w:val="16"/>
                <w:szCs w:val="16"/>
                <w:b w:val="1"/>
                <w:bCs w:val="1"/>
                <w:color w:val="457157"/>
              </w:rPr>
              <w:t>Digital/Information</w:t>
            </w:r>
          </w:p>
        </w:tc>
        <w:tc>
          <w:tcPr>
            <w:tcW w:w="34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600" w:type="dxa"/>
            <w:vAlign w:val="bottom"/>
            <w:vMerge w:val="restart"/>
            <w:shd w:val="clear" w:color="auto" w:fill="E5E5E5"/>
          </w:tcPr>
          <w:p>
            <w:pPr>
              <w:ind w:left="2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Risk</w:t>
            </w:r>
          </w:p>
        </w:tc>
        <w:tc>
          <w:tcPr>
            <w:tcW w:w="48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92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457157"/>
          </w:tcPr>
          <w:p>
            <w:pPr>
              <w:ind w:left="280"/>
              <w:spacing w:after="0"/>
              <w:rPr>
                <w:sz w:val="20"/>
                <w:szCs w:val="20"/>
                <w:color w:val="auto"/>
              </w:rPr>
            </w:pPr>
            <w:r>
              <w:rPr>
                <w:rFonts w:ascii="Arial" w:cs="Arial" w:eastAsia="Arial" w:hAnsi="Arial"/>
                <w:sz w:val="1"/>
                <w:szCs w:val="1"/>
                <w:color w:val="auto"/>
                <w:w w:val="4294942296"/>
              </w:rPr>
              <w:t>​</w:t>
            </w:r>
          </w:p>
        </w:tc>
        <w:tc>
          <w:tcPr>
            <w:tcW w:w="1900" w:type="dxa"/>
            <w:vAlign w:val="bottom"/>
          </w:tcPr>
          <w:p>
            <w:pPr>
              <w:ind w:left="40"/>
              <w:spacing w:after="0" w:line="163" w:lineRule="exact"/>
              <w:rPr>
                <w:sz w:val="20"/>
                <w:szCs w:val="20"/>
                <w:color w:val="auto"/>
              </w:rPr>
            </w:pPr>
            <w:r>
              <w:rPr>
                <w:rFonts w:ascii="Arial" w:cs="Arial" w:eastAsia="Arial" w:hAnsi="Arial"/>
                <w:sz w:val="14"/>
                <w:szCs w:val="14"/>
                <w:color w:val="auto"/>
              </w:rPr>
              <w:t>​</w:t>
            </w:r>
            <w:r>
              <w:rPr>
                <w:rFonts w:ascii="Arial" w:cs="Arial" w:eastAsia="Arial" w:hAnsi="Arial"/>
                <w:sz w:val="16"/>
                <w:szCs w:val="16"/>
                <w:b w:val="1"/>
                <w:bCs w:val="1"/>
                <w:color w:val="457157"/>
              </w:rPr>
              <w:t>Technology/</w:t>
            </w:r>
          </w:p>
        </w:tc>
        <w:tc>
          <w:tcPr>
            <w:tcW w:w="340" w:type="dxa"/>
            <w:vAlign w:val="bottom"/>
          </w:tcPr>
          <w:p>
            <w:pPr>
              <w:ind w:lef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457157"/>
          </w:tcPr>
          <w:p>
            <w:pPr>
              <w:ind w:left="280"/>
              <w:spacing w:after="0"/>
              <w:rPr>
                <w:sz w:val="20"/>
                <w:szCs w:val="20"/>
                <w:color w:val="auto"/>
              </w:rPr>
            </w:pPr>
            <w:r>
              <w:rPr>
                <w:rFonts w:ascii="Arial" w:cs="Arial" w:eastAsia="Arial" w:hAnsi="Arial"/>
                <w:sz w:val="14"/>
                <w:szCs w:val="14"/>
                <w:color w:val="auto"/>
              </w:rPr>
              <w:t>​</w:t>
            </w:r>
          </w:p>
        </w:tc>
        <w:tc>
          <w:tcPr>
            <w:tcW w:w="1600" w:type="dxa"/>
            <w:vAlign w:val="bottom"/>
            <w:vMerge w:val="continue"/>
            <w:shd w:val="clear" w:color="auto" w:fill="E5E5E5"/>
          </w:tcPr>
          <w:p>
            <w:pPr>
              <w:spacing w:after="0"/>
              <w:rPr>
                <w:sz w:val="14"/>
                <w:szCs w:val="14"/>
                <w:color w:val="auto"/>
              </w:rPr>
            </w:pPr>
          </w:p>
        </w:tc>
        <w:tc>
          <w:tcPr>
            <w:tcW w:w="480" w:type="dxa"/>
            <w:vAlign w:val="bottom"/>
            <w:shd w:val="clear" w:color="auto" w:fill="E5E5E5"/>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20" w:type="dxa"/>
            <w:vAlign w:val="bottom"/>
          </w:tcPr>
          <w:p>
            <w:pPr>
              <w:ind w:left="360"/>
              <w:spacing w:after="0"/>
              <w:rPr>
                <w:sz w:val="20"/>
                <w:szCs w:val="20"/>
                <w:color w:val="auto"/>
              </w:rPr>
            </w:pPr>
            <w:r>
              <w:rPr>
                <w:rFonts w:ascii="Arial" w:cs="Arial" w:eastAsia="Arial" w:hAnsi="Arial"/>
                <w:sz w:val="16"/>
                <w:szCs w:val="16"/>
                <w:b w:val="1"/>
                <w:bCs w:val="1"/>
                <w:color w:val="457157"/>
              </w:rPr>
              <w:t>Renewable Energy</w:t>
            </w:r>
          </w:p>
        </w:tc>
        <w:tc>
          <w:tcPr>
            <w:tcW w:w="160" w:type="dxa"/>
            <w:vAlign w:val="bottom"/>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00" w:type="dxa"/>
            <w:vAlign w:val="bottom"/>
            <w:shd w:val="clear" w:color="auto" w:fill="457157"/>
          </w:tcPr>
          <w:p>
            <w:pPr>
              <w:spacing w:after="0"/>
              <w:rPr>
                <w:sz w:val="17"/>
                <w:szCs w:val="17"/>
                <w:color w:val="auto"/>
              </w:rPr>
            </w:pPr>
          </w:p>
        </w:tc>
        <w:tc>
          <w:tcPr>
            <w:tcW w:w="1900" w:type="dxa"/>
            <w:vAlign w:val="bottom"/>
            <w:vMerge w:val="restart"/>
          </w:tcPr>
          <w:p>
            <w:pPr>
              <w:ind w:left="80"/>
              <w:spacing w:after="0"/>
              <w:rPr>
                <w:sz w:val="20"/>
                <w:szCs w:val="20"/>
                <w:color w:val="auto"/>
              </w:rPr>
            </w:pPr>
            <w:r>
              <w:rPr>
                <w:rFonts w:ascii="Arial" w:cs="Arial" w:eastAsia="Arial" w:hAnsi="Arial"/>
                <w:sz w:val="16"/>
                <w:szCs w:val="16"/>
                <w:b w:val="1"/>
                <w:bCs w:val="1"/>
                <w:color w:val="457157"/>
              </w:rPr>
              <w:t>Cybersecurity</w:t>
            </w:r>
            <w:r>
              <w:rPr>
                <w:rFonts w:ascii="Arial" w:cs="Arial" w:eastAsia="Arial" w:hAnsi="Arial"/>
                <w:sz w:val="14"/>
                <w:szCs w:val="14"/>
                <w:color w:val="000000"/>
              </w:rPr>
              <w:t>​</w:t>
            </w:r>
          </w:p>
        </w:tc>
        <w:tc>
          <w:tcPr>
            <w:tcW w:w="340" w:type="dxa"/>
            <w:vAlign w:val="bottom"/>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20" w:type="dxa"/>
            <w:vAlign w:val="bottom"/>
            <w:shd w:val="clear" w:color="auto" w:fill="457157"/>
          </w:tcPr>
          <w:p>
            <w:pPr>
              <w:spacing w:after="0"/>
              <w:rPr>
                <w:sz w:val="17"/>
                <w:szCs w:val="17"/>
                <w:color w:val="auto"/>
              </w:rPr>
            </w:pPr>
          </w:p>
        </w:tc>
        <w:tc>
          <w:tcPr>
            <w:tcW w:w="1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c>
          <w:tcPr>
            <w:tcW w:w="4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00" w:type="dxa"/>
            <w:vAlign w:val="bottom"/>
            <w:shd w:val="clear" w:color="auto" w:fill="457157"/>
          </w:tcPr>
          <w:p>
            <w:pPr>
              <w:spacing w:after="0"/>
              <w:rPr>
                <w:sz w:val="5"/>
                <w:szCs w:val="5"/>
                <w:color w:val="auto"/>
              </w:rPr>
            </w:pPr>
          </w:p>
        </w:tc>
        <w:tc>
          <w:tcPr>
            <w:tcW w:w="19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20" w:type="dxa"/>
            <w:vAlign w:val="bottom"/>
            <w:shd w:val="clear" w:color="auto" w:fill="457157"/>
          </w:tcPr>
          <w:p>
            <w:pPr>
              <w:spacing w:after="0"/>
              <w:rPr>
                <w:sz w:val="5"/>
                <w:szCs w:val="5"/>
                <w:color w:val="auto"/>
              </w:rPr>
            </w:pPr>
          </w:p>
        </w:tc>
        <w:tc>
          <w:tcPr>
            <w:tcW w:w="1600" w:type="dxa"/>
            <w:vAlign w:val="bottom"/>
            <w:shd w:val="clear" w:color="auto" w:fill="E5E5E5"/>
          </w:tcPr>
          <w:p>
            <w:pPr>
              <w:spacing w:after="0"/>
              <w:rPr>
                <w:sz w:val="5"/>
                <w:szCs w:val="5"/>
                <w:color w:val="auto"/>
              </w:rPr>
            </w:pPr>
          </w:p>
        </w:tc>
        <w:tc>
          <w:tcPr>
            <w:tcW w:w="48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60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-316865</wp:posOffset>
            </wp:positionV>
            <wp:extent cx="5760720" cy="3188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-316865</wp:posOffset>
            </wp:positionV>
            <wp:extent cx="5760720" cy="3188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p>
      <w:pPr>
        <w:ind w:left="1020" w:hanging="204"/>
        <w:spacing w:after="0" w:line="207" w:lineRule="auto"/>
        <w:tabs>
          <w:tab w:leader="none" w:pos="1020" w:val="left"/>
        </w:tabs>
        <w:numPr>
          <w:ilvl w:val="0"/>
          <w:numId w:val="15"/>
        </w:numPr>
        <w:rPr>
          <w:rFonts w:ascii="Arial" w:cs="Arial" w:eastAsia="Arial" w:hAnsi="Arial"/>
          <w:sz w:val="29"/>
          <w:szCs w:val="29"/>
          <w:color w:val="auto"/>
          <w:vertAlign w:val="superscript"/>
        </w:rPr>
      </w:pPr>
      <w:r>
        <w:rPr>
          <w:rFonts w:ascii="Arial" w:cs="Arial" w:eastAsia="Arial" w:hAnsi="Arial"/>
          <w:sz w:val="14"/>
          <w:szCs w:val="14"/>
          <w:color w:val="auto"/>
        </w:rPr>
        <w:t xml:space="preserve">Directors   with   experience   overseeing  </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Directors with experience in digital  </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Directors that have participated</w:t>
      </w:r>
    </w:p>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implementation</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and</w:t>
            </w:r>
          </w:p>
        </w:tc>
        <w:tc>
          <w:tcPr>
            <w:tcW w:w="780" w:type="dxa"/>
            <w:vAlign w:val="bottom"/>
          </w:tcPr>
          <w:p>
            <w:pPr>
              <w:ind w:left="220"/>
              <w:spacing w:after="0"/>
              <w:rPr>
                <w:sz w:val="20"/>
                <w:szCs w:val="20"/>
                <w:color w:val="auto"/>
              </w:rPr>
            </w:pPr>
            <w:r>
              <w:rPr>
                <w:rFonts w:ascii="Arial" w:cs="Arial" w:eastAsia="Arial" w:hAnsi="Arial"/>
                <w:sz w:val="14"/>
                <w:szCs w:val="14"/>
                <w:color w:val="auto"/>
              </w:rPr>
              <w:t>and</w:t>
            </w:r>
          </w:p>
        </w:tc>
        <w:tc>
          <w:tcPr>
            <w:tcW w:w="1040" w:type="dxa"/>
            <w:vAlign w:val="bottom"/>
            <w:gridSpan w:val="3"/>
          </w:tcPr>
          <w:p>
            <w:pPr>
              <w:jc w:val="right"/>
              <w:ind w:right="168"/>
              <w:spacing w:after="0"/>
              <w:rPr>
                <w:sz w:val="20"/>
                <w:szCs w:val="20"/>
                <w:color w:val="auto"/>
              </w:rPr>
            </w:pPr>
            <w:r>
              <w:rPr>
                <w:rFonts w:ascii="Arial" w:cs="Arial" w:eastAsia="Arial" w:hAnsi="Arial"/>
                <w:sz w:val="14"/>
                <w:szCs w:val="14"/>
                <w:color w:val="auto"/>
              </w:rPr>
              <w:t>information</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technology</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in development, implementation</w:t>
            </w:r>
          </w:p>
        </w:tc>
        <w:tc>
          <w:tcPr>
            <w:tcW w:w="0" w:type="dxa"/>
            <w:vAlign w:val="bottom"/>
          </w:tcPr>
          <w:p>
            <w:pPr>
              <w:spacing w:after="0"/>
              <w:rPr>
                <w:sz w:val="1"/>
                <w:szCs w:val="1"/>
                <w:color w:val="auto"/>
              </w:rPr>
            </w:pPr>
          </w:p>
        </w:tc>
      </w:tr>
      <w:tr>
        <w:trPr>
          <w:trHeight w:val="176"/>
        </w:trPr>
        <w:tc>
          <w:tcPr>
            <w:tcW w:w="960" w:type="dxa"/>
            <w:vAlign w:val="bottom"/>
            <w:gridSpan w:val="2"/>
          </w:tcPr>
          <w:p>
            <w:pPr>
              <w:spacing w:after="0"/>
              <w:rPr>
                <w:sz w:val="20"/>
                <w:szCs w:val="20"/>
                <w:color w:val="auto"/>
              </w:rPr>
            </w:pPr>
            <w:r>
              <w:rPr>
                <w:rFonts w:ascii="Arial" w:cs="Arial" w:eastAsia="Arial" w:hAnsi="Arial"/>
                <w:sz w:val="14"/>
                <w:szCs w:val="14"/>
                <w:color w:val="auto"/>
              </w:rPr>
              <w:t>assessment</w:t>
            </w:r>
          </w:p>
        </w:tc>
        <w:tc>
          <w:tcPr>
            <w:tcW w:w="180" w:type="dxa"/>
            <w:vAlign w:val="bottom"/>
          </w:tcPr>
          <w:p>
            <w:pPr>
              <w:spacing w:after="0"/>
              <w:rPr>
                <w:sz w:val="20"/>
                <w:szCs w:val="20"/>
                <w:color w:val="auto"/>
              </w:rPr>
            </w:pPr>
            <w:r>
              <w:rPr>
                <w:rFonts w:ascii="Arial" w:cs="Arial" w:eastAsia="Arial" w:hAnsi="Arial"/>
                <w:sz w:val="14"/>
                <w:szCs w:val="14"/>
                <w:color w:val="auto"/>
              </w:rPr>
              <w:t>of</w:t>
            </w:r>
          </w:p>
        </w:tc>
        <w:tc>
          <w:tcPr>
            <w:tcW w:w="2060" w:type="dxa"/>
            <w:vAlign w:val="bottom"/>
            <w:gridSpan w:val="3"/>
          </w:tcPr>
          <w:p>
            <w:pPr>
              <w:jc w:val="right"/>
              <w:ind w:right="148"/>
              <w:spacing w:after="0"/>
              <w:rPr>
                <w:sz w:val="20"/>
                <w:szCs w:val="20"/>
                <w:color w:val="auto"/>
              </w:rPr>
            </w:pPr>
            <w:r>
              <w:rPr>
                <w:rFonts w:ascii="Arial" w:cs="Arial" w:eastAsia="Arial" w:hAnsi="Arial"/>
                <w:sz w:val="14"/>
                <w:szCs w:val="14"/>
                <w:color w:val="auto"/>
              </w:rPr>
              <w:t>sustainability  strategies,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leadership</w:t>
            </w:r>
          </w:p>
        </w:tc>
        <w:tc>
          <w:tcPr>
            <w:tcW w:w="18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4"/>
                <w:szCs w:val="14"/>
                <w:color w:val="auto"/>
              </w:rPr>
              <w:t>provide</w:t>
            </w:r>
          </w:p>
        </w:tc>
        <w:tc>
          <w:tcPr>
            <w:tcW w:w="24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valuable</w:t>
            </w:r>
          </w:p>
        </w:tc>
        <w:tc>
          <w:tcPr>
            <w:tcW w:w="520" w:type="dxa"/>
            <w:vAlign w:val="bottom"/>
          </w:tcPr>
          <w:p>
            <w:pPr>
              <w:ind w:left="260"/>
              <w:spacing w:after="0"/>
              <w:rPr>
                <w:sz w:val="20"/>
                <w:szCs w:val="20"/>
                <w:color w:val="auto"/>
              </w:rPr>
            </w:pPr>
            <w:r>
              <w:rPr>
                <w:rFonts w:ascii="Arial" w:cs="Arial" w:eastAsia="Arial" w:hAnsi="Arial"/>
                <w:sz w:val="14"/>
                <w:szCs w:val="14"/>
                <w:color w:val="auto"/>
              </w:rPr>
              <w:t>and</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evaluation</w:t>
            </w:r>
          </w:p>
        </w:tc>
        <w:tc>
          <w:tcPr>
            <w:tcW w:w="220" w:type="dxa"/>
            <w:vAlign w:val="bottom"/>
          </w:tcPr>
          <w:p>
            <w:pPr>
              <w:jc w:val="right"/>
              <w:spacing w:after="0"/>
              <w:rPr>
                <w:sz w:val="20"/>
                <w:szCs w:val="20"/>
                <w:color w:val="auto"/>
              </w:rPr>
            </w:pPr>
            <w:r>
              <w:rPr>
                <w:rFonts w:ascii="Arial" w:cs="Arial" w:eastAsia="Arial" w:hAnsi="Arial"/>
                <w:sz w:val="14"/>
                <w:szCs w:val="14"/>
                <w:color w:val="auto"/>
              </w:rPr>
              <w:t>of</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sophisticated</w:t>
            </w:r>
          </w:p>
        </w:tc>
        <w:tc>
          <w:tcPr>
            <w:tcW w:w="0" w:type="dxa"/>
            <w:vAlign w:val="bottom"/>
          </w:tcPr>
          <w:p>
            <w:pPr>
              <w:spacing w:after="0"/>
              <w:rPr>
                <w:sz w:val="1"/>
                <w:szCs w:val="1"/>
                <w:color w:val="auto"/>
              </w:rPr>
            </w:pPr>
          </w:p>
        </w:tc>
      </w:tr>
      <w:tr>
        <w:trPr>
          <w:trHeight w:val="162"/>
        </w:trPr>
        <w:tc>
          <w:tcPr>
            <w:tcW w:w="3200" w:type="dxa"/>
            <w:vAlign w:val="bottom"/>
            <w:gridSpan w:val="6"/>
          </w:tcPr>
          <w:p>
            <w:pPr>
              <w:spacing w:after="0"/>
              <w:rPr>
                <w:sz w:val="20"/>
                <w:szCs w:val="20"/>
                <w:color w:val="auto"/>
              </w:rPr>
            </w:pPr>
            <w:r>
              <w:rPr>
                <w:rFonts w:ascii="Arial" w:cs="Arial" w:eastAsia="Arial" w:hAnsi="Arial"/>
                <w:sz w:val="14"/>
                <w:szCs w:val="14"/>
                <w:color w:val="auto"/>
              </w:rPr>
              <w:t>and  risks  and  opportunities  related  to</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perspectives</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on</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technology</w:t>
            </w:r>
          </w:p>
        </w:tc>
        <w:tc>
          <w:tcPr>
            <w:tcW w:w="520" w:type="dxa"/>
            <w:vAlign w:val="bottom"/>
          </w:tcPr>
          <w:p>
            <w:pPr>
              <w:ind w:left="260"/>
              <w:spacing w:after="0"/>
              <w:rPr>
                <w:sz w:val="20"/>
                <w:szCs w:val="20"/>
                <w:color w:val="auto"/>
              </w:rPr>
            </w:pPr>
            <w:r>
              <w:rPr>
                <w:rFonts w:ascii="Arial" w:cs="Arial" w:eastAsia="Arial" w:hAnsi="Arial"/>
                <w:sz w:val="14"/>
                <w:szCs w:val="14"/>
                <w:color w:val="auto"/>
              </w:rPr>
              <w:t>risk</w:t>
            </w:r>
          </w:p>
        </w:tc>
        <w:tc>
          <w:tcPr>
            <w:tcW w:w="1060" w:type="dxa"/>
            <w:vAlign w:val="bottom"/>
            <w:gridSpan w:val="3"/>
          </w:tcPr>
          <w:p>
            <w:pPr>
              <w:jc w:val="right"/>
              <w:ind w:right="8"/>
              <w:spacing w:after="0"/>
              <w:rPr>
                <w:sz w:val="20"/>
                <w:szCs w:val="20"/>
                <w:color w:val="auto"/>
              </w:rPr>
            </w:pPr>
            <w:r>
              <w:rPr>
                <w:rFonts w:ascii="Arial" w:cs="Arial" w:eastAsia="Arial" w:hAnsi="Arial"/>
                <w:sz w:val="14"/>
                <w:szCs w:val="14"/>
                <w:color w:val="auto"/>
              </w:rPr>
              <w:t>management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programs are</w:t>
            </w: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rPr>
                <w:sz w:val="20"/>
                <w:szCs w:val="20"/>
                <w:color w:val="auto"/>
              </w:rPr>
            </w:pPr>
            <w:r>
              <w:rPr>
                <w:rFonts w:ascii="Arial" w:cs="Arial" w:eastAsia="Arial" w:hAnsi="Arial"/>
                <w:sz w:val="14"/>
                <w:szCs w:val="14"/>
                <w:color w:val="auto"/>
              </w:rPr>
              <w:t>sustainability</w:t>
            </w:r>
          </w:p>
        </w:tc>
        <w:tc>
          <w:tcPr>
            <w:tcW w:w="18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and</w:t>
            </w:r>
          </w:p>
        </w:tc>
        <w:tc>
          <w:tcPr>
            <w:tcW w:w="780" w:type="dxa"/>
            <w:vAlign w:val="bottom"/>
          </w:tcPr>
          <w:p>
            <w:pPr>
              <w:ind w:left="20"/>
              <w:spacing w:after="0"/>
              <w:rPr>
                <w:sz w:val="20"/>
                <w:szCs w:val="20"/>
                <w:color w:val="auto"/>
              </w:rPr>
            </w:pPr>
            <w:r>
              <w:rPr>
                <w:rFonts w:ascii="Arial" w:cs="Arial" w:eastAsia="Arial" w:hAnsi="Arial"/>
                <w:sz w:val="14"/>
                <w:szCs w:val="14"/>
                <w:color w:val="auto"/>
              </w:rPr>
              <w:t>provision</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of</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innovation,</w:t>
            </w:r>
          </w:p>
        </w:tc>
        <w:tc>
          <w:tcPr>
            <w:tcW w:w="1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digital</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solutions,</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critical in helping our Board fulfill</w:t>
            </w:r>
          </w:p>
        </w:tc>
        <w:tc>
          <w:tcPr>
            <w:tcW w:w="0" w:type="dxa"/>
            <w:vAlign w:val="bottom"/>
          </w:tcPr>
          <w:p>
            <w:pPr>
              <w:spacing w:after="0"/>
              <w:rPr>
                <w:sz w:val="1"/>
                <w:szCs w:val="1"/>
                <w:color w:val="auto"/>
              </w:rPr>
            </w:pPr>
          </w:p>
        </w:tc>
      </w:tr>
      <w:tr>
        <w:trPr>
          <w:trHeight w:val="176"/>
        </w:trPr>
        <w:tc>
          <w:tcPr>
            <w:tcW w:w="1140" w:type="dxa"/>
            <w:vAlign w:val="bottom"/>
            <w:gridSpan w:val="3"/>
          </w:tcPr>
          <w:p>
            <w:pPr>
              <w:spacing w:after="0"/>
              <w:rPr>
                <w:sz w:val="20"/>
                <w:szCs w:val="20"/>
                <w:color w:val="auto"/>
              </w:rPr>
            </w:pPr>
            <w:r>
              <w:rPr>
                <w:rFonts w:ascii="Arial" w:cs="Arial" w:eastAsia="Arial" w:hAnsi="Arial"/>
                <w:sz w:val="14"/>
                <w:szCs w:val="14"/>
                <w:color w:val="auto"/>
              </w:rPr>
              <w:t>environmental</w:t>
            </w:r>
          </w:p>
        </w:tc>
        <w:tc>
          <w:tcPr>
            <w:tcW w:w="720" w:type="dxa"/>
            <w:vAlign w:val="bottom"/>
          </w:tcPr>
          <w:p>
            <w:pPr>
              <w:jc w:val="right"/>
              <w:spacing w:after="0"/>
              <w:rPr>
                <w:sz w:val="20"/>
                <w:szCs w:val="20"/>
                <w:color w:val="auto"/>
              </w:rPr>
            </w:pPr>
            <w:r>
              <w:rPr>
                <w:rFonts w:ascii="Arial" w:cs="Arial" w:eastAsia="Arial" w:hAnsi="Arial"/>
                <w:sz w:val="14"/>
                <w:szCs w:val="14"/>
                <w:color w:val="auto"/>
              </w:rPr>
              <w:t>services,</w:t>
            </w:r>
          </w:p>
        </w:tc>
        <w:tc>
          <w:tcPr>
            <w:tcW w:w="780" w:type="dxa"/>
            <w:vAlign w:val="bottom"/>
          </w:tcPr>
          <w:p>
            <w:pPr>
              <w:ind w:left="180"/>
              <w:spacing w:after="0"/>
              <w:rPr>
                <w:sz w:val="20"/>
                <w:szCs w:val="20"/>
                <w:color w:val="auto"/>
              </w:rPr>
            </w:pPr>
            <w:r>
              <w:rPr>
                <w:rFonts w:ascii="Arial" w:cs="Arial" w:eastAsia="Arial" w:hAnsi="Arial"/>
                <w:sz w:val="14"/>
                <w:szCs w:val="14"/>
                <w:color w:val="auto"/>
              </w:rPr>
              <w:t>support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the</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innovative</w:t>
            </w:r>
          </w:p>
        </w:tc>
        <w:tc>
          <w:tcPr>
            <w:tcW w:w="1820" w:type="dxa"/>
            <w:vAlign w:val="bottom"/>
            <w:gridSpan w:val="5"/>
          </w:tcPr>
          <w:p>
            <w:pPr>
              <w:jc w:val="right"/>
              <w:ind w:right="108"/>
              <w:spacing w:after="0"/>
              <w:rPr>
                <w:sz w:val="20"/>
                <w:szCs w:val="20"/>
                <w:color w:val="auto"/>
              </w:rPr>
            </w:pPr>
            <w:r>
              <w:rPr>
                <w:rFonts w:ascii="Arial" w:cs="Arial" w:eastAsia="Arial" w:hAnsi="Arial"/>
                <w:sz w:val="14"/>
                <w:szCs w:val="14"/>
                <w:color w:val="auto"/>
              </w:rPr>
              <w:t>business models, data</w:t>
            </w:r>
          </w:p>
        </w:tc>
        <w:tc>
          <w:tcPr>
            <w:tcW w:w="520" w:type="dxa"/>
            <w:vAlign w:val="bottom"/>
          </w:tcPr>
          <w:p>
            <w:pPr>
              <w:ind w:left="260"/>
              <w:spacing w:after="0"/>
              <w:rPr>
                <w:sz w:val="20"/>
                <w:szCs w:val="20"/>
                <w:color w:val="auto"/>
              </w:rPr>
            </w:pPr>
            <w:r>
              <w:rPr>
                <w:rFonts w:ascii="Arial" w:cs="Arial" w:eastAsia="Arial" w:hAnsi="Arial"/>
                <w:sz w:val="14"/>
                <w:szCs w:val="14"/>
                <w:color w:val="auto"/>
              </w:rPr>
              <w:t>its</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responsibilities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with  respect</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Company’s   ability   to   deliver   on   its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analytics,</w:t>
            </w:r>
          </w:p>
        </w:tc>
        <w:tc>
          <w:tcPr>
            <w:tcW w:w="180" w:type="dxa"/>
            <w:vAlign w:val="bottom"/>
          </w:tcPr>
          <w:p>
            <w:pPr>
              <w:spacing w:after="0"/>
              <w:rPr>
                <w:sz w:val="15"/>
                <w:szCs w:val="15"/>
                <w:color w:val="auto"/>
              </w:rPr>
            </w:pPr>
          </w:p>
        </w:tc>
        <w:tc>
          <w:tcPr>
            <w:tcW w:w="1640" w:type="dxa"/>
            <w:vAlign w:val="bottom"/>
            <w:gridSpan w:val="4"/>
          </w:tcPr>
          <w:p>
            <w:pPr>
              <w:jc w:val="right"/>
              <w:ind w:right="108"/>
              <w:spacing w:after="0"/>
              <w:rPr>
                <w:sz w:val="20"/>
                <w:szCs w:val="20"/>
                <w:color w:val="auto"/>
              </w:rPr>
            </w:pPr>
            <w:r>
              <w:rPr>
                <w:rFonts w:ascii="Arial" w:cs="Arial" w:eastAsia="Arial" w:hAnsi="Arial"/>
                <w:sz w:val="14"/>
                <w:szCs w:val="14"/>
                <w:color w:val="auto"/>
              </w:rPr>
              <w:t>e-commerce</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to risk oversight and mitigation.</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sustainability growth strategy, goals and</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applications,</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marketing</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strategy</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These</w:t>
            </w:r>
          </w:p>
        </w:tc>
        <w:tc>
          <w:tcPr>
            <w:tcW w:w="1140" w:type="dxa"/>
            <w:vAlign w:val="bottom"/>
            <w:gridSpan w:val="3"/>
          </w:tcPr>
          <w:p>
            <w:pPr>
              <w:ind w:left="40"/>
              <w:spacing w:after="0"/>
              <w:rPr>
                <w:sz w:val="20"/>
                <w:szCs w:val="20"/>
                <w:color w:val="auto"/>
              </w:rPr>
            </w:pPr>
            <w:r>
              <w:rPr>
                <w:rFonts w:ascii="Arial" w:cs="Arial" w:eastAsia="Arial" w:hAnsi="Arial"/>
                <w:sz w:val="14"/>
                <w:szCs w:val="14"/>
                <w:color w:val="auto"/>
              </w:rPr>
              <w:t>individuals</w:t>
            </w:r>
          </w:p>
        </w:tc>
        <w:tc>
          <w:tcPr>
            <w:tcW w:w="380" w:type="dxa"/>
            <w:vAlign w:val="bottom"/>
          </w:tcPr>
          <w:p>
            <w:pPr>
              <w:jc w:val="right"/>
              <w:spacing w:after="0"/>
              <w:rPr>
                <w:sz w:val="20"/>
                <w:szCs w:val="20"/>
                <w:color w:val="auto"/>
              </w:rPr>
            </w:pPr>
            <w:r>
              <w:rPr>
                <w:rFonts w:ascii="Arial" w:cs="Arial" w:eastAsia="Arial" w:hAnsi="Arial"/>
                <w:sz w:val="14"/>
                <w:szCs w:val="14"/>
                <w:color w:val="auto"/>
              </w:rPr>
              <w:t>have</w:t>
            </w:r>
          </w:p>
        </w:tc>
        <w:tc>
          <w:tcPr>
            <w:tcW w:w="0" w:type="dxa"/>
            <w:vAlign w:val="bottom"/>
          </w:tcPr>
          <w:p>
            <w:pPr>
              <w:spacing w:after="0"/>
              <w:rPr>
                <w:sz w:val="1"/>
                <w:szCs w:val="1"/>
                <w:color w:val="auto"/>
              </w:rPr>
            </w:pPr>
          </w:p>
        </w:tc>
      </w:tr>
      <w:tr>
        <w:trPr>
          <w:trHeight w:val="162"/>
        </w:trPr>
        <w:tc>
          <w:tcPr>
            <w:tcW w:w="1140" w:type="dxa"/>
            <w:vAlign w:val="bottom"/>
            <w:gridSpan w:val="3"/>
          </w:tcPr>
          <w:p>
            <w:pPr>
              <w:spacing w:after="0"/>
              <w:rPr>
                <w:sz w:val="20"/>
                <w:szCs w:val="20"/>
                <w:color w:val="auto"/>
              </w:rPr>
            </w:pPr>
            <w:r>
              <w:rPr>
                <w:rFonts w:ascii="Arial" w:cs="Arial" w:eastAsia="Arial" w:hAnsi="Arial"/>
                <w:sz w:val="14"/>
                <w:szCs w:val="14"/>
                <w:color w:val="auto"/>
              </w:rPr>
              <w:t>commitments.</w:t>
            </w:r>
          </w:p>
        </w:tc>
        <w:tc>
          <w:tcPr>
            <w:tcW w:w="720" w:type="dxa"/>
            <w:vAlign w:val="bottom"/>
          </w:tcPr>
          <w:p>
            <w:pPr>
              <w:jc w:val="right"/>
              <w:spacing w:after="0"/>
              <w:rPr>
                <w:sz w:val="20"/>
                <w:szCs w:val="20"/>
                <w:color w:val="auto"/>
              </w:rPr>
            </w:pPr>
            <w:r>
              <w:rPr>
                <w:rFonts w:ascii="Arial" w:cs="Arial" w:eastAsia="Arial" w:hAnsi="Arial"/>
                <w:sz w:val="14"/>
                <w:szCs w:val="14"/>
                <w:color w:val="auto"/>
              </w:rPr>
              <w:t>These</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individuals</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and cyber risks. These individuals</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experience</w:t>
            </w:r>
          </w:p>
        </w:tc>
        <w:tc>
          <w:tcPr>
            <w:tcW w:w="300" w:type="dxa"/>
            <w:vAlign w:val="bottom"/>
          </w:tcPr>
          <w:p>
            <w:pPr>
              <w:spacing w:after="0"/>
              <w:rPr>
                <w:sz w:val="14"/>
                <w:szCs w:val="1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in</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effectively</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understand  the  importance  of  linking</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are  particularly  engaged  in  our</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identifying,</w:t>
            </w:r>
          </w:p>
        </w:tc>
        <w:tc>
          <w:tcPr>
            <w:tcW w:w="1140" w:type="dxa"/>
            <w:vAlign w:val="bottom"/>
            <w:gridSpan w:val="3"/>
          </w:tcPr>
          <w:p>
            <w:pPr>
              <w:ind w:left="240"/>
              <w:spacing w:after="0"/>
              <w:rPr>
                <w:sz w:val="20"/>
                <w:szCs w:val="20"/>
                <w:color w:val="auto"/>
              </w:rPr>
            </w:pPr>
            <w:r>
              <w:rPr>
                <w:rFonts w:ascii="Arial" w:cs="Arial" w:eastAsia="Arial" w:hAnsi="Arial"/>
                <w:sz w:val="14"/>
                <w:szCs w:val="14"/>
                <w:color w:val="auto"/>
              </w:rPr>
              <w:t>prioritizing</w:t>
            </w:r>
          </w:p>
        </w:tc>
        <w:tc>
          <w:tcPr>
            <w:tcW w:w="380" w:type="dxa"/>
            <w:vAlign w:val="bottom"/>
          </w:tcPr>
          <w:p>
            <w:pPr>
              <w:jc w:val="right"/>
              <w:spacing w:after="0"/>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76"/>
        </w:trPr>
        <w:tc>
          <w:tcPr>
            <w:tcW w:w="3200" w:type="dxa"/>
            <w:vAlign w:val="bottom"/>
            <w:gridSpan w:val="6"/>
          </w:tcPr>
          <w:p>
            <w:pPr>
              <w:spacing w:after="0"/>
              <w:rPr>
                <w:sz w:val="20"/>
                <w:szCs w:val="20"/>
                <w:color w:val="auto"/>
              </w:rPr>
            </w:pPr>
            <w:r>
              <w:rPr>
                <w:rFonts w:ascii="Arial" w:cs="Arial" w:eastAsia="Arial" w:hAnsi="Arial"/>
                <w:sz w:val="14"/>
                <w:szCs w:val="14"/>
                <w:color w:val="auto"/>
              </w:rPr>
              <w:t>sustainability and renewable energy to the</w:t>
            </w:r>
          </w:p>
        </w:tc>
        <w:tc>
          <w:tcPr>
            <w:tcW w:w="780" w:type="dxa"/>
            <w:vAlign w:val="bottom"/>
          </w:tcPr>
          <w:p>
            <w:pPr>
              <w:ind w:left="220"/>
              <w:spacing w:after="0"/>
              <w:rPr>
                <w:sz w:val="20"/>
                <w:szCs w:val="20"/>
                <w:color w:val="auto"/>
              </w:rPr>
            </w:pPr>
            <w:r>
              <w:rPr>
                <w:rFonts w:ascii="Arial" w:cs="Arial" w:eastAsia="Arial" w:hAnsi="Arial"/>
                <w:sz w:val="14"/>
                <w:szCs w:val="14"/>
                <w:color w:val="auto"/>
              </w:rPr>
              <w:t>Board’s</w:t>
            </w:r>
          </w:p>
        </w:tc>
        <w:tc>
          <w:tcPr>
            <w:tcW w:w="24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oversight</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of</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the</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managing  a  broad  spectrum  of</w:t>
            </w:r>
          </w:p>
        </w:tc>
        <w:tc>
          <w:tcPr>
            <w:tcW w:w="0" w:type="dxa"/>
            <w:vAlign w:val="bottom"/>
          </w:tcPr>
          <w:p>
            <w:pPr>
              <w:spacing w:after="0"/>
              <w:rPr>
                <w:sz w:val="1"/>
                <w:szCs w:val="1"/>
                <w:color w:val="auto"/>
              </w:rPr>
            </w:pPr>
          </w:p>
        </w:tc>
      </w:tr>
      <w:tr>
        <w:trPr>
          <w:trHeight w:val="176"/>
        </w:trPr>
        <w:tc>
          <w:tcPr>
            <w:tcW w:w="3200" w:type="dxa"/>
            <w:vAlign w:val="bottom"/>
            <w:gridSpan w:val="6"/>
          </w:tcPr>
          <w:p>
            <w:pPr>
              <w:spacing w:after="0"/>
              <w:rPr>
                <w:sz w:val="20"/>
                <w:szCs w:val="20"/>
                <w:color w:val="auto"/>
              </w:rPr>
            </w:pPr>
            <w:r>
              <w:rPr>
                <w:rFonts w:ascii="Arial" w:cs="Arial" w:eastAsia="Arial" w:hAnsi="Arial"/>
                <w:sz w:val="14"/>
                <w:szCs w:val="14"/>
                <w:color w:val="auto"/>
              </w:rPr>
              <w:t>creation  of  long-term  stockholder  value,</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Company’s</w:t>
            </w:r>
          </w:p>
        </w:tc>
        <w:tc>
          <w:tcPr>
            <w:tcW w:w="180" w:type="dxa"/>
            <w:vAlign w:val="bottom"/>
          </w:tcPr>
          <w:p>
            <w:pPr>
              <w:spacing w:after="0"/>
              <w:rPr>
                <w:sz w:val="15"/>
                <w:szCs w:val="15"/>
                <w:color w:val="auto"/>
              </w:rPr>
            </w:pPr>
          </w:p>
        </w:tc>
        <w:tc>
          <w:tcPr>
            <w:tcW w:w="1640" w:type="dxa"/>
            <w:vAlign w:val="bottom"/>
            <w:gridSpan w:val="4"/>
          </w:tcPr>
          <w:p>
            <w:pPr>
              <w:jc w:val="right"/>
              <w:ind w:right="108"/>
              <w:spacing w:after="0"/>
              <w:rPr>
                <w:sz w:val="20"/>
                <w:szCs w:val="20"/>
                <w:color w:val="auto"/>
              </w:rPr>
            </w:pPr>
            <w:r>
              <w:rPr>
                <w:rFonts w:ascii="Arial" w:cs="Arial" w:eastAsia="Arial" w:hAnsi="Arial"/>
                <w:sz w:val="14"/>
                <w:szCs w:val="14"/>
                <w:color w:val="auto"/>
              </w:rPr>
              <w:t>comprehensive</w:t>
            </w:r>
          </w:p>
        </w:tc>
        <w:tc>
          <w:tcPr>
            <w:tcW w:w="1360" w:type="dxa"/>
            <w:vAlign w:val="bottom"/>
            <w:gridSpan w:val="3"/>
          </w:tcPr>
          <w:p>
            <w:pPr>
              <w:ind w:left="260"/>
              <w:spacing w:after="0"/>
              <w:rPr>
                <w:sz w:val="20"/>
                <w:szCs w:val="20"/>
                <w:color w:val="auto"/>
              </w:rPr>
            </w:pPr>
            <w:r>
              <w:rPr>
                <w:rFonts w:ascii="Arial" w:cs="Arial" w:eastAsia="Arial" w:hAnsi="Arial"/>
                <w:sz w:val="14"/>
                <w:szCs w:val="14"/>
                <w:color w:val="auto"/>
              </w:rPr>
              <w:t>complex  and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significant</w:t>
            </w:r>
          </w:p>
        </w:tc>
        <w:tc>
          <w:tcPr>
            <w:tcW w:w="380" w:type="dxa"/>
            <w:vAlign w:val="bottom"/>
          </w:tcPr>
          <w:p>
            <w:pPr>
              <w:jc w:val="right"/>
              <w:spacing w:after="0"/>
              <w:rPr>
                <w:sz w:val="20"/>
                <w:szCs w:val="20"/>
                <w:color w:val="auto"/>
              </w:rPr>
            </w:pPr>
            <w:r>
              <w:rPr>
                <w:rFonts w:ascii="Arial" w:cs="Arial" w:eastAsia="Arial" w:hAnsi="Arial"/>
                <w:sz w:val="14"/>
                <w:szCs w:val="14"/>
                <w:color w:val="auto"/>
              </w:rPr>
              <w:t>risks</w:t>
            </w:r>
          </w:p>
        </w:tc>
        <w:tc>
          <w:tcPr>
            <w:tcW w:w="0" w:type="dxa"/>
            <w:vAlign w:val="bottom"/>
          </w:tcPr>
          <w:p>
            <w:pPr>
              <w:spacing w:after="0"/>
              <w:rPr>
                <w:sz w:val="1"/>
                <w:szCs w:val="1"/>
                <w:color w:val="auto"/>
              </w:rPr>
            </w:pPr>
          </w:p>
        </w:tc>
      </w:tr>
      <w:tr>
        <w:trPr>
          <w:trHeight w:val="162"/>
        </w:trPr>
        <w:tc>
          <w:tcPr>
            <w:tcW w:w="3200" w:type="dxa"/>
            <w:vAlign w:val="bottom"/>
            <w:gridSpan w:val="6"/>
          </w:tcPr>
          <w:p>
            <w:pPr>
              <w:spacing w:after="0"/>
              <w:rPr>
                <w:sz w:val="20"/>
                <w:szCs w:val="20"/>
                <w:color w:val="auto"/>
              </w:rPr>
            </w:pPr>
            <w:r>
              <w:rPr>
                <w:rFonts w:ascii="Arial" w:cs="Arial" w:eastAsia="Arial" w:hAnsi="Arial"/>
                <w:sz w:val="14"/>
                <w:szCs w:val="14"/>
                <w:color w:val="auto"/>
              </w:rPr>
              <w:t>while also operating in an environmentally</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information</w:t>
            </w:r>
          </w:p>
        </w:tc>
        <w:tc>
          <w:tcPr>
            <w:tcW w:w="180" w:type="dxa"/>
            <w:vAlign w:val="bottom"/>
          </w:tcPr>
          <w:p>
            <w:pPr>
              <w:spacing w:after="0"/>
              <w:rPr>
                <w:sz w:val="14"/>
                <w:szCs w:val="14"/>
                <w:color w:val="auto"/>
              </w:rPr>
            </w:pPr>
          </w:p>
        </w:tc>
        <w:tc>
          <w:tcPr>
            <w:tcW w:w="860" w:type="dxa"/>
            <w:vAlign w:val="bottom"/>
            <w:gridSpan w:val="2"/>
          </w:tcPr>
          <w:p>
            <w:pPr>
              <w:jc w:val="center"/>
              <w:ind w:left="88"/>
              <w:spacing w:after="0"/>
              <w:rPr>
                <w:sz w:val="20"/>
                <w:szCs w:val="20"/>
                <w:color w:val="auto"/>
              </w:rPr>
            </w:pPr>
            <w:r>
              <w:rPr>
                <w:rFonts w:ascii="Arial" w:cs="Arial" w:eastAsia="Arial" w:hAnsi="Arial"/>
                <w:sz w:val="14"/>
                <w:szCs w:val="14"/>
                <w:color w:val="auto"/>
              </w:rPr>
              <w:t>security</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and</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facing a large public company.</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sound  and  responsible  manner.  These</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cybersecurity</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These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gridSpan w:val="6"/>
          </w:tcPr>
          <w:p>
            <w:pPr>
              <w:spacing w:after="0"/>
              <w:rPr>
                <w:sz w:val="20"/>
                <w:szCs w:val="20"/>
                <w:color w:val="auto"/>
              </w:rPr>
            </w:pPr>
            <w:r>
              <w:rPr>
                <w:rFonts w:ascii="Arial" w:cs="Arial" w:eastAsia="Arial" w:hAnsi="Arial"/>
                <w:sz w:val="14"/>
                <w:szCs w:val="14"/>
                <w:color w:val="auto"/>
              </w:rPr>
              <w:t>individuals also understand the regulatory</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individuals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also  bring</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knowledge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environment   in   which   the   Company</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of use of technology to further the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operates    and    the    connection    of</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Company’s</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strategy</w:t>
            </w:r>
          </w:p>
        </w:tc>
        <w:tc>
          <w:tcPr>
            <w:tcW w:w="240" w:type="dxa"/>
            <w:vAlign w:val="bottom"/>
          </w:tcPr>
          <w:p>
            <w:pPr>
              <w:spacing w:after="0"/>
              <w:rPr>
                <w:sz w:val="20"/>
                <w:szCs w:val="20"/>
                <w:color w:val="auto"/>
              </w:rPr>
            </w:pPr>
            <w:r>
              <w:rPr>
                <w:rFonts w:ascii="Arial" w:cs="Arial" w:eastAsia="Arial" w:hAnsi="Arial"/>
                <w:sz w:val="14"/>
                <w:szCs w:val="14"/>
                <w:color w:val="auto"/>
              </w:rPr>
              <w:t>to</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enhance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gridSpan w:val="6"/>
          </w:tcPr>
          <w:p>
            <w:pPr>
              <w:spacing w:after="0"/>
              <w:rPr>
                <w:sz w:val="20"/>
                <w:szCs w:val="20"/>
                <w:color w:val="auto"/>
              </w:rPr>
            </w:pPr>
            <w:r>
              <w:rPr>
                <w:rFonts w:ascii="Arial" w:cs="Arial" w:eastAsia="Arial" w:hAnsi="Arial"/>
                <w:sz w:val="14"/>
                <w:szCs w:val="14"/>
                <w:color w:val="auto"/>
              </w:rPr>
              <w:t>sustainability and corporate responsibility</w:t>
            </w:r>
          </w:p>
        </w:tc>
        <w:tc>
          <w:tcPr>
            <w:tcW w:w="1820" w:type="dxa"/>
            <w:vAlign w:val="bottom"/>
            <w:gridSpan w:val="4"/>
          </w:tcPr>
          <w:p>
            <w:pPr>
              <w:ind w:left="220"/>
              <w:spacing w:after="0"/>
              <w:rPr>
                <w:sz w:val="20"/>
                <w:szCs w:val="20"/>
                <w:color w:val="auto"/>
              </w:rPr>
            </w:pPr>
            <w:r>
              <w:rPr>
                <w:rFonts w:ascii="Arial" w:cs="Arial" w:eastAsia="Arial" w:hAnsi="Arial"/>
                <w:sz w:val="14"/>
                <w:szCs w:val="14"/>
                <w:color w:val="auto"/>
              </w:rPr>
              <w:t>customer  experience</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and</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reduce</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20"/>
                <w:szCs w:val="20"/>
                <w:color w:val="auto"/>
              </w:rPr>
            </w:pPr>
            <w:r>
              <w:rPr>
                <w:rFonts w:ascii="Arial" w:cs="Arial" w:eastAsia="Arial" w:hAnsi="Arial"/>
                <w:sz w:val="14"/>
                <w:szCs w:val="14"/>
                <w:color w:val="auto"/>
              </w:rPr>
              <w:t>to</w:t>
            </w:r>
          </w:p>
        </w:tc>
        <w:tc>
          <w:tcPr>
            <w:tcW w:w="680" w:type="dxa"/>
            <w:vAlign w:val="bottom"/>
          </w:tcPr>
          <w:p>
            <w:pPr>
              <w:ind w:left="160"/>
              <w:spacing w:after="0"/>
              <w:rPr>
                <w:sz w:val="20"/>
                <w:szCs w:val="20"/>
                <w:color w:val="auto"/>
              </w:rPr>
            </w:pPr>
            <w:r>
              <w:rPr>
                <w:rFonts w:ascii="Arial" w:cs="Arial" w:eastAsia="Arial" w:hAnsi="Arial"/>
                <w:sz w:val="14"/>
                <w:szCs w:val="14"/>
                <w:color w:val="auto"/>
              </w:rPr>
              <w:t>the</w:t>
            </w:r>
          </w:p>
        </w:tc>
        <w:tc>
          <w:tcPr>
            <w:tcW w:w="900" w:type="dxa"/>
            <w:vAlign w:val="bottom"/>
            <w:gridSpan w:val="2"/>
          </w:tcPr>
          <w:p>
            <w:pPr>
              <w:spacing w:after="0"/>
              <w:rPr>
                <w:sz w:val="20"/>
                <w:szCs w:val="20"/>
                <w:color w:val="auto"/>
              </w:rPr>
            </w:pPr>
            <w:r>
              <w:rPr>
                <w:rFonts w:ascii="Arial" w:cs="Arial" w:eastAsia="Arial" w:hAnsi="Arial"/>
                <w:sz w:val="14"/>
                <w:szCs w:val="14"/>
                <w:color w:val="auto"/>
              </w:rPr>
              <w:t>Company’s</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long-standing</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costs and labor intensity through</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gridSpan w:val="2"/>
          </w:tcPr>
          <w:p>
            <w:pPr>
              <w:spacing w:after="0"/>
              <w:rPr>
                <w:sz w:val="20"/>
                <w:szCs w:val="20"/>
                <w:color w:val="auto"/>
              </w:rPr>
            </w:pPr>
            <w:r>
              <w:rPr>
                <w:rFonts w:ascii="Arial" w:cs="Arial" w:eastAsia="Arial" w:hAnsi="Arial"/>
                <w:sz w:val="14"/>
                <w:szCs w:val="14"/>
                <w:color w:val="auto"/>
              </w:rPr>
              <w:t>commitment</w:t>
            </w:r>
          </w:p>
        </w:tc>
        <w:tc>
          <w:tcPr>
            <w:tcW w:w="180" w:type="dxa"/>
            <w:vAlign w:val="bottom"/>
          </w:tcPr>
          <w:p>
            <w:pPr>
              <w:spacing w:after="0"/>
              <w:rPr>
                <w:sz w:val="15"/>
                <w:szCs w:val="15"/>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color w:val="auto"/>
              </w:rPr>
              <w:t>to</w:t>
            </w:r>
          </w:p>
        </w:tc>
        <w:tc>
          <w:tcPr>
            <w:tcW w:w="1340" w:type="dxa"/>
            <w:vAlign w:val="bottom"/>
            <w:gridSpan w:val="2"/>
          </w:tcPr>
          <w:p>
            <w:pPr>
              <w:jc w:val="right"/>
              <w:ind w:right="148"/>
              <w:spacing w:after="0"/>
              <w:rPr>
                <w:sz w:val="20"/>
                <w:szCs w:val="20"/>
                <w:color w:val="auto"/>
              </w:rPr>
            </w:pPr>
            <w:r>
              <w:rPr>
                <w:rFonts w:ascii="Arial" w:cs="Arial" w:eastAsia="Arial" w:hAnsi="Arial"/>
                <w:sz w:val="14"/>
                <w:szCs w:val="14"/>
                <w:color w:val="auto"/>
              </w:rPr>
              <w:t>environmental</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automation.</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60" w:type="dxa"/>
            <w:vAlign w:val="bottom"/>
            <w:gridSpan w:val="2"/>
          </w:tcPr>
          <w:p>
            <w:pPr>
              <w:spacing w:after="0"/>
              <w:rPr>
                <w:sz w:val="20"/>
                <w:szCs w:val="20"/>
                <w:color w:val="auto"/>
              </w:rPr>
            </w:pPr>
            <w:r>
              <w:rPr>
                <w:rFonts w:ascii="Arial" w:cs="Arial" w:eastAsia="Arial" w:hAnsi="Arial"/>
                <w:sz w:val="14"/>
                <w:szCs w:val="14"/>
                <w:color w:val="auto"/>
              </w:rPr>
              <w:t>stewardship.</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0" w:type="dxa"/>
            <w:vAlign w:val="bottom"/>
            <w:gridSpan w:val="5"/>
            <w:vMerge w:val="restart"/>
          </w:tcPr>
          <w:p>
            <w:pPr>
              <w:ind w:left="180"/>
              <w:spacing w:after="0"/>
              <w:rPr>
                <w:sz w:val="20"/>
                <w:szCs w:val="20"/>
                <w:color w:val="auto"/>
              </w:rPr>
            </w:pPr>
            <w:r>
              <w:rPr>
                <w:rFonts w:ascii="Arial" w:cs="Arial" w:eastAsia="Arial" w:hAnsi="Arial"/>
                <w:sz w:val="18"/>
                <w:szCs w:val="18"/>
                <w:color w:val="auto"/>
              </w:rPr>
              <w:t>2024 Proxy Statement</w:t>
            </w:r>
          </w:p>
        </w:tc>
        <w:tc>
          <w:tcPr>
            <w:tcW w:w="380" w:type="dxa"/>
            <w:vAlign w:val="bottom"/>
            <w:vMerge w:val="restart"/>
          </w:tcPr>
          <w:p>
            <w:pPr>
              <w:jc w:val="right"/>
              <w:ind w:right="66"/>
              <w:spacing w:after="0"/>
              <w:rPr>
                <w:sz w:val="20"/>
                <w:szCs w:val="20"/>
                <w:color w:val="auto"/>
              </w:rPr>
            </w:pPr>
            <w:r>
              <w:rPr>
                <w:rFonts w:ascii="Arial" w:cs="Arial" w:eastAsia="Arial" w:hAnsi="Arial"/>
                <w:sz w:val="32"/>
                <w:szCs w:val="32"/>
                <w:b w:val="1"/>
                <w:bCs w:val="1"/>
                <w:color w:val="457157"/>
              </w:rPr>
              <w:t>|</w:t>
            </w:r>
          </w:p>
        </w:tc>
        <w:tc>
          <w:tcPr>
            <w:tcW w:w="0" w:type="dxa"/>
            <w:vAlign w:val="bottom"/>
          </w:tcPr>
          <w:p>
            <w:pPr>
              <w:spacing w:after="0"/>
              <w:rPr>
                <w:sz w:val="1"/>
                <w:szCs w:val="1"/>
                <w:color w:val="auto"/>
              </w:rPr>
            </w:pPr>
          </w:p>
        </w:tc>
      </w:tr>
      <w:tr>
        <w:trPr>
          <w:trHeight w:val="304"/>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5"/>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399415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9640" w:space="40"/>
            <w:col w:w="260"/>
          </w:cols>
          <w:pgMar w:left="580" w:top="97" w:right="137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80" w:type="dxa"/>
            <w:vAlign w:val="bottom"/>
            <w:tcBorders>
              <w:right w:val="single" w:sz="8" w:color="457157"/>
            </w:tcBorders>
            <w:shd w:val="clear" w:color="auto" w:fill="457157"/>
          </w:tcPr>
          <w:p>
            <w:pPr>
              <w:spacing w:after="0"/>
              <w:rPr>
                <w:sz w:val="17"/>
                <w:szCs w:val="17"/>
                <w:color w:val="auto"/>
              </w:rPr>
            </w:pPr>
          </w:p>
        </w:tc>
        <w:tc>
          <w:tcPr>
            <w:tcW w:w="74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3"/>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T</w:t>
            </w:r>
            <w:r>
              <w:rPr>
                <w:rFonts w:ascii="Arial" w:cs="Arial" w:eastAsia="Arial" w:hAnsi="Arial"/>
                <w:sz w:val="16"/>
                <w:szCs w:val="16"/>
                <w:b w:val="1"/>
                <w:bCs w:val="1"/>
                <w:color w:val="FEFEFE"/>
              </w:rPr>
              <w:t>HOMAS</w:t>
            </w:r>
            <w:r>
              <w:rPr>
                <w:rFonts w:ascii="Arial" w:cs="Arial" w:eastAsia="Arial" w:hAnsi="Arial"/>
                <w:sz w:val="23"/>
                <w:szCs w:val="23"/>
                <w:b w:val="1"/>
                <w:bCs w:val="1"/>
                <w:color w:val="FEFEFE"/>
              </w:rPr>
              <w:t xml:space="preserve"> L. B</w:t>
            </w:r>
            <w:r>
              <w:rPr>
                <w:rFonts w:ascii="Arial" w:cs="Arial" w:eastAsia="Arial" w:hAnsi="Arial"/>
                <w:sz w:val="16"/>
                <w:szCs w:val="16"/>
                <w:b w:val="1"/>
                <w:bCs w:val="1"/>
                <w:color w:val="FEFEFE"/>
              </w:rPr>
              <w:t>ENÉ</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7"/>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44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President and Chief Executive Officer — Breakthru Beverage Group, LLC (private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beverage wholesale distributor) since October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Former President and Chief Executive Officer — National Restaurant Association,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served from June 2020 to September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Former President and Chief Executive Officer — Sysco Corporation (multinational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wholesale restaurant distributor), served from 2018 to January 2020; also served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4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61</w:t>
            </w: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as Executive Advisor from February 2020 to March 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Sysco Corporation from 2018 to January 2020.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March 2024</w:t>
            </w:r>
          </w:p>
        </w:tc>
        <w:tc>
          <w:tcPr>
            <w:tcW w:w="180" w:type="dxa"/>
            <w:vAlign w:val="bottom"/>
            <w:tcBorders>
              <w:right w:val="single" w:sz="8" w:color="457157"/>
            </w:tcBorders>
          </w:tcPr>
          <w:p>
            <w:pPr>
              <w:spacing w:after="0"/>
              <w:rPr>
                <w:sz w:val="20"/>
                <w:szCs w:val="20"/>
                <w:color w:val="auto"/>
              </w:rPr>
            </w:pPr>
          </w:p>
        </w:tc>
        <w:tc>
          <w:tcPr>
            <w:tcW w:w="744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180" w:type="dxa"/>
            <w:vAlign w:val="bottom"/>
            <w:tcBorders>
              <w:right w:val="single" w:sz="8" w:color="457157"/>
            </w:tcBorders>
          </w:tcPr>
          <w:p>
            <w:pPr>
              <w:spacing w:after="0"/>
              <w:rPr>
                <w:sz w:val="14"/>
                <w:szCs w:val="14"/>
                <w:color w:val="auto"/>
              </w:rPr>
            </w:pPr>
          </w:p>
        </w:tc>
        <w:tc>
          <w:tcPr>
            <w:tcW w:w="7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Tom  Bené  has  four  decades  of  experience  executing  on  strategic  business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w:t>
            </w:r>
          </w:p>
        </w:tc>
        <w:tc>
          <w:tcPr>
            <w:tcW w:w="180" w:type="dxa"/>
            <w:vAlign w:val="bottom"/>
            <w:tcBorders>
              <w:right w:val="single" w:sz="8" w:color="457157"/>
            </w:tcBorders>
          </w:tcPr>
          <w:p>
            <w:pPr>
              <w:spacing w:after="0"/>
              <w:rPr>
                <w:sz w:val="15"/>
                <w:szCs w:val="15"/>
                <w:color w:val="auto"/>
              </w:rPr>
            </w:pPr>
          </w:p>
        </w:tc>
        <w:tc>
          <w:tcPr>
            <w:tcW w:w="7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3" w:lineRule="exact"/>
              <w:rPr>
                <w:sz w:val="20"/>
                <w:szCs w:val="20"/>
                <w:color w:val="auto"/>
              </w:rPr>
            </w:pPr>
            <w:r>
              <w:rPr>
                <w:rFonts w:ascii="Arial" w:cs="Arial" w:eastAsia="Arial" w:hAnsi="Arial"/>
                <w:sz w:val="18"/>
                <w:szCs w:val="18"/>
                <w:color w:val="auto"/>
              </w:rPr>
              <w:t>Management</w:t>
            </w:r>
          </w:p>
        </w:tc>
        <w:tc>
          <w:tcPr>
            <w:tcW w:w="180" w:type="dxa"/>
            <w:vAlign w:val="bottom"/>
            <w:tcBorders>
              <w:right w:val="single" w:sz="8" w:color="457157"/>
            </w:tcBorders>
          </w:tcPr>
          <w:p>
            <w:pPr>
              <w:spacing w:after="0"/>
              <w:rPr>
                <w:sz w:val="15"/>
                <w:szCs w:val="15"/>
                <w:color w:val="auto"/>
              </w:rPr>
            </w:pPr>
          </w:p>
        </w:tc>
        <w:tc>
          <w:tcPr>
            <w:tcW w:w="7440" w:type="dxa"/>
            <w:vAlign w:val="bottom"/>
          </w:tcPr>
          <w:p>
            <w:pPr>
              <w:ind w:left="100"/>
              <w:spacing w:after="0" w:line="183" w:lineRule="exact"/>
              <w:rPr>
                <w:sz w:val="20"/>
                <w:szCs w:val="20"/>
                <w:color w:val="auto"/>
              </w:rPr>
            </w:pPr>
            <w:r>
              <w:rPr>
                <w:rFonts w:ascii="Arial" w:cs="Arial" w:eastAsia="Arial" w:hAnsi="Arial"/>
                <w:sz w:val="18"/>
                <w:szCs w:val="18"/>
                <w:color w:val="auto"/>
              </w:rPr>
              <w:t>priorities and delivering financial growth for large companies. Since 2021, he has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Development &amp;</w:t>
            </w: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served as President and Chief Executive Officer of Breakthru Beverage Group,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Compensation</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where he is focused on leading the company through a period of growth and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expansion by driving new capabilities and innovation. Prior to his current role, 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held  several  operations  and  business  leadership  roles  at  Sysco  Corporation,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including serving as President, Chief Executive Officer, and Chairman. Before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joining Sysco in 2013, Mr. Bené spent over 20 years at PepsiCo in numerous roles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increasing responsibility and scale.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has a proven track record of driving growth and modernizing business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models  throughout  his  career.  Through  his  prior  operations  and  management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positions, Mr. Bené has gained valuable insight and knowledge in the areas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leadership  and  management  development,  corporate  strategy  development,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merchandising,  sales,  marketing,  revenue  management,  shared  services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distribution and supply chain management.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shares  his  deep  experience  in  logistics,  as  well  as  his  focus  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differentiation through the use of technology and providing outstanding customer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service, to further our Company’s growth and optimization strategy. In addition, 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dedication to employee development complements the Company’s People First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commitment.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holds a bachelor of science degree in business administration from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University of Kansas.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-5117465</wp:posOffset>
            </wp:positionV>
            <wp:extent cx="960120" cy="1200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7020" w:type="dxa"/>
            <w:vAlign w:val="bottom"/>
            <w:gridSpan w:val="3"/>
            <w:vMerge w:val="restart"/>
            <w:shd w:val="clear" w:color="auto" w:fill="457157"/>
          </w:tcPr>
          <w:p>
            <w:pPr>
              <w:ind w:left="60"/>
              <w:spacing w:after="0"/>
              <w:rPr>
                <w:sz w:val="20"/>
                <w:szCs w:val="20"/>
                <w:color w:val="auto"/>
              </w:rPr>
            </w:pPr>
            <w:r>
              <w:rPr>
                <w:rFonts w:ascii="Arial" w:cs="Arial" w:eastAsia="Arial" w:hAnsi="Arial"/>
                <w:sz w:val="25"/>
                <w:szCs w:val="25"/>
                <w:b w:val="1"/>
                <w:bCs w:val="1"/>
                <w:color w:val="FEFEFE"/>
              </w:rPr>
              <w:t>E. C</w:t>
            </w:r>
            <w:r>
              <w:rPr>
                <w:rFonts w:ascii="Arial" w:cs="Arial" w:eastAsia="Arial" w:hAnsi="Arial"/>
                <w:sz w:val="17"/>
                <w:szCs w:val="17"/>
                <w:b w:val="1"/>
                <w:bCs w:val="1"/>
                <w:color w:val="FEFEFE"/>
              </w:rPr>
              <w:t>HINN</w:t>
            </w:r>
            <w:r>
              <w:rPr>
                <w:rFonts w:ascii="Arial" w:cs="Arial" w:eastAsia="Arial" w:hAnsi="Arial"/>
                <w:sz w:val="19"/>
                <w:szCs w:val="19"/>
                <w:b w:val="1"/>
                <w:bCs w:val="1"/>
                <w:color w:val="FEFEFE"/>
              </w:rPr>
              <w:t>​</w:t>
            </w:r>
          </w:p>
        </w:tc>
        <w:tc>
          <w:tcPr>
            <w:tcW w:w="126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B</w:t>
            </w:r>
            <w:r>
              <w:rPr>
                <w:rFonts w:ascii="Arial" w:cs="Arial" w:eastAsia="Arial" w:hAnsi="Arial"/>
                <w:sz w:val="16"/>
                <w:szCs w:val="16"/>
                <w:b w:val="1"/>
                <w:bCs w:val="1"/>
                <w:color w:val="FEFEFE"/>
              </w:rPr>
              <w:t>RUCE</w:t>
            </w:r>
          </w:p>
        </w:tc>
        <w:tc>
          <w:tcPr>
            <w:tcW w:w="7020" w:type="dxa"/>
            <w:vAlign w:val="bottom"/>
            <w:gridSpan w:val="3"/>
            <w:vMerge w:val="continue"/>
            <w:shd w:val="clear" w:color="auto" w:fill="457157"/>
          </w:tcPr>
          <w:p>
            <w:pPr>
              <w:spacing w:after="0"/>
              <w:rPr>
                <w:sz w:val="17"/>
                <w:szCs w:val="17"/>
                <w:color w:val="auto"/>
              </w:rPr>
            </w:pPr>
          </w:p>
        </w:tc>
        <w:tc>
          <w:tcPr>
            <w:tcW w:w="126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7"/>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618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2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Retired  President  and  Chief  Executive  Officer — Chevron  Phillips  Chemical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Company LLC, or CPChem, (global petrochemical joint venture of Chevron USA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Inc. and Philips 66 Company), served from April 2021 to March 2024; currently</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serving as Executive Advisor to CPChem since March 2024.</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Director of CPChem from November 2020 to March 2024.</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Also  served  as  President,  Chemicals  for  Chevron  Corporation  (multinational</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67</w:t>
            </w:r>
          </w:p>
        </w:tc>
        <w:tc>
          <w:tcPr>
            <w:tcW w:w="660" w:type="dxa"/>
            <w:vAlign w:val="bottom"/>
          </w:tcPr>
          <w:p>
            <w:pPr>
              <w:spacing w:after="0"/>
              <w:rPr>
                <w:sz w:val="19"/>
                <w:szCs w:val="19"/>
                <w:color w:val="auto"/>
              </w:rPr>
            </w:pPr>
          </w:p>
        </w:tc>
        <w:tc>
          <w:tcPr>
            <w:tcW w:w="180" w:type="dxa"/>
            <w:vAlign w:val="bottom"/>
            <w:tcBorders>
              <w:right w:val="single" w:sz="8" w:color="457157"/>
            </w:tcBorders>
          </w:tcPr>
          <w:p>
            <w:pPr>
              <w:spacing w:after="0"/>
              <w:rPr>
                <w:sz w:val="19"/>
                <w:szCs w:val="19"/>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energy corporation) from May 2020 to March 2021 and President, Chevron Oronite</w:t>
            </w:r>
          </w:p>
        </w:tc>
        <w:tc>
          <w:tcPr>
            <w:tcW w:w="0" w:type="dxa"/>
            <w:vAlign w:val="bottom"/>
          </w:tcPr>
          <w:p>
            <w:pPr>
              <w:spacing w:after="0"/>
              <w:rPr>
                <w:sz w:val="1"/>
                <w:szCs w:val="1"/>
                <w:color w:val="auto"/>
              </w:rPr>
            </w:pPr>
          </w:p>
        </w:tc>
      </w:tr>
      <w:tr>
        <w:trPr>
          <w:trHeight w:val="211"/>
        </w:trPr>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(global lubricant and fuel additives business) for Chevron Corporation from 2018 to</w:t>
            </w:r>
          </w:p>
        </w:tc>
        <w:tc>
          <w:tcPr>
            <w:tcW w:w="0" w:type="dxa"/>
            <w:vAlign w:val="bottom"/>
          </w:tcPr>
          <w:p>
            <w:pPr>
              <w:spacing w:after="0"/>
              <w:rPr>
                <w:sz w:val="1"/>
                <w:szCs w:val="1"/>
                <w:color w:val="auto"/>
              </w:rPr>
            </w:pPr>
          </w:p>
        </w:tc>
      </w:tr>
      <w:tr>
        <w:trPr>
          <w:trHeight w:val="100"/>
        </w:trPr>
        <w:tc>
          <w:tcPr>
            <w:tcW w:w="1440" w:type="dxa"/>
            <w:vAlign w:val="bottom"/>
            <w:gridSpan w:val="2"/>
            <w:vMerge w:val="continue"/>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6180" w:type="dxa"/>
            <w:vAlign w:val="bottom"/>
            <w:vMerge w:val="restart"/>
          </w:tcPr>
          <w:p>
            <w:pPr>
              <w:ind w:left="100"/>
              <w:spacing w:after="0"/>
              <w:rPr>
                <w:sz w:val="20"/>
                <w:szCs w:val="20"/>
                <w:color w:val="auto"/>
              </w:rPr>
            </w:pPr>
            <w:r>
              <w:rPr>
                <w:rFonts w:ascii="Arial" w:cs="Arial" w:eastAsia="Arial" w:hAnsi="Arial"/>
                <w:sz w:val="18"/>
                <w:szCs w:val="18"/>
                <w:color w:val="auto"/>
              </w:rPr>
              <w:t>April 2020.</w:t>
            </w: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February 2023</w:t>
            </w:r>
          </w:p>
        </w:tc>
        <w:tc>
          <w:tcPr>
            <w:tcW w:w="180" w:type="dxa"/>
            <w:vAlign w:val="bottom"/>
            <w:tcBorders>
              <w:right w:val="single" w:sz="8" w:color="457157"/>
            </w:tcBorders>
          </w:tcPr>
          <w:p>
            <w:pPr>
              <w:spacing w:after="0"/>
              <w:rPr>
                <w:sz w:val="12"/>
                <w:szCs w:val="12"/>
                <w:color w:val="auto"/>
              </w:rPr>
            </w:pPr>
          </w:p>
        </w:tc>
        <w:tc>
          <w:tcPr>
            <w:tcW w:w="61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440" w:type="dxa"/>
            <w:vAlign w:val="bottom"/>
            <w:gridSpan w:val="2"/>
            <w:vMerge w:val="continue"/>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618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gridSpan w:val="2"/>
          </w:tcPr>
          <w:p>
            <w:pPr>
              <w:spacing w:after="0"/>
              <w:rPr>
                <w:sz w:val="20"/>
                <w:szCs w:val="20"/>
                <w:color w:val="auto"/>
              </w:rPr>
            </w:pPr>
            <w:r>
              <w:rPr>
                <w:rFonts w:ascii="Arial" w:cs="Arial" w:eastAsia="Arial" w:hAnsi="Arial"/>
                <w:sz w:val="18"/>
                <w:szCs w:val="18"/>
                <w:b w:val="1"/>
                <w:bCs w:val="1"/>
                <w:color w:val="457157"/>
              </w:rPr>
              <w:t>Committee:</w:t>
            </w:r>
          </w:p>
        </w:tc>
        <w:tc>
          <w:tcPr>
            <w:tcW w:w="180" w:type="dxa"/>
            <w:vAlign w:val="bottom"/>
            <w:tcBorders>
              <w:right w:val="single" w:sz="8" w:color="457157"/>
            </w:tcBorders>
          </w:tcPr>
          <w:p>
            <w:pPr>
              <w:spacing w:after="0"/>
              <w:rPr>
                <w:sz w:val="21"/>
                <w:szCs w:val="21"/>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In his recent position as President, Chief Executive Officer and</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a Director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Audit</w:t>
            </w: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CPChem,  Bruce  Chinn  focused  on  leading  the  company  through  a  period  of</w:t>
            </w: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Borders>
              <w:right w:val="single" w:sz="8" w:color="457157"/>
            </w:tcBorders>
          </w:tcPr>
          <w:p>
            <w:pPr>
              <w:spacing w:after="0"/>
              <w:rPr>
                <w:sz w:val="3"/>
                <w:szCs w:val="3"/>
                <w:color w:val="auto"/>
              </w:rPr>
            </w:pPr>
          </w:p>
        </w:tc>
        <w:tc>
          <w:tcPr>
            <w:tcW w:w="75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sustainable growth. Mr. Chinn has over 40 years of experience driving operational,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safety, and financial results. Previously, he held several operations and business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roles at Chevron Corporation, leading large, diverse organizations. In these roles,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focused  on  performance,  partnership,  and  safety,  while  striving  for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continued success in the business and community. Mr. Chinn began his career at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DuPont, where he held positions of increasing responsibility in manufacturing,</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technical, commercial and business leadership at the U.S. and international level.</w:t>
            </w: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brings extensive knowledge of circular solutions and renewable energy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that is aligned with our Company’s strategic focus on making sustainability growth</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investments in our recycling and renewable energy businesses. His operations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leadership expertise bolsters our continued efforts to drive operating efficiencies,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enhance our safety culture and differentiate our service offerings. Mr. Chinn’s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broad and expansive dedication to operating excellence and developing strong</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corporate culture provides valuable perspective to the Board, and his experience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allows him to share specific insight into focus areas such as renewable energy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transition, environmental regulation and compliance, international exposure and</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risk management.</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serves on the American Institute of Chemical Engineers Foundation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Board of Trustees, and he serves as a board director and executive committee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member of the Alliance to End Plastic Waste and the American Chemistry Council.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holds a bachelor of science degree in chemical engineering from Texas</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A&amp;M University.</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6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-5391785</wp:posOffset>
            </wp:positionV>
            <wp:extent cx="960120" cy="12001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ind w:left="820"/>
        <w:spacing w:after="0" w:line="206" w:lineRule="auto"/>
        <w:tabs>
          <w:tab w:leader="none" w:pos="9860" w:val="left"/>
        </w:tabs>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J</w:t>
      </w:r>
      <w:r>
        <w:rPr>
          <w:rFonts w:ascii="Arial" w:cs="Arial" w:eastAsia="Arial" w:hAnsi="Arial"/>
          <w:sz w:val="17"/>
          <w:szCs w:val="17"/>
          <w:b w:val="1"/>
          <w:bCs w:val="1"/>
          <w:color w:val="FEFEFE"/>
        </w:rPr>
        <w:t>AMES</w:t>
      </w:r>
      <w:r>
        <w:rPr>
          <w:rFonts w:ascii="Arial" w:cs="Arial" w:eastAsia="Arial" w:hAnsi="Arial"/>
          <w:sz w:val="25"/>
          <w:szCs w:val="25"/>
          <w:b w:val="1"/>
          <w:bCs w:val="1"/>
          <w:color w:val="FEFEFE"/>
        </w:rPr>
        <w:t xml:space="preserve"> C. F</w:t>
      </w:r>
      <w:r>
        <w:rPr>
          <w:rFonts w:ascii="Arial" w:cs="Arial" w:eastAsia="Arial" w:hAnsi="Arial"/>
          <w:sz w:val="17"/>
          <w:szCs w:val="17"/>
          <w:b w:val="1"/>
          <w:bCs w:val="1"/>
          <w:color w:val="FEFEFE"/>
        </w:rPr>
        <w:t>ISH</w:t>
      </w:r>
      <w:r>
        <w:rPr>
          <w:rFonts w:ascii="Arial" w:cs="Arial" w:eastAsia="Arial" w:hAnsi="Arial"/>
          <w:sz w:val="25"/>
          <w:szCs w:val="25"/>
          <w:b w:val="1"/>
          <w:bCs w:val="1"/>
          <w:color w:val="FEFEFE"/>
        </w:rPr>
        <w:t>, J</w:t>
      </w:r>
      <w:r>
        <w:rPr>
          <w:rFonts w:ascii="Arial" w:cs="Arial" w:eastAsia="Arial" w:hAnsi="Arial"/>
          <w:sz w:val="17"/>
          <w:szCs w:val="17"/>
          <w:b w:val="1"/>
          <w:bCs w:val="1"/>
          <w:color w:val="FEFEFE"/>
        </w:rPr>
        <w:t>R</w:t>
      </w:r>
      <w:r>
        <w:rPr>
          <w:rFonts w:ascii="Arial" w:cs="Arial" w:eastAsia="Arial" w:hAnsi="Arial"/>
          <w:sz w:val="25"/>
          <w:szCs w:val="25"/>
          <w:b w:val="1"/>
          <w:bCs w:val="1"/>
          <w:color w:val="FEFEFE"/>
        </w:rPr>
        <w:t>.</w:t>
      </w:r>
      <w:r>
        <w:rPr>
          <w:rFonts w:ascii="Arial" w:cs="Arial" w:eastAsia="Arial" w:hAnsi="Arial"/>
          <w:sz w:val="19"/>
          <w:szCs w:val="19"/>
          <w:b w:val="1"/>
          <w:bCs w:val="1"/>
          <w:color w:val="FEFEFE"/>
        </w:rPr>
        <w:t>​</w:t>
      </w:r>
      <w:r>
        <w:rPr>
          <w:sz w:val="20"/>
          <w:szCs w:val="20"/>
          <w:color w:val="auto"/>
        </w:rPr>
        <w:tab/>
      </w:r>
      <w:r>
        <w:rPr>
          <w:rFonts w:ascii="Arial" w:cs="Arial" w:eastAsia="Arial" w:hAnsi="Arial"/>
          <w:sz w:val="50"/>
          <w:szCs w:val="50"/>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-254635</wp:posOffset>
            </wp:positionV>
            <wp:extent cx="5760720" cy="6197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619760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61</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November 2016</w:t>
      </w:r>
    </w:p>
    <w:p>
      <w:pPr>
        <w:spacing w:after="0" w:line="20" w:lineRule="exact"/>
        <w:rPr>
          <w:sz w:val="20"/>
          <w:szCs w:val="20"/>
          <w:color w:val="auto"/>
        </w:rPr>
      </w:pPr>
      <w:r>
        <w:rPr>
          <w:sz w:val="20"/>
          <w:szCs w:val="20"/>
          <w:color w:val="auto"/>
        </w:rPr>
        <w:br w:type="column"/>
      </w:r>
    </w:p>
    <w:p>
      <w:pPr>
        <w:spacing w:after="0"/>
        <w:tabs>
          <w:tab w:leader="none" w:pos="754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sz w:val="20"/>
          <w:szCs w:val="20"/>
          <w:color w:val="auto"/>
        </w:rPr>
        <w:tab/>
      </w:r>
      <w:r>
        <w:rPr>
          <w:rFonts w:ascii="Arial" w:cs="Arial" w:eastAsia="Arial" w:hAnsi="Arial"/>
          <w:sz w:val="36"/>
          <w:szCs w:val="36"/>
          <w:color w:val="auto"/>
          <w:vertAlign w:val="superscript"/>
        </w:rPr>
        <w:t>​</w:t>
      </w:r>
    </w:p>
    <w:p>
      <w:pPr>
        <w:spacing w:after="0" w:line="54" w:lineRule="exact"/>
        <w:rPr>
          <w:sz w:val="20"/>
          <w:szCs w:val="20"/>
          <w:color w:val="auto"/>
        </w:rPr>
      </w:pPr>
    </w:p>
    <w:p>
      <w:pPr>
        <w:ind w:left="220" w:right="280"/>
        <w:spacing w:after="0" w:line="263" w:lineRule="auto"/>
        <w:rPr>
          <w:sz w:val="20"/>
          <w:szCs w:val="20"/>
          <w:color w:val="auto"/>
        </w:rPr>
      </w:pPr>
      <w:r>
        <w:rPr>
          <w:rFonts w:ascii="Arial" w:cs="Arial" w:eastAsia="Arial" w:hAnsi="Arial"/>
          <w:sz w:val="18"/>
          <w:szCs w:val="18"/>
          <w:color w:val="auto"/>
        </w:rPr>
        <w:t>President, Chief Executive Officer and Director — Waste Management, Inc. since 2016.</w:t>
      </w:r>
    </w:p>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 of Caterpillar Inc. since March 2023.</w:t>
      </w:r>
    </w:p>
    <w:p>
      <w:pPr>
        <w:spacing w:after="0" w:line="90" w:lineRule="exact"/>
        <w:rPr>
          <w:sz w:val="20"/>
          <w:szCs w:val="20"/>
          <w:color w:val="auto"/>
        </w:rPr>
      </w:pPr>
    </w:p>
    <w:p>
      <w:pPr>
        <w:ind w:left="420" w:hanging="209"/>
        <w:spacing w:after="0"/>
        <w:tabs>
          <w:tab w:leader="none" w:pos="420" w:val="left"/>
        </w:tabs>
        <w:numPr>
          <w:ilvl w:val="0"/>
          <w:numId w:val="16"/>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50"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74"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63" w:lineRule="exact"/>
        <w:rPr>
          <w:sz w:val="20"/>
          <w:szCs w:val="20"/>
          <w:color w:val="auto"/>
        </w:rPr>
      </w:pPr>
    </w:p>
    <w:p>
      <w:pPr>
        <w:jc w:val="both"/>
        <w:ind w:left="220" w:right="80"/>
        <w:spacing w:after="0" w:line="255" w:lineRule="auto"/>
        <w:rPr>
          <w:sz w:val="20"/>
          <w:szCs w:val="20"/>
          <w:color w:val="auto"/>
        </w:rPr>
      </w:pPr>
      <w:r>
        <w:rPr>
          <w:rFonts w:ascii="Arial" w:cs="Arial" w:eastAsia="Arial" w:hAnsi="Arial"/>
          <w:sz w:val="18"/>
          <w:szCs w:val="18"/>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293"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290" w:lineRule="exact"/>
        <w:rPr>
          <w:sz w:val="20"/>
          <w:szCs w:val="20"/>
          <w:color w:val="auto"/>
        </w:rPr>
      </w:pPr>
    </w:p>
    <w:p>
      <w:pPr>
        <w:jc w:val="both"/>
        <w:ind w:left="220" w:right="80"/>
        <w:spacing w:after="0" w:line="259" w:lineRule="auto"/>
        <w:rPr>
          <w:sz w:val="20"/>
          <w:szCs w:val="20"/>
          <w:color w:val="auto"/>
        </w:rPr>
      </w:pPr>
      <w:r>
        <w:rPr>
          <w:rFonts w:ascii="Arial" w:cs="Arial" w:eastAsia="Arial" w:hAnsi="Arial"/>
          <w:sz w:val="18"/>
          <w:szCs w:val="18"/>
          <w:color w:val="auto"/>
        </w:rPr>
        <w:t>Mr. Fish also champions the importance of our people-first commitment and the necessity of creating a culture that truly puts the needs of WM employees first. As part of that people-first culture, Mr. Fish has been actively involved in developing initiatives to promote inclusion and diversity throughout the Company’s population of approximately 48,000 employees.</w:t>
      </w:r>
    </w:p>
    <w:p>
      <w:pPr>
        <w:spacing w:after="0" w:line="71"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Mr. Fish earned a bachelor’s degree in accounting from Arizona State University and a master’s degree in business administration, with emphasis on finance, from the University of Chicago. He is also a Certified Public Accountant.</w:t>
      </w:r>
    </w:p>
    <w:p>
      <w:pPr>
        <w:spacing w:after="0" w:line="200" w:lineRule="exact"/>
        <w:rPr>
          <w:sz w:val="20"/>
          <w:szCs w:val="20"/>
          <w:color w:val="auto"/>
        </w:rPr>
      </w:pPr>
    </w:p>
    <w:p>
      <w:pPr>
        <w:sectPr>
          <w:pgSz w:w="11900" w:h="16838" w:orient="portrait"/>
          <w:cols w:equalWidth="0" w:num="2">
            <w:col w:w="2200" w:space="120"/>
            <w:col w:w="762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A</w:t>
            </w:r>
            <w:r>
              <w:rPr>
                <w:rFonts w:ascii="Arial" w:cs="Arial" w:eastAsia="Arial" w:hAnsi="Arial"/>
                <w:sz w:val="16"/>
                <w:szCs w:val="16"/>
                <w:b w:val="1"/>
                <w:bCs w:val="1"/>
                <w:color w:val="FEFEFE"/>
              </w:rPr>
              <w:t>NDRÉS</w:t>
            </w:r>
            <w:r>
              <w:rPr>
                <w:rFonts w:ascii="Arial" w:cs="Arial" w:eastAsia="Arial" w:hAnsi="Arial"/>
                <w:sz w:val="23"/>
                <w:szCs w:val="23"/>
                <w:b w:val="1"/>
                <w:bCs w:val="1"/>
                <w:color w:val="FEFEFE"/>
              </w:rPr>
              <w:t xml:space="preserve"> R. G</w:t>
            </w:r>
            <w:r>
              <w:rPr>
                <w:rFonts w:ascii="Arial" w:cs="Arial" w:eastAsia="Arial" w:hAnsi="Arial"/>
                <w:sz w:val="16"/>
                <w:szCs w:val="16"/>
                <w:b w:val="1"/>
                <w:bCs w:val="1"/>
                <w:color w:val="FEFEFE"/>
              </w:rPr>
              <w:t>LUSKI</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5735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0" cy="5735320"/>
                    </a:xfrm>
                    <a:prstGeom prst="rect">
                      <a:avLst/>
                    </a:prstGeom>
                    <a:noFill/>
                  </pic:spPr>
                </pic:pic>
              </a:graphicData>
            </a:graphic>
          </wp:anchor>
        </w:drawing>
      </w:r>
    </w:p>
    <w:p>
      <w:pPr>
        <w:jc w:val="both"/>
        <w:ind w:left="2540" w:right="80"/>
        <w:spacing w:after="0" w:line="268" w:lineRule="auto"/>
        <w:rPr>
          <w:sz w:val="20"/>
          <w:szCs w:val="20"/>
          <w:color w:val="auto"/>
        </w:rPr>
      </w:pPr>
      <w:r>
        <w:rPr>
          <w:rFonts w:ascii="Arial" w:cs="Arial" w:eastAsia="Arial" w:hAnsi="Arial"/>
          <w:sz w:val="18"/>
          <w:szCs w:val="18"/>
          <w:color w:val="auto"/>
        </w:rPr>
        <w:t>President, Chief Executive Officer and Director — The AES Corporation (global energy company) since 2011.</w:t>
      </w:r>
    </w:p>
    <w:p>
      <w:pPr>
        <w:spacing w:after="0" w:line="6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AES Gener (Chile) from 2005 to January 2020.</w:t>
      </w:r>
    </w:p>
    <w:p>
      <w:pPr>
        <w:spacing w:after="0" w:line="57" w:lineRule="exact"/>
        <w:rPr>
          <w:sz w:val="20"/>
          <w:szCs w:val="20"/>
          <w:color w:val="auto"/>
        </w:rPr>
      </w:pPr>
    </w:p>
    <w:tbl>
      <w:tblPr>
        <w:tblLayout w:type="fixed"/>
        <w:tblInd w:w="820" w:type="dxa"/>
        <w:tblCellMar>
          <w:top w:w="0" w:type="dxa"/>
          <w:left w:w="0" w:type="dxa"/>
          <w:bottom w:w="0" w:type="dxa"/>
          <w:right w:w="0" w:type="dxa"/>
        </w:tblCellMar>
      </w:tblPr>
      <w:tr>
        <w:trPr>
          <w:trHeight w:val="348"/>
        </w:trPr>
        <w:tc>
          <w:tcPr>
            <w:tcW w:w="154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Andrés Gluski has served as President, Chief Executive Officer and a Director of</w:t>
            </w:r>
          </w:p>
        </w:tc>
        <w:tc>
          <w:tcPr>
            <w:tcW w:w="0" w:type="dxa"/>
            <w:vAlign w:val="bottom"/>
          </w:tcPr>
          <w:p>
            <w:pPr>
              <w:spacing w:after="0"/>
              <w:rPr>
                <w:sz w:val="1"/>
                <w:szCs w:val="1"/>
                <w:color w:val="auto"/>
              </w:rPr>
            </w:pPr>
          </w:p>
        </w:tc>
      </w:tr>
      <w:tr>
        <w:trPr>
          <w:trHeight w:val="21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rPr>
              <w:t>The  AES  Corporation,</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a  Fortune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3540" w:type="dxa"/>
            <w:vAlign w:val="bottom"/>
            <w:gridSpan w:val="5"/>
          </w:tcPr>
          <w:p>
            <w:pPr>
              <w:jc w:val="right"/>
              <w:spacing w:after="0"/>
              <w:rPr>
                <w:sz w:val="20"/>
                <w:szCs w:val="20"/>
                <w:color w:val="auto"/>
              </w:rPr>
            </w:pPr>
            <w:r>
              <w:rPr>
                <w:rFonts w:ascii="Arial" w:cs="Arial" w:eastAsia="Arial" w:hAnsi="Arial"/>
                <w:sz w:val="18"/>
                <w:szCs w:val="18"/>
                <w:color w:val="auto"/>
              </w:rPr>
              <w:t>global  energy  company,  since  2011.</w:t>
            </w:r>
          </w:p>
        </w:tc>
        <w:tc>
          <w:tcPr>
            <w:tcW w:w="0" w:type="dxa"/>
            <w:vAlign w:val="bottom"/>
          </w:tcPr>
          <w:p>
            <w:pPr>
              <w:spacing w:after="0"/>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Mr. Gluski began his tenure at AES in 2000 and previously served as Executive</w:t>
            </w:r>
          </w:p>
        </w:tc>
        <w:tc>
          <w:tcPr>
            <w:tcW w:w="0" w:type="dxa"/>
            <w:vAlign w:val="bottom"/>
          </w:tcPr>
          <w:p>
            <w:pPr>
              <w:spacing w:after="0"/>
              <w:rPr>
                <w:sz w:val="1"/>
                <w:szCs w:val="1"/>
                <w:color w:val="auto"/>
              </w:rPr>
            </w:pPr>
          </w:p>
        </w:tc>
      </w:tr>
      <w:tr>
        <w:trPr>
          <w:trHeight w:val="221"/>
        </w:trPr>
        <w:tc>
          <w:tcPr>
            <w:tcW w:w="15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Vice  President  and  Chief  Operating  Officer.  Under  his  leadership,  AES  has</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20"/>
                <w:szCs w:val="20"/>
                <w:color w:val="auto"/>
              </w:rPr>
            </w:pPr>
            <w:r>
              <w:rPr>
                <w:rFonts w:ascii="Arial" w:cs="Arial" w:eastAsia="Arial" w:hAnsi="Arial"/>
                <w:sz w:val="18"/>
                <w:szCs w:val="18"/>
                <w:color w:val="auto"/>
              </w:rPr>
              <w:t>January 2015</w:t>
            </w: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become a leader in implementing clean technologies, including energy storage and</w:t>
            </w:r>
          </w:p>
        </w:tc>
        <w:tc>
          <w:tcPr>
            <w:tcW w:w="0" w:type="dxa"/>
            <w:vAlign w:val="bottom"/>
          </w:tcPr>
          <w:p>
            <w:pPr>
              <w:spacing w:after="0"/>
              <w:rPr>
                <w:sz w:val="1"/>
                <w:szCs w:val="1"/>
                <w:color w:val="auto"/>
              </w:rPr>
            </w:pPr>
          </w:p>
        </w:tc>
      </w:tr>
      <w:tr>
        <w:trPr>
          <w:trHeight w:val="21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renewable power. Through his professional experience, Mr. Gluski has extensive</w:t>
            </w:r>
          </w:p>
        </w:tc>
        <w:tc>
          <w:tcPr>
            <w:tcW w:w="0" w:type="dxa"/>
            <w:vAlign w:val="bottom"/>
          </w:tcPr>
          <w:p>
            <w:pPr>
              <w:spacing w:after="0"/>
              <w:rPr>
                <w:sz w:val="1"/>
                <w:szCs w:val="1"/>
                <w:color w:val="auto"/>
              </w:rPr>
            </w:pPr>
          </w:p>
        </w:tc>
      </w:tr>
      <w:tr>
        <w:trPr>
          <w:trHeight w:val="46"/>
        </w:trPr>
        <w:tc>
          <w:tcPr>
            <w:tcW w:w="1540" w:type="dxa"/>
            <w:vAlign w:val="bottom"/>
            <w:vMerge w:val="continue"/>
          </w:tcPr>
          <w:p>
            <w:pPr>
              <w:spacing w:after="0"/>
              <w:rPr>
                <w:sz w:val="3"/>
                <w:szCs w:val="3"/>
                <w:color w:val="auto"/>
              </w:rPr>
            </w:pPr>
          </w:p>
        </w:tc>
        <w:tc>
          <w:tcPr>
            <w:tcW w:w="7500" w:type="dxa"/>
            <w:vAlign w:val="bottom"/>
            <w:gridSpan w:val="10"/>
            <w:vMerge w:val="restart"/>
          </w:tcPr>
          <w:p>
            <w:pPr>
              <w:ind w:left="180"/>
              <w:spacing w:after="0"/>
              <w:rPr>
                <w:sz w:val="20"/>
                <w:szCs w:val="20"/>
                <w:color w:val="auto"/>
              </w:rPr>
            </w:pPr>
            <w:r>
              <w:rPr>
                <w:rFonts w:ascii="Arial" w:cs="Arial" w:eastAsia="Arial" w:hAnsi="Arial"/>
                <w:sz w:val="18"/>
                <w:szCs w:val="18"/>
                <w:color w:val="auto"/>
              </w:rPr>
              <w:t>knowledge with respect to evaluating renewable energy strategies, and he has</w:t>
            </w:r>
          </w:p>
        </w:tc>
        <w:tc>
          <w:tcPr>
            <w:tcW w:w="0" w:type="dxa"/>
            <w:vAlign w:val="bottom"/>
          </w:tcPr>
          <w:p>
            <w:pPr>
              <w:spacing w:after="0"/>
              <w:rPr>
                <w:sz w:val="1"/>
                <w:szCs w:val="1"/>
                <w:color w:val="auto"/>
              </w:rPr>
            </w:pP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75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line="183" w:lineRule="exact"/>
              <w:rPr>
                <w:sz w:val="20"/>
                <w:szCs w:val="20"/>
                <w:color w:val="auto"/>
              </w:rPr>
            </w:pPr>
            <w:r>
              <w:rPr>
                <w:rFonts w:ascii="Arial" w:cs="Arial" w:eastAsia="Arial" w:hAnsi="Arial"/>
                <w:sz w:val="18"/>
                <w:szCs w:val="18"/>
                <w:color w:val="auto"/>
              </w:rPr>
              <w:t>Audit and</w:t>
            </w:r>
          </w:p>
        </w:tc>
        <w:tc>
          <w:tcPr>
            <w:tcW w:w="7500" w:type="dxa"/>
            <w:vAlign w:val="bottom"/>
            <w:gridSpan w:val="10"/>
          </w:tcPr>
          <w:p>
            <w:pPr>
              <w:ind w:left="180"/>
              <w:spacing w:after="0" w:line="183" w:lineRule="exact"/>
              <w:rPr>
                <w:sz w:val="20"/>
                <w:szCs w:val="20"/>
                <w:color w:val="auto"/>
              </w:rPr>
            </w:pPr>
            <w:r>
              <w:rPr>
                <w:rFonts w:ascii="Arial" w:cs="Arial" w:eastAsia="Arial" w:hAnsi="Arial"/>
                <w:sz w:val="18"/>
                <w:szCs w:val="18"/>
                <w:color w:val="auto"/>
              </w:rPr>
              <w:t>developed  expertise  in  considering  and  evaluating  climate-related  risks  and</w:t>
            </w:r>
          </w:p>
        </w:tc>
        <w:tc>
          <w:tcPr>
            <w:tcW w:w="0" w:type="dxa"/>
            <w:vAlign w:val="bottom"/>
          </w:tcPr>
          <w:p>
            <w:pPr>
              <w:spacing w:after="0"/>
              <w:rPr>
                <w:sz w:val="1"/>
                <w:szCs w:val="1"/>
                <w:color w:val="auto"/>
              </w:rPr>
            </w:pPr>
          </w:p>
        </w:tc>
      </w:tr>
      <w:tr>
        <w:trPr>
          <w:trHeight w:val="208"/>
        </w:trPr>
        <w:tc>
          <w:tcPr>
            <w:tcW w:w="1540" w:type="dxa"/>
            <w:vAlign w:val="bottom"/>
          </w:tcPr>
          <w:p>
            <w:pPr>
              <w:spacing w:after="0"/>
              <w:rPr>
                <w:sz w:val="20"/>
                <w:szCs w:val="20"/>
                <w:color w:val="auto"/>
              </w:rPr>
            </w:pPr>
            <w:r>
              <w:rPr>
                <w:rFonts w:ascii="Arial" w:cs="Arial" w:eastAsia="Arial" w:hAnsi="Arial"/>
                <w:sz w:val="18"/>
                <w:szCs w:val="18"/>
                <w:color w:val="auto"/>
              </w:rPr>
              <w:t>Management</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rPr>
              <w:t>opportunities, which is</w:t>
            </w:r>
          </w:p>
        </w:tc>
        <w:tc>
          <w:tcPr>
            <w:tcW w:w="700" w:type="dxa"/>
            <w:vAlign w:val="bottom"/>
          </w:tcPr>
          <w:p>
            <w:pPr>
              <w:spacing w:after="0"/>
              <w:rPr>
                <w:sz w:val="20"/>
                <w:szCs w:val="20"/>
                <w:color w:val="auto"/>
              </w:rPr>
            </w:pPr>
            <w:r>
              <w:rPr>
                <w:rFonts w:ascii="Arial" w:cs="Arial" w:eastAsia="Arial" w:hAnsi="Arial"/>
                <w:sz w:val="18"/>
                <w:szCs w:val="18"/>
                <w:color w:val="auto"/>
              </w:rPr>
              <w:t>directly</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applicable</w:t>
            </w: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to our business</w:t>
            </w:r>
          </w:p>
        </w:tc>
        <w:tc>
          <w:tcPr>
            <w:tcW w:w="380" w:type="dxa"/>
            <w:vAlign w:val="bottom"/>
          </w:tcPr>
          <w:p>
            <w:pPr>
              <w:ind w:left="20"/>
              <w:spacing w:after="0"/>
              <w:rPr>
                <w:sz w:val="20"/>
                <w:szCs w:val="20"/>
                <w:color w:val="auto"/>
              </w:rPr>
            </w:pPr>
            <w:r>
              <w:rPr>
                <w:rFonts w:ascii="Arial" w:cs="Arial" w:eastAsia="Arial" w:hAnsi="Arial"/>
                <w:sz w:val="18"/>
                <w:szCs w:val="18"/>
                <w:color w:val="auto"/>
              </w:rPr>
              <w:t>and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our sustainability</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7"/>
                <w:szCs w:val="17"/>
                <w:color w:val="auto"/>
              </w:rPr>
              <w:t>Development &amp;</w:t>
            </w:r>
          </w:p>
        </w:tc>
        <w:tc>
          <w:tcPr>
            <w:tcW w:w="1800" w:type="dxa"/>
            <w:vAlign w:val="bottom"/>
            <w:vMerge w:val="restart"/>
          </w:tcPr>
          <w:p>
            <w:pPr>
              <w:ind w:left="180"/>
              <w:spacing w:after="0"/>
              <w:rPr>
                <w:sz w:val="20"/>
                <w:szCs w:val="20"/>
                <w:color w:val="auto"/>
              </w:rPr>
            </w:pPr>
            <w:r>
              <w:rPr>
                <w:rFonts w:ascii="Arial" w:cs="Arial" w:eastAsia="Arial" w:hAnsi="Arial"/>
                <w:sz w:val="18"/>
                <w:szCs w:val="18"/>
                <w:color w:val="auto"/>
              </w:rPr>
              <w:t>growth  strategy.</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Mr.</w:t>
            </w: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Gluski</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also</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has</w:t>
            </w:r>
          </w:p>
        </w:tc>
        <w:tc>
          <w:tcPr>
            <w:tcW w:w="1280" w:type="dxa"/>
            <w:vAlign w:val="bottom"/>
            <w:vMerge w:val="restart"/>
          </w:tcPr>
          <w:p>
            <w:pPr>
              <w:ind w:left="140"/>
              <w:spacing w:after="0"/>
              <w:rPr>
                <w:sz w:val="20"/>
                <w:szCs w:val="20"/>
                <w:color w:val="auto"/>
              </w:rPr>
            </w:pPr>
            <w:r>
              <w:rPr>
                <w:rFonts w:ascii="Arial" w:cs="Arial" w:eastAsia="Arial" w:hAnsi="Arial"/>
                <w:sz w:val="18"/>
                <w:szCs w:val="18"/>
                <w:color w:val="auto"/>
              </w:rPr>
              <w:t>experience</w:t>
            </w:r>
          </w:p>
        </w:tc>
        <w:tc>
          <w:tcPr>
            <w:tcW w:w="300" w:type="dxa"/>
            <w:vAlign w:val="bottom"/>
            <w:vMerge w:val="restart"/>
          </w:tcPr>
          <w:p>
            <w:pPr>
              <w:spacing w:after="0"/>
              <w:rPr>
                <w:sz w:val="20"/>
                <w:szCs w:val="20"/>
                <w:color w:val="auto"/>
              </w:rPr>
            </w:pPr>
            <w:r>
              <w:rPr>
                <w:rFonts w:ascii="Arial" w:cs="Arial" w:eastAsia="Arial" w:hAnsi="Arial"/>
                <w:sz w:val="18"/>
                <w:szCs w:val="18"/>
                <w:color w:val="auto"/>
              </w:rPr>
              <w:t>in</w:t>
            </w: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rPr>
              <w:t>the</w:t>
            </w:r>
          </w:p>
        </w:tc>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development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line="183" w:lineRule="exact"/>
              <w:rPr>
                <w:sz w:val="20"/>
                <w:szCs w:val="20"/>
                <w:color w:val="auto"/>
              </w:rPr>
            </w:pPr>
            <w:r>
              <w:rPr>
                <w:rFonts w:ascii="Arial" w:cs="Arial" w:eastAsia="Arial" w:hAnsi="Arial"/>
                <w:sz w:val="18"/>
                <w:szCs w:val="18"/>
                <w:color w:val="auto"/>
              </w:rPr>
              <w:t>Compensation</w:t>
            </w:r>
          </w:p>
        </w:tc>
        <w:tc>
          <w:tcPr>
            <w:tcW w:w="18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40" w:type="dxa"/>
            <w:vAlign w:val="bottom"/>
            <w:vMerge w:val="continue"/>
          </w:tcPr>
          <w:p>
            <w:pPr>
              <w:spacing w:after="0"/>
              <w:rPr>
                <w:sz w:val="7"/>
                <w:szCs w:val="7"/>
                <w:color w:val="auto"/>
              </w:rPr>
            </w:pPr>
          </w:p>
        </w:tc>
        <w:tc>
          <w:tcPr>
            <w:tcW w:w="1800" w:type="dxa"/>
            <w:vAlign w:val="bottom"/>
            <w:vMerge w:val="restart"/>
          </w:tcPr>
          <w:p>
            <w:pPr>
              <w:ind w:left="180"/>
              <w:spacing w:after="0"/>
              <w:rPr>
                <w:sz w:val="20"/>
                <w:szCs w:val="20"/>
                <w:color w:val="auto"/>
              </w:rPr>
            </w:pPr>
            <w:r>
              <w:rPr>
                <w:rFonts w:ascii="Arial" w:cs="Arial" w:eastAsia="Arial" w:hAnsi="Arial"/>
                <w:sz w:val="18"/>
                <w:szCs w:val="18"/>
                <w:color w:val="auto"/>
              </w:rPr>
              <w:t>sustainability and</w:t>
            </w: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auto"/>
              </w:rPr>
              <w:t>corporate social</w:t>
            </w:r>
          </w:p>
        </w:tc>
        <w:tc>
          <w:tcPr>
            <w:tcW w:w="1820" w:type="dxa"/>
            <w:vAlign w:val="bottom"/>
            <w:gridSpan w:val="2"/>
            <w:vMerge w:val="restart"/>
          </w:tcPr>
          <w:p>
            <w:pPr>
              <w:ind w:left="20"/>
              <w:spacing w:after="0"/>
              <w:rPr>
                <w:sz w:val="20"/>
                <w:szCs w:val="20"/>
                <w:color w:val="auto"/>
              </w:rPr>
            </w:pPr>
            <w:r>
              <w:rPr>
                <w:rFonts w:ascii="Arial" w:cs="Arial" w:eastAsia="Arial" w:hAnsi="Arial"/>
                <w:sz w:val="18"/>
                <w:szCs w:val="18"/>
                <w:color w:val="auto"/>
              </w:rPr>
              <w:t>responsibility goals,</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w w:val="94"/>
              </w:rPr>
              <w:t>as</w:t>
            </w: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well as oversight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35"/>
        </w:trPr>
        <w:tc>
          <w:tcPr>
            <w:tcW w:w="1540" w:type="dxa"/>
            <w:vAlign w:val="bottom"/>
            <w:vMerge w:val="restart"/>
          </w:tcPr>
          <w:p>
            <w:pPr>
              <w:spacing w:after="0"/>
              <w:rPr>
                <w:sz w:val="20"/>
                <w:szCs w:val="20"/>
                <w:color w:val="auto"/>
              </w:rPr>
            </w:pPr>
            <w:r>
              <w:rPr>
                <w:rFonts w:ascii="Arial" w:cs="Arial" w:eastAsia="Arial" w:hAnsi="Arial"/>
                <w:sz w:val="18"/>
                <w:szCs w:val="18"/>
                <w:color w:val="auto"/>
              </w:rPr>
              <w:t>(Chair)</w:t>
            </w:r>
          </w:p>
        </w:tc>
        <w:tc>
          <w:tcPr>
            <w:tcW w:w="1800" w:type="dxa"/>
            <w:vAlign w:val="bottom"/>
            <w:vMerge w:val="continue"/>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540" w:type="dxa"/>
            <w:vAlign w:val="bottom"/>
            <w:vMerge w:val="continue"/>
          </w:tcPr>
          <w:p>
            <w:pPr>
              <w:spacing w:after="0"/>
              <w:rPr>
                <w:sz w:val="9"/>
                <w:szCs w:val="9"/>
                <w:color w:val="auto"/>
              </w:rPr>
            </w:pPr>
          </w:p>
        </w:tc>
        <w:tc>
          <w:tcPr>
            <w:tcW w:w="2300" w:type="dxa"/>
            <w:vAlign w:val="bottom"/>
            <w:gridSpan w:val="2"/>
            <w:vMerge w:val="restart"/>
          </w:tcPr>
          <w:p>
            <w:pPr>
              <w:ind w:left="180"/>
              <w:spacing w:after="0"/>
              <w:rPr>
                <w:sz w:val="20"/>
                <w:szCs w:val="20"/>
                <w:color w:val="auto"/>
              </w:rPr>
            </w:pPr>
            <w:r>
              <w:rPr>
                <w:rFonts w:ascii="Arial" w:cs="Arial" w:eastAsia="Arial" w:hAnsi="Arial"/>
                <w:sz w:val="18"/>
                <w:szCs w:val="18"/>
                <w:color w:val="auto"/>
              </w:rPr>
              <w:t>compliance programs.</w:t>
            </w: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w:t>
      </w:r>
    </w:p>
    <w:p>
      <w:pPr>
        <w:spacing w:after="0" w:line="74"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Mr. Gluski has also focused on shaping an inclusive, innovative workplace at AES with a diverse and inclusive culture throughout the world. These efforts have given Mr. Gluski valuable expertise in the areas of human capital management and diversity, equity and inclusion that he utilizes in his role as Chair of the Management Development &amp; Compensation Committee of the Board. Mr. Gluski has been named amongst the 100 Most Influential Latinos by Latino Leaders Magazine.</w:t>
      </w:r>
    </w:p>
    <w:p>
      <w:pPr>
        <w:spacing w:after="0" w:line="290"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71"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80" w:type="dxa"/>
            <w:vAlign w:val="bottom"/>
            <w:tcBorders>
              <w:right w:val="single" w:sz="8" w:color="457157"/>
            </w:tcBorders>
            <w:shd w:val="clear" w:color="auto" w:fill="457157"/>
          </w:tcPr>
          <w:p>
            <w:pPr>
              <w:spacing w:after="0"/>
              <w:rPr>
                <w:sz w:val="17"/>
                <w:szCs w:val="17"/>
                <w:color w:val="auto"/>
              </w:rPr>
            </w:pPr>
          </w:p>
        </w:tc>
        <w:tc>
          <w:tcPr>
            <w:tcW w:w="74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3"/>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V</w:t>
            </w:r>
            <w:r>
              <w:rPr>
                <w:rFonts w:ascii="Arial" w:cs="Arial" w:eastAsia="Arial" w:hAnsi="Arial"/>
                <w:sz w:val="16"/>
                <w:szCs w:val="16"/>
                <w:b w:val="1"/>
                <w:bCs w:val="1"/>
                <w:color w:val="FEFEFE"/>
              </w:rPr>
              <w:t>ICTORIA</w:t>
            </w:r>
            <w:r>
              <w:rPr>
                <w:rFonts w:ascii="Arial" w:cs="Arial" w:eastAsia="Arial" w:hAnsi="Arial"/>
                <w:sz w:val="23"/>
                <w:szCs w:val="23"/>
                <w:b w:val="1"/>
                <w:bCs w:val="1"/>
                <w:color w:val="FEFEFE"/>
              </w:rPr>
              <w:t xml:space="preserve"> M. H</w:t>
            </w:r>
            <w:r>
              <w:rPr>
                <w:rFonts w:ascii="Arial" w:cs="Arial" w:eastAsia="Arial" w:hAnsi="Arial"/>
                <w:sz w:val="16"/>
                <w:szCs w:val="16"/>
                <w:b w:val="1"/>
                <w:bCs w:val="1"/>
                <w:color w:val="FEFEFE"/>
              </w:rPr>
              <w:t>OLT</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44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rFonts w:ascii="Arial" w:cs="Arial" w:eastAsia="Arial" w:hAnsi="Arial"/>
                <w:sz w:val="17"/>
                <w:szCs w:val="17"/>
                <w:color w:val="000000"/>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Retired  President  and  Chief  Executive  Officer — Proto  Labs,  Inc.  (online  and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technology-enabled quick-turn manufacturer), served from 2014 to March 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also served as Director from 2014 — May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Piper Sandler Companies since September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A. O. Smith Corp. since April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4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2"/>
                <w:szCs w:val="22"/>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Victoria Holt joined Proto Labs, Inc. as President, Chief Executive Officer and a</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January 2013</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in 2014, retiring in 2021. With manufacturing facilities in five countries,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Proto Labs is a leading e-commerce technology enabled digital manufacturer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180" w:type="dxa"/>
            <w:vAlign w:val="bottom"/>
            <w:tcBorders>
              <w:right w:val="single" w:sz="8" w:color="457157"/>
            </w:tcBorders>
          </w:tcPr>
          <w:p>
            <w:pPr>
              <w:spacing w:after="0"/>
              <w:rPr>
                <w:sz w:val="16"/>
                <w:szCs w:val="16"/>
                <w:color w:val="auto"/>
              </w:rPr>
            </w:pPr>
          </w:p>
        </w:tc>
        <w:tc>
          <w:tcPr>
            <w:tcW w:w="7440" w:type="dxa"/>
            <w:vAlign w:val="bottom"/>
          </w:tcPr>
          <w:p>
            <w:pPr>
              <w:ind w:left="100"/>
              <w:spacing w:after="0" w:line="189" w:lineRule="exact"/>
              <w:rPr>
                <w:sz w:val="20"/>
                <w:szCs w:val="20"/>
                <w:color w:val="auto"/>
              </w:rPr>
            </w:pPr>
            <w:r>
              <w:rPr>
                <w:rFonts w:ascii="Arial" w:cs="Arial" w:eastAsia="Arial" w:hAnsi="Arial"/>
                <w:sz w:val="18"/>
                <w:szCs w:val="18"/>
                <w:color w:val="auto"/>
              </w:rPr>
              <w:t>custom prototypes and on-demand product parts.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line="170" w:lineRule="exact"/>
              <w:rPr>
                <w:sz w:val="20"/>
                <w:szCs w:val="20"/>
                <w:color w:val="auto"/>
              </w:rPr>
            </w:pPr>
            <w:r>
              <w:rPr>
                <w:rFonts w:ascii="Arial" w:cs="Arial" w:eastAsia="Arial" w:hAnsi="Arial"/>
                <w:sz w:val="18"/>
                <w:szCs w:val="18"/>
                <w:color w:val="auto"/>
              </w:rPr>
              <w:t>Audit and</w:t>
            </w:r>
          </w:p>
        </w:tc>
        <w:tc>
          <w:tcPr>
            <w:tcW w:w="180" w:type="dxa"/>
            <w:vAlign w:val="bottom"/>
            <w:tcBorders>
              <w:right w:val="single" w:sz="8" w:color="457157"/>
            </w:tcBorders>
          </w:tcPr>
          <w:p>
            <w:pPr>
              <w:spacing w:after="0"/>
              <w:rPr>
                <w:sz w:val="14"/>
                <w:szCs w:val="14"/>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Ms.  Holt  began  her  career  at  Monsanto  Company,  where  she  held  various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line="181" w:lineRule="exact"/>
              <w:rPr>
                <w:sz w:val="20"/>
                <w:szCs w:val="20"/>
                <w:color w:val="auto"/>
              </w:rPr>
            </w:pPr>
            <w:r>
              <w:rPr>
                <w:rFonts w:ascii="Arial" w:cs="Arial" w:eastAsia="Arial" w:hAnsi="Arial"/>
                <w:sz w:val="18"/>
                <w:szCs w:val="18"/>
                <w:color w:val="auto"/>
              </w:rPr>
              <w:t>Nominating &amp;</w:t>
            </w:r>
          </w:p>
        </w:tc>
        <w:tc>
          <w:tcPr>
            <w:tcW w:w="180" w:type="dxa"/>
            <w:vAlign w:val="bottom"/>
            <w:tcBorders>
              <w:right w:val="single" w:sz="8" w:color="457157"/>
            </w:tcBorders>
          </w:tcPr>
          <w:p>
            <w:pPr>
              <w:spacing w:after="0"/>
              <w:rPr>
                <w:sz w:val="15"/>
                <w:szCs w:val="15"/>
                <w:color w:val="auto"/>
              </w:rPr>
            </w:pPr>
          </w:p>
        </w:tc>
        <w:tc>
          <w:tcPr>
            <w:tcW w:w="7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Governance</w:t>
            </w:r>
          </w:p>
        </w:tc>
        <w:tc>
          <w:tcPr>
            <w:tcW w:w="180" w:type="dxa"/>
            <w:vAlign w:val="bottom"/>
            <w:tcBorders>
              <w:right w:val="single" w:sz="8" w:color="457157"/>
            </w:tcBorders>
          </w:tcPr>
          <w:p>
            <w:pPr>
              <w:spacing w:after="0"/>
              <w:rPr>
                <w:sz w:val="16"/>
                <w:szCs w:val="16"/>
                <w:color w:val="auto"/>
              </w:rPr>
            </w:pPr>
          </w:p>
        </w:tc>
        <w:tc>
          <w:tcPr>
            <w:tcW w:w="7440" w:type="dxa"/>
            <w:vAlign w:val="bottom"/>
          </w:tcPr>
          <w:p>
            <w:pPr>
              <w:ind w:left="100"/>
              <w:spacing w:after="0" w:line="189" w:lineRule="exact"/>
              <w:rPr>
                <w:sz w:val="20"/>
                <w:szCs w:val="20"/>
                <w:color w:val="auto"/>
              </w:rPr>
            </w:pPr>
            <w:r>
              <w:rPr>
                <w:rFonts w:ascii="Arial" w:cs="Arial" w:eastAsia="Arial" w:hAnsi="Arial"/>
                <w:sz w:val="18"/>
                <w:szCs w:val="18"/>
                <w:color w:val="auto"/>
              </w:rPr>
              <w:t>assignments  of  increasing  responsibility  before  moving  to  Solutia,  Inc.,  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(Chair)</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divestiture of the Monsanto Company’s chemical business, as Vice President and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General Manager Performance Films. Ms. Holt later held various roles with PPG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Industries,  Inc.,  a  leading  coatings  and  specialty  products  company,  including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Senior Vice President of Glass and Fiber Glass. Ms. Holt then served as President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and Chief Executive Officer of Spartech Corporation, a leading provider of plastic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sheet, compounds and packaging products, until its sale to PolyOne in 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has a diverse international business background serving a wide spectrum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customers  looking  for  sustainable  solutions  across  diverse  end  markets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including  plastics,  materials,  automotive,  medical,  aerospace,  consumer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general industrial. Ms. Holt brings passion and extensive experience in the areas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sustainable  innovation,  environmental  solutions,  plastics  operations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management and recycling to the Board. Ms. Holt’s proven success leading large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global companies across a broad range of manufacturing, chemical and materials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industries  has  demonstrated  her  deep  understanding  of  risk  management,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operations, strategic planning and performance measurement. Ms. Holt provides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tremendous  insight  into  the  areas  of  continuous  improvement,  use  of  data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analytics,  e-commerce,  digitally  connected  operations  and  execution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technology-led, sustainability-linked strategy to grow our business and mitigate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climate risks.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has developed expertise in corporate governance as a member of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public company boards listed above, in addition to experience serving on private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company boards, and she shares this expertise with the Company’s Board in 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position as Chair of the Nominating and Governance Committee. She also serves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on the board of trustees of Dunwoody College.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holds  a  bachelor’s  degree  in  chemistry  from  Duke  University  and  a</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master’s degree in business administration from Pace University. Ms. Holt has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completed the National Association of Corporate Directors (NACD) Cyber Risk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Oversight Program and earned the CERT Certificate in Cybersecurity Oversight.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-6454775</wp:posOffset>
            </wp:positionV>
            <wp:extent cx="960120" cy="12001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85"/>
        </w:trPr>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restart"/>
          </w:tcPr>
          <w:p>
            <w:pPr>
              <w:jc w:val="right"/>
              <w:ind w:right="672"/>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7620" w:type="dxa"/>
            <w:vAlign w:val="bottom"/>
            <w:gridSpan w:val="3"/>
            <w:vMerge w:val="restart"/>
            <w:shd w:val="clear" w:color="auto" w:fill="457157"/>
          </w:tcPr>
          <w:p>
            <w:pPr>
              <w:spacing w:after="0"/>
              <w:rPr>
                <w:sz w:val="20"/>
                <w:szCs w:val="20"/>
                <w:color w:val="auto"/>
              </w:rPr>
            </w:pPr>
            <w:r>
              <w:rPr>
                <w:rFonts w:ascii="Arial" w:cs="Arial" w:eastAsia="Arial" w:hAnsi="Arial"/>
                <w:sz w:val="25"/>
                <w:szCs w:val="25"/>
                <w:b w:val="1"/>
                <w:bCs w:val="1"/>
                <w:color w:val="FEFEFE"/>
              </w:rPr>
              <w:t>M. M</w:t>
            </w:r>
            <w:r>
              <w:rPr>
                <w:rFonts w:ascii="Arial" w:cs="Arial" w:eastAsia="Arial" w:hAnsi="Arial"/>
                <w:sz w:val="17"/>
                <w:szCs w:val="17"/>
                <w:b w:val="1"/>
                <w:bCs w:val="1"/>
                <w:color w:val="FEFEFE"/>
              </w:rPr>
              <w:t>AZZARELLA</w:t>
            </w:r>
            <w:r>
              <w:rPr>
                <w:rFonts w:ascii="Arial" w:cs="Arial" w:eastAsia="Arial" w:hAnsi="Arial"/>
                <w:sz w:val="19"/>
                <w:szCs w:val="19"/>
                <w:b w:val="1"/>
                <w:bCs w:val="1"/>
                <w:color w:val="FEFEFE"/>
              </w:rPr>
              <w:t>​</w:t>
            </w:r>
          </w:p>
        </w:tc>
        <w:tc>
          <w:tcPr>
            <w:tcW w:w="240" w:type="dxa"/>
            <w:vAlign w:val="bottom"/>
            <w:shd w:val="clear" w:color="auto" w:fill="457157"/>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K</w:t>
            </w:r>
            <w:r>
              <w:rPr>
                <w:rFonts w:ascii="Arial" w:cs="Arial" w:eastAsia="Arial" w:hAnsi="Arial"/>
                <w:sz w:val="16"/>
                <w:szCs w:val="16"/>
                <w:b w:val="1"/>
                <w:bCs w:val="1"/>
                <w:color w:val="FEFEFE"/>
              </w:rPr>
              <w:t>ATHLEEN</w:t>
            </w:r>
          </w:p>
        </w:tc>
        <w:tc>
          <w:tcPr>
            <w:tcW w:w="7620" w:type="dxa"/>
            <w:vAlign w:val="bottom"/>
            <w:gridSpan w:val="3"/>
            <w:vMerge w:val="continue"/>
            <w:shd w:val="clear" w:color="auto" w:fill="457157"/>
          </w:tcPr>
          <w:p>
            <w:pPr>
              <w:spacing w:after="0"/>
              <w:rPr>
                <w:sz w:val="17"/>
                <w:szCs w:val="17"/>
                <w:color w:val="auto"/>
              </w:rPr>
            </w:pPr>
          </w:p>
        </w:tc>
        <w:tc>
          <w:tcPr>
            <w:tcW w:w="240" w:type="dxa"/>
            <w:vAlign w:val="bottom"/>
            <w:shd w:val="clear" w:color="auto" w:fill="457157"/>
          </w:tcPr>
          <w:p>
            <w:pPr>
              <w:spacing w:after="0"/>
              <w:rPr>
                <w:sz w:val="17"/>
                <w:szCs w:val="17"/>
                <w:color w:val="auto"/>
              </w:rPr>
            </w:pPr>
          </w:p>
        </w:tc>
        <w:tc>
          <w:tcPr>
            <w:tcW w:w="840" w:type="dxa"/>
            <w:vAlign w:val="bottom"/>
            <w:vMerge w:val="restart"/>
          </w:tcPr>
          <w:p>
            <w:pPr>
              <w:jc w:val="right"/>
              <w:ind w:right="6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8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20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2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Chairman, President and Chief Executive Officer — Graybar Electric Company, Inc.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(distributor  of  electrical,  communications  and  data  networking  products  and</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provider of related supply chain management and logistics services) since 2013.</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Director of Cigna Corporation since 2018.</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Director of Express Scripts Holding Company from 2017 until acquisition by Cigna</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64</w:t>
            </w: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Corporation in 2018.</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200" w:type="dxa"/>
            <w:vAlign w:val="bottom"/>
            <w:vMerge w:val="restart"/>
          </w:tcPr>
          <w:p>
            <w:pPr>
              <w:ind w:left="100"/>
              <w:spacing w:after="0"/>
              <w:rPr>
                <w:sz w:val="20"/>
                <w:szCs w:val="20"/>
                <w:color w:val="auto"/>
              </w:rPr>
            </w:pPr>
            <w:r>
              <w:rPr>
                <w:rFonts w:ascii="Arial" w:cs="Arial" w:eastAsia="Arial" w:hAnsi="Arial"/>
                <w:sz w:val="18"/>
                <w:szCs w:val="18"/>
                <w:color w:val="auto"/>
              </w:rPr>
              <w:t>Director of Core &amp; Main since January 2019.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9"/>
                <w:szCs w:val="9"/>
                <w:color w:val="auto"/>
              </w:rPr>
            </w:pPr>
          </w:p>
        </w:tc>
        <w:tc>
          <w:tcPr>
            <w:tcW w:w="7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Borders>
              <w:right w:val="single" w:sz="8" w:color="457157"/>
            </w:tcBorders>
          </w:tcPr>
          <w:p>
            <w:pPr>
              <w:spacing w:after="0"/>
              <w:rPr>
                <w:sz w:val="11"/>
                <w:szCs w:val="11"/>
                <w:color w:val="auto"/>
              </w:rPr>
            </w:pPr>
          </w:p>
        </w:tc>
        <w:tc>
          <w:tcPr>
            <w:tcW w:w="720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October 2015</w:t>
            </w: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1200" w:type="dxa"/>
            <w:vAlign w:val="bottom"/>
          </w:tcPr>
          <w:p>
            <w:pPr>
              <w:spacing w:after="0" w:line="181" w:lineRule="exact"/>
              <w:rPr>
                <w:sz w:val="20"/>
                <w:szCs w:val="20"/>
                <w:color w:val="auto"/>
              </w:rPr>
            </w:pPr>
            <w:r>
              <w:rPr>
                <w:rFonts w:ascii="Arial" w:cs="Arial" w:eastAsia="Arial" w:hAnsi="Arial"/>
                <w:sz w:val="18"/>
                <w:szCs w:val="18"/>
                <w:b w:val="1"/>
                <w:bCs w:val="1"/>
                <w:color w:val="457157"/>
              </w:rPr>
              <w:t>Chair of the</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7200" w:type="dxa"/>
            <w:vAlign w:val="bottom"/>
            <w:vMerge w:val="restart"/>
          </w:tcPr>
          <w:p>
            <w:pPr>
              <w:ind w:left="100"/>
              <w:spacing w:after="0"/>
              <w:rPr>
                <w:sz w:val="20"/>
                <w:szCs w:val="20"/>
                <w:color w:val="auto"/>
              </w:rPr>
            </w:pPr>
            <w:r>
              <w:rPr>
                <w:rFonts w:ascii="Arial" w:cs="Arial" w:eastAsia="Arial" w:hAnsi="Arial"/>
                <w:sz w:val="18"/>
                <w:szCs w:val="18"/>
                <w:color w:val="auto"/>
              </w:rPr>
              <w:t>Kathleen  Mazzarella  has  served  as  President  and  Chief  Executive  Officer</w:t>
            </w:r>
          </w:p>
        </w:tc>
        <w:tc>
          <w:tcPr>
            <w:tcW w:w="1080" w:type="dxa"/>
            <w:vAlign w:val="bottom"/>
            <w:gridSpan w:val="2"/>
            <w:vMerge w:val="restart"/>
          </w:tcPr>
          <w:p>
            <w:pPr>
              <w:jc w:val="right"/>
              <w:ind w:right="752"/>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1200" w:type="dxa"/>
            <w:vAlign w:val="bottom"/>
            <w:vMerge w:val="restart"/>
          </w:tcPr>
          <w:p>
            <w:pPr>
              <w:spacing w:after="0" w:line="176" w:lineRule="exact"/>
              <w:rPr>
                <w:sz w:val="20"/>
                <w:szCs w:val="20"/>
                <w:color w:val="auto"/>
              </w:rPr>
            </w:pPr>
            <w:r>
              <w:rPr>
                <w:rFonts w:ascii="Arial" w:cs="Arial" w:eastAsia="Arial" w:hAnsi="Arial"/>
                <w:sz w:val="18"/>
                <w:szCs w:val="18"/>
                <w:b w:val="1"/>
                <w:bCs w:val="1"/>
                <w:color w:val="457157"/>
              </w:rPr>
              <w:t>Board since:</w:t>
            </w:r>
          </w:p>
        </w:tc>
        <w:tc>
          <w:tcPr>
            <w:tcW w:w="240" w:type="dxa"/>
            <w:vAlign w:val="bottom"/>
          </w:tcPr>
          <w:p>
            <w:pPr>
              <w:spacing w:after="0"/>
              <w:rPr>
                <w:sz w:val="10"/>
                <w:szCs w:val="10"/>
                <w:color w:val="auto"/>
              </w:rPr>
            </w:pPr>
          </w:p>
        </w:tc>
        <w:tc>
          <w:tcPr>
            <w:tcW w:w="180" w:type="dxa"/>
            <w:vAlign w:val="bottom"/>
            <w:tcBorders>
              <w:right w:val="single" w:sz="8" w:color="457157"/>
            </w:tcBorders>
          </w:tcPr>
          <w:p>
            <w:pPr>
              <w:spacing w:after="0"/>
              <w:rPr>
                <w:sz w:val="10"/>
                <w:szCs w:val="10"/>
                <w:color w:val="auto"/>
              </w:rPr>
            </w:pPr>
          </w:p>
        </w:tc>
        <w:tc>
          <w:tcPr>
            <w:tcW w:w="72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Graybar Electric Company, Inc. since 2012, and as Chairman since 2013. During</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200" w:type="dxa"/>
            <w:vAlign w:val="bottom"/>
          </w:tcPr>
          <w:p>
            <w:pPr>
              <w:spacing w:after="0" w:line="175" w:lineRule="exact"/>
              <w:rPr>
                <w:sz w:val="20"/>
                <w:szCs w:val="20"/>
                <w:color w:val="auto"/>
              </w:rPr>
            </w:pPr>
            <w:r>
              <w:rPr>
                <w:rFonts w:ascii="Arial" w:cs="Arial" w:eastAsia="Arial" w:hAnsi="Arial"/>
                <w:sz w:val="18"/>
                <w:szCs w:val="18"/>
                <w:color w:val="auto"/>
              </w:rPr>
              <w:t>May 2023</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8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240" w:type="dxa"/>
            <w:vAlign w:val="bottom"/>
          </w:tcPr>
          <w:p>
            <w:pPr>
              <w:spacing w:after="0"/>
              <w:rPr>
                <w:sz w:val="17"/>
                <w:szCs w:val="17"/>
                <w:color w:val="auto"/>
              </w:rPr>
            </w:pPr>
          </w:p>
        </w:tc>
        <w:tc>
          <w:tcPr>
            <w:tcW w:w="180" w:type="dxa"/>
            <w:vAlign w:val="bottom"/>
            <w:tcBorders>
              <w:right w:val="single" w:sz="8" w:color="457157"/>
            </w:tcBorders>
          </w:tcPr>
          <w:p>
            <w:pPr>
              <w:spacing w:after="0"/>
              <w:rPr>
                <w:sz w:val="17"/>
                <w:szCs w:val="17"/>
                <w:color w:val="auto"/>
              </w:rPr>
            </w:pPr>
          </w:p>
        </w:tc>
        <w:tc>
          <w:tcPr>
            <w:tcW w:w="828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her more than 40-year tenure at Graybar, Ms. Mazzarella has held numerous</w:t>
            </w:r>
          </w:p>
        </w:tc>
        <w:tc>
          <w:tcPr>
            <w:tcW w:w="0" w:type="dxa"/>
            <w:vAlign w:val="bottom"/>
          </w:tcPr>
          <w:p>
            <w:pPr>
              <w:spacing w:after="0"/>
              <w:rPr>
                <w:sz w:val="1"/>
                <w:szCs w:val="1"/>
                <w:color w:val="auto"/>
              </w:rPr>
            </w:pPr>
          </w:p>
        </w:tc>
      </w:tr>
      <w:tr>
        <w:trPr>
          <w:trHeight w:val="100"/>
        </w:trPr>
        <w:tc>
          <w:tcPr>
            <w:tcW w:w="8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executive-level positions in operations, sales, human resources, strategic planning</w:t>
            </w: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1200" w:type="dxa"/>
            <w:vAlign w:val="bottom"/>
            <w:vMerge w:val="restart"/>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240" w:type="dxa"/>
            <w:vAlign w:val="bottom"/>
          </w:tcPr>
          <w:p>
            <w:pPr>
              <w:spacing w:after="0"/>
              <w:rPr>
                <w:sz w:val="10"/>
                <w:szCs w:val="10"/>
                <w:color w:val="auto"/>
              </w:rPr>
            </w:pPr>
          </w:p>
        </w:tc>
        <w:tc>
          <w:tcPr>
            <w:tcW w:w="180" w:type="dxa"/>
            <w:vAlign w:val="bottom"/>
            <w:tcBorders>
              <w:right w:val="single" w:sz="8" w:color="457157"/>
            </w:tcBorders>
          </w:tcPr>
          <w:p>
            <w:pPr>
              <w:spacing w:after="0"/>
              <w:rPr>
                <w:sz w:val="10"/>
                <w:szCs w:val="10"/>
                <w:color w:val="auto"/>
              </w:rPr>
            </w:pPr>
          </w:p>
        </w:tc>
        <w:tc>
          <w:tcPr>
            <w:tcW w:w="8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and marketing, including Executive Vice President and Chief Operating Officer,</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200" w:type="dxa"/>
            <w:vAlign w:val="bottom"/>
          </w:tcPr>
          <w:p>
            <w:pPr>
              <w:spacing w:after="0" w:line="175" w:lineRule="exact"/>
              <w:rPr>
                <w:sz w:val="20"/>
                <w:szCs w:val="20"/>
                <w:color w:val="auto"/>
              </w:rPr>
            </w:pPr>
            <w:r>
              <w:rPr>
                <w:rFonts w:ascii="Arial" w:cs="Arial" w:eastAsia="Arial" w:hAnsi="Arial"/>
                <w:sz w:val="18"/>
                <w:szCs w:val="18"/>
                <w:color w:val="auto"/>
              </w:rPr>
              <w:t>Audit,</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8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00" w:type="dxa"/>
            <w:vAlign w:val="bottom"/>
          </w:tcPr>
          <w:p>
            <w:pPr>
              <w:spacing w:after="0" w:line="190" w:lineRule="exact"/>
              <w:rPr>
                <w:sz w:val="20"/>
                <w:szCs w:val="20"/>
                <w:color w:val="auto"/>
              </w:rPr>
            </w:pPr>
            <w:r>
              <w:rPr>
                <w:rFonts w:ascii="Arial" w:cs="Arial" w:eastAsia="Arial" w:hAnsi="Arial"/>
                <w:sz w:val="18"/>
                <w:szCs w:val="18"/>
                <w:color w:val="auto"/>
              </w:rPr>
              <w:t>Management</w:t>
            </w:r>
          </w:p>
        </w:tc>
        <w:tc>
          <w:tcPr>
            <w:tcW w:w="240" w:type="dxa"/>
            <w:vAlign w:val="bottom"/>
          </w:tcPr>
          <w:p>
            <w:pPr>
              <w:spacing w:after="0"/>
              <w:rPr>
                <w:sz w:val="16"/>
                <w:szCs w:val="16"/>
                <w:color w:val="auto"/>
              </w:rPr>
            </w:pPr>
          </w:p>
        </w:tc>
        <w:tc>
          <w:tcPr>
            <w:tcW w:w="180" w:type="dxa"/>
            <w:vAlign w:val="bottom"/>
            <w:tcBorders>
              <w:right w:val="single" w:sz="8" w:color="457157"/>
            </w:tcBorders>
          </w:tcPr>
          <w:p>
            <w:pPr>
              <w:spacing w:after="0"/>
              <w:rPr>
                <w:sz w:val="16"/>
                <w:szCs w:val="16"/>
                <w:color w:val="auto"/>
              </w:rPr>
            </w:pPr>
          </w:p>
        </w:tc>
        <w:tc>
          <w:tcPr>
            <w:tcW w:w="828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Senior Vice President — Sales and Marketing and Senior Vice President — Human</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440" w:type="dxa"/>
            <w:vAlign w:val="bottom"/>
            <w:gridSpan w:val="2"/>
          </w:tcPr>
          <w:p>
            <w:pPr>
              <w:spacing w:after="0" w:line="189" w:lineRule="exact"/>
              <w:rPr>
                <w:sz w:val="20"/>
                <w:szCs w:val="20"/>
                <w:color w:val="auto"/>
              </w:rPr>
            </w:pPr>
            <w:r>
              <w:rPr>
                <w:rFonts w:ascii="Arial" w:cs="Arial" w:eastAsia="Arial" w:hAnsi="Arial"/>
                <w:sz w:val="18"/>
                <w:szCs w:val="18"/>
                <w:color w:val="auto"/>
              </w:rPr>
              <w:t>Development &amp;</w:t>
            </w:r>
          </w:p>
        </w:tc>
        <w:tc>
          <w:tcPr>
            <w:tcW w:w="180" w:type="dxa"/>
            <w:vAlign w:val="bottom"/>
            <w:tcBorders>
              <w:right w:val="single" w:sz="8" w:color="457157"/>
            </w:tcBorders>
          </w:tcPr>
          <w:p>
            <w:pPr>
              <w:spacing w:after="0"/>
              <w:rPr>
                <w:sz w:val="16"/>
                <w:szCs w:val="16"/>
                <w:color w:val="auto"/>
              </w:rPr>
            </w:pPr>
          </w:p>
        </w:tc>
        <w:tc>
          <w:tcPr>
            <w:tcW w:w="7200" w:type="dxa"/>
            <w:vAlign w:val="bottom"/>
          </w:tcPr>
          <w:p>
            <w:pPr>
              <w:ind w:left="100"/>
              <w:spacing w:after="0" w:line="189" w:lineRule="exact"/>
              <w:rPr>
                <w:sz w:val="20"/>
                <w:szCs w:val="20"/>
                <w:color w:val="auto"/>
              </w:rPr>
            </w:pPr>
            <w:r>
              <w:rPr>
                <w:rFonts w:ascii="Arial" w:cs="Arial" w:eastAsia="Arial" w:hAnsi="Arial"/>
                <w:sz w:val="18"/>
                <w:szCs w:val="18"/>
                <w:color w:val="auto"/>
              </w:rPr>
              <w:t>Resources and Strategic Planning.</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440" w:type="dxa"/>
            <w:vAlign w:val="bottom"/>
            <w:gridSpan w:val="2"/>
          </w:tcPr>
          <w:p>
            <w:pPr>
              <w:spacing w:after="0" w:line="170" w:lineRule="exact"/>
              <w:rPr>
                <w:sz w:val="20"/>
                <w:szCs w:val="20"/>
                <w:color w:val="auto"/>
              </w:rPr>
            </w:pPr>
            <w:r>
              <w:rPr>
                <w:rFonts w:ascii="Arial" w:cs="Arial" w:eastAsia="Arial" w:hAnsi="Arial"/>
                <w:sz w:val="18"/>
                <w:szCs w:val="18"/>
                <w:color w:val="auto"/>
              </w:rPr>
              <w:t>Compensation</w:t>
            </w:r>
          </w:p>
        </w:tc>
        <w:tc>
          <w:tcPr>
            <w:tcW w:w="180" w:type="dxa"/>
            <w:vAlign w:val="bottom"/>
            <w:tcBorders>
              <w:right w:val="single" w:sz="8" w:color="457157"/>
            </w:tcBorders>
          </w:tcPr>
          <w:p>
            <w:pPr>
              <w:spacing w:after="0"/>
              <w:rPr>
                <w:sz w:val="14"/>
                <w:szCs w:val="14"/>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Ms. Mazzarella has been instrumental in developing and communicating Graybar’s</w:t>
            </w: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1200" w:type="dxa"/>
            <w:vAlign w:val="bottom"/>
          </w:tcPr>
          <w:p>
            <w:pPr>
              <w:spacing w:after="0" w:line="181" w:lineRule="exact"/>
              <w:rPr>
                <w:sz w:val="20"/>
                <w:szCs w:val="20"/>
                <w:color w:val="auto"/>
              </w:rPr>
            </w:pPr>
            <w:r>
              <w:rPr>
                <w:rFonts w:ascii="Arial" w:cs="Arial" w:eastAsia="Arial" w:hAnsi="Arial"/>
                <w:sz w:val="18"/>
                <w:szCs w:val="18"/>
                <w:color w:val="auto"/>
              </w:rPr>
              <w:t>and</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8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200" w:type="dxa"/>
            <w:vAlign w:val="bottom"/>
          </w:tcPr>
          <w:p>
            <w:pPr>
              <w:spacing w:after="0" w:line="189" w:lineRule="exact"/>
              <w:rPr>
                <w:sz w:val="20"/>
                <w:szCs w:val="20"/>
                <w:color w:val="auto"/>
              </w:rPr>
            </w:pPr>
            <w:r>
              <w:rPr>
                <w:rFonts w:ascii="Arial" w:cs="Arial" w:eastAsia="Arial" w:hAnsi="Arial"/>
                <w:sz w:val="18"/>
                <w:szCs w:val="18"/>
                <w:color w:val="auto"/>
              </w:rPr>
              <w:t>Nominating &amp;</w:t>
            </w:r>
          </w:p>
        </w:tc>
        <w:tc>
          <w:tcPr>
            <w:tcW w:w="240" w:type="dxa"/>
            <w:vAlign w:val="bottom"/>
          </w:tcPr>
          <w:p>
            <w:pPr>
              <w:spacing w:after="0"/>
              <w:rPr>
                <w:sz w:val="16"/>
                <w:szCs w:val="16"/>
                <w:color w:val="auto"/>
              </w:rPr>
            </w:pPr>
          </w:p>
        </w:tc>
        <w:tc>
          <w:tcPr>
            <w:tcW w:w="180" w:type="dxa"/>
            <w:vAlign w:val="bottom"/>
            <w:tcBorders>
              <w:right w:val="single" w:sz="8" w:color="457157"/>
            </w:tcBorders>
          </w:tcPr>
          <w:p>
            <w:pPr>
              <w:spacing w:after="0"/>
              <w:rPr>
                <w:sz w:val="16"/>
                <w:szCs w:val="16"/>
                <w:color w:val="auto"/>
              </w:rPr>
            </w:pPr>
          </w:p>
        </w:tc>
        <w:tc>
          <w:tcPr>
            <w:tcW w:w="828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commitment to sustainability initiatives. Graybar focuses on sustainability in the</w:t>
            </w:r>
          </w:p>
        </w:tc>
        <w:tc>
          <w:tcPr>
            <w:tcW w:w="0" w:type="dxa"/>
            <w:vAlign w:val="bottom"/>
          </w:tcPr>
          <w:p>
            <w:pPr>
              <w:spacing w:after="0"/>
              <w:rPr>
                <w:sz w:val="1"/>
                <w:szCs w:val="1"/>
                <w:color w:val="auto"/>
              </w:rPr>
            </w:pPr>
          </w:p>
        </w:tc>
      </w:tr>
      <w:tr>
        <w:trPr>
          <w:trHeight w:val="251"/>
        </w:trPr>
        <w:tc>
          <w:tcPr>
            <w:tcW w:w="8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Governance</w:t>
            </w:r>
          </w:p>
        </w:tc>
        <w:tc>
          <w:tcPr>
            <w:tcW w:w="240" w:type="dxa"/>
            <w:vAlign w:val="bottom"/>
          </w:tcPr>
          <w:p>
            <w:pPr>
              <w:spacing w:after="0"/>
              <w:rPr>
                <w:sz w:val="21"/>
                <w:szCs w:val="21"/>
                <w:color w:val="auto"/>
              </w:rPr>
            </w:pPr>
          </w:p>
        </w:tc>
        <w:tc>
          <w:tcPr>
            <w:tcW w:w="180" w:type="dxa"/>
            <w:vAlign w:val="bottom"/>
            <w:tcBorders>
              <w:right w:val="single" w:sz="8" w:color="457157"/>
            </w:tcBorders>
          </w:tcPr>
          <w:p>
            <w:pPr>
              <w:spacing w:after="0"/>
              <w:rPr>
                <w:sz w:val="21"/>
                <w:szCs w:val="21"/>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way it operates and in the innovative solutions it provides to its customers.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company offers energy-saving products, renewable energy solutions and supply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chain services that support sustainable construction, renovation and maintenance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of infrastructure and facilities. The company also invests in the communities it</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serves and emphasizes integrity, inclusion and opportunity for all employees.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Ms. Mazzarella brings her deep and valuable experience leading a diverse range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of  business  functions  necessary  for  an  employee-driven,  customer-focused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business, similar to our Company. Through her role as Chief Executive Officer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her  service  on  the  board  of  directors  for  other  public  companies,  she  has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developed expertise in evolving social and governance initiatives. In addition 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her experience overseeing financial reporting and controls, technology systems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and  platforms,  and  other  functional  and  operational  areas,  she  has  particular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experience  in  the  area  of  human  capital  management,  including  succession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planning and diversity, equity and inclusion initiatives. Ms. Mazzarella also brings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expertise  in  labor  relations,  public  policy,  operational  innovation  and  strategic</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planning.</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Ms. Mazzarella holds an associate degree in telecommunications engineering, a</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bachelor’s degree in applied behavioral sciences from National Louis University,</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and a master’s degree in business administration from Webster University.</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In addition to the public company boards listed above, Ms. Mazzarella also serves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on the board of the National Association of Wholesaler-Distributors (NAW)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previously served on the board of the NAW Institute for Distribution Excellence.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Ms. Mazzarella previously served as Chairman of the Federal Reserve Bank of St.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Louis, and she has experience serving on various organizational and charitable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boards, such as Greater St. Louis Inc., United Way of Greater St. Louis and the</w:t>
            </w: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Saint Louis Club.</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4"/>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tcPr>
          <w:p>
            <w:pPr>
              <w:ind w:left="4800"/>
              <w:spacing w:after="0"/>
              <w:rPr>
                <w:sz w:val="20"/>
                <w:szCs w:val="20"/>
                <w:color w:val="auto"/>
              </w:rPr>
            </w:pPr>
            <w:r>
              <w:rPr>
                <w:rFonts w:ascii="Arial" w:cs="Arial" w:eastAsia="Arial" w:hAnsi="Arial"/>
                <w:sz w:val="18"/>
                <w:szCs w:val="18"/>
                <w:color w:val="auto"/>
              </w:rPr>
              <w:t xml:space="preserve">2024 Proxy Statement  </w:t>
            </w:r>
            <w:r>
              <w:rPr>
                <w:rFonts w:ascii="Arial" w:cs="Arial" w:eastAsia="Arial" w:hAnsi="Arial"/>
                <w:sz w:val="32"/>
                <w:szCs w:val="32"/>
                <w:b w:val="1"/>
                <w:bCs w:val="1"/>
                <w:color w:val="457157"/>
              </w:rPr>
              <w:t>|</w:t>
            </w:r>
          </w:p>
        </w:tc>
        <w:tc>
          <w:tcPr>
            <w:tcW w:w="1080" w:type="dxa"/>
            <w:vAlign w:val="bottom"/>
            <w:gridSpan w:val="2"/>
          </w:tcPr>
          <w:p>
            <w:pPr>
              <w:jc w:val="right"/>
              <w:ind w:right="6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56"/>
        </w:trPr>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-8014970</wp:posOffset>
            </wp:positionV>
            <wp:extent cx="960120" cy="12001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60120" cy="120015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-642620</wp:posOffset>
            </wp:positionV>
            <wp:extent cx="4718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3180" w:type="dxa"/>
            <w:vAlign w:val="bottom"/>
            <w:shd w:val="clear" w:color="auto" w:fill="457157"/>
          </w:tcPr>
          <w:p>
            <w:pPr>
              <w:spacing w:after="0"/>
              <w:rPr>
                <w:sz w:val="17"/>
                <w:szCs w:val="17"/>
                <w:color w:val="auto"/>
              </w:rPr>
            </w:pPr>
          </w:p>
        </w:tc>
        <w:tc>
          <w:tcPr>
            <w:tcW w:w="3100" w:type="dxa"/>
            <w:vAlign w:val="bottom"/>
            <w:shd w:val="clear" w:color="auto" w:fill="457157"/>
          </w:tcPr>
          <w:p>
            <w:pPr>
              <w:spacing w:after="0"/>
              <w:rPr>
                <w:sz w:val="17"/>
                <w:szCs w:val="17"/>
                <w:color w:val="auto"/>
              </w:rPr>
            </w:pPr>
          </w:p>
        </w:tc>
        <w:tc>
          <w:tcPr>
            <w:tcW w:w="132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S</w:t>
            </w:r>
            <w:r>
              <w:rPr>
                <w:rFonts w:ascii="Arial" w:cs="Arial" w:eastAsia="Arial" w:hAnsi="Arial"/>
                <w:sz w:val="16"/>
                <w:szCs w:val="16"/>
                <w:b w:val="1"/>
                <w:bCs w:val="1"/>
                <w:color w:val="FEFEFE"/>
              </w:rPr>
              <w:t>EAN</w:t>
            </w:r>
            <w:r>
              <w:rPr>
                <w:rFonts w:ascii="Arial" w:cs="Arial" w:eastAsia="Arial" w:hAnsi="Arial"/>
                <w:sz w:val="23"/>
                <w:szCs w:val="23"/>
                <w:b w:val="1"/>
                <w:bCs w:val="1"/>
                <w:color w:val="FEFEFE"/>
              </w:rPr>
              <w:t xml:space="preserve"> E. M</w:t>
            </w:r>
            <w:r>
              <w:rPr>
                <w:rFonts w:ascii="Arial" w:cs="Arial" w:eastAsia="Arial" w:hAnsi="Arial"/>
                <w:sz w:val="16"/>
                <w:szCs w:val="16"/>
                <w:b w:val="1"/>
                <w:bCs w:val="1"/>
                <w:color w:val="FEFEFE"/>
              </w:rPr>
              <w:t>ENKE</w:t>
            </w:r>
            <w:r>
              <w:rPr>
                <w:rFonts w:ascii="Arial" w:cs="Arial" w:eastAsia="Arial" w:hAnsi="Arial"/>
                <w:sz w:val="18"/>
                <w:szCs w:val="18"/>
                <w:b w:val="1"/>
                <w:bCs w:val="1"/>
                <w:color w:val="FEFEFE"/>
              </w:rPr>
              <w:t>​</w:t>
            </w:r>
          </w:p>
        </w:tc>
        <w:tc>
          <w:tcPr>
            <w:tcW w:w="3100" w:type="dxa"/>
            <w:vAlign w:val="bottom"/>
            <w:shd w:val="clear" w:color="auto" w:fill="457157"/>
          </w:tcPr>
          <w:p>
            <w:pPr>
              <w:spacing w:after="0"/>
              <w:rPr>
                <w:sz w:val="17"/>
                <w:szCs w:val="17"/>
                <w:color w:val="auto"/>
              </w:rPr>
            </w:pPr>
          </w:p>
        </w:tc>
        <w:tc>
          <w:tcPr>
            <w:tcW w:w="132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10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3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Executive Chairman of the Board — Sabre Corporation (software and technology</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solutions provider to the travel industry) since April 2022.</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Director of Sabre Corporation since 2016.</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Also  served  as  Chief  Executive  Officer  of  Sabre  Corporation</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from  2016  to</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April 2023 and as President of Sabre Corporation from 2016 to December 2021.</w:t>
            </w:r>
          </w:p>
        </w:tc>
        <w:tc>
          <w:tcPr>
            <w:tcW w:w="0" w:type="dxa"/>
            <w:vAlign w:val="bottom"/>
          </w:tcPr>
          <w:p>
            <w:pPr>
              <w:spacing w:after="0"/>
              <w:rPr>
                <w:sz w:val="1"/>
                <w:szCs w:val="1"/>
                <w:color w:val="auto"/>
              </w:rPr>
            </w:pPr>
          </w:p>
        </w:tc>
      </w:tr>
      <w:tr>
        <w:trPr>
          <w:trHeight w:val="428"/>
        </w:trPr>
        <w:tc>
          <w:tcPr>
            <w:tcW w:w="146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55</w:t>
            </w:r>
          </w:p>
        </w:tc>
        <w:tc>
          <w:tcPr>
            <w:tcW w:w="3180" w:type="dxa"/>
            <w:vAlign w:val="bottom"/>
          </w:tcPr>
          <w:p>
            <w:pPr>
              <w:ind w:left="26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3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As  Chair  of  the  Board  of  Directors  of  Sabre  Corporation  and  recent  Chief</w:t>
            </w:r>
          </w:p>
        </w:tc>
        <w:tc>
          <w:tcPr>
            <w:tcW w:w="0" w:type="dxa"/>
            <w:vAlign w:val="bottom"/>
          </w:tcPr>
          <w:p>
            <w:pPr>
              <w:spacing w:after="0"/>
              <w:rPr>
                <w:sz w:val="1"/>
                <w:szCs w:val="1"/>
                <w:color w:val="auto"/>
              </w:rPr>
            </w:pPr>
          </w:p>
        </w:tc>
      </w:tr>
      <w:tr>
        <w:trPr>
          <w:trHeight w:val="251"/>
        </w:trPr>
        <w:tc>
          <w:tcPr>
            <w:tcW w:w="1460" w:type="dxa"/>
            <w:vAlign w:val="bottom"/>
          </w:tcPr>
          <w:p>
            <w:pPr>
              <w:spacing w:after="0"/>
              <w:rPr>
                <w:sz w:val="20"/>
                <w:szCs w:val="20"/>
                <w:color w:val="auto"/>
              </w:rPr>
            </w:pPr>
            <w:r>
              <w:rPr>
                <w:rFonts w:ascii="Arial" w:cs="Arial" w:eastAsia="Arial" w:hAnsi="Arial"/>
                <w:sz w:val="18"/>
                <w:szCs w:val="18"/>
                <w:color w:val="auto"/>
              </w:rPr>
              <w:t>March 2021</w:t>
            </w: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Executive  Officer,  Sean  Menke  has  experience  heading  a  global  network  of</w:t>
            </w:r>
          </w:p>
        </w:tc>
        <w:tc>
          <w:tcPr>
            <w:tcW w:w="0" w:type="dxa"/>
            <w:vAlign w:val="bottom"/>
          </w:tcPr>
          <w:p>
            <w:pPr>
              <w:spacing w:after="0"/>
              <w:rPr>
                <w:sz w:val="1"/>
                <w:szCs w:val="1"/>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development, sales, operations and corporate functions. In 2015, Mr. Menke joined</w:t>
            </w:r>
          </w:p>
        </w:tc>
        <w:tc>
          <w:tcPr>
            <w:tcW w:w="0" w:type="dxa"/>
            <w:vAlign w:val="bottom"/>
          </w:tcPr>
          <w:p>
            <w:pPr>
              <w:spacing w:after="0"/>
              <w:rPr>
                <w:sz w:val="1"/>
                <w:szCs w:val="1"/>
                <w:color w:val="auto"/>
              </w:rPr>
            </w:pP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7660" w:type="dxa"/>
            <w:vAlign w:val="bottom"/>
            <w:gridSpan w:val="4"/>
          </w:tcPr>
          <w:p>
            <w:pPr>
              <w:ind w:left="260"/>
              <w:spacing w:after="0" w:line="189" w:lineRule="exact"/>
              <w:rPr>
                <w:sz w:val="20"/>
                <w:szCs w:val="20"/>
                <w:color w:val="auto"/>
              </w:rPr>
            </w:pPr>
            <w:r>
              <w:rPr>
                <w:rFonts w:ascii="Arial" w:cs="Arial" w:eastAsia="Arial" w:hAnsi="Arial"/>
                <w:sz w:val="18"/>
                <w:szCs w:val="18"/>
                <w:color w:val="auto"/>
              </w:rPr>
              <w:t>Sabre as president of Sabre Travel Network, Sabre’s largest line of business.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Audit and</w:t>
            </w:r>
          </w:p>
        </w:tc>
        <w:tc>
          <w:tcPr>
            <w:tcW w:w="3180" w:type="dxa"/>
            <w:vAlign w:val="bottom"/>
          </w:tcPr>
          <w:p>
            <w:pPr>
              <w:ind w:left="260"/>
              <w:spacing w:after="0"/>
              <w:rPr>
                <w:sz w:val="20"/>
                <w:szCs w:val="20"/>
                <w:color w:val="auto"/>
              </w:rPr>
            </w:pPr>
            <w:r>
              <w:rPr>
                <w:rFonts w:ascii="Arial" w:cs="Arial" w:eastAsia="Arial" w:hAnsi="Arial"/>
                <w:sz w:val="18"/>
                <w:szCs w:val="18"/>
                <w:color w:val="auto"/>
              </w:rPr>
              <w:t>Under  Mr.  Menke’s  leadership,</w:t>
            </w:r>
          </w:p>
        </w:tc>
        <w:tc>
          <w:tcPr>
            <w:tcW w:w="3100" w:type="dxa"/>
            <w:vAlign w:val="bottom"/>
          </w:tcPr>
          <w:p>
            <w:pPr>
              <w:ind w:left="80"/>
              <w:spacing w:after="0"/>
              <w:rPr>
                <w:sz w:val="20"/>
                <w:szCs w:val="20"/>
                <w:color w:val="auto"/>
              </w:rPr>
            </w:pPr>
            <w:r>
              <w:rPr>
                <w:rFonts w:ascii="Arial" w:cs="Arial" w:eastAsia="Arial" w:hAnsi="Arial"/>
                <w:sz w:val="18"/>
                <w:szCs w:val="18"/>
                <w:color w:val="auto"/>
              </w:rPr>
              <w:t>Sabre  won  major  new  business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opportunities,</w:t>
            </w:r>
          </w:p>
        </w:tc>
        <w:tc>
          <w:tcPr>
            <w:tcW w:w="0" w:type="dxa"/>
            <w:vAlign w:val="bottom"/>
          </w:tcPr>
          <w:p>
            <w:pPr>
              <w:spacing w:after="0"/>
              <w:rPr>
                <w:sz w:val="1"/>
                <w:szCs w:val="1"/>
                <w:color w:val="auto"/>
              </w:rPr>
            </w:pPr>
          </w:p>
        </w:tc>
      </w:tr>
      <w:tr>
        <w:trPr>
          <w:trHeight w:val="135"/>
        </w:trPr>
        <w:tc>
          <w:tcPr>
            <w:tcW w:w="1460" w:type="dxa"/>
            <w:vAlign w:val="bottom"/>
          </w:tcPr>
          <w:p>
            <w:pPr>
              <w:spacing w:after="0" w:line="135" w:lineRule="exact"/>
              <w:rPr>
                <w:sz w:val="20"/>
                <w:szCs w:val="20"/>
                <w:color w:val="auto"/>
              </w:rPr>
            </w:pPr>
            <w:r>
              <w:rPr>
                <w:rFonts w:ascii="Arial" w:cs="Arial" w:eastAsia="Arial" w:hAnsi="Arial"/>
                <w:sz w:val="15"/>
                <w:szCs w:val="15"/>
                <w:color w:val="auto"/>
              </w:rPr>
              <w:t>Nominating &amp;</w:t>
            </w:r>
          </w:p>
        </w:tc>
        <w:tc>
          <w:tcPr>
            <w:tcW w:w="3180" w:type="dxa"/>
            <w:vAlign w:val="bottom"/>
            <w:vMerge w:val="restart"/>
          </w:tcPr>
          <w:p>
            <w:pPr>
              <w:ind w:left="260"/>
              <w:spacing w:after="0"/>
              <w:rPr>
                <w:sz w:val="20"/>
                <w:szCs w:val="20"/>
                <w:color w:val="auto"/>
              </w:rPr>
            </w:pPr>
            <w:r>
              <w:rPr>
                <w:rFonts w:ascii="Arial" w:cs="Arial" w:eastAsia="Arial" w:hAnsi="Arial"/>
                <w:sz w:val="18"/>
                <w:szCs w:val="18"/>
                <w:color w:val="auto"/>
              </w:rPr>
              <w:t>increased global market share,</w:t>
            </w:r>
          </w:p>
        </w:tc>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secured Sabre’s position as the</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leading global</w:t>
            </w:r>
          </w:p>
        </w:tc>
        <w:tc>
          <w:tcPr>
            <w:tcW w:w="0" w:type="dxa"/>
            <w:vAlign w:val="bottom"/>
          </w:tcPr>
          <w:p>
            <w:pPr>
              <w:spacing w:after="0"/>
              <w:rPr>
                <w:sz w:val="1"/>
                <w:szCs w:val="1"/>
                <w:color w:val="auto"/>
              </w:rPr>
            </w:pPr>
          </w:p>
        </w:tc>
      </w:tr>
      <w:tr>
        <w:trPr>
          <w:trHeight w:val="116"/>
        </w:trPr>
        <w:tc>
          <w:tcPr>
            <w:tcW w:w="1460" w:type="dxa"/>
            <w:vAlign w:val="bottom"/>
            <w:vMerge w:val="restart"/>
          </w:tcPr>
          <w:p>
            <w:pPr>
              <w:spacing w:after="0"/>
              <w:rPr>
                <w:sz w:val="20"/>
                <w:szCs w:val="20"/>
                <w:color w:val="auto"/>
              </w:rPr>
            </w:pPr>
            <w:r>
              <w:rPr>
                <w:rFonts w:ascii="Arial" w:cs="Arial" w:eastAsia="Arial" w:hAnsi="Arial"/>
                <w:sz w:val="18"/>
                <w:szCs w:val="18"/>
                <w:color w:val="auto"/>
              </w:rPr>
              <w:t>Governance</w:t>
            </w:r>
          </w:p>
        </w:tc>
        <w:tc>
          <w:tcPr>
            <w:tcW w:w="31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60" w:type="dxa"/>
            <w:vAlign w:val="bottom"/>
            <w:vMerge w:val="continue"/>
          </w:tcPr>
          <w:p>
            <w:pPr>
              <w:spacing w:after="0"/>
              <w:rPr>
                <w:sz w:val="10"/>
                <w:szCs w:val="10"/>
                <w:color w:val="auto"/>
              </w:rPr>
            </w:pPr>
          </w:p>
        </w:tc>
        <w:tc>
          <w:tcPr>
            <w:tcW w:w="7660" w:type="dxa"/>
            <w:vAlign w:val="bottom"/>
            <w:gridSpan w:val="4"/>
            <w:vMerge w:val="restart"/>
          </w:tcPr>
          <w:p>
            <w:pPr>
              <w:ind w:left="260"/>
              <w:spacing w:after="0"/>
              <w:rPr>
                <w:sz w:val="20"/>
                <w:szCs w:val="20"/>
                <w:color w:val="auto"/>
              </w:rPr>
            </w:pPr>
            <w:r>
              <w:rPr>
                <w:rFonts w:ascii="Arial" w:cs="Arial" w:eastAsia="Arial" w:hAnsi="Arial"/>
                <w:sz w:val="18"/>
                <w:szCs w:val="18"/>
                <w:color w:val="auto"/>
              </w:rPr>
              <w:t>distribution  system  in  North  America,  Latin  America  and  Asia-Pacific,  and  led</w:t>
            </w: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7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innovation to enable sales of more customized fares and ancillary products that</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help drive the changing travel industry landscape.</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-2736850</wp:posOffset>
            </wp:positionV>
            <wp:extent cx="1028700" cy="59067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0" cy="5906770"/>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290" w:lineRule="exact"/>
        <w:rPr>
          <w:sz w:val="20"/>
          <w:szCs w:val="20"/>
          <w:color w:val="auto"/>
        </w:rPr>
      </w:pPr>
    </w:p>
    <w:p>
      <w:pPr>
        <w:jc w:val="both"/>
        <w:ind w:left="2540" w:right="80"/>
        <w:spacing w:after="0" w:line="258" w:lineRule="auto"/>
        <w:rPr>
          <w:sz w:val="20"/>
          <w:szCs w:val="20"/>
          <w:color w:val="auto"/>
        </w:rPr>
      </w:pPr>
      <w:r>
        <w:rPr>
          <w:rFonts w:ascii="Arial" w:cs="Arial" w:eastAsia="Arial" w:hAnsi="Arial"/>
          <w:sz w:val="18"/>
          <w:szCs w:val="18"/>
          <w:color w:val="auto"/>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291"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Mr. Menke has extensive executive experience in technology-driven companies. He is aware of the importance and challenges of cybersecurity and privacy issues, and he has experience overseeing risk mitigation and implementing systems to protect major corporations. Mr. Menke shares with the Board his experience in the areas of cyber intrusion response planning and remediation.</w:t>
      </w:r>
    </w:p>
    <w:p>
      <w:pPr>
        <w:spacing w:after="0" w:line="71"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Menke holds a bachelor’s degree in economics and aviation management from Ohio State University and a master’s degree in business administration from the University of Denver.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820" w:type="dxa"/>
            <w:vAlign w:val="bottom"/>
          </w:tcPr>
          <w:p>
            <w:pPr>
              <w:spacing w:after="0"/>
              <w:rPr>
                <w:sz w:val="7"/>
                <w:szCs w:val="7"/>
                <w:color w:val="auto"/>
              </w:rPr>
            </w:pPr>
          </w:p>
        </w:tc>
        <w:tc>
          <w:tcPr>
            <w:tcW w:w="82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82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w:t>
            </w:r>
            <w:r>
              <w:rPr>
                <w:rFonts w:ascii="Arial" w:cs="Arial" w:eastAsia="Arial" w:hAnsi="Arial"/>
                <w:sz w:val="16"/>
                <w:szCs w:val="16"/>
                <w:b w:val="1"/>
                <w:bCs w:val="1"/>
                <w:color w:val="FEFEFE"/>
              </w:rPr>
              <w:t>ILLIAM</w:t>
            </w:r>
            <w:r>
              <w:rPr>
                <w:rFonts w:ascii="Arial" w:cs="Arial" w:eastAsia="Arial" w:hAnsi="Arial"/>
                <w:sz w:val="23"/>
                <w:szCs w:val="23"/>
                <w:b w:val="1"/>
                <w:bCs w:val="1"/>
                <w:color w:val="FEFEFE"/>
              </w:rPr>
              <w:t xml:space="preserve"> B. P</w:t>
            </w:r>
            <w:r>
              <w:rPr>
                <w:rFonts w:ascii="Arial" w:cs="Arial" w:eastAsia="Arial" w:hAnsi="Arial"/>
                <w:sz w:val="16"/>
                <w:szCs w:val="16"/>
                <w:b w:val="1"/>
                <w:bCs w:val="1"/>
                <w:color w:val="FEFEFE"/>
              </w:rPr>
              <w:t>LUMMER</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8240" w:type="dxa"/>
            <w:vAlign w:val="bottom"/>
          </w:tcPr>
          <w:p>
            <w:pPr>
              <w:ind w:left="74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638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0" cy="6386830"/>
                    </a:xfrm>
                    <a:prstGeom prst="rect">
                      <a:avLst/>
                    </a:prstGeom>
                    <a:noFill/>
                  </pic:spPr>
                </pic:pic>
              </a:graphicData>
            </a:graphic>
          </wp:anchor>
        </w:drawing>
      </w:r>
    </w:p>
    <w:p>
      <w:pPr>
        <w:spacing w:after="0" w:line="18" w:lineRule="exact"/>
        <w:rPr>
          <w:sz w:val="20"/>
          <w:szCs w:val="20"/>
          <w:color w:val="auto"/>
        </w:rPr>
      </w:pPr>
    </w:p>
    <w:p>
      <w:pPr>
        <w:ind w:left="2540" w:right="80"/>
        <w:spacing w:after="0" w:line="287" w:lineRule="auto"/>
        <w:rPr>
          <w:sz w:val="20"/>
          <w:szCs w:val="20"/>
          <w:color w:val="auto"/>
        </w:rPr>
      </w:pPr>
      <w:r>
        <w:rPr>
          <w:rFonts w:ascii="Arial" w:cs="Arial" w:eastAsia="Arial" w:hAnsi="Arial"/>
          <w:sz w:val="18"/>
          <w:szCs w:val="18"/>
          <w:color w:val="auto"/>
        </w:rPr>
        <w:t>Retired Executive Vice President and Chief Financial Officer  —  United Rentals, Inc. (world’s largest equipment rental company), served from 2008 to 2018.</w:t>
      </w:r>
    </w:p>
    <w:p>
      <w:pPr>
        <w:spacing w:after="0" w:line="4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Global Payments Inc. since 2017.</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Mason Industrial Technology, Inc. from February 2021 to</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February 2023.</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239"/>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65</w:t>
            </w:r>
          </w:p>
        </w:tc>
        <w:tc>
          <w:tcPr>
            <w:tcW w:w="5740" w:type="dxa"/>
            <w:vAlign w:val="bottom"/>
            <w:gridSpan w:val="5"/>
          </w:tcPr>
          <w:p>
            <w:pPr>
              <w:ind w:left="180"/>
              <w:spacing w:after="0"/>
              <w:rPr>
                <w:sz w:val="20"/>
                <w:szCs w:val="20"/>
                <w:color w:val="auto"/>
              </w:rPr>
            </w:pPr>
            <w:r>
              <w:rPr>
                <w:rFonts w:ascii="Arial" w:cs="Arial" w:eastAsia="Arial" w:hAnsi="Arial"/>
                <w:sz w:val="18"/>
                <w:szCs w:val="18"/>
                <w:color w:val="auto"/>
              </w:rPr>
              <w:t>Director of Nesco Holdings, Inc. from July 2019 to March 2021.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Director of John Wiley &amp; Sons, Inc. from 2003 to September 2019.</w:t>
            </w:r>
          </w:p>
        </w:tc>
        <w:tc>
          <w:tcPr>
            <w:tcW w:w="0" w:type="dxa"/>
            <w:vAlign w:val="bottom"/>
          </w:tcPr>
          <w:p>
            <w:pPr>
              <w:spacing w:after="0"/>
              <w:rPr>
                <w:sz w:val="1"/>
                <w:szCs w:val="1"/>
                <w:color w:val="auto"/>
              </w:rPr>
            </w:pPr>
          </w:p>
        </w:tc>
      </w:tr>
      <w:tr>
        <w:trPr>
          <w:trHeight w:val="222"/>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5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540" w:type="dxa"/>
            <w:vAlign w:val="bottom"/>
          </w:tcPr>
          <w:p>
            <w:pPr>
              <w:spacing w:after="0"/>
              <w:rPr>
                <w:sz w:val="20"/>
                <w:szCs w:val="20"/>
                <w:color w:val="auto"/>
              </w:rPr>
            </w:pPr>
            <w:r>
              <w:rPr>
                <w:rFonts w:ascii="Arial" w:cs="Arial" w:eastAsia="Arial" w:hAnsi="Arial"/>
                <w:sz w:val="18"/>
                <w:szCs w:val="18"/>
                <w:color w:val="auto"/>
              </w:rPr>
              <w:t>August 2019</w:t>
            </w:r>
          </w:p>
        </w:tc>
        <w:tc>
          <w:tcPr>
            <w:tcW w:w="4960" w:type="dxa"/>
            <w:vAlign w:val="bottom"/>
            <w:gridSpan w:val="3"/>
            <w:vMerge w:val="restart"/>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4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William Plummer served as Executive Vice President and Chief Financial Officer</w:t>
            </w:r>
          </w:p>
        </w:tc>
        <w:tc>
          <w:tcPr>
            <w:tcW w:w="0" w:type="dxa"/>
            <w:vAlign w:val="bottom"/>
          </w:tcPr>
          <w:p>
            <w:pPr>
              <w:spacing w:after="0"/>
              <w:rPr>
                <w:sz w:val="1"/>
                <w:szCs w:val="1"/>
                <w:color w:val="auto"/>
              </w:rPr>
            </w:pPr>
          </w:p>
        </w:tc>
      </w:t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75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Audit (Chair)</w:t>
            </w:r>
          </w:p>
        </w:tc>
        <w:tc>
          <w:tcPr>
            <w:tcW w:w="1140" w:type="dxa"/>
            <w:vAlign w:val="bottom"/>
          </w:tcPr>
          <w:p>
            <w:pPr>
              <w:ind w:left="180"/>
              <w:spacing w:after="0"/>
              <w:rPr>
                <w:sz w:val="20"/>
                <w:szCs w:val="20"/>
                <w:color w:val="auto"/>
              </w:rPr>
            </w:pPr>
            <w:r>
              <w:rPr>
                <w:rFonts w:ascii="Arial" w:cs="Arial" w:eastAsia="Arial" w:hAnsi="Arial"/>
                <w:sz w:val="18"/>
                <w:szCs w:val="18"/>
                <w:color w:val="auto"/>
              </w:rPr>
              <w:t>for United</w:t>
            </w:r>
          </w:p>
        </w:tc>
        <w:tc>
          <w:tcPr>
            <w:tcW w:w="800" w:type="dxa"/>
            <w:vAlign w:val="bottom"/>
          </w:tcPr>
          <w:p>
            <w:pPr>
              <w:jc w:val="center"/>
              <w:spacing w:after="0"/>
              <w:rPr>
                <w:sz w:val="20"/>
                <w:szCs w:val="20"/>
                <w:color w:val="auto"/>
              </w:rPr>
            </w:pPr>
            <w:r>
              <w:rPr>
                <w:rFonts w:ascii="Arial" w:cs="Arial" w:eastAsia="Arial" w:hAnsi="Arial"/>
                <w:sz w:val="18"/>
                <w:szCs w:val="18"/>
                <w:color w:val="auto"/>
              </w:rPr>
              <w:t>Rentals,</w:t>
            </w:r>
          </w:p>
        </w:tc>
        <w:tc>
          <w:tcPr>
            <w:tcW w:w="3020" w:type="dxa"/>
            <w:vAlign w:val="bottom"/>
          </w:tcPr>
          <w:p>
            <w:pPr>
              <w:ind w:left="80"/>
              <w:spacing w:after="0"/>
              <w:rPr>
                <w:sz w:val="20"/>
                <w:szCs w:val="20"/>
                <w:color w:val="auto"/>
              </w:rPr>
            </w:pPr>
            <w:r>
              <w:rPr>
                <w:rFonts w:ascii="Arial" w:cs="Arial" w:eastAsia="Arial" w:hAnsi="Arial"/>
                <w:sz w:val="18"/>
                <w:szCs w:val="18"/>
                <w:color w:val="auto"/>
              </w:rPr>
              <w:t>Inc., where he was responsible</w:t>
            </w:r>
          </w:p>
        </w:tc>
        <w:tc>
          <w:tcPr>
            <w:tcW w:w="380" w:type="dxa"/>
            <w:vAlign w:val="bottom"/>
          </w:tcPr>
          <w:p>
            <w:pPr>
              <w:ind w:left="60"/>
              <w:spacing w:after="0"/>
              <w:rPr>
                <w:sz w:val="20"/>
                <w:szCs w:val="20"/>
                <w:color w:val="auto"/>
              </w:rPr>
            </w:pPr>
            <w:r>
              <w:rPr>
                <w:rFonts w:ascii="Arial" w:cs="Arial" w:eastAsia="Arial" w:hAnsi="Arial"/>
                <w:sz w:val="18"/>
                <w:szCs w:val="18"/>
                <w:color w:val="auto"/>
              </w:rPr>
              <w:t>for</w:t>
            </w:r>
          </w:p>
        </w:tc>
        <w:tc>
          <w:tcPr>
            <w:tcW w:w="400" w:type="dxa"/>
            <w:vAlign w:val="bottom"/>
          </w:tcPr>
          <w:p>
            <w:pPr>
              <w:ind w:left="20"/>
              <w:spacing w:after="0"/>
              <w:rPr>
                <w:sz w:val="20"/>
                <w:szCs w:val="20"/>
                <w:color w:val="auto"/>
              </w:rPr>
            </w:pPr>
            <w:r>
              <w:rPr>
                <w:rFonts w:ascii="Arial" w:cs="Arial" w:eastAsia="Arial" w:hAnsi="Arial"/>
                <w:sz w:val="18"/>
                <w:szCs w:val="18"/>
                <w:color w:val="auto"/>
              </w:rPr>
              <w:t>the</w:t>
            </w:r>
          </w:p>
        </w:tc>
        <w:tc>
          <w:tcPr>
            <w:tcW w:w="1760" w:type="dxa"/>
            <w:vAlign w:val="bottom"/>
          </w:tcPr>
          <w:p>
            <w:pPr>
              <w:jc w:val="right"/>
              <w:spacing w:after="0"/>
              <w:rPr>
                <w:sz w:val="20"/>
                <w:szCs w:val="20"/>
                <w:color w:val="auto"/>
              </w:rPr>
            </w:pPr>
            <w:r>
              <w:rPr>
                <w:rFonts w:ascii="Arial" w:cs="Arial" w:eastAsia="Arial" w:hAnsi="Arial"/>
                <w:sz w:val="18"/>
                <w:szCs w:val="18"/>
                <w:color w:val="auto"/>
              </w:rPr>
              <w:t>development of the</w:t>
            </w:r>
          </w:p>
        </w:tc>
        <w:tc>
          <w:tcPr>
            <w:tcW w:w="0" w:type="dxa"/>
            <w:vAlign w:val="bottom"/>
          </w:tcPr>
          <w:p>
            <w:pPr>
              <w:spacing w:after="0"/>
              <w:rPr>
                <w:sz w:val="1"/>
                <w:szCs w:val="1"/>
                <w:color w:val="auto"/>
              </w:rPr>
            </w:pPr>
          </w:p>
        </w:tc>
      </w:tr>
      <w:tr>
        <w:trPr>
          <w:trHeight w:val="135"/>
        </w:trPr>
        <w:tc>
          <w:tcPr>
            <w:tcW w:w="1540" w:type="dxa"/>
            <w:vAlign w:val="bottom"/>
          </w:tcPr>
          <w:p>
            <w:pPr>
              <w:spacing w:after="0" w:line="135" w:lineRule="exact"/>
              <w:rPr>
                <w:sz w:val="20"/>
                <w:szCs w:val="20"/>
                <w:color w:val="auto"/>
              </w:rPr>
            </w:pPr>
            <w:r>
              <w:rPr>
                <w:rFonts w:ascii="Arial" w:cs="Arial" w:eastAsia="Arial" w:hAnsi="Arial"/>
                <w:sz w:val="15"/>
                <w:szCs w:val="15"/>
                <w:color w:val="auto"/>
              </w:rPr>
              <w:t>and</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company’s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finance</w:t>
            </w:r>
          </w:p>
        </w:tc>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activities and investor relations,</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w w:val="99"/>
              </w:rPr>
              <w:t>and</w:t>
            </w: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he</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co-led its mergers,</w:t>
            </w:r>
          </w:p>
        </w:tc>
        <w:tc>
          <w:tcPr>
            <w:tcW w:w="0" w:type="dxa"/>
            <w:vAlign w:val="bottom"/>
          </w:tcPr>
          <w:p>
            <w:pPr>
              <w:spacing w:after="0"/>
              <w:rPr>
                <w:sz w:val="1"/>
                <w:szCs w:val="1"/>
                <w:color w:val="auto"/>
              </w:rPr>
            </w:pPr>
          </w:p>
        </w:tc>
      </w:tr>
      <w:tr>
        <w:trPr>
          <w:trHeight w:val="116"/>
        </w:trPr>
        <w:tc>
          <w:tcPr>
            <w:tcW w:w="1540" w:type="dxa"/>
            <w:vAlign w:val="bottom"/>
            <w:vMerge w:val="restart"/>
          </w:tcPr>
          <w:p>
            <w:pPr>
              <w:spacing w:after="0" w:line="176" w:lineRule="exact"/>
              <w:rPr>
                <w:sz w:val="20"/>
                <w:szCs w:val="20"/>
                <w:color w:val="auto"/>
              </w:rPr>
            </w:pPr>
            <w:r>
              <w:rPr>
                <w:rFonts w:ascii="Arial" w:cs="Arial" w:eastAsia="Arial" w:hAnsi="Arial"/>
                <w:sz w:val="18"/>
                <w:szCs w:val="18"/>
                <w:color w:val="auto"/>
              </w:rPr>
              <w:t>Management</w:t>
            </w:r>
          </w:p>
        </w:tc>
        <w:tc>
          <w:tcPr>
            <w:tcW w:w="11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540" w:type="dxa"/>
            <w:vAlign w:val="bottom"/>
            <w:vMerge w:val="continue"/>
          </w:tcPr>
          <w:p>
            <w:pPr>
              <w:spacing w:after="0"/>
              <w:rPr>
                <w:sz w:val="5"/>
                <w:szCs w:val="5"/>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acquisitions and divestitures strategies. He also led the company’s safety function</w:t>
            </w:r>
          </w:p>
        </w:tc>
        <w:tc>
          <w:tcPr>
            <w:tcW w:w="0" w:type="dxa"/>
            <w:vAlign w:val="bottom"/>
          </w:tcPr>
          <w:p>
            <w:pPr>
              <w:spacing w:after="0"/>
              <w:rPr>
                <w:sz w:val="1"/>
                <w:szCs w:val="1"/>
                <w:color w:val="auto"/>
              </w:rPr>
            </w:pPr>
          </w:p>
        </w:tc>
      </w:tr>
      <w:tr>
        <w:trPr>
          <w:trHeight w:val="175"/>
        </w:trPr>
        <w:tc>
          <w:tcPr>
            <w:tcW w:w="1540" w:type="dxa"/>
            <w:vAlign w:val="bottom"/>
          </w:tcPr>
          <w:p>
            <w:pPr>
              <w:spacing w:after="0" w:line="176" w:lineRule="exact"/>
              <w:rPr>
                <w:sz w:val="20"/>
                <w:szCs w:val="20"/>
                <w:color w:val="auto"/>
              </w:rPr>
            </w:pPr>
            <w:r>
              <w:rPr>
                <w:rFonts w:ascii="Arial" w:cs="Arial" w:eastAsia="Arial" w:hAnsi="Arial"/>
                <w:sz w:val="18"/>
                <w:szCs w:val="18"/>
                <w:color w:val="auto"/>
              </w:rPr>
              <w:t>Development &amp;</w:t>
            </w:r>
          </w:p>
        </w:tc>
        <w:tc>
          <w:tcPr>
            <w:tcW w:w="75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line="197" w:lineRule="exact"/>
              <w:rPr>
                <w:sz w:val="20"/>
                <w:szCs w:val="20"/>
                <w:color w:val="auto"/>
              </w:rPr>
            </w:pPr>
            <w:r>
              <w:rPr>
                <w:rFonts w:ascii="Arial" w:cs="Arial" w:eastAsia="Arial" w:hAnsi="Arial"/>
                <w:sz w:val="18"/>
                <w:szCs w:val="18"/>
                <w:color w:val="auto"/>
              </w:rPr>
              <w:t>Compensation</w:t>
            </w:r>
          </w:p>
        </w:tc>
        <w:tc>
          <w:tcPr>
            <w:tcW w:w="7500" w:type="dxa"/>
            <w:vAlign w:val="bottom"/>
            <w:gridSpan w:val="6"/>
          </w:tcPr>
          <w:p>
            <w:pPr>
              <w:ind w:left="180"/>
              <w:spacing w:after="0" w:line="197" w:lineRule="exact"/>
              <w:rPr>
                <w:sz w:val="20"/>
                <w:szCs w:val="20"/>
                <w:color w:val="auto"/>
              </w:rPr>
            </w:pPr>
            <w:r>
              <w:rPr>
                <w:rFonts w:ascii="Arial" w:cs="Arial" w:eastAsia="Arial" w:hAnsi="Arial"/>
                <w:sz w:val="18"/>
                <w:szCs w:val="18"/>
                <w:color w:val="auto"/>
              </w:rPr>
              <w:t>and its data and analytics efforts. Mr. Plummer was instrumental in helping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6"/>
          </w:tcPr>
          <w:p>
            <w:pPr>
              <w:ind w:left="180"/>
              <w:spacing w:after="0"/>
              <w:rPr>
                <w:sz w:val="20"/>
                <w:szCs w:val="20"/>
                <w:color w:val="auto"/>
              </w:rPr>
            </w:pPr>
            <w:r>
              <w:rPr>
                <w:rFonts w:ascii="Arial" w:cs="Arial" w:eastAsia="Arial" w:hAnsi="Arial"/>
                <w:sz w:val="18"/>
                <w:szCs w:val="18"/>
                <w:color w:val="auto"/>
              </w:rPr>
              <w:t>company  execute  a  strategy  focused  on  improving  the  profitability  of  its  core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6"/>
          </w:tcPr>
          <w:p>
            <w:pPr>
              <w:ind w:left="180"/>
              <w:spacing w:after="0"/>
              <w:rPr>
                <w:sz w:val="20"/>
                <w:szCs w:val="20"/>
                <w:color w:val="auto"/>
              </w:rPr>
            </w:pPr>
            <w:r>
              <w:rPr>
                <w:rFonts w:ascii="Arial" w:cs="Arial" w:eastAsia="Arial" w:hAnsi="Arial"/>
                <w:sz w:val="18"/>
                <w:szCs w:val="18"/>
                <w:color w:val="auto"/>
              </w:rPr>
              <w:t>equipment rental business through revenue growth, margin expansion, operational</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efficiencies and acquisitions.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293"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diversity, equity and inclusion initiatives.</w:t>
      </w:r>
    </w:p>
    <w:p>
      <w:pPr>
        <w:spacing w:after="0" w:line="293"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2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680" w:type="dxa"/>
            <w:vAlign w:val="bottom"/>
            <w:gridSpan w:val="3"/>
            <w:vMerge w:val="restart"/>
            <w:shd w:val="clear" w:color="auto" w:fill="457157"/>
          </w:tcPr>
          <w:p>
            <w:pPr>
              <w:ind w:left="20"/>
              <w:spacing w:after="0"/>
              <w:rPr>
                <w:sz w:val="20"/>
                <w:szCs w:val="20"/>
                <w:color w:val="auto"/>
              </w:rPr>
            </w:pPr>
            <w:r>
              <w:rPr>
                <w:rFonts w:ascii="Arial" w:cs="Arial" w:eastAsia="Arial" w:hAnsi="Arial"/>
                <w:sz w:val="25"/>
                <w:szCs w:val="25"/>
                <w:b w:val="1"/>
                <w:bCs w:val="1"/>
                <w:color w:val="FEFEFE"/>
              </w:rPr>
              <w:t>T. S</w:t>
            </w:r>
            <w:r>
              <w:rPr>
                <w:rFonts w:ascii="Arial" w:cs="Arial" w:eastAsia="Arial" w:hAnsi="Arial"/>
                <w:sz w:val="17"/>
                <w:szCs w:val="17"/>
                <w:b w:val="1"/>
                <w:bCs w:val="1"/>
                <w:color w:val="FEFEFE"/>
              </w:rPr>
              <w:t>YLVESTER</w:t>
            </w:r>
            <w:r>
              <w:rPr>
                <w:rFonts w:ascii="Arial" w:cs="Arial" w:eastAsia="Arial" w:hAnsi="Arial"/>
                <w:sz w:val="19"/>
                <w:szCs w:val="19"/>
                <w:b w:val="1"/>
                <w:bCs w:val="1"/>
                <w:color w:val="FEFEFE"/>
              </w:rPr>
              <w:t>​</w:t>
            </w:r>
          </w:p>
        </w:tc>
        <w:tc>
          <w:tcPr>
            <w:tcW w:w="112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M</w:t>
            </w:r>
            <w:r>
              <w:rPr>
                <w:rFonts w:ascii="Arial" w:cs="Arial" w:eastAsia="Arial" w:hAnsi="Arial"/>
                <w:sz w:val="16"/>
                <w:szCs w:val="16"/>
                <w:b w:val="1"/>
                <w:bCs w:val="1"/>
                <w:color w:val="FEFEFE"/>
              </w:rPr>
              <w:t>ARYROSE</w:t>
            </w:r>
          </w:p>
        </w:tc>
        <w:tc>
          <w:tcPr>
            <w:tcW w:w="6680" w:type="dxa"/>
            <w:vAlign w:val="bottom"/>
            <w:gridSpan w:val="3"/>
            <w:vMerge w:val="continue"/>
            <w:shd w:val="clear" w:color="auto" w:fill="457157"/>
          </w:tcPr>
          <w:p>
            <w:pPr>
              <w:spacing w:after="0"/>
              <w:rPr>
                <w:sz w:val="17"/>
                <w:szCs w:val="17"/>
                <w:color w:val="auto"/>
              </w:rPr>
            </w:pPr>
          </w:p>
        </w:tc>
        <w:tc>
          <w:tcPr>
            <w:tcW w:w="112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Borders>
              <w:right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6320" w:type="dxa"/>
            <w:vAlign w:val="bottom"/>
          </w:tcPr>
          <w:p>
            <w:pPr>
              <w:ind w:left="40"/>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1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right w:val="single" w:sz="8" w:color="457157"/>
            </w:tcBorders>
          </w:tcPr>
          <w:p>
            <w:pPr>
              <w:spacing w:after="0"/>
              <w:rPr>
                <w:sz w:val="22"/>
                <w:szCs w:val="22"/>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Retired  U.S.  Managing  Director  and  U.S.  Head  of  Electrification  —  ABB  Ltd.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(global  technology  company  focused  on  electrification,  robotics,  power  and</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automation), served from August 2019 to August 2020.</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Former President and Chief Executive Officer  —  Current, powered by GE (energy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services and information technology subsidiary of General Electric subsequently</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acquired by private equity investors), served from 2015 to June 2019.</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58</w:t>
            </w: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Director of Harley-Davidson, Inc. since 2016.</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18"/>
                <w:szCs w:val="18"/>
                <w:b w:val="1"/>
                <w:bCs w:val="1"/>
                <w:color w:val="457157"/>
              </w:rPr>
              <w:t>Director since:</w:t>
            </w:r>
          </w:p>
        </w:tc>
        <w:tc>
          <w:tcPr>
            <w:tcW w:w="160" w:type="dxa"/>
            <w:vAlign w:val="bottom"/>
            <w:tcBorders>
              <w:right w:val="single" w:sz="8" w:color="457157"/>
            </w:tcBorders>
          </w:tcPr>
          <w:p>
            <w:pPr>
              <w:spacing w:after="0"/>
              <w:rPr>
                <w:sz w:val="23"/>
                <w:szCs w:val="23"/>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Director of Vontier Corporation since March 2021.</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r>
              <w:rPr>
                <w:rFonts w:ascii="Arial" w:cs="Arial" w:eastAsia="Arial" w:hAnsi="Arial"/>
                <w:sz w:val="18"/>
                <w:szCs w:val="18"/>
                <w:color w:val="auto"/>
              </w:rPr>
              <w:t>March 2021</w:t>
            </w: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vMerge w:val="restart"/>
          </w:tcPr>
          <w:p>
            <w:pPr>
              <w:ind w:left="100"/>
              <w:spacing w:after="0"/>
              <w:rPr>
                <w:sz w:val="20"/>
                <w:szCs w:val="20"/>
                <w:color w:val="auto"/>
              </w:rPr>
            </w:pPr>
            <w:r>
              <w:rPr>
                <w:rFonts w:ascii="Arial" w:cs="Arial" w:eastAsia="Arial" w:hAnsi="Arial"/>
                <w:sz w:val="18"/>
                <w:szCs w:val="18"/>
                <w:color w:val="auto"/>
              </w:rPr>
              <w:t>Director of Flex Ltd. since September 2022.</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200" w:type="dxa"/>
            <w:vAlign w:val="bottom"/>
          </w:tcPr>
          <w:p>
            <w:pPr>
              <w:spacing w:after="0"/>
              <w:rPr>
                <w:sz w:val="12"/>
                <w:szCs w:val="12"/>
                <w:color w:val="auto"/>
              </w:rPr>
            </w:pPr>
          </w:p>
        </w:tc>
        <w:tc>
          <w:tcPr>
            <w:tcW w:w="160" w:type="dxa"/>
            <w:vAlign w:val="bottom"/>
            <w:tcBorders>
              <w:right w:val="single" w:sz="8" w:color="457157"/>
            </w:tcBorders>
          </w:tcPr>
          <w:p>
            <w:pPr>
              <w:spacing w:after="0"/>
              <w:rPr>
                <w:sz w:val="12"/>
                <w:szCs w:val="12"/>
                <w:color w:val="auto"/>
              </w:rPr>
            </w:pPr>
          </w:p>
        </w:tc>
        <w:tc>
          <w:tcPr>
            <w:tcW w:w="63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457157"/>
            </w:tcBorders>
          </w:tcPr>
          <w:p>
            <w:pPr>
              <w:spacing w:after="0"/>
              <w:rPr>
                <w:sz w:val="5"/>
                <w:szCs w:val="5"/>
                <w:color w:val="auto"/>
              </w:rPr>
            </w:pPr>
          </w:p>
        </w:tc>
        <w:tc>
          <w:tcPr>
            <w:tcW w:w="6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200" w:type="dxa"/>
            <w:vAlign w:val="bottom"/>
          </w:tcPr>
          <w:p>
            <w:pPr>
              <w:spacing w:after="0"/>
              <w:rPr>
                <w:sz w:val="15"/>
                <w:szCs w:val="15"/>
                <w:color w:val="auto"/>
              </w:rPr>
            </w:pPr>
          </w:p>
        </w:tc>
        <w:tc>
          <w:tcPr>
            <w:tcW w:w="160" w:type="dxa"/>
            <w:vAlign w:val="bottom"/>
            <w:tcBorders>
              <w:right w:val="single" w:sz="8" w:color="457157"/>
            </w:tcBorders>
          </w:tcPr>
          <w:p>
            <w:pPr>
              <w:spacing w:after="0"/>
              <w:rPr>
                <w:sz w:val="15"/>
                <w:szCs w:val="15"/>
                <w:color w:val="auto"/>
              </w:rPr>
            </w:pPr>
          </w:p>
        </w:tc>
        <w:tc>
          <w:tcPr>
            <w:tcW w:w="632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3" w:lineRule="exact"/>
              <w:rPr>
                <w:sz w:val="20"/>
                <w:szCs w:val="20"/>
                <w:color w:val="auto"/>
              </w:rPr>
            </w:pPr>
            <w:r>
              <w:rPr>
                <w:rFonts w:ascii="Arial" w:cs="Arial" w:eastAsia="Arial" w:hAnsi="Arial"/>
                <w:sz w:val="18"/>
                <w:szCs w:val="18"/>
                <w:color w:val="auto"/>
              </w:rPr>
              <w:t>Management</w:t>
            </w:r>
          </w:p>
        </w:tc>
        <w:tc>
          <w:tcPr>
            <w:tcW w:w="200" w:type="dxa"/>
            <w:vAlign w:val="bottom"/>
          </w:tcPr>
          <w:p>
            <w:pPr>
              <w:spacing w:after="0"/>
              <w:rPr>
                <w:sz w:val="15"/>
                <w:szCs w:val="15"/>
                <w:color w:val="auto"/>
              </w:rPr>
            </w:pPr>
          </w:p>
        </w:tc>
        <w:tc>
          <w:tcPr>
            <w:tcW w:w="160" w:type="dxa"/>
            <w:vAlign w:val="bottom"/>
            <w:tcBorders>
              <w:right w:val="single" w:sz="8" w:color="457157"/>
            </w:tcBorders>
          </w:tcPr>
          <w:p>
            <w:pPr>
              <w:spacing w:after="0"/>
              <w:rPr>
                <w:sz w:val="15"/>
                <w:szCs w:val="15"/>
                <w:color w:val="auto"/>
              </w:rPr>
            </w:pPr>
          </w:p>
        </w:tc>
        <w:tc>
          <w:tcPr>
            <w:tcW w:w="6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gridSpan w:val="2"/>
          </w:tcPr>
          <w:p>
            <w:pPr>
              <w:spacing w:after="0" w:line="181" w:lineRule="exact"/>
              <w:rPr>
                <w:sz w:val="20"/>
                <w:szCs w:val="20"/>
                <w:color w:val="auto"/>
              </w:rPr>
            </w:pPr>
            <w:r>
              <w:rPr>
                <w:rFonts w:ascii="Arial" w:cs="Arial" w:eastAsia="Arial" w:hAnsi="Arial"/>
                <w:sz w:val="18"/>
                <w:szCs w:val="18"/>
                <w:color w:val="auto"/>
              </w:rPr>
              <w:t>Development &amp;</w:t>
            </w:r>
          </w:p>
        </w:tc>
        <w:tc>
          <w:tcPr>
            <w:tcW w:w="160" w:type="dxa"/>
            <w:vAlign w:val="bottom"/>
            <w:tcBorders>
              <w:right w:val="single" w:sz="8" w:color="457157"/>
            </w:tcBorders>
          </w:tcPr>
          <w:p>
            <w:pPr>
              <w:spacing w:after="0"/>
              <w:rPr>
                <w:sz w:val="15"/>
                <w:szCs w:val="15"/>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As U.S. Managing Director and U.S. Head of Electrification for ABB Ltd., Maryrose</w:t>
            </w:r>
          </w:p>
        </w:tc>
        <w:tc>
          <w:tcPr>
            <w:tcW w:w="0" w:type="dxa"/>
            <w:vAlign w:val="bottom"/>
          </w:tcPr>
          <w:p>
            <w:pPr>
              <w:spacing w:after="0"/>
              <w:rPr>
                <w:sz w:val="1"/>
                <w:szCs w:val="1"/>
                <w:color w:val="auto"/>
              </w:rPr>
            </w:pPr>
          </w:p>
        </w:tc>
      </w:tr>
      <w:tr>
        <w:trPr>
          <w:trHeight w:val="116"/>
        </w:trPr>
        <w:tc>
          <w:tcPr>
            <w:tcW w:w="1260" w:type="dxa"/>
            <w:vAlign w:val="bottom"/>
            <w:vMerge w:val="restart"/>
          </w:tcPr>
          <w:p>
            <w:pPr>
              <w:spacing w:after="0" w:line="176"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0"/>
                <w:szCs w:val="10"/>
                <w:color w:val="auto"/>
              </w:rPr>
            </w:pPr>
          </w:p>
        </w:tc>
        <w:tc>
          <w:tcPr>
            <w:tcW w:w="160" w:type="dxa"/>
            <w:vAlign w:val="bottom"/>
            <w:tcBorders>
              <w:right w:val="single" w:sz="8" w:color="457157"/>
            </w:tcBorders>
          </w:tcPr>
          <w:p>
            <w:pPr>
              <w:spacing w:after="0"/>
              <w:rPr>
                <w:sz w:val="10"/>
                <w:szCs w:val="10"/>
                <w:color w:val="auto"/>
              </w:rPr>
            </w:pPr>
          </w:p>
        </w:tc>
        <w:tc>
          <w:tcPr>
            <w:tcW w:w="7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457157"/>
            </w:tcBorders>
          </w:tcPr>
          <w:p>
            <w:pPr>
              <w:spacing w:after="0"/>
              <w:rPr>
                <w:sz w:val="5"/>
                <w:szCs w:val="5"/>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Sylvester  was  responsible  for  ABB’s  largest  geographical  market  and  the</w:t>
            </w:r>
          </w:p>
        </w:tc>
        <w:tc>
          <w:tcPr>
            <w:tcW w:w="0" w:type="dxa"/>
            <w:vAlign w:val="bottom"/>
          </w:tcPr>
          <w:p>
            <w:pPr>
              <w:spacing w:after="0"/>
              <w:rPr>
                <w:sz w:val="1"/>
                <w:szCs w:val="1"/>
                <w:color w:val="auto"/>
              </w:rPr>
            </w:pPr>
          </w:p>
        </w:tc>
      </w:tr>
      <w:tr>
        <w:trPr>
          <w:trHeight w:val="175"/>
        </w:trPr>
        <w:tc>
          <w:tcPr>
            <w:tcW w:w="1260" w:type="dxa"/>
            <w:vAlign w:val="bottom"/>
          </w:tcPr>
          <w:p>
            <w:pPr>
              <w:spacing w:after="0" w:line="175" w:lineRule="exact"/>
              <w:rPr>
                <w:sz w:val="20"/>
                <w:szCs w:val="20"/>
                <w:color w:val="auto"/>
              </w:rPr>
            </w:pPr>
            <w:r>
              <w:rPr>
                <w:rFonts w:ascii="Arial" w:cs="Arial" w:eastAsia="Arial" w:hAnsi="Arial"/>
                <w:sz w:val="18"/>
                <w:szCs w:val="18"/>
                <w:color w:val="auto"/>
              </w:rPr>
              <w:t>and</w:t>
            </w:r>
          </w:p>
        </w:tc>
        <w:tc>
          <w:tcPr>
            <w:tcW w:w="200" w:type="dxa"/>
            <w:vAlign w:val="bottom"/>
          </w:tcPr>
          <w:p>
            <w:pPr>
              <w:spacing w:after="0"/>
              <w:rPr>
                <w:sz w:val="15"/>
                <w:szCs w:val="15"/>
                <w:color w:val="auto"/>
              </w:rPr>
            </w:pPr>
          </w:p>
        </w:tc>
        <w:tc>
          <w:tcPr>
            <w:tcW w:w="160" w:type="dxa"/>
            <w:vAlign w:val="bottom"/>
            <w:tcBorders>
              <w:right w:val="single" w:sz="8" w:color="457157"/>
            </w:tcBorders>
          </w:tcPr>
          <w:p>
            <w:pPr>
              <w:spacing w:after="0"/>
              <w:rPr>
                <w:sz w:val="15"/>
                <w:szCs w:val="15"/>
                <w:color w:val="auto"/>
              </w:rPr>
            </w:pPr>
          </w:p>
        </w:tc>
        <w:tc>
          <w:tcPr>
            <w:tcW w:w="7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Nominating &amp;</w:t>
            </w:r>
          </w:p>
        </w:tc>
        <w:tc>
          <w:tcPr>
            <w:tcW w:w="200" w:type="dxa"/>
            <w:vAlign w:val="bottom"/>
          </w:tcPr>
          <w:p>
            <w:pPr>
              <w:spacing w:after="0"/>
              <w:rPr>
                <w:sz w:val="16"/>
                <w:szCs w:val="16"/>
                <w:color w:val="auto"/>
              </w:rPr>
            </w:pPr>
          </w:p>
        </w:tc>
        <w:tc>
          <w:tcPr>
            <w:tcW w:w="160" w:type="dxa"/>
            <w:vAlign w:val="bottom"/>
            <w:tcBorders>
              <w:right w:val="single" w:sz="8" w:color="457157"/>
            </w:tcBorders>
          </w:tcPr>
          <w:p>
            <w:pPr>
              <w:spacing w:after="0"/>
              <w:rPr>
                <w:sz w:val="16"/>
                <w:szCs w:val="16"/>
                <w:color w:val="auto"/>
              </w:rPr>
            </w:pPr>
          </w:p>
        </w:tc>
        <w:tc>
          <w:tcPr>
            <w:tcW w:w="750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implementation  of  operational  innovations.  Ms.  Sylvester  also  championed  the</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20"/>
                <w:szCs w:val="20"/>
                <w:color w:val="auto"/>
              </w:rPr>
            </w:pPr>
            <w:r>
              <w:rPr>
                <w:rFonts w:ascii="Arial" w:cs="Arial" w:eastAsia="Arial" w:hAnsi="Arial"/>
                <w:sz w:val="18"/>
                <w:szCs w:val="18"/>
                <w:color w:val="auto"/>
              </w:rPr>
              <w:t>Governance</w:t>
            </w:r>
          </w:p>
        </w:tc>
        <w:tc>
          <w:tcPr>
            <w:tcW w:w="200" w:type="dxa"/>
            <w:vAlign w:val="bottom"/>
          </w:tcPr>
          <w:p>
            <w:pPr>
              <w:spacing w:after="0"/>
              <w:rPr>
                <w:sz w:val="19"/>
                <w:szCs w:val="19"/>
                <w:color w:val="auto"/>
              </w:rPr>
            </w:pPr>
          </w:p>
        </w:tc>
        <w:tc>
          <w:tcPr>
            <w:tcW w:w="160" w:type="dxa"/>
            <w:vAlign w:val="bottom"/>
            <w:tcBorders>
              <w:right w:val="single" w:sz="8" w:color="457157"/>
            </w:tcBorders>
          </w:tcPr>
          <w:p>
            <w:pPr>
              <w:spacing w:after="0"/>
              <w:rPr>
                <w:sz w:val="19"/>
                <w:szCs w:val="19"/>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company’s  diversity  and  inclusion  efforts  and  accelerated  ABB’s  Encompass</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Diversity program.</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Prior to joining ABB Ltd., Ms. Sylvester spent more than 30 years at General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Electric,  where  she  held  a  number  of  leadership  roles,  including  serving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  of  each  of  GE  Lighting,  GE  Intelligent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Platforms, which focused on industrial automation, and GE Current, a digital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service  business  that  delivers  integrated  energy  systems.  Ms.  Sylvester  was</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instrumental in launching the GE Women’s Network.</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Ms. Sylvester is a strategic, growth-oriented leader with a focus on the areas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technology,   innovation   and   automation.   Through   her   prior</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Ms.  Sylvester  has  developed  expertise  in  delivering  technology-enabled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energy-efficient  sustainable  solutions.  Ms.  Sylvester  provides  experience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extensive knowledge of product development, marketing, technology and supply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chain strategy to the Board. Ms. Sylvester has in-depth expertise in the area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improving energy efficiency in response to climate risk. Ms. Sylvester also shares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insight from her prior experience to inform our strategy to improve processes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drive efficiency through automation. Ms. Sylvester is passionate about advancing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diversity,  equity  and  inclusion  and  has  expertise  developing  and  driving  such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initiatives  in  the  workplace.  Ms.  Sylvester  also  brings  valuable  governance</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experience from her service on the public company boards listed above.</w:t>
            </w: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She holds a bachelor’s degree in procurement and production management from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Bowling Green State University and a master’s degree in business administration</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from Cleveland State University.</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457157"/>
            </w:tcBorders>
          </w:tcPr>
          <w:p>
            <w:pPr>
              <w:spacing w:after="0"/>
              <w:rPr>
                <w:sz w:val="2"/>
                <w:szCs w:val="2"/>
                <w:color w:val="auto"/>
              </w:rPr>
            </w:pPr>
          </w:p>
        </w:tc>
        <w:tc>
          <w:tcPr>
            <w:tcW w:w="6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-5974715</wp:posOffset>
            </wp:positionV>
            <wp:extent cx="960120" cy="12001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60120" cy="1200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85725</wp:posOffset>
            </wp:positionV>
            <wp:extent cx="5220335" cy="4883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203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DIRECTOR AND OFFICER STOCK OWNERSHIP</w:t>
      </w:r>
    </w:p>
    <w:p>
      <w:pPr>
        <w:spacing w:after="0" w:line="118"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68"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executive officer named in the Summary Compensation Table beneficially owned as of March 5, 2024, as well as the number owned by all directors and executive officers as a group. These individuals, both individually and in the aggregate, own less than 1% of our outstanding shares as of the record date.</w:t>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SECURITY OWNERSHIP OF MANAGEMENT</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2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457157"/>
              </w:rPr>
              <w:t>​Name</w:t>
            </w:r>
          </w:p>
        </w:tc>
        <w:tc>
          <w:tcPr>
            <w:tcW w:w="16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Stock Covered by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457157"/>
              </w:rPr>
              <w:t>​​</w:t>
            </w:r>
          </w:p>
        </w:tc>
        <w:tc>
          <w:tcPr>
            <w:tcW w:w="3140" w:type="dxa"/>
            <w:vAlign w:val="bottom"/>
            <w:gridSpan w:val="6"/>
          </w:tcPr>
          <w:p>
            <w:pPr>
              <w:jc w:val="right"/>
              <w:spacing w:after="0"/>
              <w:rPr>
                <w:sz w:val="20"/>
                <w:szCs w:val="20"/>
                <w:color w:val="auto"/>
              </w:rPr>
            </w:pPr>
            <w:r>
              <w:rPr>
                <w:rFonts w:ascii="Arial" w:cs="Arial" w:eastAsia="Arial" w:hAnsi="Arial"/>
                <w:sz w:val="14"/>
                <w:szCs w:val="14"/>
                <w:b w:val="1"/>
                <w:bCs w:val="1"/>
                <w:color w:val="457157"/>
              </w:rPr>
              <w:t>Stock Owned</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​​Exercisable Options</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​Thomas L. Bené</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579</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Bruce E. Chinn</w:t>
            </w:r>
            <w:r>
              <w:rPr>
                <w:rFonts w:ascii="Arial" w:cs="Arial" w:eastAsia="Arial" w:hAnsi="Arial"/>
                <w:sz w:val="18"/>
                <w:szCs w:val="18"/>
                <w:color w:val="auto"/>
                <w:vertAlign w:val="superscript"/>
              </w:rPr>
              <w:t>(3)</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1,321</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​Andrés R. Gluski</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15,975</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tcPr>
          <w:p>
            <w:pPr>
              <w:spacing w:after="0" w:line="156" w:lineRule="exact"/>
              <w:rPr>
                <w:sz w:val="20"/>
                <w:szCs w:val="20"/>
                <w:color w:val="auto"/>
              </w:rPr>
            </w:pPr>
            <w:r>
              <w:rPr>
                <w:rFonts w:ascii="Arial" w:cs="Arial" w:eastAsia="Arial" w:hAnsi="Arial"/>
                <w:sz w:val="14"/>
                <w:szCs w:val="14"/>
                <w:color w:val="auto"/>
              </w:rPr>
              <w:t>Victoria M. Holt</w:t>
            </w:r>
            <w:r>
              <w:rPr>
                <w:rFonts w:ascii="Arial" w:cs="Arial" w:eastAsia="Arial" w:hAnsi="Arial"/>
                <w:sz w:val="18"/>
                <w:szCs w:val="18"/>
                <w:color w:val="auto"/>
                <w:vertAlign w:val="superscript"/>
              </w:rPr>
              <w:t>(4)</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21,473</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Kathleen M. Mazzarella</w:t>
            </w:r>
            <w:r>
              <w:rPr>
                <w:rFonts w:ascii="Arial" w:cs="Arial" w:eastAsia="Arial" w:hAnsi="Arial"/>
                <w:sz w:val="18"/>
                <w:szCs w:val="18"/>
                <w:color w:val="auto"/>
                <w:vertAlign w:val="superscript"/>
              </w:rPr>
              <w:t>(5)</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14,574</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​Sean E. Menke</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3,767</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tcPr>
          <w:p>
            <w:pPr>
              <w:spacing w:after="0" w:line="156" w:lineRule="exact"/>
              <w:rPr>
                <w:sz w:val="20"/>
                <w:szCs w:val="20"/>
                <w:color w:val="auto"/>
              </w:rPr>
            </w:pPr>
            <w:r>
              <w:rPr>
                <w:rFonts w:ascii="Arial" w:cs="Arial" w:eastAsia="Arial" w:hAnsi="Arial"/>
                <w:sz w:val="14"/>
                <w:szCs w:val="14"/>
                <w:color w:val="auto"/>
              </w:rPr>
              <w:t>William B. Plummer</w:t>
            </w:r>
            <w:r>
              <w:rPr>
                <w:rFonts w:ascii="Arial" w:cs="Arial" w:eastAsia="Arial" w:hAnsi="Arial"/>
                <w:sz w:val="18"/>
                <w:szCs w:val="18"/>
                <w:color w:val="auto"/>
                <w:vertAlign w:val="superscript"/>
              </w:rPr>
              <w:t>(6)</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5,992</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​John C. Pope</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56,461</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​Maryrose T. Sylvester</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3,767</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James C. Fish, Jr.</w:t>
            </w:r>
            <w:r>
              <w:rPr>
                <w:rFonts w:ascii="Arial" w:cs="Arial" w:eastAsia="Arial" w:hAnsi="Arial"/>
                <w:sz w:val="18"/>
                <w:szCs w:val="18"/>
                <w:color w:val="auto"/>
                <w:vertAlign w:val="superscript"/>
              </w:rPr>
              <w:t>(7)</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298,540</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63,930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​Devina A. Rankin</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59,170</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65,398</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​John J. Morris, Jr.</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90,205</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32,503</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​Rafael E. Carrasco</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11,006</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20,883</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​Tara J. Hemmer</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50,489</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52,800</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All directors and executive officers as a group (21 persons)</w:t>
            </w:r>
            <w:r>
              <w:rPr>
                <w:rFonts w:ascii="Arial" w:cs="Arial" w:eastAsia="Arial" w:hAnsi="Arial"/>
                <w:sz w:val="18"/>
                <w:szCs w:val="18"/>
                <w:color w:val="auto"/>
                <w:vertAlign w:val="superscript"/>
              </w:rPr>
              <w:t>(8)</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740,508</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 383,475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-2039620</wp:posOffset>
            </wp:positionV>
            <wp:extent cx="57607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-1765300</wp:posOffset>
            </wp:positionV>
            <wp:extent cx="57607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-1490980</wp:posOffset>
            </wp:positionV>
            <wp:extent cx="57607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-1216660</wp:posOffset>
            </wp:positionV>
            <wp:extent cx="57607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-942340</wp:posOffset>
            </wp:positionV>
            <wp:extent cx="576072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-668020</wp:posOffset>
            </wp:positionV>
            <wp:extent cx="576072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-410845</wp:posOffset>
            </wp:positionV>
            <wp:extent cx="576072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15" w:lineRule="exact"/>
        <w:rPr>
          <w:sz w:val="20"/>
          <w:szCs w:val="20"/>
          <w:color w:val="auto"/>
        </w:rPr>
      </w:pPr>
    </w:p>
    <w:p>
      <w:pPr>
        <w:jc w:val="both"/>
        <w:ind w:left="1180" w:right="60" w:hanging="364"/>
        <w:spacing w:after="0" w:line="256"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4,218 stock equivalents attributed to Mr. Fish and 2,372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15" w:lineRule="exact"/>
        <w:rPr>
          <w:rFonts w:ascii="Arial" w:cs="Arial" w:eastAsia="Arial" w:hAnsi="Arial"/>
          <w:sz w:val="18"/>
          <w:szCs w:val="18"/>
          <w:color w:val="auto"/>
        </w:rPr>
      </w:pPr>
    </w:p>
    <w:p>
      <w:pPr>
        <w:jc w:val="both"/>
        <w:ind w:left="1180" w:right="60"/>
        <w:spacing w:after="0" w:line="257"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2,575 phantom stock equivalents under the 409A Deferral Plan.</w:t>
      </w:r>
    </w:p>
    <w:p>
      <w:pPr>
        <w:spacing w:after="0" w:line="7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the record date.</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are held by the Chinn Family Trust, for which Mr. Chinn and his wife serve as trustees.</w:t>
      </w:r>
    </w:p>
    <w:p>
      <w:pPr>
        <w:spacing w:after="0" w:line="117" w:lineRule="exact"/>
        <w:rPr>
          <w:rFonts w:ascii="Arial" w:cs="Arial" w:eastAsia="Arial" w:hAnsi="Arial"/>
          <w:sz w:val="18"/>
          <w:szCs w:val="18"/>
          <w:color w:val="auto"/>
        </w:rPr>
      </w:pPr>
    </w:p>
    <w:p>
      <w:pPr>
        <w:ind w:left="1180" w:right="780" w:hanging="364"/>
        <w:spacing w:after="0" w:line="263"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are held by the Victoria M. Holt Trust, for which Ms. Holt and her husband serve as trustees.</w:t>
      </w:r>
    </w:p>
    <w:p>
      <w:pPr>
        <w:spacing w:after="0" w:line="313" w:lineRule="exact"/>
        <w:rPr>
          <w:rFonts w:ascii="Arial" w:cs="Arial" w:eastAsia="Arial" w:hAnsi="Arial"/>
          <w:sz w:val="18"/>
          <w:szCs w:val="18"/>
          <w:color w:val="auto"/>
        </w:rPr>
      </w:pPr>
    </w:p>
    <w:p>
      <w:pPr>
        <w:ind w:left="1180" w:right="260" w:hanging="364"/>
        <w:spacing w:after="0" w:line="28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44" w:lineRule="exact"/>
        <w:rPr>
          <w:rFonts w:ascii="Arial" w:cs="Arial" w:eastAsia="Arial" w:hAnsi="Arial"/>
          <w:sz w:val="18"/>
          <w:szCs w:val="18"/>
          <w:color w:val="auto"/>
        </w:rPr>
      </w:pPr>
    </w:p>
    <w:p>
      <w:pPr>
        <w:ind w:left="1180" w:right="80" w:hanging="364"/>
        <w:spacing w:after="0" w:line="232"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this total, 1,623 shares are held by TPO Collectibles LLC, an entity wholly-owned and controlled by Mr. Plummer and his wife.</w:t>
      </w: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428625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-175260</wp:posOffset>
            </wp:positionV>
            <wp:extent cx="4718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80" w:hanging="36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95,977 shares held in trusts for the benefit of Mr. Fish’s children.</w:t>
      </w:r>
    </w:p>
    <w:p>
      <w:pPr>
        <w:spacing w:after="0" w:line="117" w:lineRule="exact"/>
        <w:rPr>
          <w:rFonts w:ascii="Arial" w:cs="Arial" w:eastAsia="Arial" w:hAnsi="Arial"/>
          <w:sz w:val="18"/>
          <w:szCs w:val="18"/>
          <w:color w:val="auto"/>
        </w:rPr>
      </w:pPr>
    </w:p>
    <w:p>
      <w:pPr>
        <w:ind w:left="1180" w:right="40" w:hanging="364"/>
        <w:spacing w:after="0" w:line="266"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13,718 stock equivalents attributable to the</w:t>
      </w:r>
    </w:p>
    <w:p>
      <w:pPr>
        <w:ind w:left="1180" w:right="40"/>
        <w:spacing w:after="0"/>
        <w:rPr>
          <w:rFonts w:ascii="Arial" w:cs="Arial" w:eastAsia="Arial" w:hAnsi="Arial"/>
          <w:sz w:val="18"/>
          <w:szCs w:val="18"/>
          <w:color w:val="auto"/>
        </w:rPr>
      </w:pPr>
      <w:r>
        <w:rPr>
          <w:rFonts w:ascii="Arial" w:cs="Arial" w:eastAsia="Arial" w:hAnsi="Arial"/>
          <w:sz w:val="18"/>
          <w:szCs w:val="18"/>
          <w:color w:val="auto"/>
        </w:rPr>
        <w:t>executive officers’ collective holdings in the Company’s 401(k) Retirement Savings Plan stock fund.</w:t>
      </w:r>
    </w:p>
    <w:p>
      <w:pPr>
        <w:spacing w:after="0" w:line="354" w:lineRule="exact"/>
        <w:rPr>
          <w:sz w:val="20"/>
          <w:szCs w:val="20"/>
          <w:color w:val="auto"/>
        </w:rPr>
      </w:pPr>
    </w:p>
    <w:p>
      <w:pPr>
        <w:ind w:left="820" w:right="440"/>
        <w:spacing w:after="0" w:line="275" w:lineRule="auto"/>
        <w:rPr>
          <w:sz w:val="20"/>
          <w:szCs w:val="20"/>
          <w:color w:val="auto"/>
        </w:rPr>
      </w:pPr>
      <w:r>
        <w:rPr>
          <w:rFonts w:ascii="Arial" w:cs="Arial" w:eastAsia="Arial" w:hAnsi="Arial"/>
          <w:sz w:val="33"/>
          <w:szCs w:val="33"/>
          <w:b w:val="1"/>
          <w:bCs w:val="1"/>
          <w:color w:val="457157"/>
        </w:rPr>
        <w:t>SECURITY OWNERSHIP OF CERTAIN BENEFICIAL OWNERS</w:t>
      </w:r>
    </w:p>
    <w:p>
      <w:pPr>
        <w:ind w:left="820" w:right="60"/>
        <w:spacing w:after="0" w:line="28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19, 2024.</w:t>
      </w: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4"/>
                <w:szCs w:val="14"/>
                <w:b w:val="1"/>
                <w:bCs w:val="1"/>
                <w:color w:val="457157"/>
              </w:rPr>
              <w:t>Shares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Pr>
          <w:p>
            <w:pPr>
              <w:jc w:val="center"/>
              <w:ind w:right="5156"/>
              <w:spacing w:after="0"/>
              <w:rPr>
                <w:sz w:val="20"/>
                <w:szCs w:val="20"/>
                <w:color w:val="auto"/>
              </w:rPr>
            </w:pPr>
            <w:r>
              <w:rPr>
                <w:rFonts w:ascii="Arial" w:cs="Arial" w:eastAsia="Arial" w:hAnsi="Arial"/>
                <w:sz w:val="14"/>
                <w:szCs w:val="14"/>
                <w:b w:val="1"/>
                <w:bCs w:val="1"/>
                <w:color w:val="457157"/>
              </w:rPr>
              <w:t>​​</w:t>
            </w:r>
          </w:p>
        </w:tc>
        <w:tc>
          <w:tcPr>
            <w:tcW w:w="1840" w:type="dxa"/>
            <w:vAlign w:val="bottom"/>
            <w:gridSpan w:val="2"/>
          </w:tcPr>
          <w:p>
            <w:pPr>
              <w:ind w:left="1520"/>
              <w:spacing w:after="0"/>
              <w:rPr>
                <w:sz w:val="20"/>
                <w:szCs w:val="20"/>
                <w:color w:val="auto"/>
              </w:rPr>
            </w:pPr>
            <w:r>
              <w:rPr>
                <w:rFonts w:ascii="Arial" w:cs="Arial" w:eastAsia="Arial" w:hAnsi="Arial"/>
                <w:sz w:val="14"/>
                <w:szCs w:val="14"/>
                <w:b w:val="1"/>
                <w:bCs w:val="1"/>
                <w:color w:val="457157"/>
              </w:rPr>
              <w:t>​ ​</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Owned</w:t>
            </w: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40"/>
              <w:spacing w:after="0"/>
              <w:rPr>
                <w:sz w:val="20"/>
                <w:szCs w:val="20"/>
                <w:color w:val="auto"/>
              </w:rPr>
            </w:pPr>
            <w:r>
              <w:rPr>
                <w:rFonts w:ascii="Arial" w:cs="Arial" w:eastAsia="Arial" w:hAnsi="Arial"/>
                <w:sz w:val="14"/>
                <w:szCs w:val="14"/>
                <w:b w:val="1"/>
                <w:bCs w:val="1"/>
                <w:color w:val="457157"/>
              </w:rPr>
              <w:t>Name and Address</w:t>
            </w:r>
          </w:p>
        </w:tc>
        <w:tc>
          <w:tcPr>
            <w:tcW w:w="184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457157"/>
              </w:rPr>
              <w:t>​ ​</w:t>
            </w:r>
          </w:p>
        </w:tc>
        <w:tc>
          <w:tcPr>
            <w:tcW w:w="840" w:type="dxa"/>
            <w:vAlign w:val="bottom"/>
          </w:tcPr>
          <w:p>
            <w:pPr>
              <w:ind w:left="120"/>
              <w:spacing w:after="0"/>
              <w:rPr>
                <w:sz w:val="20"/>
                <w:szCs w:val="20"/>
                <w:color w:val="auto"/>
              </w:rPr>
            </w:pPr>
            <w:r>
              <w:rPr>
                <w:rFonts w:ascii="Arial" w:cs="Arial" w:eastAsia="Arial" w:hAnsi="Arial"/>
                <w:sz w:val="14"/>
                <w:szCs w:val="14"/>
                <w:b w:val="1"/>
                <w:bCs w:val="1"/>
                <w:color w:val="457157"/>
              </w:rPr>
              <w:t>Number</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00" w:type="dxa"/>
            <w:vAlign w:val="bottom"/>
          </w:tcPr>
          <w:p>
            <w:pPr>
              <w:spacing w:after="0" w:line="183" w:lineRule="exact"/>
              <w:rPr>
                <w:sz w:val="20"/>
                <w:szCs w:val="20"/>
                <w:color w:val="auto"/>
              </w:rPr>
            </w:pPr>
            <w:r>
              <w:rPr>
                <w:rFonts w:ascii="Arial" w:cs="Arial" w:eastAsia="Arial" w:hAnsi="Arial"/>
                <w:sz w:val="14"/>
                <w:szCs w:val="14"/>
                <w:b w:val="1"/>
                <w:bCs w:val="1"/>
                <w:color w:val="457157"/>
              </w:rPr>
              <w:t>Percent</w:t>
            </w:r>
            <w:r>
              <w:rPr>
                <w:rFonts w:ascii="Arial" w:cs="Arial" w:eastAsia="Arial" w:hAnsi="Arial"/>
                <w:sz w:val="17"/>
                <w:szCs w:val="17"/>
                <w:b w:val="1"/>
                <w:bCs w:val="1"/>
                <w:color w:val="457157"/>
                <w:vertAlign w:val="superscript"/>
              </w:rPr>
              <w:t>(1)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5320" w:type="dxa"/>
            <w:vAlign w:val="bottom"/>
          </w:tcPr>
          <w:p>
            <w:pPr>
              <w:jc w:val="center"/>
              <w:ind w:right="5156"/>
              <w:spacing w:after="0" w:line="68" w:lineRule="exact"/>
              <w:rPr>
                <w:sz w:val="20"/>
                <w:szCs w:val="20"/>
                <w:color w:val="auto"/>
              </w:rPr>
            </w:pPr>
            <w:r>
              <w:rPr>
                <w:rFonts w:ascii="Arial" w:cs="Arial" w:eastAsia="Arial" w:hAnsi="Arial"/>
                <w:sz w:val="7"/>
                <w:szCs w:val="7"/>
                <w:b w:val="1"/>
                <w:bCs w:val="1"/>
                <w:color w:val="457157"/>
              </w:rPr>
              <w:t>​</w:t>
            </w:r>
          </w:p>
        </w:tc>
        <w:tc>
          <w:tcPr>
            <w:tcW w:w="18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1360" w:type="dxa"/>
            <w:vAlign w:val="bottom"/>
            <w:gridSpan w:val="3"/>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​​36,159,856</w:t>
            </w:r>
            <w:r>
              <w:rPr>
                <w:rFonts w:ascii="Arial" w:cs="Arial" w:eastAsia="Arial" w:hAnsi="Arial"/>
                <w:sz w:val="23"/>
                <w:szCs w:val="23"/>
                <w:color w:val="auto"/>
                <w:vertAlign w:val="superscript"/>
              </w:rPr>
              <w:t>(2)</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20" w:type="dxa"/>
            <w:vAlign w:val="bottom"/>
            <w:tcBorders>
              <w:bottom w:val="single" w:sz="8" w:color="457157"/>
            </w:tcBorders>
          </w:tcPr>
          <w:p>
            <w:pPr>
              <w:spacing w:after="0"/>
              <w:rPr>
                <w:sz w:val="2"/>
                <w:szCs w:val="2"/>
                <w:color w:val="auto"/>
              </w:rPr>
            </w:pPr>
          </w:p>
        </w:tc>
        <w:tc>
          <w:tcPr>
            <w:tcW w:w="1620" w:type="dxa"/>
            <w:vAlign w:val="bottom"/>
            <w:tcBorders>
              <w:bottom w:val="single" w:sz="8" w:color="457157"/>
            </w:tcBorders>
          </w:tcPr>
          <w:p>
            <w:pPr>
              <w:spacing w:after="0"/>
              <w:rPr>
                <w:sz w:val="2"/>
                <w:szCs w:val="2"/>
                <w:color w:val="auto"/>
              </w:rPr>
            </w:pPr>
          </w:p>
        </w:tc>
        <w:tc>
          <w:tcPr>
            <w:tcW w:w="1360" w:type="dxa"/>
            <w:vAlign w:val="bottom"/>
            <w:tcBorders>
              <w:bottom w:val="single" w:sz="8" w:color="457157"/>
            </w:tcBorders>
            <w:gridSpan w:val="3"/>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​Melinda French Gates; William H. Gates III</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​​35,238,154</w:t>
            </w:r>
            <w:r>
              <w:rPr>
                <w:rFonts w:ascii="Arial" w:cs="Arial" w:eastAsia="Arial" w:hAnsi="Arial"/>
                <w:sz w:val="23"/>
                <w:szCs w:val="23"/>
                <w:color w:val="auto"/>
                <w:vertAlign w:val="superscript"/>
              </w:rPr>
              <w:t>(3)</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500 Fifth Avenue North</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Seattle, WA 98109</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320" w:type="dxa"/>
            <w:vAlign w:val="bottom"/>
          </w:tcPr>
          <w:p>
            <w:pPr>
              <w:ind w:left="40"/>
              <w:spacing w:after="0"/>
              <w:rPr>
                <w:sz w:val="20"/>
                <w:szCs w:val="20"/>
                <w:color w:val="auto"/>
              </w:rPr>
            </w:pPr>
            <w:r>
              <w:rPr>
                <w:rFonts w:ascii="Arial" w:cs="Arial" w:eastAsia="Arial" w:hAnsi="Arial"/>
                <w:sz w:val="18"/>
                <w:szCs w:val="18"/>
                <w:color w:val="auto"/>
              </w:rPr>
              <w:t>Bill &amp; Melinda Gates Foundation Trust</w:t>
            </w: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2365 Carillon Point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Kirkland, WA 98033</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320" w:type="dxa"/>
            <w:vAlign w:val="bottom"/>
            <w:tcBorders>
              <w:bottom w:val="single" w:sz="8" w:color="457157"/>
            </w:tcBorders>
          </w:tcPr>
          <w:p>
            <w:pPr>
              <w:spacing w:after="0"/>
              <w:rPr>
                <w:sz w:val="3"/>
                <w:szCs w:val="3"/>
                <w:color w:val="auto"/>
              </w:rPr>
            </w:pPr>
          </w:p>
        </w:tc>
        <w:tc>
          <w:tcPr>
            <w:tcW w:w="1620" w:type="dxa"/>
            <w:vAlign w:val="bottom"/>
            <w:tcBorders>
              <w:bottom w:val="single" w:sz="8" w:color="457157"/>
            </w:tcBorders>
          </w:tcPr>
          <w:p>
            <w:pPr>
              <w:spacing w:after="0"/>
              <w:rPr>
                <w:sz w:val="3"/>
                <w:szCs w:val="3"/>
                <w:color w:val="auto"/>
              </w:rPr>
            </w:pPr>
          </w:p>
        </w:tc>
        <w:tc>
          <w:tcPr>
            <w:tcW w:w="1360" w:type="dxa"/>
            <w:vAlign w:val="bottom"/>
            <w:tcBorders>
              <w:bottom w:val="single" w:sz="8" w:color="457157"/>
            </w:tcBorders>
            <w:gridSpan w:val="3"/>
          </w:tcPr>
          <w:p>
            <w:pPr>
              <w:spacing w:after="0"/>
              <w:rPr>
                <w:sz w:val="3"/>
                <w:szCs w:val="3"/>
                <w:color w:val="auto"/>
              </w:rPr>
            </w:pPr>
          </w:p>
        </w:tc>
        <w:tc>
          <w:tcPr>
            <w:tcW w:w="700" w:type="dxa"/>
            <w:vAlign w:val="bottom"/>
            <w:tcBorders>
              <w:bottom w:val="single" w:sz="8" w:color="457157"/>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​​28,665,838</w:t>
            </w:r>
            <w:r>
              <w:rPr>
                <w:rFonts w:ascii="Arial" w:cs="Arial" w:eastAsia="Arial" w:hAnsi="Arial"/>
                <w:sz w:val="23"/>
                <w:szCs w:val="23"/>
                <w:color w:val="auto"/>
                <w:vertAlign w:val="superscript"/>
              </w:rPr>
              <w:t>(4)</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 Hudson Yards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New York, NY 10001</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-1819275</wp:posOffset>
            </wp:positionV>
            <wp:extent cx="5760720" cy="4540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60720" cy="4540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-439420</wp:posOffset>
            </wp:positionV>
            <wp:extent cx="5760720" cy="4629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60720" cy="462915"/>
                    </a:xfrm>
                    <a:prstGeom prst="rect">
                      <a:avLst/>
                    </a:prstGeom>
                    <a:noFill/>
                  </pic:spPr>
                </pic:pic>
              </a:graphicData>
            </a:graphic>
          </wp:anchor>
        </w:drawing>
      </w:r>
    </w:p>
    <w:p>
      <w:pPr>
        <w:spacing w:after="0" w:line="52" w:lineRule="exact"/>
        <w:rPr>
          <w:sz w:val="20"/>
          <w:szCs w:val="20"/>
          <w:color w:val="auto"/>
        </w:rPr>
      </w:pPr>
    </w:p>
    <w:p>
      <w:pPr>
        <w:ind w:left="1180" w:right="60" w:hanging="364"/>
        <w:spacing w:after="0" w:line="28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is calculated based on 401,598,077 shares of Common Stock outstanding as of February 8, 2024, as reported on the cover of the most recent Annual Report on Form 10-K.</w:t>
      </w:r>
    </w:p>
    <w:p>
      <w:pPr>
        <w:spacing w:after="0" w:line="44" w:lineRule="exact"/>
        <w:rPr>
          <w:rFonts w:ascii="Arial" w:cs="Arial" w:eastAsia="Arial" w:hAnsi="Arial"/>
          <w:sz w:val="18"/>
          <w:szCs w:val="18"/>
          <w:color w:val="auto"/>
        </w:rPr>
      </w:pPr>
    </w:p>
    <w:p>
      <w:pPr>
        <w:jc w:val="both"/>
        <w:ind w:left="1180" w:right="40" w:hanging="364"/>
        <w:spacing w:after="0" w:line="262"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2024. The Vanguard Group reports that it has shared voting power over 521,224 shares of Common Stock, shared dispositive power over 1,655,291 shares of Common Stock and sole dispositive power over 34,504,565 shares of Common Stock beneficially owned.</w:t>
      </w:r>
    </w:p>
    <w:p>
      <w:pPr>
        <w:spacing w:after="0" w:line="68" w:lineRule="exact"/>
        <w:rPr>
          <w:rFonts w:ascii="Arial" w:cs="Arial" w:eastAsia="Arial" w:hAnsi="Arial"/>
          <w:sz w:val="18"/>
          <w:szCs w:val="18"/>
          <w:color w:val="auto"/>
        </w:rPr>
      </w:pPr>
    </w:p>
    <w:p>
      <w:pPr>
        <w:jc w:val="both"/>
        <w:ind w:left="1180" w:right="40" w:hanging="364"/>
        <w:spacing w:after="0" w:line="258"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10, 2023, which is the most recent Schedule 13G filed by the investor with respect to ownership of our Common Stock.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291" w:lineRule="exact"/>
        <w:rPr>
          <w:rFonts w:ascii="Arial" w:cs="Arial" w:eastAsia="Arial" w:hAnsi="Arial"/>
          <w:sz w:val="18"/>
          <w:szCs w:val="18"/>
          <w:color w:val="auto"/>
        </w:rPr>
      </w:pPr>
    </w:p>
    <w:p>
      <w:pPr>
        <w:jc w:val="both"/>
        <w:ind w:left="1180" w:right="40" w:hanging="364"/>
        <w:spacing w:after="0" w:line="260"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January 26, 2024. BlackRock, Inc. reports that it has sole voting power over 25,826,390 shares of Common Stock and sole dispositive power over 28,665,838</w:t>
      </w:r>
    </w:p>
    <w:p>
      <w:pPr>
        <w:spacing w:after="0" w:line="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shares of Common Stock beneficially owned.</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DELINQUENT SECTION 16(A) REPORTS</w:t>
      </w:r>
    </w:p>
    <w:p>
      <w:pPr>
        <w:spacing w:after="0" w:line="118" w:lineRule="exact"/>
        <w:rPr>
          <w:sz w:val="20"/>
          <w:szCs w:val="20"/>
          <w:color w:val="auto"/>
        </w:rPr>
      </w:pPr>
    </w:p>
    <w:p>
      <w:pPr>
        <w:jc w:val="both"/>
        <w:ind w:left="820" w:right="40"/>
        <w:spacing w:after="0" w:line="204"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Based on a review of the forms and written representations from our executive officers and directors, we are aware of one delinquent report. In April 2023, Ms. Nagy learned that her investment adviser executed unauthorized purchases of our Common Stock totaling 13 shares in her individual retirement account. The purchases occurred in 2022</w:t>
      </w:r>
      <w:r>
        <w:rPr>
          <w:rFonts w:ascii="Arial" w:cs="Arial" w:eastAsia="Arial" w:hAnsi="Arial"/>
          <w:sz w:val="32"/>
          <w:szCs w:val="32"/>
          <w:b w:val="1"/>
          <w:bCs w:val="1"/>
          <w:color w:val="457157"/>
        </w:rPr>
        <w:t>|</w:t>
      </w:r>
      <w:r>
        <w:rPr>
          <w:rFonts w:ascii="Arial" w:cs="Arial" w:eastAsia="Arial" w:hAnsi="Arial"/>
          <w:sz w:val="18"/>
          <w:szCs w:val="18"/>
          <w:color w:val="auto"/>
        </w:rPr>
        <w:t xml:space="preserve"> when Ms. Nagy was serving as Vice President and Chief Accounting Officer, although she</w:t>
      </w:r>
    </w:p>
    <w:p>
      <w:pPr>
        <w:ind w:left="820"/>
        <w:spacing w:after="0" w:line="195" w:lineRule="auto"/>
        <w:tabs>
          <w:tab w:leader="none" w:pos="2400" w:val="left"/>
        </w:tabs>
        <w:rPr>
          <w:sz w:val="20"/>
          <w:szCs w:val="20"/>
          <w:color w:val="auto"/>
        </w:rPr>
      </w:pPr>
      <w:r>
        <w:rPr>
          <w:rFonts w:ascii="Arial" w:cs="Arial" w:eastAsia="Arial" w:hAnsi="Arial"/>
          <w:sz w:val="13"/>
          <w:szCs w:val="13"/>
          <w:color w:val="auto"/>
        </w:rPr>
        <w:t>30</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-76200</wp:posOffset>
            </wp:positionV>
            <wp:extent cx="4718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both"/>
        <w:ind w:left="820" w:right="40"/>
        <w:spacing w:after="0" w:line="258" w:lineRule="auto"/>
        <w:rPr>
          <w:sz w:val="20"/>
          <w:szCs w:val="20"/>
          <w:color w:val="auto"/>
        </w:rPr>
      </w:pPr>
      <w:r>
        <w:rPr>
          <w:rFonts w:ascii="Arial" w:cs="Arial" w:eastAsia="Arial" w:hAnsi="Arial"/>
          <w:sz w:val="18"/>
          <w:szCs w:val="18"/>
          <w:color w:val="auto"/>
        </w:rPr>
        <w:t>transitioned to a new role with the Company in March 2023 and is no longer serving as an executive officer. Due to Ms. Nagy not being aware of the purchases, the transactions were not timely reported on a Form 4 but upon discovery were reported on a Form 4 in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OFFICERS</w:t>
      </w:r>
    </w:p>
    <w:p>
      <w:pPr>
        <w:spacing w:after="0" w:line="118" w:lineRule="exact"/>
        <w:rPr>
          <w:sz w:val="20"/>
          <w:szCs w:val="20"/>
          <w:color w:val="auto"/>
        </w:rPr>
      </w:pPr>
    </w:p>
    <w:p>
      <w:pPr>
        <w:jc w:val="both"/>
        <w:ind w:left="820" w:right="60"/>
        <w:spacing w:after="0" w:line="249"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the past five years (other than Mr. Fish, whose age, experience and qualifications are included in the director nominees section of this Proxy Statement). Unless otherwise specified, all prior positions listed below were with our Company.</w:t>
      </w:r>
    </w:p>
    <w:tbl>
      <w:tblPr>
        <w:tblLayout w:type="fixed"/>
        <w:tblInd w:w="820" w:type="dxa"/>
        <w:tblCellMar>
          <w:top w:w="0" w:type="dxa"/>
          <w:left w:w="0" w:type="dxa"/>
          <w:bottom w:w="0" w:type="dxa"/>
          <w:right w:w="0" w:type="dxa"/>
        </w:tblCellMar>
      </w:tblPr>
      <w:tr>
        <w:trPr>
          <w:trHeight w:val="307"/>
        </w:trPr>
        <w:tc>
          <w:tcPr>
            <w:tcW w:w="2040" w:type="dxa"/>
            <w:vAlign w:val="bottom"/>
          </w:tcPr>
          <w:p>
            <w:pPr>
              <w:ind w:left="20"/>
              <w:spacing w:after="0" w:line="308" w:lineRule="exact"/>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1000" w:type="dxa"/>
            <w:vAlign w:val="bottom"/>
          </w:tcPr>
          <w:p>
            <w:pPr>
              <w:jc w:val="right"/>
              <w:ind w:right="34"/>
              <w:spacing w:after="0" w:line="308" w:lineRule="exact"/>
              <w:rPr>
                <w:sz w:val="20"/>
                <w:szCs w:val="20"/>
                <w:color w:val="auto"/>
              </w:rPr>
            </w:pPr>
            <w:r>
              <w:rPr>
                <w:rFonts w:ascii="Arial" w:cs="Arial" w:eastAsia="Arial" w:hAnsi="Arial"/>
                <w:sz w:val="14"/>
                <w:szCs w:val="14"/>
                <w:b w:val="1"/>
                <w:bCs w:val="1"/>
                <w:color w:val="457157"/>
              </w:rPr>
              <w:t>​ ​</w:t>
            </w:r>
            <w:r>
              <w:rPr>
                <w:rFonts w:ascii="Arial" w:cs="Arial" w:eastAsia="Arial" w:hAnsi="Arial"/>
                <w:sz w:val="28"/>
                <w:szCs w:val="28"/>
                <w:b w:val="1"/>
                <w:bCs w:val="1"/>
                <w:color w:val="457157"/>
                <w:vertAlign w:val="superscript"/>
              </w:rPr>
              <w:t>Age</w:t>
            </w:r>
            <w:r>
              <w:rPr>
                <w:rFonts w:ascii="Arial" w:cs="Arial" w:eastAsia="Arial" w:hAnsi="Arial"/>
                <w:sz w:val="14"/>
                <w:szCs w:val="14"/>
                <w:b w:val="1"/>
                <w:bCs w:val="1"/>
                <w:color w:val="457157"/>
              </w:rPr>
              <w:t xml:space="preserve"> ​ ​</w:t>
            </w:r>
          </w:p>
        </w:tc>
        <w:tc>
          <w:tcPr>
            <w:tcW w:w="5960" w:type="dxa"/>
            <w:vAlign w:val="bottom"/>
          </w:tcPr>
          <w:p>
            <w:pPr>
              <w:ind w:left="660"/>
              <w:spacing w:after="0"/>
              <w:rPr>
                <w:sz w:val="20"/>
                <w:szCs w:val="20"/>
                <w:color w:val="auto"/>
              </w:rPr>
            </w:pPr>
            <w:r>
              <w:rPr>
                <w:rFonts w:ascii="Arial" w:cs="Arial" w:eastAsia="Arial" w:hAnsi="Arial"/>
                <w:sz w:val="14"/>
                <w:szCs w:val="14"/>
                <w:b w:val="1"/>
                <w:bCs w:val="1"/>
                <w:color w:val="457157"/>
              </w:rPr>
              <w:t>Positions Held and Business Experience for Past Five Years</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r>
      <w:tr>
        <w:trPr>
          <w:trHeight w:val="231"/>
        </w:trPr>
        <w:tc>
          <w:tcPr>
            <w:tcW w:w="2040" w:type="dxa"/>
            <w:vAlign w:val="bottom"/>
            <w:tcBorders>
              <w:top w:val="single" w:sz="8" w:color="457157"/>
            </w:tcBorders>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Charles C. Boettcher</w:t>
            </w:r>
          </w:p>
        </w:tc>
        <w:tc>
          <w:tcPr>
            <w:tcW w:w="1000" w:type="dxa"/>
            <w:vAlign w:val="bottom"/>
            <w:tcBorders>
              <w:top w:val="single" w:sz="8" w:color="457157"/>
            </w:tcBorders>
          </w:tcPr>
          <w:p>
            <w:pPr>
              <w:jc w:val="right"/>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50</w:t>
            </w:r>
            <w:r>
              <w:rPr>
                <w:rFonts w:ascii="Arial" w:cs="Arial" w:eastAsia="Arial" w:hAnsi="Arial"/>
                <w:sz w:val="15"/>
                <w:szCs w:val="15"/>
                <w:color w:val="auto"/>
              </w:rPr>
              <w:t xml:space="preserve"> ​ ​ </w:t>
            </w:r>
            <w:r>
              <w:rPr>
                <w:rFonts w:ascii="Arial" w:cs="Arial" w:eastAsia="Arial" w:hAnsi="Arial"/>
                <w:sz w:val="26"/>
                <w:szCs w:val="26"/>
                <w:color w:val="457157"/>
                <w:vertAlign w:val="subscript"/>
              </w:rPr>
              <w:t>•</w:t>
            </w:r>
          </w:p>
        </w:tc>
        <w:tc>
          <w:tcPr>
            <w:tcW w:w="6020" w:type="dxa"/>
            <w:vAlign w:val="bottom"/>
            <w:tcBorders>
              <w:top w:val="single" w:sz="8" w:color="457157"/>
            </w:tcBorders>
            <w:gridSpan w:val="2"/>
          </w:tcPr>
          <w:p>
            <w:pPr>
              <w:ind w:left="60"/>
              <w:spacing w:after="0" w:line="231" w:lineRule="exact"/>
              <w:rPr>
                <w:sz w:val="20"/>
                <w:szCs w:val="20"/>
                <w:color w:val="auto"/>
              </w:rPr>
            </w:pPr>
            <w:r>
              <w:rPr>
                <w:rFonts w:ascii="Arial" w:cs="Arial" w:eastAsia="Arial" w:hAnsi="Arial"/>
                <w:sz w:val="15"/>
                <w:szCs w:val="15"/>
                <w:color w:val="auto"/>
              </w:rPr>
              <w:t>Executive Vice President, Corporate Development and Chief Legal</w:t>
            </w:r>
            <w:r>
              <w:rPr>
                <w:rFonts w:ascii="Arial" w:cs="Arial" w:eastAsia="Arial" w:hAnsi="Arial"/>
                <w:sz w:val="26"/>
                <w:szCs w:val="26"/>
                <w:color w:val="auto"/>
                <w:vertAlign w:val="superscript"/>
              </w:rPr>
              <w:t>​</w:t>
            </w:r>
          </w:p>
        </w:tc>
        <w:tc>
          <w:tcPr>
            <w:tcW w:w="20" w:type="dxa"/>
            <w:vAlign w:val="bottom"/>
          </w:tcPr>
          <w:p>
            <w:pPr>
              <w:spacing w:after="0"/>
              <w:rPr>
                <w:sz w:val="20"/>
                <w:szCs w:val="20"/>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Officer since 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Corporate Development and Chief Legal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Officer from May 2019 to 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Legal Officer from 2017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May 2019.</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40" w:type="dxa"/>
            <w:vAlign w:val="bottom"/>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Rafael E. Carrasco</w:t>
            </w:r>
          </w:p>
        </w:tc>
        <w:tc>
          <w:tcPr>
            <w:tcW w:w="100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52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Enterprise Strategy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July 2021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Vice President — Greater Mid-Atlantic Area from 2017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040" w:type="dxa"/>
            <w:vAlign w:val="bottom"/>
            <w:tcBorders>
              <w:bottom w:val="single" w:sz="8" w:color="457157"/>
            </w:tcBorders>
          </w:tcPr>
          <w:p>
            <w:pPr>
              <w:spacing w:after="0"/>
              <w:rPr>
                <w:sz w:val="17"/>
                <w:szCs w:val="17"/>
                <w:color w:val="auto"/>
              </w:rPr>
            </w:pPr>
          </w:p>
        </w:tc>
        <w:tc>
          <w:tcPr>
            <w:tcW w:w="1000" w:type="dxa"/>
            <w:vAlign w:val="bottom"/>
            <w:tcBorders>
              <w:bottom w:val="single" w:sz="8" w:color="457157"/>
            </w:tcBorders>
          </w:tcPr>
          <w:p>
            <w:pPr>
              <w:spacing w:after="0"/>
              <w:rPr>
                <w:sz w:val="17"/>
                <w:szCs w:val="17"/>
                <w:color w:val="auto"/>
              </w:rPr>
            </w:pPr>
          </w:p>
        </w:tc>
        <w:tc>
          <w:tcPr>
            <w:tcW w:w="5960" w:type="dxa"/>
            <w:vAlign w:val="bottom"/>
            <w:tcBorders>
              <w:bottom w:val="single" w:sz="8" w:color="457157"/>
            </w:tcBorders>
          </w:tcPr>
          <w:p>
            <w:pPr>
              <w:ind w:left="60"/>
              <w:spacing w:after="0" w:line="202" w:lineRule="exact"/>
              <w:rPr>
                <w:sz w:val="20"/>
                <w:szCs w:val="20"/>
                <w:color w:val="auto"/>
              </w:rPr>
            </w:pPr>
            <w:r>
              <w:rPr>
                <w:rFonts w:ascii="Arial" w:cs="Arial" w:eastAsia="Arial" w:hAnsi="Arial"/>
                <w:sz w:val="18"/>
                <w:szCs w:val="18"/>
                <w:color w:val="auto"/>
              </w:rPr>
              <w:t>June 2021.</w:t>
            </w:r>
          </w:p>
        </w:tc>
        <w:tc>
          <w:tcPr>
            <w:tcW w:w="6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r>
      <w:tr>
        <w:trPr>
          <w:trHeight w:val="312"/>
        </w:trPr>
        <w:tc>
          <w:tcPr>
            <w:tcW w:w="2040" w:type="dxa"/>
            <w:vAlign w:val="bottom"/>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A. Carroll</w:t>
            </w:r>
          </w:p>
        </w:tc>
        <w:tc>
          <w:tcPr>
            <w:tcW w:w="1000" w:type="dxa"/>
            <w:vAlign w:val="bottom"/>
          </w:tcPr>
          <w:p>
            <w:pPr>
              <w:jc w:val="right"/>
              <w:spacing w:after="0"/>
              <w:rPr>
                <w:sz w:val="20"/>
                <w:szCs w:val="20"/>
                <w:color w:val="auto"/>
              </w:rPr>
            </w:pPr>
            <w:r>
              <w:rPr>
                <w:rFonts w:ascii="Arial" w:cs="Arial" w:eastAsia="Arial" w:hAnsi="Arial"/>
                <w:sz w:val="18"/>
                <w:szCs w:val="18"/>
                <w:color w:val="auto"/>
              </w:rPr>
              <w:t xml:space="preserve">​ ​ 51 ​ ​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Accounting Officer since March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9"/>
        </w:trPr>
        <w:tc>
          <w:tcPr>
            <w:tcW w:w="20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9" w:lineRule="exact"/>
              <w:rPr>
                <w:sz w:val="20"/>
                <w:szCs w:val="20"/>
                <w:color w:val="auto"/>
              </w:rPr>
            </w:pPr>
            <w:r>
              <w:rPr>
                <w:rFonts w:ascii="Arial" w:cs="Arial" w:eastAsia="Arial" w:hAnsi="Arial"/>
                <w:sz w:val="18"/>
                <w:szCs w:val="18"/>
                <w:color w:val="auto"/>
              </w:rPr>
              <w:t>Vice President, Internal Audit and Controls from 2018 to</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March 2023.</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​Christopher P. DeSantis ​ ​ 60 ​ ​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October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66"/>
        </w:trPr>
        <w:tc>
          <w:tcPr>
            <w:tcW w:w="2040" w:type="dxa"/>
            <w:vAlign w:val="bottom"/>
            <w:tcBorders>
              <w:bottom w:val="single" w:sz="8" w:color="457157"/>
            </w:tcBorders>
          </w:tcPr>
          <w:p>
            <w:pPr>
              <w:spacing w:after="0"/>
              <w:rPr>
                <w:sz w:val="23"/>
                <w:szCs w:val="23"/>
                <w:color w:val="auto"/>
              </w:rPr>
            </w:pPr>
          </w:p>
        </w:tc>
        <w:tc>
          <w:tcPr>
            <w:tcW w:w="100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Area Vice President — New England from 2009 to October 2023.</w:t>
            </w:r>
          </w:p>
        </w:tc>
        <w:tc>
          <w:tcPr>
            <w:tcW w:w="60" w:type="dxa"/>
            <w:vAlign w:val="bottom"/>
            <w:tcBorders>
              <w:bottom w:val="single" w:sz="8" w:color="457157"/>
            </w:tcBorders>
          </w:tcPr>
          <w:p>
            <w:pPr>
              <w:spacing w:after="0"/>
              <w:rPr>
                <w:sz w:val="23"/>
                <w:szCs w:val="23"/>
                <w:color w:val="auto"/>
              </w:rPr>
            </w:pPr>
          </w:p>
        </w:tc>
        <w:tc>
          <w:tcPr>
            <w:tcW w:w="20" w:type="dxa"/>
            <w:vAlign w:val="bottom"/>
          </w:tcPr>
          <w:p>
            <w:pPr>
              <w:spacing w:after="0"/>
              <w:rPr>
                <w:sz w:val="23"/>
                <w:szCs w:val="23"/>
                <w:color w:val="auto"/>
              </w:rPr>
            </w:pPr>
          </w:p>
        </w:tc>
      </w:tr>
      <w:tr>
        <w:trPr>
          <w:trHeight w:val="196"/>
        </w:trPr>
        <w:tc>
          <w:tcPr>
            <w:tcW w:w="204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Tara J. Hemmer</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 ​ 51 ​ ​ </w:t>
            </w:r>
            <w:r>
              <w:rPr>
                <w:rFonts w:ascii="Arial" w:cs="Arial" w:eastAsia="Arial" w:hAnsi="Arial"/>
                <w:sz w:val="18"/>
                <w:szCs w:val="18"/>
                <w:color w:val="457157"/>
              </w:rPr>
              <w:t>•</w:t>
            </w:r>
          </w:p>
        </w:tc>
        <w:tc>
          <w:tcPr>
            <w:tcW w:w="5960" w:type="dxa"/>
            <w:vAlign w:val="bottom"/>
          </w:tcPr>
          <w:p>
            <w:pPr>
              <w:ind w:left="60"/>
              <w:spacing w:after="0" w:line="196" w:lineRule="exact"/>
              <w:rPr>
                <w:sz w:val="20"/>
                <w:szCs w:val="20"/>
                <w:color w:val="auto"/>
              </w:rPr>
            </w:pPr>
            <w:r>
              <w:rPr>
                <w:rFonts w:ascii="Arial" w:cs="Arial" w:eastAsia="Arial" w:hAnsi="Arial"/>
                <w:sz w:val="18"/>
                <w:szCs w:val="18"/>
                <w:color w:val="auto"/>
              </w:rPr>
              <w:t>Senior Vice President and Chief Sustainability Officer since</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July 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January 2019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040" w:type="dxa"/>
            <w:vAlign w:val="bottom"/>
            <w:tcBorders>
              <w:bottom w:val="single" w:sz="8" w:color="457157"/>
            </w:tcBorders>
          </w:tcPr>
          <w:p>
            <w:pPr>
              <w:spacing w:after="0"/>
              <w:rPr>
                <w:sz w:val="17"/>
                <w:szCs w:val="17"/>
                <w:color w:val="auto"/>
              </w:rPr>
            </w:pPr>
          </w:p>
        </w:tc>
        <w:tc>
          <w:tcPr>
            <w:tcW w:w="1000" w:type="dxa"/>
            <w:vAlign w:val="bottom"/>
            <w:tcBorders>
              <w:bottom w:val="single" w:sz="8" w:color="457157"/>
            </w:tcBorders>
          </w:tcPr>
          <w:p>
            <w:pPr>
              <w:spacing w:after="0"/>
              <w:rPr>
                <w:sz w:val="17"/>
                <w:szCs w:val="17"/>
                <w:color w:val="auto"/>
              </w:rPr>
            </w:pPr>
          </w:p>
        </w:tc>
        <w:tc>
          <w:tcPr>
            <w:tcW w:w="5960" w:type="dxa"/>
            <w:vAlign w:val="bottom"/>
            <w:tcBorders>
              <w:bottom w:val="single" w:sz="8" w:color="457157"/>
            </w:tcBorders>
          </w:tcPr>
          <w:p>
            <w:pPr>
              <w:ind w:left="60"/>
              <w:spacing w:after="0" w:line="202" w:lineRule="exact"/>
              <w:rPr>
                <w:sz w:val="20"/>
                <w:szCs w:val="20"/>
                <w:color w:val="auto"/>
              </w:rPr>
            </w:pPr>
            <w:r>
              <w:rPr>
                <w:rFonts w:ascii="Arial" w:cs="Arial" w:eastAsia="Arial" w:hAnsi="Arial"/>
                <w:sz w:val="18"/>
                <w:szCs w:val="18"/>
                <w:color w:val="auto"/>
              </w:rPr>
              <w:t>June 2021.</w:t>
            </w:r>
          </w:p>
        </w:tc>
        <w:tc>
          <w:tcPr>
            <w:tcW w:w="6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2040" w:type="dxa"/>
            <w:vAlign w:val="bottom"/>
          </w:tcPr>
          <w:p>
            <w:pPr>
              <w:spacing w:after="0" w:line="190"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John J. Morris, Jr.</w:t>
            </w:r>
          </w:p>
        </w:tc>
        <w:tc>
          <w:tcPr>
            <w:tcW w:w="1000" w:type="dxa"/>
            <w:vAlign w:val="bottom"/>
          </w:tcPr>
          <w:p>
            <w:pPr>
              <w:jc w:val="right"/>
              <w:spacing w:after="0" w:line="19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2"/>
                <w:szCs w:val="22"/>
                <w:color w:val="auto"/>
                <w:vertAlign w:val="subscript"/>
              </w:rPr>
              <w:t>54</w:t>
            </w:r>
            <w:r>
              <w:rPr>
                <w:rFonts w:ascii="Arial" w:cs="Arial" w:eastAsia="Arial" w:hAnsi="Arial"/>
                <w:sz w:val="13"/>
                <w:szCs w:val="13"/>
                <w:color w:val="auto"/>
              </w:rPr>
              <w:t xml:space="preserve"> ​ ​ </w:t>
            </w:r>
            <w:r>
              <w:rPr>
                <w:rFonts w:ascii="Arial" w:cs="Arial" w:eastAsia="Arial" w:hAnsi="Arial"/>
                <w:sz w:val="22"/>
                <w:szCs w:val="22"/>
                <w:color w:val="457157"/>
                <w:vertAlign w:val="subscript"/>
              </w:rPr>
              <w:t>•</w:t>
            </w:r>
          </w:p>
        </w:tc>
        <w:tc>
          <w:tcPr>
            <w:tcW w:w="5960" w:type="dxa"/>
            <w:vAlign w:val="bottom"/>
          </w:tcPr>
          <w:p>
            <w:pPr>
              <w:ind w:left="60"/>
              <w:spacing w:after="0" w:line="191" w:lineRule="exact"/>
              <w:rPr>
                <w:sz w:val="20"/>
                <w:szCs w:val="20"/>
                <w:color w:val="auto"/>
              </w:rPr>
            </w:pPr>
            <w:r>
              <w:rPr>
                <w:rFonts w:ascii="Arial" w:cs="Arial" w:eastAsia="Arial" w:hAnsi="Arial"/>
                <w:sz w:val="18"/>
                <w:szCs w:val="18"/>
                <w:color w:val="auto"/>
              </w:rPr>
              <w:t>Executive Vice President and Chief Operating Officer since</w:t>
            </w:r>
          </w:p>
        </w:tc>
        <w:tc>
          <w:tcPr>
            <w:tcW w:w="6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January 2019.</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4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Devina A. Rankin</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 ​ 48 ​ ​ </w:t>
            </w:r>
            <w:r>
              <w:rPr>
                <w:rFonts w:ascii="Arial" w:cs="Arial" w:eastAsia="Arial" w:hAnsi="Arial"/>
                <w:sz w:val="18"/>
                <w:szCs w:val="18"/>
                <w:color w:val="457157"/>
              </w:rPr>
              <w:t>•</w:t>
            </w:r>
          </w:p>
        </w:tc>
        <w:tc>
          <w:tcPr>
            <w:tcW w:w="5960" w:type="dxa"/>
            <w:vAlign w:val="bottom"/>
          </w:tcPr>
          <w:p>
            <w:pPr>
              <w:ind w:left="60"/>
              <w:spacing w:after="0" w:line="196" w:lineRule="exact"/>
              <w:rPr>
                <w:sz w:val="20"/>
                <w:szCs w:val="20"/>
                <w:color w:val="auto"/>
              </w:rPr>
            </w:pPr>
            <w:r>
              <w:rPr>
                <w:rFonts w:ascii="Arial" w:cs="Arial" w:eastAsia="Arial" w:hAnsi="Arial"/>
                <w:sz w:val="18"/>
                <w:szCs w:val="18"/>
                <w:color w:val="auto"/>
              </w:rPr>
              <w:t>Executive Vice President and Chief Financial Officer since</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 from 2017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040" w:type="dxa"/>
            <w:vAlign w:val="bottom"/>
            <w:tcBorders>
              <w:bottom w:val="single" w:sz="8" w:color="457157"/>
            </w:tcBorders>
          </w:tcPr>
          <w:p>
            <w:pPr>
              <w:spacing w:after="0"/>
              <w:rPr>
                <w:sz w:val="17"/>
                <w:szCs w:val="17"/>
                <w:color w:val="auto"/>
              </w:rPr>
            </w:pPr>
          </w:p>
        </w:tc>
        <w:tc>
          <w:tcPr>
            <w:tcW w:w="1000" w:type="dxa"/>
            <w:vAlign w:val="bottom"/>
            <w:tcBorders>
              <w:bottom w:val="single" w:sz="8" w:color="457157"/>
            </w:tcBorders>
          </w:tcPr>
          <w:p>
            <w:pPr>
              <w:spacing w:after="0"/>
              <w:rPr>
                <w:sz w:val="17"/>
                <w:szCs w:val="17"/>
                <w:color w:val="auto"/>
              </w:rPr>
            </w:pPr>
          </w:p>
        </w:tc>
        <w:tc>
          <w:tcPr>
            <w:tcW w:w="5960" w:type="dxa"/>
            <w:vAlign w:val="bottom"/>
            <w:tcBorders>
              <w:bottom w:val="single" w:sz="8" w:color="457157"/>
            </w:tcBorders>
          </w:tcPr>
          <w:p>
            <w:pPr>
              <w:ind w:left="60"/>
              <w:spacing w:after="0" w:line="202" w:lineRule="exact"/>
              <w:rPr>
                <w:sz w:val="20"/>
                <w:szCs w:val="20"/>
                <w:color w:val="auto"/>
              </w:rPr>
            </w:pPr>
            <w:r>
              <w:rPr>
                <w:rFonts w:ascii="Arial" w:cs="Arial" w:eastAsia="Arial" w:hAnsi="Arial"/>
                <w:sz w:val="18"/>
                <w:szCs w:val="18"/>
                <w:color w:val="auto"/>
              </w:rPr>
              <w:t>February 2020.</w:t>
            </w:r>
          </w:p>
        </w:tc>
        <w:tc>
          <w:tcPr>
            <w:tcW w:w="6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40" w:type="dxa"/>
            <w:vAlign w:val="bottom"/>
          </w:tcPr>
          <w:p>
            <w:pPr>
              <w:spacing w:after="0" w:line="21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Kelly C. Rooney</w:t>
            </w:r>
          </w:p>
        </w:tc>
        <w:tc>
          <w:tcPr>
            <w:tcW w:w="1000" w:type="dxa"/>
            <w:vAlign w:val="bottom"/>
          </w:tcPr>
          <w:p>
            <w:pPr>
              <w:jc w:val="right"/>
              <w:spacing w:after="0" w:line="217"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5"/>
                <w:szCs w:val="25"/>
                <w:color w:val="auto"/>
                <w:vertAlign w:val="subscript"/>
              </w:rPr>
              <w:t>50</w:t>
            </w:r>
            <w:r>
              <w:rPr>
                <w:rFonts w:ascii="Arial" w:cs="Arial" w:eastAsia="Arial" w:hAnsi="Arial"/>
                <w:sz w:val="14"/>
                <w:szCs w:val="14"/>
                <w:color w:val="auto"/>
              </w:rPr>
              <w:t xml:space="preserve"> ​ ​ </w:t>
            </w:r>
            <w:r>
              <w:rPr>
                <w:rFonts w:ascii="Arial" w:cs="Arial" w:eastAsia="Arial" w:hAnsi="Arial"/>
                <w:sz w:val="25"/>
                <w:szCs w:val="25"/>
                <w:color w:val="457157"/>
                <w:vertAlign w:val="subscript"/>
              </w:rPr>
              <w:t>•</w:t>
            </w:r>
          </w:p>
        </w:tc>
        <w:tc>
          <w:tcPr>
            <w:tcW w:w="6020" w:type="dxa"/>
            <w:vAlign w:val="bottom"/>
            <w:gridSpan w:val="2"/>
          </w:tcPr>
          <w:p>
            <w:pPr>
              <w:ind w:left="60"/>
              <w:spacing w:after="0" w:line="217" w:lineRule="exact"/>
              <w:rPr>
                <w:sz w:val="20"/>
                <w:szCs w:val="20"/>
                <w:color w:val="auto"/>
              </w:rPr>
            </w:pPr>
            <w:r>
              <w:rPr>
                <w:rFonts w:ascii="Arial" w:cs="Arial" w:eastAsia="Arial" w:hAnsi="Arial"/>
                <w:sz w:val="14"/>
                <w:szCs w:val="14"/>
                <w:color w:val="auto"/>
              </w:rPr>
              <w:t>Senior Vice President and Chief Human Resources and Diversity</w:t>
            </w:r>
            <w:r>
              <w:rPr>
                <w:rFonts w:ascii="Arial" w:cs="Arial" w:eastAsia="Arial" w:hAnsi="Arial"/>
                <w:sz w:val="25"/>
                <w:szCs w:val="25"/>
                <w:color w:val="auto"/>
                <w:vertAlign w:val="superscript"/>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&amp; Inclusion Officer since February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People Officer from August 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February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 People Solutions from September 2021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August 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General Manager from July 2020 to September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Director Collection Operations from April 2019 to July 2020.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Regional Manager, Advanced Disposal Services, Inc. (a waste and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environmental  services  company  acquired  by  our  Company  in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2020), from 2015 to April 2019.</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2040" w:type="dxa"/>
            <w:vAlign w:val="bottom"/>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Donald J. Smith</w:t>
            </w:r>
          </w:p>
        </w:tc>
        <w:tc>
          <w:tcPr>
            <w:tcW w:w="1000" w:type="dxa"/>
            <w:vAlign w:val="bottom"/>
          </w:tcPr>
          <w:p>
            <w:pPr>
              <w:jc w:val="right"/>
              <w:spacing w:after="0"/>
              <w:rPr>
                <w:sz w:val="20"/>
                <w:szCs w:val="20"/>
                <w:color w:val="auto"/>
              </w:rPr>
            </w:pPr>
            <w:r>
              <w:rPr>
                <w:rFonts w:ascii="Arial" w:cs="Arial" w:eastAsia="Arial" w:hAnsi="Arial"/>
                <w:sz w:val="18"/>
                <w:szCs w:val="18"/>
                <w:color w:val="auto"/>
              </w:rPr>
              <w:t xml:space="preserve">​ ​ 57 ​ ​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January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9"/>
        </w:trPr>
        <w:tc>
          <w:tcPr>
            <w:tcW w:w="20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9" w:lineRule="exact"/>
              <w:rPr>
                <w:sz w:val="20"/>
                <w:szCs w:val="20"/>
                <w:color w:val="auto"/>
              </w:rPr>
            </w:pPr>
            <w:r>
              <w:rPr>
                <w:rFonts w:ascii="Arial" w:cs="Arial" w:eastAsia="Arial" w:hAnsi="Arial"/>
                <w:sz w:val="18"/>
                <w:szCs w:val="18"/>
                <w:color w:val="auto"/>
              </w:rPr>
              <w:t>Area Vice President — Texas &amp; Oklahoma Area from 2012 to</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December 2022.</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4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Johnson Varkey</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 ​ 52 ​ ​ </w:t>
            </w:r>
            <w:r>
              <w:rPr>
                <w:rFonts w:ascii="Arial" w:cs="Arial" w:eastAsia="Arial" w:hAnsi="Arial"/>
                <w:sz w:val="18"/>
                <w:szCs w:val="18"/>
                <w:color w:val="457157"/>
              </w:rPr>
              <w:t>•</w:t>
            </w:r>
          </w:p>
        </w:tc>
        <w:tc>
          <w:tcPr>
            <w:tcW w:w="5960" w:type="dxa"/>
            <w:vAlign w:val="bottom"/>
          </w:tcPr>
          <w:p>
            <w:pPr>
              <w:ind w:left="60"/>
              <w:spacing w:after="0" w:line="196" w:lineRule="exact"/>
              <w:rPr>
                <w:sz w:val="20"/>
                <w:szCs w:val="20"/>
                <w:color w:val="auto"/>
              </w:rPr>
            </w:pPr>
            <w:r>
              <w:rPr>
                <w:rFonts w:ascii="Arial" w:cs="Arial" w:eastAsia="Arial" w:hAnsi="Arial"/>
                <w:sz w:val="18"/>
                <w:szCs w:val="18"/>
                <w:color w:val="auto"/>
              </w:rPr>
              <w:t>Senior Vice President and Chief Information Officer since</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January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Information Officer from March 2023 to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December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 Enterprise Digital Services from September 2019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March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Information Officer, Centrica (an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international energy and services company) from March 2019 to</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August 2019.</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40" w:type="dxa"/>
            <w:vAlign w:val="bottom"/>
            <w:tcBorders>
              <w:bottom w:val="single" w:sz="8" w:color="457157"/>
            </w:tcBorders>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Michael J. Watson</w:t>
            </w:r>
          </w:p>
        </w:tc>
        <w:tc>
          <w:tcPr>
            <w:tcW w:w="1000" w:type="dxa"/>
            <w:vAlign w:val="bottom"/>
            <w:tcBorders>
              <w:bottom w:val="single" w:sz="8" w:color="457157"/>
            </w:tcBorders>
          </w:tcPr>
          <w:p>
            <w:pPr>
              <w:jc w:val="right"/>
              <w:spacing w:after="0" w:line="21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4"/>
                <w:szCs w:val="24"/>
                <w:color w:val="auto"/>
                <w:vertAlign w:val="subscript"/>
              </w:rPr>
              <w:t>54</w:t>
            </w:r>
            <w:r>
              <w:rPr>
                <w:rFonts w:ascii="Arial" w:cs="Arial" w:eastAsia="Arial" w:hAnsi="Arial"/>
                <w:sz w:val="14"/>
                <w:szCs w:val="14"/>
                <w:color w:val="auto"/>
              </w:rPr>
              <w:t xml:space="preserve"> ​ ​ </w:t>
            </w:r>
            <w:r>
              <w:rPr>
                <w:rFonts w:ascii="Arial" w:cs="Arial" w:eastAsia="Arial" w:hAnsi="Arial"/>
                <w:sz w:val="24"/>
                <w:szCs w:val="24"/>
                <w:color w:val="457157"/>
                <w:vertAlign w:val="subscript"/>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Senior Vice President and Chief Customer Officer since 2018.</w:t>
            </w:r>
          </w:p>
        </w:tc>
        <w:tc>
          <w:tcPr>
            <w:tcW w:w="6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6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609"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COMPENSATION</w:t>
      </w:r>
      <w:r>
        <w:rPr>
          <w:rFonts w:ascii="Times New Roman" w:cs="Times New Roman" w:eastAsia="Times New Roman" w:hAnsi="Times New Roman"/>
          <w:sz w:val="64"/>
          <w:szCs w:val="64"/>
          <w:color w:val="000000"/>
        </w:rPr>
        <w:t>​</w:t>
      </w:r>
    </w:p>
    <w:p>
      <w:pPr>
        <w:spacing w:after="0" w:line="95" w:lineRule="exact"/>
        <w:rPr>
          <w:sz w:val="20"/>
          <w:szCs w:val="20"/>
          <w:color w:val="auto"/>
        </w:rPr>
      </w:pPr>
    </w:p>
    <w:p>
      <w:pPr>
        <w:ind w:left="820" w:right="3880"/>
        <w:spacing w:after="0" w:line="339" w:lineRule="auto"/>
        <w:rPr>
          <w:sz w:val="20"/>
          <w:szCs w:val="20"/>
          <w:color w:val="auto"/>
        </w:rPr>
      </w:pPr>
      <w:r>
        <w:rPr>
          <w:rFonts w:ascii="Arial" w:cs="Arial" w:eastAsia="Arial" w:hAnsi="Arial"/>
          <w:sz w:val="22"/>
          <w:szCs w:val="22"/>
          <w:b w:val="1"/>
          <w:bCs w:val="1"/>
          <w:color w:val="457157"/>
        </w:rPr>
        <w:t>COMPENSATION DISCUSSION AND ANALYSIS Introduction</w:t>
      </w:r>
    </w:p>
    <w:p>
      <w:pPr>
        <w:spacing w:after="0" w:line="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2023 aligned with the Company’s 2023 financial goals and performance. The Compensation Discussion and Analysis helps readers better understand the information found in the Summary Compensation Table and other accompanying tables included in this Proxy Statement.</w:t>
      </w:r>
    </w:p>
    <w:p>
      <w:pPr>
        <w:spacing w:after="0" w:line="74" w:lineRule="exact"/>
        <w:rPr>
          <w:sz w:val="20"/>
          <w:szCs w:val="20"/>
          <w:color w:val="auto"/>
        </w:rPr>
      </w:pPr>
    </w:p>
    <w:p>
      <w:pPr>
        <w:jc w:val="both"/>
        <w:ind w:left="820"/>
        <w:spacing w:after="0" w:line="278"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2023, whom we refer to as the “named executive officers” or “named executives”:</w:t>
      </w:r>
    </w:p>
    <w:p>
      <w:pPr>
        <w:spacing w:after="0" w:line="276" w:lineRule="exact"/>
        <w:rPr>
          <w:sz w:val="20"/>
          <w:szCs w:val="20"/>
          <w:color w:val="auto"/>
        </w:rPr>
      </w:pPr>
    </w:p>
    <w:p>
      <w:pPr>
        <w:ind w:left="1360" w:hanging="184"/>
        <w:spacing w:after="0"/>
        <w:tabs>
          <w:tab w:leader="none" w:pos="1360" w:val="left"/>
        </w:tabs>
        <w:numPr>
          <w:ilvl w:val="0"/>
          <w:numId w:val="20"/>
        </w:numPr>
        <w:rPr>
          <w:rFonts w:ascii="Arial" w:cs="Arial" w:eastAsia="Arial" w:hAnsi="Arial"/>
          <w:sz w:val="18"/>
          <w:szCs w:val="18"/>
          <w:color w:val="457157"/>
        </w:rPr>
      </w:pPr>
      <w:r>
        <w:rPr>
          <w:rFonts w:ascii="Arial" w:cs="Arial" w:eastAsia="Arial" w:hAnsi="Arial"/>
          <w:sz w:val="18"/>
          <w:szCs w:val="18"/>
          <w:color w:val="auto"/>
        </w:rPr>
        <w:t>Mr. James C. Fish, Jr. — President and Chief Executive Officer since November 2016.</w:t>
      </w:r>
    </w:p>
    <w:p>
      <w:pPr>
        <w:spacing w:after="0" w:line="117" w:lineRule="exact"/>
        <w:rPr>
          <w:rFonts w:ascii="Arial" w:cs="Arial" w:eastAsia="Arial" w:hAnsi="Arial"/>
          <w:sz w:val="18"/>
          <w:szCs w:val="18"/>
          <w:color w:val="457157"/>
        </w:rPr>
      </w:pPr>
    </w:p>
    <w:p>
      <w:pPr>
        <w:ind w:left="1360" w:right="1200" w:hanging="184"/>
        <w:spacing w:after="0" w:line="287" w:lineRule="auto"/>
        <w:tabs>
          <w:tab w:leader="none" w:pos="1360" w:val="left"/>
        </w:tabs>
        <w:numPr>
          <w:ilvl w:val="0"/>
          <w:numId w:val="20"/>
        </w:numPr>
        <w:rPr>
          <w:rFonts w:ascii="Arial" w:cs="Arial" w:eastAsia="Arial" w:hAnsi="Arial"/>
          <w:sz w:val="18"/>
          <w:szCs w:val="18"/>
          <w:color w:val="457157"/>
        </w:rPr>
      </w:pPr>
      <w:r>
        <w:rPr>
          <w:rFonts w:ascii="Arial" w:cs="Arial" w:eastAsia="Arial" w:hAnsi="Arial"/>
          <w:sz w:val="18"/>
          <w:szCs w:val="18"/>
          <w:color w:val="auto"/>
        </w:rPr>
        <w:t>Ms. Devina A. Rankin — Executive Vice President and Chief Financial Officer since February 2020.</w:t>
      </w:r>
    </w:p>
    <w:p>
      <w:pPr>
        <w:spacing w:after="0" w:line="44" w:lineRule="exact"/>
        <w:rPr>
          <w:rFonts w:ascii="Arial" w:cs="Arial" w:eastAsia="Arial" w:hAnsi="Arial"/>
          <w:sz w:val="18"/>
          <w:szCs w:val="18"/>
          <w:color w:val="457157"/>
        </w:rPr>
      </w:pPr>
    </w:p>
    <w:p>
      <w:pPr>
        <w:ind w:left="1360" w:right="1120" w:hanging="184"/>
        <w:spacing w:after="0" w:line="287" w:lineRule="auto"/>
        <w:tabs>
          <w:tab w:leader="none" w:pos="1360" w:val="left"/>
        </w:tabs>
        <w:numPr>
          <w:ilvl w:val="0"/>
          <w:numId w:val="20"/>
        </w:numPr>
        <w:rPr>
          <w:rFonts w:ascii="Arial" w:cs="Arial" w:eastAsia="Arial" w:hAnsi="Arial"/>
          <w:sz w:val="18"/>
          <w:szCs w:val="18"/>
          <w:color w:val="457157"/>
        </w:rPr>
      </w:pPr>
      <w:r>
        <w:rPr>
          <w:rFonts w:ascii="Arial" w:cs="Arial" w:eastAsia="Arial" w:hAnsi="Arial"/>
          <w:sz w:val="18"/>
          <w:szCs w:val="18"/>
          <w:color w:val="auto"/>
        </w:rPr>
        <w:t>Mr. John J. Morris, Jr. — Executive Vice President and Chief Operating Officer since January 2019.</w:t>
      </w:r>
    </w:p>
    <w:p>
      <w:pPr>
        <w:spacing w:after="0" w:line="44" w:lineRule="exact"/>
        <w:rPr>
          <w:rFonts w:ascii="Arial" w:cs="Arial" w:eastAsia="Arial" w:hAnsi="Arial"/>
          <w:sz w:val="18"/>
          <w:szCs w:val="18"/>
          <w:color w:val="457157"/>
        </w:rPr>
      </w:pPr>
    </w:p>
    <w:p>
      <w:pPr>
        <w:ind w:left="1360" w:hanging="184"/>
        <w:spacing w:after="0" w:line="287" w:lineRule="auto"/>
        <w:tabs>
          <w:tab w:leader="none" w:pos="1360" w:val="left"/>
        </w:tabs>
        <w:numPr>
          <w:ilvl w:val="0"/>
          <w:numId w:val="20"/>
        </w:numPr>
        <w:rPr>
          <w:rFonts w:ascii="Arial" w:cs="Arial" w:eastAsia="Arial" w:hAnsi="Arial"/>
          <w:sz w:val="18"/>
          <w:szCs w:val="18"/>
          <w:color w:val="457157"/>
        </w:rPr>
      </w:pPr>
      <w:r>
        <w:rPr>
          <w:rFonts w:ascii="Arial" w:cs="Arial" w:eastAsia="Arial" w:hAnsi="Arial"/>
          <w:sz w:val="18"/>
          <w:szCs w:val="18"/>
          <w:color w:val="auto"/>
        </w:rPr>
        <w:t>Mr. Rafael E. Carrasco — Senior Vice President — Operations from July 2021 to September 2023; Senior Vice President — Enterprise Strategy since September 2023.</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20"/>
        </w:numPr>
        <w:rPr>
          <w:rFonts w:ascii="Arial" w:cs="Arial" w:eastAsia="Arial" w:hAnsi="Arial"/>
          <w:sz w:val="18"/>
          <w:szCs w:val="18"/>
          <w:color w:val="457157"/>
        </w:rPr>
      </w:pPr>
      <w:r>
        <w:rPr>
          <w:rFonts w:ascii="Arial" w:cs="Arial" w:eastAsia="Arial" w:hAnsi="Arial"/>
          <w:sz w:val="18"/>
          <w:szCs w:val="18"/>
          <w:color w:val="auto"/>
        </w:rPr>
        <w:t>Ms. Tara J. Hemmer — Senior Vice President and Chief Sustainability Officer since July 2021.</w:t>
      </w:r>
    </w:p>
    <w:p>
      <w:pPr>
        <w:spacing w:after="0" w:line="117" w:lineRule="exact"/>
        <w:rPr>
          <w:sz w:val="20"/>
          <w:szCs w:val="20"/>
          <w:color w:val="auto"/>
        </w:rPr>
      </w:pPr>
    </w:p>
    <w:p>
      <w:pPr>
        <w:jc w:val="both"/>
        <w:ind w:left="820" w:right="20"/>
        <w:spacing w:after="0" w:line="287" w:lineRule="auto"/>
        <w:rPr>
          <w:sz w:val="20"/>
          <w:szCs w:val="20"/>
          <w:color w:val="auto"/>
        </w:rPr>
      </w:pPr>
      <w:r>
        <w:rPr>
          <w:rFonts w:ascii="Arial" w:cs="Arial" w:eastAsia="Arial" w:hAnsi="Arial"/>
          <w:sz w:val="18"/>
          <w:szCs w:val="18"/>
          <w:color w:val="auto"/>
        </w:rPr>
        <w:t>For additional information about the named executives’ background and prior experience with the Company, see “Executive Officers” above.</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Executive Summary</w:t>
      </w:r>
    </w:p>
    <w:p>
      <w:pPr>
        <w:spacing w:after="0" w:line="126"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88"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We have enabled a people-first, technology-led focus to deliver on our brand promise, ALWAYS WORKING FOR A SUSTAINAIBLE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pacing w:after="0" w:line="200" w:lineRule="exact"/>
        <w:rPr>
          <w:sz w:val="20"/>
          <w:szCs w:val="20"/>
          <w:color w:val="auto"/>
        </w:rPr>
      </w:pPr>
    </w:p>
    <w:p>
      <w:pPr>
        <w:spacing w:after="0" w:line="312"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3" w:lineRule="exact"/>
        <w:rPr>
          <w:sz w:val="20"/>
          <w:szCs w:val="20"/>
          <w:color w:val="auto"/>
        </w:rPr>
      </w:pPr>
    </w:p>
    <w:p>
      <w:pPr>
        <w:jc w:val="both"/>
        <w:ind w:left="1360" w:hanging="184"/>
        <w:spacing w:after="0" w:line="259" w:lineRule="auto"/>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2023 and the 2023 annual cash incentive award;</w:t>
      </w:r>
    </w:p>
    <w:p>
      <w:pPr>
        <w:spacing w:after="0" w:line="71" w:lineRule="exact"/>
        <w:rPr>
          <w:rFonts w:ascii="Arial" w:cs="Arial" w:eastAsia="Arial" w:hAnsi="Arial"/>
          <w:sz w:val="18"/>
          <w:szCs w:val="18"/>
          <w:color w:val="457157"/>
        </w:rPr>
      </w:pPr>
    </w:p>
    <w:p>
      <w:pPr>
        <w:jc w:val="both"/>
        <w:ind w:left="1360" w:hanging="184"/>
        <w:spacing w:after="0" w:line="265" w:lineRule="auto"/>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at target, 73% of total compensation of our President and Chief Executive Officer was tied to long-term equity awards, and 61%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6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1360" w:right="60" w:hanging="184"/>
        <w:spacing w:after="0" w:line="287"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6"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287" w:lineRule="exact"/>
        <w:rPr>
          <w:rFonts w:ascii="Arial" w:cs="Arial" w:eastAsia="Arial" w:hAnsi="Arial"/>
          <w:sz w:val="18"/>
          <w:szCs w:val="18"/>
          <w:color w:val="457157"/>
        </w:rPr>
      </w:pPr>
    </w:p>
    <w:p>
      <w:pPr>
        <w:jc w:val="both"/>
        <w:ind w:left="1360" w:right="60" w:hanging="184"/>
        <w:spacing w:after="0" w:line="278"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(the “Severance Limitation Policy”); and</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the Company has adopted a policy that prohibits it from entering into agreements with executive officers that provide for certain death benefits or tax gross-up payments.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2023 Compensation Program Results and Company Performance</w:t>
      </w:r>
    </w:p>
    <w:p>
      <w:pPr>
        <w:spacing w:after="0" w:line="11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During 2023, we continued to focus on our priorities to advance our strategy — enhancing employee engagement, permanently reducing our cost to serve through the use of technology and automation, and investing in growth through our recycling and renewable energy businesses. This strategic focus, combined with strong operational execution, resulted in increased revenue, income from operations and income from operations margin. We remain diligent in offering a competitive and differentiated service that meets the needs of our customers, and we are focused on driving operating efficiencies and reducing discretionary spend. We continue to invest in our people through market wage adjustments, investments in our digital platform and training for our team members. We also continue to make investments in automation and optimization to enhance our operational efficiency and improve labor productivity for all lines of business. The Company allocated $2.438 billion of available cash to our shareholders during 2023 through dividends and Common Stock repurchases. During 2023, the Company allocated $2.895 billion of available cash to capital expenditures. The increase in capital spending continues to be driven in large part by our acceleration of investments in our recycling and renewable energy businesses.</w:t>
      </w: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Following is a summary of the 2023 compensation program results:</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115"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With respect to the half of the performance share units (“PSUs”) granted in 2021 with a three-year performance period ended December 31, 2023 that was subject to total shareholder return relative to the S&amp;P 500 (“TSR PSUs”), the performance of the Company’s Common Stock on this measure translated into a percentile rank relative to the S&amp;P 500 of 77.27%, resulting in a maximum 200% payout on these PSUs in shares of Common Stock. This performance directly benefited our stockholders, delivering total shareholder return of 58.25% over the three-year performance period.</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11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2021, of $7.789 billion, exceeding the target performance level of $7.032 billion and the maximum performance level of $7.50 billion for the three-year performance period ended December 31, 2023. These results exclude the impact of $1.325 billion of incremental sustainability growth investments in 2022 and 2023, as such capital expenditures were not contemplated at the time this performance measure was established but were subsequently approved by our Board in furtherance of the Company’s strategy. This performance resulted in a 200% payout on these PSUs in shares of Common Stock. The robust</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2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cash flow generation of our business over the three-year performance period has allowed the Company to fulfill its priorities of investing in the business, funding acquisitions with strong returns, and returning available cash to stockholders through dividend growth and Common Stock repurchases.</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Annual Cash Incentive Performance Measures</w:t>
      </w:r>
    </w:p>
    <w:p>
      <w:pPr>
        <w:spacing w:after="0" w:line="115"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Additional information about the definition and calculation of these performance measures is below under “Named Executives’ 2023 Compensation Program and Results — Annual Cash Incentive.” Based on these financial results, the named executives earned an annual cash incentive payment for 2023 equal to 117.85% of target.</w:t>
      </w:r>
    </w:p>
    <w:p>
      <w:pPr>
        <w:spacing w:after="0" w:line="71" w:lineRule="exact"/>
        <w:rPr>
          <w:sz w:val="20"/>
          <w:szCs w:val="20"/>
          <w:color w:val="auto"/>
        </w:rPr>
      </w:pPr>
    </w:p>
    <w:p>
      <w:pPr>
        <w:jc w:val="both"/>
        <w:ind w:left="1180" w:right="60"/>
        <w:spacing w:after="0" w:line="261" w:lineRule="auto"/>
        <w:rPr>
          <w:sz w:val="20"/>
          <w:szCs w:val="20"/>
          <w:color w:val="auto"/>
        </w:rPr>
      </w:pPr>
      <w:r>
        <w:rPr>
          <w:rFonts w:ascii="Arial" w:cs="Arial" w:eastAsia="Arial" w:hAnsi="Arial"/>
          <w:sz w:val="18"/>
          <w:szCs w:val="18"/>
          <w:b w:val="1"/>
          <w:bCs w:val="1"/>
          <w:i w:val="1"/>
          <w:iCs w:val="1"/>
          <w:color w:val="auto"/>
        </w:rPr>
        <w:t xml:space="preserve">Operating EBITDA </w:t>
      </w:r>
      <w:r>
        <w:rPr>
          <w:rFonts w:ascii="Arial" w:cs="Arial" w:eastAsia="Arial" w:hAnsi="Arial"/>
          <w:sz w:val="18"/>
          <w:szCs w:val="18"/>
          <w:color w:val="auto"/>
        </w:rPr>
        <w:t>(generally defined as the Company’s income from operations,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depletion and amortization, “Restructuring” and “(Gain) Loss from Divestitures, Asset Impairments and Unusual Items, Net” reported in our Annual Report on Form 10- K, and also excluding the impacts of our recycling brokerage business) — </w:t>
      </w:r>
      <w:r>
        <w:rPr>
          <w:rFonts w:ascii="Arial" w:cs="Arial" w:eastAsia="Arial" w:hAnsi="Arial"/>
          <w:sz w:val="18"/>
          <w:szCs w:val="18"/>
          <w:i w:val="1"/>
          <w:iCs w:val="1"/>
          <w:color w:val="auto"/>
        </w:rPr>
        <w:t>$5.892 billion, yielding a payout of</w:t>
      </w:r>
      <w:r>
        <w:rPr>
          <w:rFonts w:ascii="Arial" w:cs="Arial" w:eastAsia="Arial" w:hAnsi="Arial"/>
          <w:sz w:val="18"/>
          <w:szCs w:val="18"/>
          <w:color w:val="auto"/>
        </w:rPr>
        <w:t xml:space="preserve"> </w:t>
      </w:r>
      <w:r>
        <w:rPr>
          <w:rFonts w:ascii="Arial" w:cs="Arial" w:eastAsia="Arial" w:hAnsi="Arial"/>
          <w:sz w:val="18"/>
          <w:szCs w:val="18"/>
          <w:i w:val="1"/>
          <w:iCs w:val="1"/>
          <w:color w:val="auto"/>
        </w:rPr>
        <w:t>98.98%</w:t>
      </w:r>
    </w:p>
    <w:p>
      <w:pPr>
        <w:spacing w:after="0" w:line="288" w:lineRule="exact"/>
        <w:rPr>
          <w:sz w:val="20"/>
          <w:szCs w:val="20"/>
          <w:color w:val="auto"/>
        </w:rPr>
      </w:pPr>
    </w:p>
    <w:p>
      <w:pPr>
        <w:jc w:val="both"/>
        <w:ind w:left="1180" w:right="60"/>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Margin </w:t>
      </w:r>
      <w:r>
        <w:rPr>
          <w:rFonts w:ascii="Arial" w:cs="Arial" w:eastAsia="Arial" w:hAnsi="Arial"/>
          <w:sz w:val="18"/>
          <w:szCs w:val="18"/>
          <w:color w:val="auto"/>
        </w:rPr>
        <w:t>(generally defined as the Company’s income from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“Restructuring” and “(Gain) Loss from Divestitures, Asset Impairments and Unusual Items, Net” reported in our Annual Report on Form 10- K, as a percentage of revenue, also excluding the impacts of our recycling brokerage business from both income from operations and revenue) —  </w:t>
      </w:r>
      <w:r>
        <w:rPr>
          <w:rFonts w:ascii="Arial" w:cs="Arial" w:eastAsia="Arial" w:hAnsi="Arial"/>
          <w:sz w:val="18"/>
          <w:szCs w:val="18"/>
          <w:i w:val="1"/>
          <w:iCs w:val="1"/>
          <w:color w:val="auto"/>
        </w:rPr>
        <w:t>19.30%, yielding a payout of 133.46%</w:t>
      </w:r>
    </w:p>
    <w:p>
      <w:pPr>
        <w:spacing w:after="0" w:line="71" w:lineRule="exact"/>
        <w:rPr>
          <w:sz w:val="20"/>
          <w:szCs w:val="20"/>
          <w:color w:val="auto"/>
        </w:rPr>
      </w:pPr>
    </w:p>
    <w:p>
      <w:pPr>
        <w:jc w:val="both"/>
        <w:ind w:left="1180" w:right="60"/>
        <w:spacing w:after="0" w:line="268" w:lineRule="auto"/>
        <w:rPr>
          <w:sz w:val="20"/>
          <w:szCs w:val="20"/>
          <w:color w:val="auto"/>
        </w:rPr>
      </w:pPr>
      <w:r>
        <w:rPr>
          <w:rFonts w:ascii="Arial" w:cs="Arial" w:eastAsia="Arial" w:hAnsi="Arial"/>
          <w:sz w:val="18"/>
          <w:szCs w:val="18"/>
          <w:b w:val="1"/>
          <w:bCs w:val="1"/>
          <w:i w:val="1"/>
          <w:iCs w:val="1"/>
          <w:color w:val="auto"/>
        </w:rPr>
        <w:t xml:space="preserve">Internal Revenue Growth </w:t>
      </w:r>
      <w:r>
        <w:rPr>
          <w:rFonts w:ascii="Arial" w:cs="Arial" w:eastAsia="Arial" w:hAnsi="Arial"/>
          <w:sz w:val="18"/>
          <w:szCs w:val="18"/>
          <w:color w:val="auto"/>
        </w:rPr>
        <w:t>(defined as internal revenue growth from yield, plus internal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from volume, at the consolidated level for the collection and disposal business) — </w:t>
      </w:r>
      <w:r>
        <w:rPr>
          <w:rFonts w:ascii="Arial" w:cs="Arial" w:eastAsia="Arial" w:hAnsi="Arial"/>
          <w:sz w:val="18"/>
          <w:szCs w:val="18"/>
          <w:i w:val="1"/>
          <w:iCs w:val="1"/>
          <w:color w:val="auto"/>
        </w:rPr>
        <w:t>5.96%,</w:t>
      </w:r>
      <w:r>
        <w:rPr>
          <w:rFonts w:ascii="Arial" w:cs="Arial" w:eastAsia="Arial" w:hAnsi="Arial"/>
          <w:sz w:val="18"/>
          <w:szCs w:val="18"/>
          <w:color w:val="auto"/>
        </w:rPr>
        <w:t xml:space="preserve"> </w:t>
      </w:r>
      <w:r>
        <w:rPr>
          <w:rFonts w:ascii="Arial" w:cs="Arial" w:eastAsia="Arial" w:hAnsi="Arial"/>
          <w:sz w:val="18"/>
          <w:szCs w:val="18"/>
          <w:i w:val="1"/>
          <w:iCs w:val="1"/>
          <w:color w:val="auto"/>
        </w:rPr>
        <w:t>yielding a payout of 139.99%.</w:t>
      </w:r>
    </w:p>
    <w:p>
      <w:pPr>
        <w:spacing w:after="0" w:line="6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Incentive compensation measures presented in this proxy statement are defined differently than corresponding measures reported in the Company’s quarterly earnings press release. See Appendix A for additional information and reconciliations of non-GAAP measures to the most comparable GAAP measures.</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Sustainability Modifier to Annual Cash Incentive Awards</w:t>
      </w:r>
    </w:p>
    <w:p>
      <w:pPr>
        <w:spacing w:after="0" w:line="115"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Beginning in 2023, the MD&amp;C Committee has incorporated a sustainability modifier into the annual cash incentive program. As a result, annual cash incentive payouts to executive officers for 2023 were eligible to be increased, or decreased, up to 5% depending on achievement calculated using a sustainability scorecard. The 2023 sustainability scorecard contained quantifiable performance measures in the areas of safety; diversity &amp; inclusion (“D&amp;I”); circularity and climate. As discussed further below under “Named Executives’ 2023 Compensation Program and Results — Annual Cash Incentive,” the Company earned sufficient points on the sustainability scorecard to correlate to a 2% increase to the annual cash incentive payment for 2023 otherwise earned.</w:t>
      </w:r>
    </w:p>
    <w:p>
      <w:pPr>
        <w:spacing w:after="0" w:line="291"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In 2023, each of the executive compensation incentive awards continued to demonstrate strong alignment between executive pay and Company performance. The payouts on the PSUs granted in 2021 correlate with outstanding cash flow generation and total shareholder return over the three-year performance period. Additionally, the above-target combined results on our annual cash incentive performance measures are reflective of another year of strong business growth and overall financial performance. The Company’s results on each of the performance measures evidence that our executives have taken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executive compensation financial performance measures in 2023, coupled with positive results on the sustainability scorecard.</w:t>
      </w:r>
    </w:p>
    <w:p>
      <w:pPr>
        <w:spacing w:after="0" w:line="200" w:lineRule="exact"/>
        <w:rPr>
          <w:sz w:val="20"/>
          <w:szCs w:val="20"/>
          <w:color w:val="auto"/>
        </w:rPr>
      </w:pPr>
    </w:p>
    <w:p>
      <w:pPr>
        <w:spacing w:after="0" w:line="35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3549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6072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Consideration of Stockholder Advisory Vote</w:t>
      </w:r>
    </w:p>
    <w:p>
      <w:pPr>
        <w:spacing w:after="0" w:line="112"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When establishing 2023 compensation for the named executives, the MD&amp;C Committee noted the results of the 2022 advisory stockholder vote on executive compensation, with more than 90% of shares present and entitled to vote at the annual meeting voting in favor of the Company’s executive compensation. Accordingly, the results of the stockholder advisory vote did not cause the MD&amp;C Committee to make any changes to executive compensation practices for 2023, although the MD&amp;C Committee does consider feedback received by the Company through stockholder engagement throughout the year.</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2024 Compensation Program Preview</w:t>
      </w:r>
    </w:p>
    <w:p>
      <w:pPr>
        <w:spacing w:after="0" w:line="99"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2024 long-term incentive program design for stock options and PSUs consistent with prior years.</w:t>
      </w:r>
    </w:p>
    <w:p>
      <w:pPr>
        <w:spacing w:after="0" w:line="50"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As disclosed last year, with respect to the Cash Flow PSUs granted in 2022 with a performance period ended December 31, 2024, the MD&amp;C Committee has considered the impact of the Company’s strategy to accelerate investments in recycling and renewable energy growth projects on the cash flow generation performance measure. Consistent with calculation of the performance results for the Cash Flow PSUs granted in 2021, discussed above, the MD&amp;C Committee anticipates that it will be appropriate to exclude the impact of incremental strategic capital investments that were approved by the Board after the applicable cash flow generation performance measures were established for the Cash Flow PSUs granted in 2022. The MD&amp;C Committee also anticipates a corresponding exclusion of the benefits resulting from such incremental strategic capital expenditures that were not anticipated when the performance measures were established. The MD&amp;C Committee believes that these exclusions are supportive of positive actions by management to advance sustainable growth.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has approved an annual cash incentive program for 2024 with the same performance measures and weighting as the 2023 annual cash incentive program. The MD&amp;C Committee has also approved continued use of a sustainability modifier applicable to this program and has increased the weighting of the sustainability modifier. Annual cash incentive payouts to executive officers for 2024 may be increased, or decreased, up to 10% depending on achievement calculated using the 2024 sustainability scorecard. The 2024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Our Compensation Philosophy for Named Executive Officers</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04" w:lineRule="exact"/>
        <w:rPr>
          <w:sz w:val="20"/>
          <w:szCs w:val="20"/>
          <w:color w:val="auto"/>
        </w:rPr>
      </w:pPr>
    </w:p>
    <w:p>
      <w:pPr>
        <w:ind w:left="1360" w:hanging="184"/>
        <w:spacing w:after="0"/>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Attract and retain exceptional employees through competitive compensation opportunities;</w:t>
      </w:r>
    </w:p>
    <w:p>
      <w:pPr>
        <w:spacing w:after="0" w:line="90"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Align our decision makers’ long-term interests with those of our stockholders through emphasis on equity ownership.</w:t>
      </w:r>
    </w:p>
    <w:p>
      <w:pPr>
        <w:spacing w:after="0" w:line="45"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276"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generally be in a range around the competitive median according to the following:</w:t>
      </w:r>
    </w:p>
    <w:p>
      <w:pPr>
        <w:spacing w:after="0" w:line="263" w:lineRule="exact"/>
        <w:rPr>
          <w:sz w:val="20"/>
          <w:szCs w:val="20"/>
          <w:color w:val="auto"/>
        </w:rPr>
      </w:pPr>
    </w:p>
    <w:p>
      <w:pPr>
        <w:jc w:val="both"/>
        <w:ind w:left="1360" w:right="60" w:hanging="184"/>
        <w:spacing w:after="0" w:line="268"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35"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Target short-term and long-term incentive opportunities should generally be set at the competitive median;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Overview of Elements of Our 2023 Executive Compensation Program</w:t>
      </w:r>
    </w:p>
    <w:p>
      <w:pPr>
        <w:sectPr>
          <w:pgSz w:w="11900" w:h="16838" w:orient="portrait"/>
          <w:cols w:equalWidth="0" w:num="1">
            <w:col w:w="9940"/>
          </w:cols>
          <w:pgMar w:left="580" w:top="97" w:right="1379" w:bottom="1440" w:gutter="0" w:footer="0" w:header="0"/>
        </w:sectPr>
      </w:pPr>
    </w:p>
    <w:p>
      <w:pPr>
        <w:spacing w:after="0" w:line="25"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980" w:type="dxa"/>
            <w:vAlign w:val="bottom"/>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Timing</w:t>
            </w:r>
          </w:p>
        </w:tc>
        <w:tc>
          <w:tcPr>
            <w:tcW w:w="1660" w:type="dxa"/>
            <w:vAlign w:val="bottom"/>
            <w:gridSpan w:val="2"/>
          </w:tcPr>
          <w:p>
            <w:pPr>
              <w:ind w:left="36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Component</w:t>
            </w:r>
          </w:p>
        </w:tc>
        <w:tc>
          <w:tcPr>
            <w:tcW w:w="40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w:t>
            </w:r>
          </w:p>
        </w:tc>
        <w:tc>
          <w:tcPr>
            <w:tcW w:w="1700" w:type="dxa"/>
            <w:vAlign w:val="bottom"/>
          </w:tcPr>
          <w:p>
            <w:pPr>
              <w:ind w:left="40"/>
              <w:spacing w:after="0"/>
              <w:rPr>
                <w:sz w:val="20"/>
                <w:szCs w:val="20"/>
                <w:color w:val="auto"/>
              </w:rPr>
            </w:pPr>
            <w:r>
              <w:rPr>
                <w:rFonts w:ascii="Arial" w:cs="Arial" w:eastAsia="Arial" w:hAnsi="Arial"/>
                <w:sz w:val="14"/>
                <w:szCs w:val="14"/>
                <w:b w:val="1"/>
                <w:bCs w:val="1"/>
                <w:color w:val="457157"/>
              </w:rPr>
              <w:t>Purpose</w:t>
            </w:r>
          </w:p>
        </w:tc>
        <w:tc>
          <w:tcPr>
            <w:tcW w:w="420" w:type="dxa"/>
            <w:vAlign w:val="bottom"/>
            <w:gridSpan w:val="2"/>
          </w:tcPr>
          <w:p>
            <w:pPr>
              <w:ind w:left="240"/>
              <w:spacing w:after="0"/>
              <w:rPr>
                <w:sz w:val="20"/>
                <w:szCs w:val="20"/>
                <w:color w:val="auto"/>
              </w:rPr>
            </w:pPr>
            <w:r>
              <w:rPr>
                <w:rFonts w:ascii="Arial" w:cs="Arial" w:eastAsia="Arial" w:hAnsi="Arial"/>
                <w:sz w:val="14"/>
                <w:szCs w:val="14"/>
                <w:b w:val="1"/>
                <w:bCs w:val="1"/>
                <w:color w:val="457157"/>
              </w:rPr>
              <w:t>​ ​</w:t>
            </w:r>
          </w:p>
        </w:tc>
        <w:tc>
          <w:tcPr>
            <w:tcW w:w="3680" w:type="dxa"/>
            <w:vAlign w:val="bottom"/>
          </w:tcPr>
          <w:p>
            <w:pPr>
              <w:ind w:left="40"/>
              <w:spacing w:after="0"/>
              <w:rPr>
                <w:sz w:val="20"/>
                <w:szCs w:val="20"/>
                <w:color w:val="auto"/>
              </w:rPr>
            </w:pPr>
            <w:r>
              <w:rPr>
                <w:rFonts w:ascii="Arial" w:cs="Arial" w:eastAsia="Arial" w:hAnsi="Arial"/>
                <w:sz w:val="14"/>
                <w:szCs w:val="14"/>
                <w:b w:val="1"/>
                <w:bCs w:val="1"/>
                <w:color w:val="457157"/>
              </w:rPr>
              <w:t>Key Features</w:t>
            </w:r>
          </w:p>
        </w:tc>
      </w:tr>
      <w:tr>
        <w:trPr>
          <w:trHeight w:val="180"/>
        </w:trPr>
        <w:tc>
          <w:tcPr>
            <w:tcW w:w="980" w:type="dxa"/>
            <w:vAlign w:val="bottom"/>
            <w:shd w:val="clear" w:color="auto" w:fill="E5E5E5"/>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b w:val="1"/>
                <w:bCs w:val="1"/>
                <w:color w:val="auto"/>
              </w:rPr>
              <w:t>Current</w:t>
            </w:r>
          </w:p>
        </w:tc>
        <w:tc>
          <w:tcPr>
            <w:tcW w:w="4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Base Salary</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E5E5E5"/>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To attract and retain</w:t>
            </w:r>
          </w:p>
        </w:tc>
        <w:tc>
          <w:tcPr>
            <w:tcW w:w="340" w:type="dxa"/>
            <w:vAlign w:val="bottom"/>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3760" w:type="dxa"/>
            <w:vAlign w:val="bottom"/>
            <w:gridSpan w:val="2"/>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Adjustments to base salary primarily consider</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executives with a</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competitive market data and the executive’s tenure,</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competitive level of</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individual performance and responsibilities.</w:t>
            </w:r>
          </w:p>
        </w:tc>
      </w:tr>
      <w:tr>
        <w:trPr>
          <w:trHeight w:val="198"/>
        </w:trPr>
        <w:tc>
          <w:tcPr>
            <w:tcW w:w="9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regular income</w:t>
            </w:r>
          </w:p>
        </w:tc>
        <w:tc>
          <w:tcPr>
            <w:tcW w:w="340" w:type="dxa"/>
            <w:vAlign w:val="bottom"/>
            <w:shd w:val="clear" w:color="auto" w:fill="E5E5E5"/>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-445135</wp:posOffset>
            </wp:positionV>
            <wp:extent cx="5760720" cy="79724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7972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457157"/>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37" w:lineRule="exact"/>
        <w:rPr>
          <w:sz w:val="20"/>
          <w:szCs w:val="20"/>
          <w:color w:val="auto"/>
        </w:rPr>
      </w:pPr>
    </w:p>
    <w:p>
      <w:pPr>
        <w:sectPr>
          <w:pgSz w:w="11900" w:h="16838" w:orient="portrait"/>
          <w:cols w:equalWidth="0" w:num="2">
            <w:col w:w="9660" w:space="160"/>
            <w:col w:w="12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133"/>
        </w:trPr>
        <w:tc>
          <w:tcPr>
            <w:tcW w:w="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457157"/>
            </w:tcBorders>
            <w:shd w:val="clear" w:color="auto" w:fill="E5E5E5"/>
          </w:tcPr>
          <w:p>
            <w:pPr>
              <w:ind w:left="20"/>
              <w:spacing w:after="0" w:line="133" w:lineRule="exact"/>
              <w:rPr>
                <w:sz w:val="20"/>
                <w:szCs w:val="20"/>
                <w:color w:val="auto"/>
              </w:rPr>
            </w:pPr>
            <w:r>
              <w:rPr>
                <w:rFonts w:ascii="Arial" w:cs="Arial" w:eastAsia="Arial" w:hAnsi="Arial"/>
                <w:sz w:val="14"/>
                <w:szCs w:val="14"/>
                <w:b w:val="1"/>
                <w:bCs w:val="1"/>
                <w:color w:val="auto"/>
              </w:rPr>
              <w:t>Short-Term</w:t>
            </w:r>
          </w:p>
        </w:tc>
        <w:tc>
          <w:tcPr>
            <w:tcW w:w="280" w:type="dxa"/>
            <w:vAlign w:val="bottom"/>
            <w:tcBorders>
              <w:top w:val="single" w:sz="8" w:color="457157"/>
            </w:tcBorders>
            <w:shd w:val="clear" w:color="auto" w:fill="E5E5E5"/>
          </w:tcPr>
          <w:p>
            <w:pPr>
              <w:ind w:left="160"/>
              <w:spacing w:after="0" w:line="133"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 Annual Cash</w:t>
            </w:r>
          </w:p>
        </w:tc>
        <w:tc>
          <w:tcPr>
            <w:tcW w:w="380" w:type="dxa"/>
            <w:vAlign w:val="bottom"/>
            <w:tcBorders>
              <w:top w:val="single" w:sz="8" w:color="457157"/>
            </w:tcBorders>
          </w:tcPr>
          <w:p>
            <w:pPr>
              <w:ind w:left="160"/>
              <w:spacing w:after="0" w:line="133" w:lineRule="exact"/>
              <w:rPr>
                <w:sz w:val="20"/>
                <w:szCs w:val="20"/>
                <w:color w:val="auto"/>
              </w:rPr>
            </w:pPr>
            <w:r>
              <w:rPr>
                <w:rFonts w:ascii="Arial" w:cs="Arial" w:eastAsia="Arial" w:hAnsi="Arial"/>
                <w:sz w:val="14"/>
                <w:szCs w:val="14"/>
                <w:color w:val="auto"/>
              </w:rPr>
              <w:t>​ ​</w:t>
            </w:r>
          </w:p>
        </w:tc>
        <w:tc>
          <w:tcPr>
            <w:tcW w:w="19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To encourage and reward</w:t>
            </w:r>
          </w:p>
        </w:tc>
        <w:tc>
          <w:tcPr>
            <w:tcW w:w="1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3980" w:type="dxa"/>
            <w:vAlign w:val="bottom"/>
            <w:tcBorders>
              <w:top w:val="single" w:sz="8" w:color="457157"/>
            </w:tcBorders>
            <w:gridSpan w:val="2"/>
          </w:tcPr>
          <w:p>
            <w:pPr>
              <w:spacing w:after="0" w:line="133" w:lineRule="exact"/>
              <w:rPr>
                <w:sz w:val="20"/>
                <w:szCs w:val="20"/>
                <w:color w:val="auto"/>
              </w:rPr>
            </w:pPr>
            <w:r>
              <w:rPr>
                <w:rFonts w:ascii="Arial" w:cs="Arial" w:eastAsia="Arial" w:hAnsi="Arial"/>
                <w:sz w:val="14"/>
                <w:szCs w:val="14"/>
                <w:color w:val="auto"/>
              </w:rPr>
              <w:t>​ Cash incentives are targeted at a percentage of base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280" w:type="dxa"/>
            <w:vAlign w:val="bottom"/>
            <w:shd w:val="clear" w:color="auto" w:fill="E5E5E5"/>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380" w:type="dxa"/>
            <w:vAlign w:val="bottom"/>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100" w:type="dxa"/>
            <w:vAlign w:val="bottom"/>
            <w:shd w:val="clear" w:color="auto" w:fill="E5E5E5"/>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100" w:type="dxa"/>
            <w:vAlign w:val="bottom"/>
            <w:shd w:val="clear" w:color="auto" w:fill="E5E5E5"/>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457157"/>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Operating EBITDA — designed to encourage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shd w:val="clear" w:color="auto" w:fill="E5E5E5"/>
          </w:tcPr>
          <w:p>
            <w:pPr>
              <w:spacing w:after="0" w:line="145" w:lineRule="exact"/>
              <w:rPr>
                <w:sz w:val="20"/>
                <w:szCs w:val="20"/>
                <w:color w:val="auto"/>
              </w:rPr>
            </w:pPr>
            <w:r>
              <w:rPr>
                <w:rFonts w:ascii="Arial" w:cs="Arial" w:eastAsia="Arial" w:hAnsi="Arial"/>
                <w:sz w:val="14"/>
                <w:szCs w:val="14"/>
                <w:color w:val="auto"/>
              </w:rPr>
              <w:t>based compensation</w:t>
            </w:r>
          </w:p>
        </w:tc>
        <w:tc>
          <w:tcPr>
            <w:tcW w:w="100" w:type="dxa"/>
            <w:vAlign w:val="bottom"/>
            <w:shd w:val="clear" w:color="auto" w:fill="E5E5E5"/>
          </w:tcPr>
          <w:p>
            <w:pPr>
              <w:spacing w:after="0"/>
              <w:rPr>
                <w:sz w:val="12"/>
                <w:szCs w:val="12"/>
                <w:color w:val="auto"/>
              </w:rPr>
            </w:pPr>
          </w:p>
        </w:tc>
        <w:tc>
          <w:tcPr>
            <w:tcW w:w="220" w:type="dxa"/>
            <w:vAlign w:val="bottom"/>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balanced growth and profitability and assess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financial outcome from execution of strategic</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10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priorities (weighted 50%);</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Income from Operations Margin — designed to</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motivate pursuit of high margin revenue growth</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while also controlling costs and operating efficiently</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(weighted 25%); and</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Internal Revenue Growth — targeted at executing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on pricing strategy and appropriate volume growth</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aligned with strategic growth goals (weighted 25%).</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Payouts of cash incentives based on the performance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measures above can be increased or decreased by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up to 5%, depending on achievement calculated</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using the sustainability scorecard.</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cash incentive payment by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up to 25% based on individual performance, but such</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modifier has never been used to increase a payment</w:t>
            </w:r>
          </w:p>
        </w:tc>
        <w:tc>
          <w:tcPr>
            <w:tcW w:w="0" w:type="dxa"/>
            <w:vAlign w:val="bottom"/>
          </w:tcPr>
          <w:p>
            <w:pPr>
              <w:spacing w:after="0"/>
              <w:rPr>
                <w:sz w:val="1"/>
                <w:szCs w:val="1"/>
                <w:color w:val="auto"/>
              </w:rPr>
            </w:pPr>
          </w:p>
        </w:tc>
      </w:tr>
      <w:tr>
        <w:trPr>
          <w:trHeight w:val="194"/>
        </w:trPr>
        <w:tc>
          <w:tcPr>
            <w:tcW w:w="40" w:type="dxa"/>
            <w:vAlign w:val="bottom"/>
            <w:tcBorders>
              <w:bottom w:val="single" w:sz="8" w:color="457157"/>
            </w:tcBorders>
          </w:tcPr>
          <w:p>
            <w:pPr>
              <w:spacing w:after="0"/>
              <w:rPr>
                <w:sz w:val="16"/>
                <w:szCs w:val="16"/>
                <w:color w:val="auto"/>
              </w:rPr>
            </w:pPr>
          </w:p>
        </w:tc>
        <w:tc>
          <w:tcPr>
            <w:tcW w:w="1140" w:type="dxa"/>
            <w:vAlign w:val="bottom"/>
            <w:tcBorders>
              <w:bottom w:val="single" w:sz="8" w:color="457157"/>
            </w:tcBorders>
            <w:shd w:val="clear" w:color="auto" w:fill="E5E5E5"/>
          </w:tcPr>
          <w:p>
            <w:pPr>
              <w:spacing w:after="0"/>
              <w:rPr>
                <w:sz w:val="16"/>
                <w:szCs w:val="16"/>
                <w:color w:val="auto"/>
              </w:rPr>
            </w:pPr>
          </w:p>
        </w:tc>
        <w:tc>
          <w:tcPr>
            <w:tcW w:w="280" w:type="dxa"/>
            <w:vAlign w:val="bottom"/>
            <w:tcBorders>
              <w:bottom w:val="single" w:sz="8" w:color="457157"/>
            </w:tcBorders>
            <w:shd w:val="clear" w:color="auto" w:fill="E5E5E5"/>
          </w:tcPr>
          <w:p>
            <w:pPr>
              <w:spacing w:after="0"/>
              <w:rPr>
                <w:sz w:val="16"/>
                <w:szCs w:val="16"/>
                <w:color w:val="auto"/>
              </w:rPr>
            </w:pPr>
          </w:p>
        </w:tc>
        <w:tc>
          <w:tcPr>
            <w:tcW w:w="1240" w:type="dxa"/>
            <w:vAlign w:val="bottom"/>
            <w:tcBorders>
              <w:bottom w:val="single" w:sz="8" w:color="457157"/>
            </w:tcBorders>
          </w:tcPr>
          <w:p>
            <w:pPr>
              <w:spacing w:after="0"/>
              <w:rPr>
                <w:sz w:val="16"/>
                <w:szCs w:val="16"/>
                <w:color w:val="auto"/>
              </w:rPr>
            </w:pPr>
          </w:p>
        </w:tc>
        <w:tc>
          <w:tcPr>
            <w:tcW w:w="380" w:type="dxa"/>
            <w:vAlign w:val="bottom"/>
            <w:tcBorders>
              <w:bottom w:val="single" w:sz="8" w:color="457157"/>
            </w:tcBorders>
          </w:tcPr>
          <w:p>
            <w:pPr>
              <w:spacing w:after="0"/>
              <w:rPr>
                <w:sz w:val="16"/>
                <w:szCs w:val="16"/>
                <w:color w:val="auto"/>
              </w:rPr>
            </w:pPr>
          </w:p>
        </w:tc>
        <w:tc>
          <w:tcPr>
            <w:tcW w:w="1900" w:type="dxa"/>
            <w:vAlign w:val="bottom"/>
            <w:tcBorders>
              <w:bottom w:val="single" w:sz="8" w:color="457157"/>
            </w:tcBorders>
            <w:shd w:val="clear" w:color="auto" w:fill="E5E5E5"/>
          </w:tcPr>
          <w:p>
            <w:pPr>
              <w:spacing w:after="0"/>
              <w:rPr>
                <w:sz w:val="16"/>
                <w:szCs w:val="16"/>
                <w:color w:val="auto"/>
              </w:rPr>
            </w:pPr>
          </w:p>
        </w:tc>
        <w:tc>
          <w:tcPr>
            <w:tcW w:w="100" w:type="dxa"/>
            <w:vAlign w:val="bottom"/>
            <w:tcBorders>
              <w:bottom w:val="single" w:sz="8" w:color="457157"/>
            </w:tcBorders>
            <w:shd w:val="clear" w:color="auto" w:fill="E5E5E5"/>
          </w:tcPr>
          <w:p>
            <w:pPr>
              <w:spacing w:after="0"/>
              <w:rPr>
                <w:sz w:val="16"/>
                <w:szCs w:val="16"/>
                <w:color w:val="auto"/>
              </w:rPr>
            </w:pPr>
          </w:p>
        </w:tc>
        <w:tc>
          <w:tcPr>
            <w:tcW w:w="3980" w:type="dxa"/>
            <w:vAlign w:val="bottom"/>
            <w:tcBorders>
              <w:bottom w:val="single" w:sz="8" w:color="457157"/>
            </w:tcBorders>
            <w:gridSpan w:val="2"/>
          </w:tcPr>
          <w:p>
            <w:pPr>
              <w:ind w:left="120"/>
              <w:spacing w:after="0"/>
              <w:rPr>
                <w:sz w:val="20"/>
                <w:szCs w:val="20"/>
                <w:color w:val="auto"/>
              </w:rPr>
            </w:pPr>
            <w:r>
              <w:rPr>
                <w:rFonts w:ascii="Arial" w:cs="Arial" w:eastAsia="Arial" w:hAnsi="Arial"/>
                <w:sz w:val="14"/>
                <w:szCs w:val="14"/>
                <w:color w:val="auto"/>
              </w:rPr>
              <w:t>to a named executive.</w:t>
            </w:r>
          </w:p>
        </w:tc>
        <w:tc>
          <w:tcPr>
            <w:tcW w:w="0" w:type="dxa"/>
            <w:vAlign w:val="bottom"/>
          </w:tcPr>
          <w:p>
            <w:pPr>
              <w:spacing w:after="0"/>
              <w:rPr>
                <w:sz w:val="1"/>
                <w:szCs w:val="1"/>
                <w:color w:val="auto"/>
              </w:rPr>
            </w:pPr>
          </w:p>
        </w:tc>
      </w:tr>
      <w:tr>
        <w:trPr>
          <w:trHeight w:val="137"/>
        </w:trPr>
        <w:tc>
          <w:tcPr>
            <w:tcW w:w="4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11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Long-Term</w:t>
            </w:r>
          </w:p>
        </w:tc>
        <w:tc>
          <w:tcPr>
            <w:tcW w:w="280" w:type="dxa"/>
            <w:vAlign w:val="bottom"/>
          </w:tcPr>
          <w:p>
            <w:pPr>
              <w:ind w:left="160"/>
              <w:spacing w:after="0" w:line="137" w:lineRule="exact"/>
              <w:rPr>
                <w:sz w:val="20"/>
                <w:szCs w:val="20"/>
                <w:color w:val="auto"/>
              </w:rPr>
            </w:pPr>
            <w:r>
              <w:rPr>
                <w:rFonts w:ascii="Arial" w:cs="Arial" w:eastAsia="Arial" w:hAnsi="Arial"/>
                <w:sz w:val="14"/>
                <w:szCs w:val="14"/>
                <w:color w:val="auto"/>
              </w:rPr>
              <w:t>​</w:t>
            </w:r>
          </w:p>
        </w:tc>
        <w:tc>
          <w:tcPr>
            <w:tcW w:w="1240" w:type="dxa"/>
            <w:vAlign w:val="bottom"/>
          </w:tcPr>
          <w:p>
            <w:pPr>
              <w:spacing w:after="0" w:line="137" w:lineRule="exact"/>
              <w:rPr>
                <w:sz w:val="20"/>
                <w:szCs w:val="20"/>
                <w:color w:val="auto"/>
              </w:rPr>
            </w:pPr>
            <w:r>
              <w:rPr>
                <w:rFonts w:ascii="Arial" w:cs="Arial" w:eastAsia="Arial" w:hAnsi="Arial"/>
                <w:sz w:val="14"/>
                <w:szCs w:val="14"/>
                <w:color w:val="auto"/>
              </w:rPr>
              <w:t>​ Performance</w:t>
            </w:r>
          </w:p>
        </w:tc>
        <w:tc>
          <w:tcPr>
            <w:tcW w:w="380" w:type="dxa"/>
            <w:vAlign w:val="bottom"/>
          </w:tcPr>
          <w:p>
            <w:pPr>
              <w:ind w:left="160"/>
              <w:spacing w:after="0" w:line="137" w:lineRule="exact"/>
              <w:rPr>
                <w:sz w:val="20"/>
                <w:szCs w:val="20"/>
                <w:color w:val="auto"/>
              </w:rPr>
            </w:pPr>
            <w:r>
              <w:rPr>
                <w:rFonts w:ascii="Arial" w:cs="Arial" w:eastAsia="Arial" w:hAnsi="Arial"/>
                <w:sz w:val="14"/>
                <w:szCs w:val="14"/>
                <w:color w:val="auto"/>
              </w:rPr>
              <w:t>​ ​</w:t>
            </w:r>
          </w:p>
        </w:tc>
        <w:tc>
          <w:tcPr>
            <w:tcW w:w="1900" w:type="dxa"/>
            <w:vAlign w:val="bottom"/>
          </w:tcPr>
          <w:p>
            <w:pPr>
              <w:spacing w:after="0" w:line="137" w:lineRule="exact"/>
              <w:rPr>
                <w:sz w:val="20"/>
                <w:szCs w:val="20"/>
                <w:color w:val="auto"/>
              </w:rPr>
            </w:pPr>
            <w:r>
              <w:rPr>
                <w:rFonts w:ascii="Arial" w:cs="Arial" w:eastAsia="Arial" w:hAnsi="Arial"/>
                <w:sz w:val="14"/>
                <w:szCs w:val="14"/>
                <w:color w:val="auto"/>
              </w:rPr>
              <w:t>To encourage and reward</w:t>
            </w:r>
          </w:p>
        </w:tc>
        <w:tc>
          <w:tcPr>
            <w:tcW w:w="10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3980" w:type="dxa"/>
            <w:vAlign w:val="bottom"/>
            <w:gridSpan w:val="2"/>
          </w:tcPr>
          <w:p>
            <w:pPr>
              <w:spacing w:after="0" w:line="137" w:lineRule="exact"/>
              <w:rPr>
                <w:sz w:val="20"/>
                <w:szCs w:val="20"/>
                <w:color w:val="auto"/>
              </w:rPr>
            </w:pPr>
            <w:r>
              <w:rPr>
                <w:rFonts w:ascii="Arial" w:cs="Arial" w:eastAsia="Arial" w:hAnsi="Arial"/>
                <w:sz w:val="14"/>
                <w:szCs w:val="14"/>
                <w:color w:val="auto"/>
              </w:rPr>
              <w:t>​ Number of shares delivered range from zero to 200%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building long-term</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stockholder value through</w:t>
            </w:r>
          </w:p>
        </w:tc>
        <w:tc>
          <w:tcPr>
            <w:tcW w:w="100" w:type="dxa"/>
            <w:vAlign w:val="bottom"/>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successful strategy</w:t>
            </w: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execution;</w:t>
            </w:r>
          </w:p>
        </w:tc>
        <w:tc>
          <w:tcPr>
            <w:tcW w:w="10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2023 is dependent on cash flow generation, defined</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alignment through</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executives’ stock</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ownership</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2023 is dependent on total shareholder return relative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0" w:type="dxa"/>
            <w:vAlign w:val="bottom"/>
          </w:tcPr>
          <w:p>
            <w:pPr>
              <w:spacing w:after="0"/>
              <w:rPr>
                <w:sz w:val="1"/>
                <w:szCs w:val="1"/>
                <w:color w:val="auto"/>
              </w:rPr>
            </w:pPr>
          </w:p>
        </w:tc>
      </w:tr>
      <w:tr>
        <w:trPr>
          <w:trHeight w:val="190"/>
        </w:trPr>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deferral period.</w:t>
            </w:r>
          </w:p>
        </w:tc>
        <w:tc>
          <w:tcPr>
            <w:tcW w:w="0" w:type="dxa"/>
            <w:vAlign w:val="bottom"/>
          </w:tcPr>
          <w:p>
            <w:pPr>
              <w:spacing w:after="0"/>
              <w:rPr>
                <w:sz w:val="1"/>
                <w:szCs w:val="1"/>
                <w:color w:val="auto"/>
              </w:rPr>
            </w:pPr>
          </w:p>
        </w:tc>
      </w:tr>
      <w:tr>
        <w:trPr>
          <w:trHeight w:val="22"/>
        </w:trPr>
        <w:tc>
          <w:tcPr>
            <w:tcW w:w="1180" w:type="dxa"/>
            <w:vAlign w:val="bottom"/>
            <w:gridSpan w:val="2"/>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tcBorders>
              <w:bottom w:val="single" w:sz="8" w:color="457157"/>
            </w:tcBorders>
          </w:tcPr>
          <w:p>
            <w:pPr>
              <w:spacing w:after="0" w:line="20" w:lineRule="exact"/>
              <w:rPr>
                <w:sz w:val="1"/>
                <w:szCs w:val="1"/>
                <w:color w:val="auto"/>
              </w:rPr>
            </w:pPr>
          </w:p>
        </w:tc>
        <w:tc>
          <w:tcPr>
            <w:tcW w:w="2280" w:type="dxa"/>
            <w:vAlign w:val="bottom"/>
            <w:tcBorders>
              <w:bottom w:val="single" w:sz="8" w:color="457157"/>
            </w:tcBorders>
            <w:gridSpan w:val="2"/>
          </w:tcPr>
          <w:p>
            <w:pPr>
              <w:spacing w:after="0" w:line="20" w:lineRule="exact"/>
              <w:rPr>
                <w:sz w:val="1"/>
                <w:szCs w:val="1"/>
                <w:color w:val="auto"/>
              </w:rPr>
            </w:pPr>
          </w:p>
        </w:tc>
        <w:tc>
          <w:tcPr>
            <w:tcW w:w="4080" w:type="dxa"/>
            <w:vAlign w:val="bottom"/>
            <w:tcBorders>
              <w:bottom w:val="single" w:sz="8" w:color="457157"/>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40" w:type="dxa"/>
            <w:vAlign w:val="bottom"/>
          </w:tcPr>
          <w:p>
            <w:pPr>
              <w:spacing w:after="0" w:line="133" w:lineRule="exact"/>
              <w:rPr>
                <w:sz w:val="20"/>
                <w:szCs w:val="20"/>
                <w:color w:val="auto"/>
              </w:rPr>
            </w:pPr>
            <w:r>
              <w:rPr>
                <w:rFonts w:ascii="Arial" w:cs="Arial" w:eastAsia="Arial" w:hAnsi="Arial"/>
                <w:sz w:val="14"/>
                <w:szCs w:val="14"/>
                <w:color w:val="auto"/>
              </w:rPr>
              <w:t>​ Stock Options</w:t>
            </w:r>
          </w:p>
        </w:tc>
        <w:tc>
          <w:tcPr>
            <w:tcW w:w="228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 ​ To support the growth</w:t>
            </w:r>
          </w:p>
        </w:tc>
        <w:tc>
          <w:tcPr>
            <w:tcW w:w="4080" w:type="dxa"/>
            <w:vAlign w:val="bottom"/>
            <w:gridSpan w:val="3"/>
          </w:tcPr>
          <w:p>
            <w:pPr>
              <w:spacing w:after="0" w:line="133" w:lineRule="exact"/>
              <w:rPr>
                <w:sz w:val="20"/>
                <w:szCs w:val="20"/>
                <w:color w:val="auto"/>
              </w:rPr>
            </w:pPr>
            <w:r>
              <w:rPr>
                <w:rFonts w:ascii="Arial" w:cs="Arial" w:eastAsia="Arial" w:hAnsi="Arial"/>
                <w:sz w:val="14"/>
                <w:szCs w:val="14"/>
                <w:color w:val="auto"/>
              </w:rPr>
              <w:t>​ ​ Stock options granted in 2023 vest ratably in three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element of the Company’s</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annual increments, beginning on the first anniversary</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strategy and encourage</w:t>
            </w:r>
          </w:p>
        </w:tc>
        <w:tc>
          <w:tcPr>
            <w:tcW w:w="100" w:type="dxa"/>
            <w:vAlign w:val="bottom"/>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date of grant.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and reward stock price</w:t>
            </w: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The option exercise price is the average of the high</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appreciation over the long-</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and low market price of our Common Stock on the</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date of grant.</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 options have a term of 10 years.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alignment through</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executives’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ownership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940"/>
          </w:cols>
          <w:pgMar w:left="580" w:top="97" w:right="1379" w:bottom="1440" w:gutter="0" w:footer="0" w:header="0"/>
          <w:type w:val="continuous"/>
        </w:sectPr>
      </w:pPr>
    </w:p>
    <w:p>
      <w:pPr>
        <w:ind w:left="2380" w:hanging="1564"/>
        <w:spacing w:after="0" w:line="305" w:lineRule="auto"/>
        <w:tabs>
          <w:tab w:leader="none" w:pos="2164" w:val="left"/>
        </w:tabs>
        <w:numPr>
          <w:ilvl w:val="0"/>
          <w:numId w:val="25"/>
        </w:numPr>
        <w:rPr>
          <w:rFonts w:ascii="Arial" w:cs="Arial" w:eastAsia="Arial" w:hAnsi="Arial"/>
          <w:sz w:val="14"/>
          <w:szCs w:val="14"/>
          <w:color w:val="auto"/>
        </w:rPr>
      </w:pPr>
      <w:r>
        <w:rPr>
          <w:rFonts w:ascii="Arial" w:cs="Arial" w:eastAsia="Arial" w:hAnsi="Arial"/>
          <w:sz w:val="14"/>
          <w:szCs w:val="14"/>
          <w:color w:val="auto"/>
        </w:rPr>
        <w:t>​ ​ Restricted Stock Units (“RSUs”)</w:t>
      </w:r>
    </w:p>
    <w:p>
      <w:pPr>
        <w:spacing w:after="0" w:line="20" w:lineRule="exact"/>
        <w:rPr>
          <w:sz w:val="20"/>
          <w:szCs w:val="20"/>
          <w:color w:val="auto"/>
        </w:rPr>
      </w:pPr>
      <w:r>
        <w:rPr>
          <w:sz w:val="20"/>
          <w:szCs w:val="20"/>
          <w:color w:val="auto"/>
        </w:rPr>
        <w:br w:type="column"/>
      </w:r>
    </w:p>
    <w:p>
      <w:pPr>
        <w:ind w:left="222" w:hanging="222"/>
        <w:spacing w:after="0" w:line="250" w:lineRule="auto"/>
        <w:tabs>
          <w:tab w:leader="none" w:pos="1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 Used on a limited basis (e.g. promotion, new hire, special recognition) to make awards that encourage and reward long-term performance and increase alignment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186055</wp:posOffset>
            </wp:positionV>
            <wp:extent cx="57607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960" w:type="dxa"/>
            <w:vAlign w:val="bottom"/>
          </w:tcPr>
          <w:p>
            <w:pPr>
              <w:spacing w:after="0"/>
              <w:rPr>
                <w:sz w:val="20"/>
                <w:szCs w:val="20"/>
                <w:color w:val="auto"/>
              </w:rPr>
            </w:pPr>
            <w:r>
              <w:rPr>
                <w:rFonts w:ascii="Arial" w:cs="Arial" w:eastAsia="Arial" w:hAnsi="Arial"/>
                <w:sz w:val="14"/>
                <w:szCs w:val="14"/>
                <w:color w:val="auto"/>
              </w:rPr>
              <w:t>​ ​ RSUs are not routinely an element of executive</w:t>
            </w: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162"/>
        </w:trPr>
        <w:tc>
          <w:tcPr>
            <w:tcW w:w="3960" w:type="dxa"/>
            <w:vAlign w:val="bottom"/>
          </w:tcPr>
          <w:p>
            <w:pPr>
              <w:ind w:left="220"/>
              <w:spacing w:after="0"/>
              <w:rPr>
                <w:sz w:val="20"/>
                <w:szCs w:val="20"/>
                <w:color w:val="auto"/>
              </w:rPr>
            </w:pPr>
            <w:r>
              <w:rPr>
                <w:rFonts w:ascii="Arial" w:cs="Arial" w:eastAsia="Arial" w:hAnsi="Arial"/>
                <w:sz w:val="14"/>
                <w:szCs w:val="14"/>
                <w:color w:val="auto"/>
              </w:rPr>
              <w:t>compensation, but grants are made in certain</w:t>
            </w:r>
          </w:p>
        </w:tc>
        <w:tc>
          <w:tcPr>
            <w:tcW w:w="100" w:type="dxa"/>
            <w:vAlign w:val="bottom"/>
          </w:tcPr>
          <w:p>
            <w:pPr>
              <w:spacing w:after="0"/>
              <w:rPr>
                <w:sz w:val="14"/>
                <w:szCs w:val="14"/>
                <w:color w:val="auto"/>
              </w:rPr>
            </w:pPr>
          </w:p>
        </w:tc>
      </w:tr>
      <w:tr>
        <w:trPr>
          <w:trHeight w:val="162"/>
        </w:trPr>
        <w:tc>
          <w:tcPr>
            <w:tcW w:w="3960" w:type="dxa"/>
            <w:vAlign w:val="bottom"/>
          </w:tcPr>
          <w:p>
            <w:pPr>
              <w:ind w:left="220"/>
              <w:spacing w:after="0"/>
              <w:rPr>
                <w:sz w:val="20"/>
                <w:szCs w:val="20"/>
                <w:color w:val="auto"/>
              </w:rPr>
            </w:pPr>
            <w:r>
              <w:rPr>
                <w:rFonts w:ascii="Arial" w:cs="Arial" w:eastAsia="Arial" w:hAnsi="Arial"/>
                <w:sz w:val="14"/>
                <w:szCs w:val="14"/>
                <w:color w:val="auto"/>
              </w:rPr>
              <w:t>circumstances, including in recognition of significant</w:t>
            </w:r>
          </w:p>
        </w:tc>
        <w:tc>
          <w:tcPr>
            <w:tcW w:w="100" w:type="dxa"/>
            <w:vAlign w:val="bottom"/>
          </w:tcPr>
          <w:p>
            <w:pPr>
              <w:spacing w:after="0"/>
              <w:rPr>
                <w:sz w:val="14"/>
                <w:szCs w:val="14"/>
                <w:color w:val="auto"/>
              </w:rPr>
            </w:pPr>
          </w:p>
        </w:tc>
      </w:tr>
      <w:tr>
        <w:trPr>
          <w:trHeight w:val="190"/>
        </w:trPr>
        <w:tc>
          <w:tcPr>
            <w:tcW w:w="3960" w:type="dxa"/>
            <w:vAlign w:val="bottom"/>
          </w:tcPr>
          <w:p>
            <w:pPr>
              <w:ind w:left="220"/>
              <w:spacing w:after="0"/>
              <w:rPr>
                <w:sz w:val="20"/>
                <w:szCs w:val="20"/>
                <w:color w:val="auto"/>
              </w:rPr>
            </w:pPr>
            <w:r>
              <w:rPr>
                <w:rFonts w:ascii="Arial" w:cs="Arial" w:eastAsia="Arial" w:hAnsi="Arial"/>
                <w:sz w:val="14"/>
                <w:szCs w:val="14"/>
                <w:color w:val="auto"/>
              </w:rPr>
              <w:t>promotions and contributions.</w:t>
            </w:r>
          </w:p>
        </w:tc>
        <w:tc>
          <w:tcPr>
            <w:tcW w:w="100" w:type="dxa"/>
            <w:vAlign w:val="bottom"/>
          </w:tcPr>
          <w:p>
            <w:pPr>
              <w:spacing w:after="0"/>
              <w:rPr>
                <w:sz w:val="16"/>
                <w:szCs w:val="16"/>
                <w:color w:val="auto"/>
              </w:rPr>
            </w:pPr>
          </w:p>
        </w:tc>
      </w:tr>
    </w:tbl>
    <w:p>
      <w:pPr>
        <w:spacing w:after="0" w:line="80" w:lineRule="exact"/>
        <w:rPr>
          <w:sz w:val="20"/>
          <w:szCs w:val="20"/>
          <w:color w:val="auto"/>
        </w:rPr>
      </w:pPr>
    </w:p>
    <w:p>
      <w:pPr>
        <w:ind w:left="220" w:right="200"/>
        <w:spacing w:after="0" w:line="258" w:lineRule="auto"/>
        <w:rPr>
          <w:sz w:val="20"/>
          <w:szCs w:val="20"/>
          <w:color w:val="auto"/>
        </w:rPr>
      </w:pPr>
      <w:r>
        <w:rPr>
          <w:rFonts w:ascii="Arial" w:cs="Arial" w:eastAsia="Arial" w:hAnsi="Arial"/>
          <w:sz w:val="14"/>
          <w:szCs w:val="14"/>
          <w:color w:val="auto"/>
        </w:rPr>
        <w:t>RSUs typically vest in full three years after the date of grant. Time- based vesting aids retention. Dividend equivalents on RSUs accrue and are paid in cash upon vesting.</w:t>
      </w:r>
    </w:p>
    <w:p>
      <w:pPr>
        <w:spacing w:after="0" w:line="200" w:lineRule="exact"/>
        <w:rPr>
          <w:sz w:val="20"/>
          <w:szCs w:val="20"/>
          <w:color w:val="auto"/>
        </w:rPr>
      </w:pPr>
    </w:p>
    <w:p>
      <w:pPr>
        <w:sectPr>
          <w:pgSz w:w="11900" w:h="16838" w:orient="portrait"/>
          <w:cols w:equalWidth="0" w:num="3">
            <w:col w:w="3540" w:space="138"/>
            <w:col w:w="2022" w:space="100"/>
            <w:col w:w="4140"/>
          </w:cols>
          <w:pgMar w:left="580" w:top="97" w:right="1379" w:bottom="1440" w:gutter="0" w:footer="0" w:header="0"/>
          <w:type w:val="continuous"/>
        </w:sectPr>
      </w:pPr>
    </w:p>
    <w:p>
      <w:pPr>
        <w:spacing w:after="0" w:line="380"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2023 table and accompanying disclosure.</w:t>
      </w:r>
    </w:p>
    <w:p>
      <w:pPr>
        <w:spacing w:after="0" w:line="293"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including cost to the Company for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2023, our President and Chief Executive Officer had 13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284" w:lineRule="exact"/>
        <w:rPr>
          <w:sz w:val="20"/>
          <w:szCs w:val="20"/>
          <w:color w:val="auto"/>
        </w:rPr>
      </w:pPr>
    </w:p>
    <w:p>
      <w:pPr>
        <w:ind w:left="820"/>
        <w:spacing w:after="0"/>
        <w:tabs>
          <w:tab w:leader="none" w:pos="2500" w:val="left"/>
          <w:tab w:leader="none" w:pos="2960" w:val="left"/>
          <w:tab w:leader="none" w:pos="3780" w:val="left"/>
          <w:tab w:leader="none" w:pos="4080" w:val="left"/>
          <w:tab w:leader="none" w:pos="4860" w:val="left"/>
          <w:tab w:leader="none" w:pos="6600" w:val="left"/>
          <w:tab w:leader="none" w:pos="7080" w:val="left"/>
          <w:tab w:leader="none" w:pos="8060" w:val="left"/>
          <w:tab w:leader="none" w:pos="8940" w:val="left"/>
        </w:tabs>
        <w:rPr>
          <w:sz w:val="20"/>
          <w:szCs w:val="20"/>
          <w:color w:val="auto"/>
        </w:rPr>
      </w:pPr>
      <w:r>
        <w:rPr>
          <w:rFonts w:ascii="Arial" w:cs="Arial" w:eastAsia="Arial" w:hAnsi="Arial"/>
          <w:sz w:val="18"/>
          <w:szCs w:val="18"/>
          <w:i w:val="1"/>
          <w:iCs w:val="1"/>
          <w:u w:val="single" w:color="auto"/>
          <w:color w:val="auto"/>
        </w:rPr>
        <w:t>Post-Employment</w:t>
      </w:r>
      <w:r>
        <w:rPr>
          <w:sz w:val="20"/>
          <w:szCs w:val="20"/>
          <w:color w:val="auto"/>
        </w:rPr>
        <w:tab/>
      </w:r>
      <w:r>
        <w:rPr>
          <w:rFonts w:ascii="Arial" w:cs="Arial" w:eastAsia="Arial" w:hAnsi="Arial"/>
          <w:sz w:val="18"/>
          <w:szCs w:val="18"/>
          <w:i w:val="1"/>
          <w:iCs w:val="1"/>
          <w:u w:val="single" w:color="auto"/>
          <w:color w:val="auto"/>
        </w:rPr>
        <w:t>and</w:t>
        <w:tab/>
        <w:t>Change</w:t>
        <w:tab/>
        <w:t>in</w:t>
        <w:tab/>
        <w:t>Control</w:t>
        <w:tab/>
        <w:t>Compensation.</w:t>
      </w:r>
      <w:r>
        <w:rPr>
          <w:sz w:val="20"/>
          <w:szCs w:val="20"/>
          <w:color w:val="auto"/>
        </w:rPr>
        <w:tab/>
      </w:r>
      <w:r>
        <w:rPr>
          <w:rFonts w:ascii="Arial" w:cs="Arial" w:eastAsia="Arial" w:hAnsi="Arial"/>
          <w:sz w:val="18"/>
          <w:szCs w:val="18"/>
          <w:color w:val="auto"/>
        </w:rPr>
        <w:t>The</w:t>
        <w:tab/>
        <w:t>Company</w:t>
        <w:tab/>
        <w:t>provides</w:t>
        <w:tab/>
        <w:t>severance</w:t>
      </w:r>
    </w:p>
    <w:p>
      <w:pPr>
        <w:spacing w:after="0" w:line="2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How Named Executive Officer Compensation Decisions are Made</w:t>
      </w:r>
    </w:p>
    <w:p>
      <w:pPr>
        <w:spacing w:after="0" w:line="12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29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 -employee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w:t>
      </w:r>
    </w:p>
    <w:p>
      <w:pPr>
        <w:spacing w:after="0" w:line="200" w:lineRule="exact"/>
        <w:rPr>
          <w:sz w:val="20"/>
          <w:szCs w:val="20"/>
          <w:color w:val="auto"/>
        </w:rPr>
      </w:pPr>
    </w:p>
    <w:p>
      <w:pPr>
        <w:spacing w:after="0" w:line="26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987"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w:t>
      </w:r>
    </w:p>
    <w:p>
      <w:pPr>
        <w:spacing w:after="0" w:line="3" w:lineRule="exact"/>
        <w:rPr>
          <w:sz w:val="20"/>
          <w:szCs w:val="20"/>
          <w:color w:val="auto"/>
        </w:rPr>
      </w:pPr>
    </w:p>
    <w:p>
      <w:pPr>
        <w:jc w:val="both"/>
        <w:ind w:left="820" w:right="60" w:hanging="4"/>
        <w:spacing w:after="0" w:line="265" w:lineRule="auto"/>
        <w:tabs>
          <w:tab w:leader="none" w:pos="11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307"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i w:val="1"/>
          <w:iCs w:val="1"/>
          <w:u w:val="single" w:color="auto"/>
          <w:color w:val="auto"/>
        </w:rPr>
        <w:t>Role of our CEO and our Human Resources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contributes to 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63" w:lineRule="exact"/>
        <w:rPr>
          <w:sz w:val="20"/>
          <w:szCs w:val="20"/>
          <w:color w:val="auto"/>
        </w:rPr>
      </w:pPr>
    </w:p>
    <w:p>
      <w:pPr>
        <w:jc w:val="both"/>
        <w:ind w:left="820" w:right="60"/>
        <w:spacing w:after="0" w:line="270"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2023 executive compensation program, the MD&amp;C Committee considered a competitive analysis of total direct compensation levels and compensation mix for our executive officers during the second half of 2022, using information from:</w:t>
      </w:r>
    </w:p>
    <w:p>
      <w:pPr>
        <w:spacing w:after="0" w:line="88" w:lineRule="exact"/>
        <w:rPr>
          <w:sz w:val="20"/>
          <w:szCs w:val="20"/>
          <w:color w:val="auto"/>
        </w:rPr>
      </w:pPr>
    </w:p>
    <w:p>
      <w:pPr>
        <w:jc w:val="both"/>
        <w:ind w:left="1360" w:right="60" w:hanging="184"/>
        <w:spacing w:after="0" w:line="255" w:lineRule="auto"/>
        <w:tabs>
          <w:tab w:leader="none" w:pos="1360" w:val="left"/>
        </w:tabs>
        <w:numPr>
          <w:ilvl w:val="0"/>
          <w:numId w:val="28"/>
        </w:numPr>
        <w:rPr>
          <w:rFonts w:ascii="Arial" w:cs="Arial" w:eastAsia="Arial" w:hAnsi="Arial"/>
          <w:sz w:val="18"/>
          <w:szCs w:val="18"/>
          <w:color w:val="457157"/>
        </w:rPr>
      </w:pPr>
      <w:r>
        <w:rPr>
          <w:rFonts w:ascii="Arial" w:cs="Arial" w:eastAsia="Arial" w:hAnsi="Arial"/>
          <w:sz w:val="18"/>
          <w:szCs w:val="18"/>
          <w:color w:val="auto"/>
        </w:rPr>
        <w:t>Size-adjusted median compensation data from two general industry surveys in which management annually participates; the 2021 Aon Radford Global Compensation Executive Data (as the 2022 Aon Radford Global Compensation Executive Data was not yet available) and the Willis Towers Watson 2022 Executive Compensation Database Survey. The 2021 Aon Radford Global Compensation Executive Data included 1,109 organizations ranging in size from less than $10 million to $560 billion in annual revenue, and the 2022 Willis Towers Watson Executive Compensation Database Survey included 797 organizations ranging in size from approximately $20 million to $575 billion in annual revenue. Data selected from these surveys is scoped based on Company revenue; and</w:t>
      </w:r>
    </w:p>
    <w:p>
      <w:pPr>
        <w:spacing w:after="0" w:line="319" w:lineRule="exact"/>
        <w:rPr>
          <w:rFonts w:ascii="Arial" w:cs="Arial" w:eastAsia="Arial" w:hAnsi="Arial"/>
          <w:sz w:val="18"/>
          <w:szCs w:val="18"/>
          <w:color w:val="457157"/>
        </w:rPr>
      </w:pPr>
    </w:p>
    <w:p>
      <w:pPr>
        <w:ind w:left="1360" w:right="580" w:hanging="184"/>
        <w:spacing w:after="0" w:line="287" w:lineRule="auto"/>
        <w:tabs>
          <w:tab w:leader="none" w:pos="1360" w:val="left"/>
        </w:tabs>
        <w:numPr>
          <w:ilvl w:val="0"/>
          <w:numId w:val="28"/>
        </w:numPr>
        <w:rPr>
          <w:rFonts w:ascii="Arial" w:cs="Arial" w:eastAsia="Arial" w:hAnsi="Arial"/>
          <w:sz w:val="18"/>
          <w:szCs w:val="18"/>
          <w:color w:val="457157"/>
        </w:rPr>
      </w:pPr>
      <w:r>
        <w:rPr>
          <w:rFonts w:ascii="Arial" w:cs="Arial" w:eastAsia="Arial" w:hAnsi="Arial"/>
          <w:sz w:val="18"/>
          <w:szCs w:val="18"/>
          <w:color w:val="auto"/>
        </w:rPr>
        <w:t>Median compensation data from a comparison group of 20 publicly traded U.S. companies, described below.</w:t>
      </w:r>
    </w:p>
    <w:p>
      <w:pPr>
        <w:spacing w:after="0" w:line="4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299"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developing 2023 compensation recommendations during 2022. All financial and market data are taken from Standard &amp; Poor’s Capital IQ, with financial data as of each company’s 2021 fiscal</w:t>
      </w:r>
    </w:p>
    <w:p>
      <w:pPr>
        <w:ind w:left="820"/>
        <w:spacing w:after="0" w:line="202" w:lineRule="auto"/>
        <w:rPr>
          <w:sz w:val="20"/>
          <w:szCs w:val="20"/>
          <w:color w:val="auto"/>
        </w:rPr>
      </w:pPr>
      <w:r>
        <w:rPr>
          <w:rFonts w:ascii="Arial" w:cs="Arial" w:eastAsia="Arial" w:hAnsi="Arial"/>
          <w:sz w:val="18"/>
          <w:szCs w:val="18"/>
          <w:color w:val="auto"/>
        </w:rPr>
        <w:t>year end and market capitalization as of December 31, 2021.</w:t>
      </w:r>
    </w:p>
    <w:p>
      <w:pPr>
        <w:jc w:val="right"/>
        <w:spacing w:after="0" w:line="228" w:lineRule="auto"/>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-212725</wp:posOffset>
            </wp:positionV>
            <wp:extent cx="471805" cy="128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165735</wp:posOffset>
            </wp:positionV>
            <wp:extent cx="3968750" cy="2974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687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29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29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following charts display the allocation of total 2023 target compensation among base salary, annual cash incentive and annual long-term equity awards for (a) our President and Chief Executive Officer and (b) our other named executives, on average. These charts depict the MD&amp;C Committee’s 2023 desired total mix of target compensation for named executives and reflect that a substantial majority of executive compensation is linked to Company performance, through annual cash incentive performance criteria and long-term equity-based incentive awards. We consider stock options</w:t>
      </w:r>
    </w:p>
    <w:p>
      <w:pPr>
        <w:spacing w:after="0" w:line="2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80"/>
        <w:spacing w:after="0" w:line="287" w:lineRule="auto"/>
        <w:rPr>
          <w:sz w:val="20"/>
          <w:szCs w:val="20"/>
          <w:color w:val="auto"/>
        </w:rPr>
      </w:pPr>
      <w:r>
        <w:rPr>
          <w:rFonts w:ascii="Arial" w:cs="Arial" w:eastAsia="Arial" w:hAnsi="Arial"/>
          <w:sz w:val="18"/>
          <w:szCs w:val="18"/>
          <w:color w:val="auto"/>
        </w:rPr>
        <w:t>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48895</wp:posOffset>
            </wp:positionV>
            <wp:extent cx="5151755" cy="17741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517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67"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85"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 -term equity incentive awards. However, because our long-term equity incentive awards are based on a target dollar value established prior to grant (described in further detail under “Named Executives’ 2023 Compensation Program and Results — Long-Term Equity Incentives”), this target dollar value will differ from the grant date fair value of awards calculated pursuant to ASC Topic 718 and reported in the Summary Compensation Table.</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2023,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8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 -term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community, except that the MD&amp;C Committee has determined that potential adjustments arising from a single transaction or event generally should be disregarded unless, taken together, they change the calculated award payout by at least 5%.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w:t>
      </w:r>
    </w:p>
    <w:p>
      <w:pPr>
        <w:spacing w:after="0" w:line="39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Named Executives’ 2023 Compensation Program and Results</w:t>
      </w: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MD&amp;C Committee approved increases to the 2023 base salaries of named executive officers, consistent with our compensation philosophy and driven by competitive market data, internal pay equity considerations and individual performance relative to the executive’s responsibilities and contributions. The table below shows the 2023 annual base salary established by the MD&amp;C Committee for each of our named executive officers.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322"/>
        </w:trPr>
        <w:tc>
          <w:tcPr>
            <w:tcW w:w="3980" w:type="dxa"/>
            <w:vAlign w:val="bottom"/>
            <w:tcBorders>
              <w:bottom w:val="single" w:sz="8" w:color="457157"/>
            </w:tcBorders>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660" w:type="dxa"/>
            <w:vAlign w:val="bottom"/>
            <w:tcBorders>
              <w:bottom w:val="single" w:sz="8" w:color="457157"/>
            </w:tcBorders>
            <w:gridSpan w:val="4"/>
          </w:tcPr>
          <w:p>
            <w:pPr>
              <w:ind w:left="208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2023 Base Salary</w:t>
            </w:r>
            <w:r>
              <w:rPr>
                <w:rFonts w:ascii="Arial" w:cs="Arial" w:eastAsia="Arial" w:hAnsi="Arial"/>
                <w:sz w:val="28"/>
                <w:szCs w:val="28"/>
                <w:b w:val="1"/>
                <w:bCs w:val="1"/>
                <w:color w:val="457157"/>
                <w:vertAlign w:val="subscript"/>
              </w:rPr>
              <w:t>​</w:t>
            </w:r>
          </w:p>
        </w:tc>
        <w:tc>
          <w:tcPr>
            <w:tcW w:w="20" w:type="dxa"/>
            <w:vAlign w:val="bottom"/>
          </w:tcPr>
          <w:p>
            <w:pPr>
              <w:spacing w:after="0"/>
              <w:rPr>
                <w:sz w:val="24"/>
                <w:szCs w:val="24"/>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$ 1,400,000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767,600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645,200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668,700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17" w:lineRule="exact"/>
        <w:rPr>
          <w:sz w:val="20"/>
          <w:szCs w:val="20"/>
          <w:color w:val="auto"/>
        </w:rPr>
      </w:pPr>
    </w:p>
    <w:p>
      <w:pPr>
        <w:ind w:left="1360" w:right="60" w:hanging="184"/>
        <w:spacing w:after="0" w:line="285"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i w:val="1"/>
          <w:iCs w:val="1"/>
          <w:color w:val="auto"/>
        </w:rPr>
        <w:t>Annual cash incentives were dependent on the following performance measures: Operating EBITDA; Income from Operations Margin and Internal Revenue Growth.</w:t>
      </w:r>
    </w:p>
    <w:p>
      <w:pPr>
        <w:spacing w:after="0" w:line="48" w:lineRule="exact"/>
        <w:rPr>
          <w:rFonts w:ascii="Arial" w:cs="Arial" w:eastAsia="Arial" w:hAnsi="Arial"/>
          <w:sz w:val="18"/>
          <w:szCs w:val="18"/>
          <w:color w:val="457157"/>
        </w:rPr>
      </w:pPr>
    </w:p>
    <w:p>
      <w:pPr>
        <w:jc w:val="both"/>
        <w:ind w:left="1360" w:right="60" w:hanging="184"/>
        <w:spacing w:after="0" w:line="27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i w:val="1"/>
          <w:iCs w:val="1"/>
          <w:color w:val="auto"/>
        </w:rPr>
        <w:t>Payouts of cash incentives based on the performance measures could be increased or decreased by up to 5%, depending on achievement calculated using the 2023 sustainability scorecard.</w:t>
      </w:r>
    </w:p>
    <w:p>
      <w:pPr>
        <w:spacing w:after="0" w:line="278"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i w:val="1"/>
          <w:iCs w:val="1"/>
          <w:color w:val="auto"/>
        </w:rPr>
        <w:t>Blended results on the performance measures yielded an annual cash incentive payment for 2023 equal to 117.85% of target, which was then increased by 2% on account of the sustainability modifier, yielding a final payout of 120.21%.</w:t>
      </w:r>
    </w:p>
    <w:p>
      <w:pPr>
        <w:spacing w:after="0" w:line="6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2023, are reflective of the Company’s overall performance, and are appropriate indicators of our progress toward the Company’s goals. See “2023 Compensation Program Results and Company Performance” in the Executive Summary above for further discussion and definitions of the annual cash incentive performance measures.</w:t>
      </w:r>
    </w:p>
    <w:p>
      <w:pPr>
        <w:spacing w:after="0" w:line="293"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When setting the 2023 performance levels, the MD&amp;C Committee defined the 2023 annual cash incentive awards to exclude the impacts of our recycling brokerage business. While the relatively small and traditionally lower -margin recycling brokerage business is additive to our overall customer value proposition, it can have a distorting effect on results, due in part to commodity price volatility. The table below details the</w:t>
      </w:r>
    </w:p>
    <w:p>
      <w:pPr>
        <w:ind w:left="820"/>
        <w:spacing w:after="0" w:line="189" w:lineRule="auto"/>
        <w:rPr>
          <w:sz w:val="20"/>
          <w:szCs w:val="20"/>
          <w:color w:val="auto"/>
        </w:rPr>
      </w:pPr>
      <w:r>
        <w:rPr>
          <w:rFonts w:ascii="Arial" w:cs="Arial" w:eastAsia="Arial" w:hAnsi="Arial"/>
          <w:sz w:val="3"/>
          <w:szCs w:val="3"/>
          <w:color w:val="auto"/>
        </w:rPr>
        <w:t>performance</w:t>
      </w:r>
      <w:r>
        <w:rPr>
          <w:rFonts w:ascii="Arial" w:cs="Arial" w:eastAsia="Arial" w:hAnsi="Arial"/>
          <w:sz w:val="9"/>
          <w:szCs w:val="9"/>
          <w:b w:val="1"/>
          <w:bCs w:val="1"/>
          <w:color w:val="457157"/>
          <w:vertAlign w:val="superscript"/>
        </w:rPr>
        <w:t>|</w:t>
      </w:r>
      <w:r>
        <w:rPr>
          <w:rFonts w:ascii="Arial" w:cs="Arial" w:eastAsia="Arial" w:hAnsi="Arial"/>
          <w:sz w:val="3"/>
          <w:szCs w:val="3"/>
          <w:color w:val="auto"/>
        </w:rPr>
        <w:t xml:space="preserve"> measures set by the MD&amp;C Committee for purposes of the named executive officers’</w:t>
      </w:r>
    </w:p>
    <w:p>
      <w:pPr>
        <w:ind w:left="820"/>
        <w:spacing w:after="0" w:line="182" w:lineRule="auto"/>
        <w:tabs>
          <w:tab w:leader="none" w:pos="24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-92710</wp:posOffset>
            </wp:positionV>
            <wp:extent cx="4718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annual cash incentive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379095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96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457157"/>
            </w:tcBorders>
          </w:tcPr>
          <w:p>
            <w:pPr>
              <w:spacing w:after="0"/>
              <w:rPr>
                <w:sz w:val="24"/>
                <w:szCs w:val="24"/>
                <w:color w:val="auto"/>
              </w:rPr>
            </w:pPr>
          </w:p>
        </w:tc>
        <w:tc>
          <w:tcPr>
            <w:tcW w:w="3960" w:type="dxa"/>
            <w:vAlign w:val="bottom"/>
            <w:tcBorders>
              <w:top w:val="single" w:sz="8" w:color="457157"/>
            </w:tcBorders>
            <w:gridSpan w:val="5"/>
          </w:tcPr>
          <w:p>
            <w:pPr>
              <w:jc w:val="right"/>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52"/>
        </w:trPr>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Arial" w:cs="Arial" w:eastAsia="Arial" w:hAnsi="Arial"/>
                <w:sz w:val="14"/>
                <w:szCs w:val="14"/>
                <w:b w:val="1"/>
                <w:bCs w:val="1"/>
                <w:color w:val="457157"/>
              </w:rPr>
              <w:t>Threshold</w:t>
            </w:r>
          </w:p>
        </w:tc>
        <w:tc>
          <w:tcPr>
            <w:tcW w:w="26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4"/>
                <w:szCs w:val="14"/>
                <w:b w:val="1"/>
                <w:bCs w:val="1"/>
                <w:color w:val="457157"/>
              </w:rPr>
              <w:t>Target</w:t>
            </w:r>
          </w:p>
        </w:tc>
        <w:tc>
          <w:tcPr>
            <w:tcW w:w="26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4"/>
                <w:szCs w:val="14"/>
                <w:b w:val="1"/>
                <w:bCs w:val="1"/>
                <w:color w:val="457157"/>
              </w:rPr>
              <w:t>Maximum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1140" w:type="dxa"/>
            <w:vAlign w:val="bottom"/>
          </w:tcPr>
          <w:p>
            <w:pPr>
              <w:spacing w:after="0"/>
              <w:rPr>
                <w:sz w:val="12"/>
                <w:szCs w:val="12"/>
                <w:color w:val="auto"/>
              </w:rPr>
            </w:pPr>
          </w:p>
        </w:tc>
        <w:tc>
          <w:tcPr>
            <w:tcW w:w="11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457157"/>
              </w:rPr>
              <w:t>Performance</w:t>
            </w:r>
          </w:p>
        </w:tc>
        <w:tc>
          <w:tcPr>
            <w:tcW w:w="260" w:type="dxa"/>
            <w:vAlign w:val="bottom"/>
          </w:tcPr>
          <w:p>
            <w:pPr>
              <w:spacing w:after="0"/>
              <w:rPr>
                <w:sz w:val="12"/>
                <w:szCs w:val="12"/>
                <w:color w:val="auto"/>
              </w:rPr>
            </w:pPr>
          </w:p>
        </w:tc>
        <w:tc>
          <w:tcPr>
            <w:tcW w:w="11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Performance</w:t>
            </w:r>
          </w:p>
        </w:tc>
        <w:tc>
          <w:tcPr>
            <w:tcW w:w="260" w:type="dxa"/>
            <w:vAlign w:val="bottom"/>
          </w:tcPr>
          <w:p>
            <w:pPr>
              <w:spacing w:after="0"/>
              <w:rPr>
                <w:sz w:val="12"/>
                <w:szCs w:val="12"/>
                <w:color w:val="auto"/>
              </w:rPr>
            </w:pPr>
          </w:p>
        </w:tc>
        <w:tc>
          <w:tcPr>
            <w:tcW w:w="11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Performance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60" w:type="dxa"/>
            <w:vAlign w:val="bottom"/>
            <w:vMerge w:val="continue"/>
          </w:tcPr>
          <w:p>
            <w:pPr>
              <w:spacing w:after="0"/>
              <w:rPr>
                <w:sz w:val="17"/>
                <w:szCs w:val="17"/>
                <w:color w:val="auto"/>
              </w:rPr>
            </w:pPr>
          </w:p>
        </w:tc>
        <w:tc>
          <w:tcPr>
            <w:tcW w:w="2240" w:type="dxa"/>
            <w:vAlign w:val="bottom"/>
            <w:gridSpan w:val="2"/>
          </w:tcPr>
          <w:p>
            <w:pPr>
              <w:ind w:left="96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(60% Payment)</w:t>
            </w:r>
          </w:p>
        </w:tc>
        <w:tc>
          <w:tcPr>
            <w:tcW w:w="142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(100% Payment)</w:t>
            </w:r>
          </w:p>
        </w:tc>
        <w:tc>
          <w:tcPr>
            <w:tcW w:w="1500" w:type="dxa"/>
            <w:vAlign w:val="bottom"/>
            <w:gridSpan w:val="3"/>
          </w:tcPr>
          <w:p>
            <w:pPr>
              <w:ind w:left="8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(200% Payment) </w:t>
            </w:r>
            <w:r>
              <w:rPr>
                <w:rFonts w:ascii="Arial" w:cs="Arial" w:eastAsia="Arial" w:hAnsi="Arial"/>
                <w:sz w:val="22"/>
                <w:szCs w:val="22"/>
                <w:b w:val="1"/>
                <w:bCs w:val="1"/>
                <w:color w:val="457157"/>
                <w:vertAlign w:val="subscript"/>
              </w:rPr>
              <w:t>​</w:t>
            </w:r>
          </w:p>
        </w:tc>
        <w:tc>
          <w:tcPr>
            <w:tcW w:w="0" w:type="dxa"/>
            <w:vAlign w:val="bottom"/>
          </w:tcPr>
          <w:p>
            <w:pPr>
              <w:spacing w:after="0"/>
              <w:rPr>
                <w:sz w:val="1"/>
                <w:szCs w:val="1"/>
                <w:color w:val="auto"/>
              </w:rPr>
            </w:pPr>
          </w:p>
        </w:tc>
      </w:tr>
      <w:tr>
        <w:trPr>
          <w:trHeight w:val="196"/>
        </w:trPr>
        <w:tc>
          <w:tcPr>
            <w:tcW w:w="3960" w:type="dxa"/>
            <w:vAlign w:val="bottom"/>
            <w:tcBorders>
              <w:top w:val="single" w:sz="8" w:color="457157"/>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EBITDA</w:t>
            </w:r>
          </w:p>
        </w:tc>
        <w:tc>
          <w:tcPr>
            <w:tcW w:w="2240" w:type="dxa"/>
            <w:vAlign w:val="bottom"/>
            <w:tcBorders>
              <w:top w:val="single" w:sz="8" w:color="457157"/>
            </w:tcBorders>
            <w:gridSpan w:val="2"/>
            <w:shd w:val="clear" w:color="auto" w:fill="CCEEFF"/>
          </w:tcPr>
          <w:p>
            <w:pPr>
              <w:ind w:left="1100"/>
              <w:spacing w:after="0" w:line="196" w:lineRule="exact"/>
              <w:rPr>
                <w:sz w:val="20"/>
                <w:szCs w:val="20"/>
                <w:color w:val="auto"/>
              </w:rPr>
            </w:pPr>
            <w:r>
              <w:rPr>
                <w:rFonts w:ascii="Arial" w:cs="Arial" w:eastAsia="Arial" w:hAnsi="Arial"/>
                <w:sz w:val="18"/>
                <w:szCs w:val="18"/>
                <w:color w:val="auto"/>
              </w:rPr>
              <w:t>$5.60 billion</w:t>
            </w:r>
          </w:p>
        </w:tc>
        <w:tc>
          <w:tcPr>
            <w:tcW w:w="2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 billion</w:t>
            </w:r>
          </w:p>
        </w:tc>
        <w:tc>
          <w:tcPr>
            <w:tcW w:w="260" w:type="dxa"/>
            <w:vAlign w:val="bottom"/>
            <w:tcBorders>
              <w:top w:val="single" w:sz="8" w:color="457157"/>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8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 billion</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6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shd w:val="clear" w:color="auto" w:fill="CCEEFF"/>
          </w:tcPr>
          <w:p>
            <w:pPr>
              <w:ind w:left="960"/>
              <w:spacing w:after="0" w:line="68" w:lineRule="exact"/>
              <w:rPr>
                <w:sz w:val="20"/>
                <w:szCs w:val="20"/>
                <w:color w:val="auto"/>
              </w:rPr>
            </w:pPr>
            <w:r>
              <w:rPr>
                <w:rFonts w:ascii="Arial" w:cs="Arial" w:eastAsia="Arial" w:hAnsi="Arial"/>
                <w:sz w:val="7"/>
                <w:szCs w:val="7"/>
                <w:color w:val="auto"/>
              </w:rPr>
              <w:t>​ ​</w:t>
            </w:r>
          </w:p>
        </w:tc>
        <w:tc>
          <w:tcPr>
            <w:tcW w:w="110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Income from Operations Margin</w:t>
            </w:r>
          </w:p>
        </w:tc>
        <w:tc>
          <w:tcPr>
            <w:tcW w:w="1140" w:type="dxa"/>
            <w:vAlign w:val="bottom"/>
            <w:vMerge w:val="restart"/>
          </w:tcPr>
          <w:p>
            <w:pPr>
              <w:ind w:left="9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20.3%</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60" w:type="dxa"/>
            <w:vAlign w:val="bottom"/>
            <w:tcBorders>
              <w:bottom w:val="single" w:sz="8" w:color="457157"/>
            </w:tcBorders>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tcPr>
          <w:p>
            <w:pPr>
              <w:spacing w:after="0"/>
              <w:rPr>
                <w:sz w:val="5"/>
                <w:szCs w:val="5"/>
                <w:color w:val="auto"/>
              </w:rPr>
            </w:pPr>
          </w:p>
        </w:tc>
        <w:tc>
          <w:tcPr>
            <w:tcW w:w="1100" w:type="dxa"/>
            <w:vAlign w:val="bottom"/>
            <w:tcBorders>
              <w:bottom w:val="single" w:sz="8" w:color="457157"/>
            </w:tcBorders>
          </w:tcPr>
          <w:p>
            <w:pPr>
              <w:spacing w:after="0"/>
              <w:rPr>
                <w:sz w:val="5"/>
                <w:szCs w:val="5"/>
                <w:color w:val="auto"/>
              </w:rPr>
            </w:pPr>
          </w:p>
        </w:tc>
        <w:tc>
          <w:tcPr>
            <w:tcW w:w="260" w:type="dxa"/>
            <w:vAlign w:val="bottom"/>
            <w:tcBorders>
              <w:bottom w:val="single" w:sz="8" w:color="457157"/>
            </w:tcBorders>
            <w:vMerge w:val="continue"/>
          </w:tcPr>
          <w:p>
            <w:pPr>
              <w:spacing w:after="0"/>
              <w:rPr>
                <w:sz w:val="5"/>
                <w:szCs w:val="5"/>
                <w:color w:val="auto"/>
              </w:rPr>
            </w:pPr>
          </w:p>
        </w:tc>
        <w:tc>
          <w:tcPr>
            <w:tcW w:w="1160" w:type="dxa"/>
            <w:vAlign w:val="bottom"/>
            <w:tcBorders>
              <w:bottom w:val="single" w:sz="8" w:color="457157"/>
            </w:tcBorders>
          </w:tcPr>
          <w:p>
            <w:pPr>
              <w:spacing w:after="0"/>
              <w:rPr>
                <w:sz w:val="5"/>
                <w:szCs w:val="5"/>
                <w:color w:val="auto"/>
              </w:rPr>
            </w:pPr>
          </w:p>
        </w:tc>
        <w:tc>
          <w:tcPr>
            <w:tcW w:w="260" w:type="dxa"/>
            <w:vAlign w:val="bottom"/>
            <w:tcBorders>
              <w:bottom w:val="single" w:sz="8" w:color="457157"/>
            </w:tcBorders>
            <w:vMerge w:val="continue"/>
          </w:tcPr>
          <w:p>
            <w:pPr>
              <w:spacing w:after="0"/>
              <w:rPr>
                <w:sz w:val="5"/>
                <w:szCs w:val="5"/>
                <w:color w:val="auto"/>
              </w:rPr>
            </w:pPr>
          </w:p>
        </w:tc>
        <w:tc>
          <w:tcPr>
            <w:tcW w:w="1180" w:type="dxa"/>
            <w:vAlign w:val="bottom"/>
            <w:tcBorders>
              <w:bottom w:val="single" w:sz="8" w:color="457157"/>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Internal Revenue Growth</w:t>
            </w:r>
          </w:p>
        </w:tc>
        <w:tc>
          <w:tcPr>
            <w:tcW w:w="114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6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shd w:val="clear" w:color="auto" w:fill="CCEEFF"/>
          </w:tcPr>
          <w:p>
            <w:pPr>
              <w:spacing w:after="0"/>
              <w:rPr>
                <w:sz w:val="5"/>
                <w:szCs w:val="5"/>
                <w:color w:val="auto"/>
              </w:rPr>
            </w:pPr>
          </w:p>
        </w:tc>
        <w:tc>
          <w:tcPr>
            <w:tcW w:w="110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5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vMerge w:val="restart"/>
          </w:tcPr>
          <w:p>
            <w:pPr>
              <w:jc w:val="center"/>
              <w:ind w:right="168"/>
              <w:spacing w:after="0"/>
              <w:rPr>
                <w:sz w:val="20"/>
                <w:szCs w:val="20"/>
                <w:color w:val="auto"/>
              </w:rPr>
            </w:pPr>
            <w:r>
              <w:rPr>
                <w:rFonts w:ascii="Arial" w:cs="Arial" w:eastAsia="Arial" w:hAnsi="Arial"/>
                <w:sz w:val="14"/>
                <w:szCs w:val="14"/>
                <w:b w:val="1"/>
                <w:bCs w:val="1"/>
                <w:color w:val="457157"/>
              </w:rPr>
              <w:t>Operating EBITDA</w:t>
            </w:r>
          </w:p>
        </w:tc>
        <w:tc>
          <w:tcPr>
            <w:tcW w:w="34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Income from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457157"/>
              </w:rPr>
              <w:t>Internal Revenue</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457157"/>
              </w:rPr>
              <w:t>Operations Margin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318"/>
              <w:spacing w:after="0" w:line="149" w:lineRule="exact"/>
              <w:rPr>
                <w:sz w:val="20"/>
                <w:szCs w:val="20"/>
                <w:color w:val="auto"/>
              </w:rPr>
            </w:pPr>
            <w:r>
              <w:rPr>
                <w:rFonts w:ascii="Arial" w:cs="Arial" w:eastAsia="Arial" w:hAnsi="Arial"/>
                <w:sz w:val="14"/>
                <w:szCs w:val="14"/>
                <w:b w:val="1"/>
                <w:bCs w:val="1"/>
                <w:color w:val="457157"/>
              </w:rPr>
              <w:t>Growth</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80" w:type="dxa"/>
            <w:vAlign w:val="bottom"/>
            <w:gridSpan w:val="4"/>
            <w:vMerge w:val="restart"/>
          </w:tcPr>
          <w:p>
            <w:pPr>
              <w:jc w:val="center"/>
              <w:ind w:right="108"/>
              <w:spacing w:after="0"/>
              <w:rPr>
                <w:sz w:val="20"/>
                <w:szCs w:val="20"/>
                <w:color w:val="auto"/>
              </w:rPr>
            </w:pPr>
            <w:r>
              <w:rPr>
                <w:rFonts w:ascii="Arial" w:cs="Arial" w:eastAsia="Arial" w:hAnsi="Arial"/>
                <w:sz w:val="14"/>
                <w:szCs w:val="14"/>
                <w:b w:val="1"/>
                <w:bCs w:val="1"/>
                <w:color w:val="457157"/>
              </w:rPr>
              <w:t>(weighted 50%)</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  ​</w:t>
            </w: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457157"/>
              </w:rPr>
              <w:t>(weighted 25%)</w:t>
            </w:r>
          </w:p>
        </w:tc>
        <w:tc>
          <w:tcPr>
            <w:tcW w:w="160" w:type="dxa"/>
            <w:vAlign w:val="bottom"/>
            <w:vMerge w:val="restart"/>
          </w:tcPr>
          <w:p>
            <w:pPr>
              <w:ind w:left="100"/>
              <w:spacing w:after="0"/>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ind w:left="10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8"/>
                <w:szCs w:val="8"/>
                <w:color w:val="auto"/>
              </w:rPr>
            </w:pPr>
          </w:p>
        </w:tc>
        <w:tc>
          <w:tcPr>
            <w:tcW w:w="146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457157"/>
              </w:rPr>
              <w:t>(weighted 25%)</w:t>
            </w:r>
          </w:p>
        </w:tc>
        <w:tc>
          <w:tcPr>
            <w:tcW w:w="3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457157"/>
              </w:rPr>
              <w:t>​</w:t>
            </w:r>
          </w:p>
        </w:tc>
        <w:tc>
          <w:tcPr>
            <w:tcW w:w="1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 w:type="dxa"/>
            <w:vAlign w:val="bottom"/>
            <w:gridSpan w:val="2"/>
            <w:vMerge w:val="continue"/>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2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Payout Earned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00" w:type="dxa"/>
            <w:vAlign w:val="bottom"/>
            <w:tcBorders>
              <w:top w:val="single" w:sz="8" w:color="457157"/>
            </w:tcBorders>
          </w:tcPr>
          <w:p>
            <w:pPr>
              <w:spacing w:after="0"/>
              <w:rPr>
                <w:sz w:val="2"/>
                <w:szCs w:val="2"/>
                <w:color w:val="auto"/>
              </w:rPr>
            </w:pPr>
          </w:p>
        </w:tc>
        <w:tc>
          <w:tcPr>
            <w:tcW w:w="1020" w:type="dxa"/>
            <w:vAlign w:val="bottom"/>
            <w:tcBorders>
              <w:top w:val="single" w:sz="8" w:color="457157"/>
            </w:tcBorders>
          </w:tcPr>
          <w:p>
            <w:pPr>
              <w:spacing w:after="0"/>
              <w:rPr>
                <w:sz w:val="2"/>
                <w:szCs w:val="2"/>
                <w:color w:val="auto"/>
              </w:rPr>
            </w:pPr>
          </w:p>
        </w:tc>
        <w:tc>
          <w:tcPr>
            <w:tcW w:w="280" w:type="dxa"/>
            <w:vAlign w:val="bottom"/>
            <w:tcBorders>
              <w:top w:val="single" w:sz="8" w:color="457157"/>
            </w:tcBorders>
          </w:tcPr>
          <w:p>
            <w:pPr>
              <w:spacing w:after="0"/>
              <w:rPr>
                <w:sz w:val="2"/>
                <w:szCs w:val="2"/>
                <w:color w:val="auto"/>
              </w:rPr>
            </w:pPr>
          </w:p>
        </w:tc>
        <w:tc>
          <w:tcPr>
            <w:tcW w:w="580" w:type="dxa"/>
            <w:vAlign w:val="bottom"/>
            <w:tcBorders>
              <w:top w:val="single" w:sz="8" w:color="457157"/>
            </w:tcBorders>
            <w:gridSpan w:val="2"/>
            <w:vMerge w:val="restart"/>
          </w:tcPr>
          <w:p>
            <w:pPr>
              <w:ind w:left="20"/>
              <w:spacing w:after="0"/>
              <w:rPr>
                <w:sz w:val="20"/>
                <w:szCs w:val="20"/>
                <w:color w:val="auto"/>
              </w:rPr>
            </w:pPr>
            <w:r>
              <w:rPr>
                <w:rFonts w:ascii="Arial" w:cs="Arial" w:eastAsia="Arial" w:hAnsi="Arial"/>
                <w:sz w:val="14"/>
                <w:szCs w:val="14"/>
                <w:b w:val="1"/>
                <w:bCs w:val="1"/>
                <w:color w:val="457157"/>
              </w:rPr>
              <w:t>Payout</w:t>
            </w:r>
          </w:p>
        </w:tc>
        <w:tc>
          <w:tcPr>
            <w:tcW w:w="340" w:type="dxa"/>
            <w:vAlign w:val="bottom"/>
          </w:tcPr>
          <w:p>
            <w:pPr>
              <w:spacing w:after="0"/>
              <w:rPr>
                <w:sz w:val="2"/>
                <w:szCs w:val="2"/>
                <w:color w:val="auto"/>
              </w:rPr>
            </w:pPr>
          </w:p>
        </w:tc>
        <w:tc>
          <w:tcPr>
            <w:tcW w:w="720" w:type="dxa"/>
            <w:vAlign w:val="bottom"/>
            <w:tcBorders>
              <w:top w:val="single" w:sz="8" w:color="457157"/>
            </w:tcBorders>
          </w:tcPr>
          <w:p>
            <w:pPr>
              <w:spacing w:after="0"/>
              <w:rPr>
                <w:sz w:val="2"/>
                <w:szCs w:val="2"/>
                <w:color w:val="auto"/>
              </w:rPr>
            </w:pPr>
          </w:p>
        </w:tc>
        <w:tc>
          <w:tcPr>
            <w:tcW w:w="260" w:type="dxa"/>
            <w:vAlign w:val="bottom"/>
            <w:tcBorders>
              <w:top w:val="single" w:sz="8" w:color="457157"/>
            </w:tcBorders>
          </w:tcPr>
          <w:p>
            <w:pPr>
              <w:spacing w:after="0"/>
              <w:rPr>
                <w:sz w:val="2"/>
                <w:szCs w:val="2"/>
                <w:color w:val="auto"/>
              </w:rPr>
            </w:pPr>
          </w:p>
        </w:tc>
        <w:tc>
          <w:tcPr>
            <w:tcW w:w="600" w:type="dxa"/>
            <w:vAlign w:val="bottom"/>
            <w:tcBorders>
              <w:top w:val="single" w:sz="8" w:color="457157"/>
            </w:tcBorders>
            <w:gridSpan w:val="2"/>
            <w:vMerge w:val="restart"/>
          </w:tcPr>
          <w:p>
            <w:pPr>
              <w:ind w:left="40"/>
              <w:spacing w:after="0"/>
              <w:rPr>
                <w:sz w:val="20"/>
                <w:szCs w:val="20"/>
                <w:color w:val="auto"/>
              </w:rPr>
            </w:pPr>
            <w:r>
              <w:rPr>
                <w:rFonts w:ascii="Arial" w:cs="Arial" w:eastAsia="Arial" w:hAnsi="Arial"/>
                <w:sz w:val="14"/>
                <w:szCs w:val="14"/>
                <w:b w:val="1"/>
                <w:bCs w:val="1"/>
                <w:color w:val="457157"/>
              </w:rPr>
              <w:t>Payout</w:t>
            </w: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457157"/>
            </w:tcBorders>
          </w:tcPr>
          <w:p>
            <w:pPr>
              <w:spacing w:after="0"/>
              <w:rPr>
                <w:sz w:val="2"/>
                <w:szCs w:val="2"/>
                <w:color w:val="auto"/>
              </w:rPr>
            </w:pPr>
          </w:p>
        </w:tc>
        <w:tc>
          <w:tcPr>
            <w:tcW w:w="600" w:type="dxa"/>
            <w:vAlign w:val="bottom"/>
            <w:tcBorders>
              <w:top w:val="single" w:sz="8" w:color="457157"/>
            </w:tcBorders>
          </w:tcPr>
          <w:p>
            <w:pPr>
              <w:spacing w:after="0"/>
              <w:rPr>
                <w:sz w:val="2"/>
                <w:szCs w:val="2"/>
                <w:color w:val="auto"/>
              </w:rPr>
            </w:pPr>
          </w:p>
        </w:tc>
        <w:tc>
          <w:tcPr>
            <w:tcW w:w="860" w:type="dxa"/>
            <w:vAlign w:val="bottom"/>
            <w:tcBorders>
              <w:top w:val="single" w:sz="8" w:color="457157"/>
            </w:tcBorders>
            <w:gridSpan w:val="2"/>
            <w:vMerge w:val="restart"/>
          </w:tcPr>
          <w:p>
            <w:pPr>
              <w:ind w:left="300"/>
              <w:spacing w:after="0"/>
              <w:rPr>
                <w:sz w:val="20"/>
                <w:szCs w:val="20"/>
                <w:color w:val="auto"/>
              </w:rPr>
            </w:pPr>
            <w:r>
              <w:rPr>
                <w:rFonts w:ascii="Arial" w:cs="Arial" w:eastAsia="Arial" w:hAnsi="Arial"/>
                <w:sz w:val="14"/>
                <w:szCs w:val="14"/>
                <w:b w:val="1"/>
                <w:bCs w:val="1"/>
                <w:color w:val="457157"/>
              </w:rPr>
              <w:t>Payout</w:t>
            </w:r>
          </w:p>
        </w:tc>
        <w:tc>
          <w:tcPr>
            <w:tcW w:w="3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(as a percentage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w:t>
            </w:r>
          </w:p>
        </w:tc>
        <w:tc>
          <w:tcPr>
            <w:tcW w:w="720" w:type="dxa"/>
            <w:vAlign w:val="bottom"/>
            <w:vMerge w:val="continue"/>
          </w:tcPr>
          <w:p>
            <w:pPr>
              <w:spacing w:after="0"/>
              <w:rPr>
                <w:sz w:val="12"/>
                <w:szCs w:val="12"/>
                <w:color w:val="auto"/>
              </w:rPr>
            </w:pPr>
          </w:p>
        </w:tc>
        <w:tc>
          <w:tcPr>
            <w:tcW w:w="2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457157"/>
              </w:rPr>
              <w:t>​</w:t>
            </w:r>
          </w:p>
        </w:tc>
        <w:tc>
          <w:tcPr>
            <w:tcW w:w="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16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720" w:type="dxa"/>
            <w:vAlign w:val="bottom"/>
            <w:gridSpan w:val="2"/>
            <w:vMerge w:val="continue"/>
          </w:tcPr>
          <w:p>
            <w:pPr>
              <w:spacing w:after="0"/>
              <w:rPr>
                <w:sz w:val="12"/>
                <w:szCs w:val="12"/>
                <w:color w:val="auto"/>
              </w:rPr>
            </w:pPr>
          </w:p>
        </w:tc>
        <w:tc>
          <w:tcPr>
            <w:tcW w:w="3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457157"/>
              </w:rPr>
              <w:t>Earned</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3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457157"/>
              </w:rPr>
              <w:t>of Target)</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0" w:type="dxa"/>
            <w:vAlign w:val="bottom"/>
          </w:tcPr>
          <w:p>
            <w:pPr>
              <w:jc w:val="right"/>
              <w:ind w:right="96"/>
              <w:spacing w:after="0" w:line="54" w:lineRule="exact"/>
              <w:rPr>
                <w:sz w:val="20"/>
                <w:szCs w:val="20"/>
                <w:color w:val="auto"/>
              </w:rPr>
            </w:pPr>
            <w:r>
              <w:rPr>
                <w:rFonts w:ascii="Arial" w:cs="Arial" w:eastAsia="Arial" w:hAnsi="Arial"/>
                <w:sz w:val="6"/>
                <w:szCs w:val="6"/>
                <w:b w:val="1"/>
                <w:bCs w:val="1"/>
                <w:color w:val="457157"/>
              </w:rPr>
              <w:t>​</w:t>
            </w:r>
          </w:p>
        </w:tc>
        <w:tc>
          <w:tcPr>
            <w:tcW w:w="102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720" w:type="dxa"/>
            <w:vAlign w:val="bottom"/>
          </w:tcPr>
          <w:p>
            <w:pPr>
              <w:spacing w:after="0" w:line="54" w:lineRule="exact"/>
              <w:rPr>
                <w:sz w:val="20"/>
                <w:szCs w:val="20"/>
                <w:color w:val="auto"/>
              </w:rPr>
            </w:pPr>
            <w:r>
              <w:rPr>
                <w:rFonts w:ascii="Arial" w:cs="Arial" w:eastAsia="Arial" w:hAnsi="Arial"/>
                <w:sz w:val="6"/>
                <w:szCs w:val="6"/>
                <w:b w:val="1"/>
                <w:bCs w:val="1"/>
                <w:color w:val="457157"/>
              </w:rPr>
              <w:t>​</w:t>
            </w: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 w:type="dxa"/>
            <w:vAlign w:val="bottom"/>
          </w:tcPr>
          <w:p>
            <w:pPr>
              <w:spacing w:after="0" w:line="54" w:lineRule="exact"/>
              <w:rPr>
                <w:sz w:val="20"/>
                <w:szCs w:val="20"/>
                <w:color w:val="auto"/>
              </w:rPr>
            </w:pPr>
            <w:r>
              <w:rPr>
                <w:rFonts w:ascii="Arial" w:cs="Arial" w:eastAsia="Arial" w:hAnsi="Arial"/>
                <w:sz w:val="6"/>
                <w:szCs w:val="6"/>
                <w:b w:val="1"/>
                <w:bCs w:val="1"/>
                <w:color w:val="457157"/>
              </w:rPr>
              <w:t>​</w:t>
            </w:r>
          </w:p>
        </w:tc>
        <w:tc>
          <w:tcPr>
            <w:tcW w:w="6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80" w:type="dxa"/>
            <w:vAlign w:val="bottom"/>
            <w:gridSpan w:val="2"/>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760" w:type="dxa"/>
            <w:vAlign w:val="bottom"/>
            <w:gridSpan w:val="3"/>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20" w:type="dxa"/>
            <w:vAlign w:val="bottom"/>
            <w:gridSpan w:val="2"/>
            <w:shd w:val="clear" w:color="auto" w:fill="457157"/>
          </w:tcPr>
          <w:p>
            <w:pPr>
              <w:spacing w:after="0" w:line="20" w:lineRule="exact"/>
              <w:rPr>
                <w:sz w:val="1"/>
                <w:szCs w:val="1"/>
                <w:color w:val="auto"/>
              </w:rPr>
            </w:pPr>
          </w:p>
        </w:tc>
        <w:tc>
          <w:tcPr>
            <w:tcW w:w="1180" w:type="dxa"/>
            <w:vAlign w:val="bottom"/>
            <w:gridSpan w:val="3"/>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$5.892 billion</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92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​98.98%</w:t>
            </w:r>
          </w:p>
        </w:tc>
        <w:tc>
          <w:tcPr>
            <w:tcW w:w="720" w:type="dxa"/>
            <w:vAlign w:val="bottom"/>
          </w:tcPr>
          <w:p>
            <w:pPr>
              <w:spacing w:after="0" w:line="196" w:lineRule="exact"/>
              <w:rPr>
                <w:sz w:val="20"/>
                <w:szCs w:val="20"/>
                <w:color w:val="auto"/>
              </w:rPr>
            </w:pPr>
            <w:r>
              <w:rPr>
                <w:rFonts w:ascii="Arial" w:cs="Arial" w:eastAsia="Arial" w:hAnsi="Arial"/>
                <w:sz w:val="18"/>
                <w:szCs w:val="18"/>
                <w:color w:val="auto"/>
              </w:rPr>
              <w:t>​19.30%</w:t>
            </w: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8"/>
              </w:rPr>
              <w:t>​133.46%</w:t>
            </w:r>
          </w:p>
        </w:tc>
        <w:tc>
          <w:tcPr>
            <w:tcW w:w="180" w:type="dxa"/>
            <w:vAlign w:val="bottom"/>
          </w:tcPr>
          <w:p>
            <w:pPr>
              <w:spacing w:after="0"/>
              <w:rPr>
                <w:sz w:val="17"/>
                <w:szCs w:val="17"/>
                <w:color w:val="auto"/>
              </w:rPr>
            </w:pPr>
          </w:p>
        </w:tc>
        <w:tc>
          <w:tcPr>
            <w:tcW w:w="7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​5.96%</w:t>
            </w:r>
          </w:p>
        </w:tc>
        <w:tc>
          <w:tcPr>
            <w:tcW w:w="1180" w:type="dxa"/>
            <w:vAlign w:val="bottom"/>
            <w:gridSpan w:val="3"/>
          </w:tcPr>
          <w:p>
            <w:pPr>
              <w:jc w:val="right"/>
              <w:ind w:right="101"/>
              <w:spacing w:after="0" w:line="196" w:lineRule="exact"/>
              <w:rPr>
                <w:sz w:val="20"/>
                <w:szCs w:val="20"/>
                <w:color w:val="auto"/>
              </w:rPr>
            </w:pPr>
            <w:r>
              <w:rPr>
                <w:rFonts w:ascii="Arial" w:cs="Arial" w:eastAsia="Arial" w:hAnsi="Arial"/>
                <w:sz w:val="18"/>
                <w:szCs w:val="18"/>
                <w:color w:val="auto"/>
              </w:rPr>
              <w:t>​139.99%</w:t>
            </w:r>
          </w:p>
        </w:tc>
        <w:tc>
          <w:tcPr>
            <w:tcW w:w="12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 117.85%</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40" w:type="dxa"/>
            <w:vAlign w:val="bottom"/>
            <w:gridSpan w:val="2"/>
          </w:tcPr>
          <w:p>
            <w:pPr>
              <w:jc w:val="right"/>
              <w:ind w:right="96"/>
              <w:spacing w:after="0" w:line="68" w:lineRule="exact"/>
              <w:rPr>
                <w:sz w:val="20"/>
                <w:szCs w:val="20"/>
                <w:color w:val="auto"/>
              </w:rPr>
            </w:pPr>
            <w:r>
              <w:rPr>
                <w:rFonts w:ascii="Arial" w:cs="Arial" w:eastAsia="Arial" w:hAnsi="Arial"/>
                <w:sz w:val="7"/>
                <w:szCs w:val="7"/>
                <w:color w:val="auto"/>
              </w:rPr>
              <w:t>​</w:t>
            </w:r>
          </w:p>
        </w:tc>
        <w:tc>
          <w:tcPr>
            <w:tcW w:w="10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line="68" w:lineRule="exact"/>
              <w:rPr>
                <w:sz w:val="20"/>
                <w:szCs w:val="20"/>
                <w:color w:val="auto"/>
              </w:rPr>
            </w:pPr>
            <w:r>
              <w:rPr>
                <w:rFonts w:ascii="Arial" w:cs="Arial" w:eastAsia="Arial" w:hAnsi="Arial"/>
                <w:sz w:val="7"/>
                <w:szCs w:val="7"/>
                <w:color w:val="auto"/>
              </w:rPr>
              <w:t>​ ​ ​</w:t>
            </w:r>
          </w:p>
        </w:tc>
        <w:tc>
          <w:tcPr>
            <w:tcW w:w="720" w:type="dxa"/>
            <w:vAlign w:val="bottom"/>
          </w:tcPr>
          <w:p>
            <w:pPr>
              <w:ind w:left="480"/>
              <w:spacing w:after="0" w:line="68" w:lineRule="exact"/>
              <w:rPr>
                <w:sz w:val="20"/>
                <w:szCs w:val="20"/>
                <w:color w:val="auto"/>
              </w:rPr>
            </w:pPr>
            <w:r>
              <w:rPr>
                <w:rFonts w:ascii="Arial" w:cs="Arial" w:eastAsia="Arial" w:hAnsi="Arial"/>
                <w:sz w:val="7"/>
                <w:szCs w:val="7"/>
                <w:color w:val="auto"/>
              </w:rPr>
              <w:t>​ ​</w:t>
            </w: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gridSpan w:val="3"/>
          </w:tcPr>
          <w:p>
            <w:pPr>
              <w:spacing w:after="0" w:line="68" w:lineRule="exact"/>
              <w:rPr>
                <w:sz w:val="20"/>
                <w:szCs w:val="20"/>
                <w:color w:val="auto"/>
              </w:rPr>
            </w:pPr>
            <w:r>
              <w:rPr>
                <w:rFonts w:ascii="Arial" w:cs="Arial" w:eastAsia="Arial" w:hAnsi="Arial"/>
                <w:sz w:val="7"/>
                <w:szCs w:val="7"/>
                <w:color w:val="auto"/>
              </w:rPr>
              <w:t>​ ​ ​ ​</w:t>
            </w:r>
          </w:p>
        </w:tc>
        <w:tc>
          <w:tcPr>
            <w:tcW w:w="600" w:type="dxa"/>
            <w:vAlign w:val="bottom"/>
          </w:tcPr>
          <w:p>
            <w:pPr>
              <w:ind w:left="360"/>
              <w:spacing w:after="0" w:line="68" w:lineRule="exact"/>
              <w:rPr>
                <w:sz w:val="20"/>
                <w:szCs w:val="20"/>
                <w:color w:val="auto"/>
              </w:rPr>
            </w:pPr>
            <w:r>
              <w:rPr>
                <w:rFonts w:ascii="Arial" w:cs="Arial" w:eastAsia="Arial" w:hAnsi="Arial"/>
                <w:sz w:val="7"/>
                <w:szCs w:val="7"/>
                <w:color w:val="auto"/>
              </w:rPr>
              <w:t>​ ​</w:t>
            </w:r>
          </w:p>
        </w:tc>
        <w:tc>
          <w:tcPr>
            <w:tcW w:w="860" w:type="dxa"/>
            <w:vAlign w:val="bottom"/>
            <w:gridSpan w:val="2"/>
          </w:tcPr>
          <w:p>
            <w:pPr>
              <w:ind w:left="160"/>
              <w:spacing w:after="0" w:line="68" w:lineRule="exact"/>
              <w:rPr>
                <w:sz w:val="20"/>
                <w:szCs w:val="20"/>
                <w:color w:val="auto"/>
              </w:rPr>
            </w:pPr>
            <w:r>
              <w:rPr>
                <w:rFonts w:ascii="Arial" w:cs="Arial" w:eastAsia="Arial" w:hAnsi="Arial"/>
                <w:sz w:val="7"/>
                <w:szCs w:val="7"/>
                <w:color w:val="auto"/>
              </w:rPr>
              <w:t>​ ​</w:t>
            </w: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 ​</w:t>
            </w:r>
          </w:p>
        </w:tc>
        <w:tc>
          <w:tcPr>
            <w:tcW w:w="1280" w:type="dxa"/>
            <w:vAlign w:val="bottom"/>
          </w:tcPr>
          <w:p>
            <w:pPr>
              <w:jc w:val="right"/>
              <w:ind w:right="851"/>
              <w:spacing w:after="0" w:line="68" w:lineRule="exact"/>
              <w:rPr>
                <w:sz w:val="20"/>
                <w:szCs w:val="20"/>
                <w:color w:val="auto"/>
              </w:rPr>
            </w:pPr>
            <w:r>
              <w:rPr>
                <w:rFonts w:ascii="Arial" w:cs="Arial" w:eastAsia="Arial" w:hAnsi="Arial"/>
                <w:sz w:val="7"/>
                <w:szCs w:val="7"/>
                <w:color w:val="auto"/>
              </w:rPr>
              <w:t>​</w:t>
            </w: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For purposes of the Internal Revenue Growth performance measure target and calculation of results, the Company excluded benefits from Hurricane Ian and prior period recycling rebates, which collectively reduced Internal Revenue Growth performance by 0.18%.</w:t>
      </w:r>
    </w:p>
    <w:p>
      <w:pPr>
        <w:spacing w:after="0" w:line="6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Sustainability Modifier to Annual Cash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 2023, the MD&amp;C Committee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a sustainability modifier into the annual cash incentive program. As a result, annual cash incentive payouts to executive officers for 2023 were eligible to be increased, or decreased, up to 5% depending on achievement calculated using the sustainability scorecard. Results achieved on each of the four performance measures, and corresponding points earned on a scale of one-to-five, are reported below. The Company earned 13 total points on the 2023 sustainability scorecard, which correlates to a 2% increase to the annual cash incentive payment for 2023 otherwise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85090</wp:posOffset>
            </wp:positionV>
            <wp:extent cx="5751830" cy="2057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5183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The MD&amp;C Committee believes that the quantifiable performance measures for 2023, focusing on the areas of safety, D&amp;I, circularity and climate, aligned well with the Company’s commitments and values, sustainability growth strategy and 2030 goals presented in the Company’s Sustainability Report.</w:t>
      </w:r>
    </w:p>
    <w:p>
      <w:pPr>
        <w:spacing w:after="0" w:line="6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i w:val="1"/>
          <w:iCs w:val="1"/>
          <w:u w:val="single" w:color="auto"/>
          <w:color w:val="auto"/>
        </w:rPr>
        <w:t>Annual Cash Incentive Payout for 2023.</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incentives are a specified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executives’ base salary. The following table shows each named executive’s target percentage of base salary for 2023 and each named executive’s total annual cash incentive for 2023 paid in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80" w:type="dxa"/>
            <w:vAlign w:val="bottom"/>
            <w:gridSpan w:val="2"/>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040" w:type="dxa"/>
            <w:vAlign w:val="bottom"/>
            <w:shd w:val="clear" w:color="auto" w:fill="457157"/>
          </w:tcPr>
          <w:p>
            <w:pPr>
              <w:spacing w:after="0"/>
              <w:rPr>
                <w:sz w:val="19"/>
                <w:szCs w:val="19"/>
                <w:color w:val="auto"/>
              </w:rPr>
            </w:pPr>
          </w:p>
        </w:tc>
        <w:tc>
          <w:tcPr>
            <w:tcW w:w="180" w:type="dxa"/>
            <w:vAlign w:val="bottom"/>
            <w:shd w:val="clear" w:color="auto" w:fill="457157"/>
          </w:tcPr>
          <w:p>
            <w:pPr>
              <w:spacing w:after="0"/>
              <w:rPr>
                <w:sz w:val="19"/>
                <w:szCs w:val="19"/>
                <w:color w:val="auto"/>
              </w:rPr>
            </w:pPr>
          </w:p>
        </w:tc>
        <w:tc>
          <w:tcPr>
            <w:tcW w:w="440" w:type="dxa"/>
            <w:vAlign w:val="bottom"/>
            <w:shd w:val="clear" w:color="auto" w:fill="457157"/>
          </w:tcPr>
          <w:p>
            <w:pPr>
              <w:spacing w:after="0"/>
              <w:rPr>
                <w:sz w:val="19"/>
                <w:szCs w:val="19"/>
                <w:color w:val="auto"/>
              </w:rPr>
            </w:pPr>
          </w:p>
        </w:tc>
        <w:tc>
          <w:tcPr>
            <w:tcW w:w="760" w:type="dxa"/>
            <w:vAlign w:val="bottom"/>
            <w:shd w:val="clear" w:color="auto" w:fill="457157"/>
          </w:tcPr>
          <w:p>
            <w:pPr>
              <w:spacing w:after="0"/>
              <w:rPr>
                <w:sz w:val="19"/>
                <w:szCs w:val="19"/>
                <w:color w:val="auto"/>
              </w:rPr>
            </w:pPr>
          </w:p>
        </w:tc>
        <w:tc>
          <w:tcPr>
            <w:tcW w:w="8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520" w:type="dxa"/>
            <w:vAlign w:val="bottom"/>
            <w:shd w:val="clear" w:color="auto" w:fill="457157"/>
          </w:tcPr>
          <w:p>
            <w:pPr>
              <w:spacing w:after="0"/>
              <w:rPr>
                <w:sz w:val="19"/>
                <w:szCs w:val="19"/>
                <w:color w:val="auto"/>
              </w:rPr>
            </w:pPr>
          </w:p>
        </w:tc>
        <w:tc>
          <w:tcPr>
            <w:tcW w:w="1180" w:type="dxa"/>
            <w:vAlign w:val="bottom"/>
            <w:shd w:val="clear" w:color="auto" w:fill="457157"/>
          </w:tcPr>
          <w:p>
            <w:pPr>
              <w:spacing w:after="0"/>
              <w:rPr>
                <w:sz w:val="19"/>
                <w:szCs w:val="19"/>
                <w:color w:val="auto"/>
              </w:rPr>
            </w:pPr>
          </w:p>
        </w:tc>
        <w:tc>
          <w:tcPr>
            <w:tcW w:w="100" w:type="dxa"/>
            <w:vAlign w:val="bottom"/>
            <w:shd w:val="clear" w:color="auto" w:fill="457157"/>
          </w:tcPr>
          <w:p>
            <w:pPr>
              <w:spacing w:after="0"/>
              <w:rPr>
                <w:sz w:val="19"/>
                <w:szCs w:val="19"/>
                <w:color w:val="auto"/>
              </w:rPr>
            </w:pPr>
          </w:p>
        </w:tc>
        <w:tc>
          <w:tcPr>
            <w:tcW w:w="72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00" w:type="dxa"/>
            <w:vAlign w:val="bottom"/>
          </w:tcPr>
          <w:p>
            <w:pPr>
              <w:spacing w:after="0"/>
              <w:rPr>
                <w:sz w:val="24"/>
                <w:szCs w:val="24"/>
                <w:color w:val="auto"/>
              </w:rPr>
            </w:pPr>
          </w:p>
        </w:tc>
        <w:tc>
          <w:tcPr>
            <w:tcW w:w="318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Named Executive Officer</w:t>
            </w:r>
          </w:p>
        </w:tc>
        <w:tc>
          <w:tcPr>
            <w:tcW w:w="10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Target Percentage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Annual Cash Incentive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3180" w:type="dxa"/>
            <w:vAlign w:val="bottom"/>
            <w:vMerge w:val="continue"/>
          </w:tcPr>
          <w:p>
            <w:pPr>
              <w:spacing w:after="0"/>
              <w:rPr>
                <w:sz w:val="12"/>
                <w:szCs w:val="12"/>
                <w:color w:val="auto"/>
              </w:rPr>
            </w:pPr>
          </w:p>
        </w:tc>
        <w:tc>
          <w:tcPr>
            <w:tcW w:w="122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3"/>
          </w:tcPr>
          <w:p>
            <w:pPr>
              <w:ind w:left="140"/>
              <w:spacing w:after="0" w:line="145" w:lineRule="exact"/>
              <w:rPr>
                <w:sz w:val="20"/>
                <w:szCs w:val="20"/>
                <w:color w:val="auto"/>
              </w:rPr>
            </w:pPr>
            <w:r>
              <w:rPr>
                <w:rFonts w:ascii="Arial" w:cs="Arial" w:eastAsia="Arial" w:hAnsi="Arial"/>
                <w:sz w:val="14"/>
                <w:szCs w:val="14"/>
                <w:b w:val="1"/>
                <w:bCs w:val="1"/>
                <w:color w:val="457157"/>
              </w:rPr>
              <w:t>of Base Salary</w:t>
            </w:r>
          </w:p>
        </w:tc>
        <w:tc>
          <w:tcPr>
            <w:tcW w:w="680" w:type="dxa"/>
            <w:vAlign w:val="bottom"/>
            <w:gridSpan w:val="2"/>
            <w:vMerge w:val="restart"/>
          </w:tcPr>
          <w:p>
            <w:pPr>
              <w:jc w:val="right"/>
              <w:ind w:right="406"/>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2"/>
          </w:tcPr>
          <w:p>
            <w:pPr>
              <w:ind w:left="440"/>
              <w:spacing w:after="0" w:line="145" w:lineRule="exact"/>
              <w:rPr>
                <w:sz w:val="20"/>
                <w:szCs w:val="20"/>
                <w:color w:val="auto"/>
              </w:rPr>
            </w:pPr>
            <w:r>
              <w:rPr>
                <w:rFonts w:ascii="Arial" w:cs="Arial" w:eastAsia="Arial" w:hAnsi="Arial"/>
                <w:sz w:val="14"/>
                <w:szCs w:val="14"/>
                <w:b w:val="1"/>
                <w:bCs w:val="1"/>
                <w:color w:val="457157"/>
              </w:rPr>
              <w:t>For 2023</w:t>
            </w:r>
            <w:r>
              <w:rPr>
                <w:rFonts w:ascii="Arial" w:cs="Arial" w:eastAsia="Arial" w:hAnsi="Arial"/>
                <w:sz w:val="8"/>
                <w:szCs w:val="8"/>
                <w:b w:val="1"/>
                <w:bCs w:val="1"/>
                <w:color w:val="457157"/>
              </w:rPr>
              <w:t>(1)</w:t>
            </w:r>
          </w:p>
        </w:tc>
        <w:tc>
          <w:tcPr>
            <w:tcW w:w="780" w:type="dxa"/>
            <w:vAlign w:val="bottom"/>
            <w:gridSpan w:val="2"/>
            <w:vMerge w:val="restart"/>
          </w:tcPr>
          <w:p>
            <w:pPr>
              <w:jc w:val="right"/>
              <w:ind w:right="659"/>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318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220" w:type="dxa"/>
            <w:vAlign w:val="bottom"/>
            <w:tcBorders>
              <w:bottom w:val="single" w:sz="8" w:color="457157"/>
            </w:tcBorders>
            <w:gridSpan w:val="2"/>
            <w:vMerge w:val="continue"/>
          </w:tcPr>
          <w:p>
            <w:pPr>
              <w:spacing w:after="0"/>
              <w:rPr>
                <w:sz w:val="4"/>
                <w:szCs w:val="4"/>
                <w:color w:val="auto"/>
              </w:rPr>
            </w:pPr>
          </w:p>
        </w:tc>
        <w:tc>
          <w:tcPr>
            <w:tcW w:w="4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gridSpan w:val="2"/>
            <w:vMerge w:val="continue"/>
          </w:tcPr>
          <w:p>
            <w:pPr>
              <w:spacing w:after="0"/>
              <w:rPr>
                <w:sz w:val="4"/>
                <w:szCs w:val="4"/>
                <w:color w:val="auto"/>
              </w:rPr>
            </w:pPr>
          </w:p>
        </w:tc>
        <w:tc>
          <w:tcPr>
            <w:tcW w:w="118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80" w:type="dxa"/>
            <w:vAlign w:val="bottom"/>
          </w:tcPr>
          <w:p>
            <w:pPr>
              <w:ind w:left="60"/>
              <w:spacing w:after="0" w:line="236" w:lineRule="exact"/>
              <w:rPr>
                <w:sz w:val="20"/>
                <w:szCs w:val="20"/>
                <w:color w:val="auto"/>
              </w:rPr>
            </w:pPr>
            <w:r>
              <w:rPr>
                <w:rFonts w:ascii="Arial" w:cs="Arial" w:eastAsia="Arial" w:hAnsi="Arial"/>
                <w:sz w:val="18"/>
                <w:szCs w:val="18"/>
                <w:b w:val="1"/>
                <w:bCs w:val="1"/>
                <w:color w:val="auto"/>
              </w:rPr>
              <w:t>Mr. Fish</w:t>
            </w:r>
            <w:r>
              <w:rPr>
                <w:rFonts w:ascii="Arial" w:cs="Arial" w:eastAsia="Arial" w:hAnsi="Arial"/>
                <w:sz w:val="23"/>
                <w:szCs w:val="23"/>
                <w:b w:val="1"/>
                <w:bCs w:val="1"/>
                <w:color w:val="auto"/>
                <w:vertAlign w:val="superscript"/>
              </w:rPr>
              <w:t>(2)</w:t>
            </w:r>
          </w:p>
        </w:tc>
        <w:tc>
          <w:tcPr>
            <w:tcW w:w="1040" w:type="dxa"/>
            <w:vAlign w:val="bottom"/>
            <w:vMerge w:val="restart"/>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color w:val="auto"/>
              </w:rPr>
              <w:t>​158</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2,638,116</w:t>
            </w:r>
          </w:p>
        </w:tc>
        <w:tc>
          <w:tcPr>
            <w:tcW w:w="880" w:type="dxa"/>
            <w:vAlign w:val="bottom"/>
            <w:gridSpan w:val="3"/>
            <w:vMerge w:val="restart"/>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31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0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ind w:left="30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20" w:type="dxa"/>
            <w:vAlign w:val="bottom"/>
          </w:tcPr>
          <w:p>
            <w:pPr>
              <w:jc w:val="right"/>
              <w:ind w:right="66"/>
              <w:spacing w:after="0" w:line="68" w:lineRule="exact"/>
              <w:rPr>
                <w:sz w:val="20"/>
                <w:szCs w:val="20"/>
                <w:color w:val="auto"/>
              </w:rPr>
            </w:pPr>
            <w:r>
              <w:rPr>
                <w:rFonts w:ascii="Arial" w:cs="Arial" w:eastAsia="Arial" w:hAnsi="Arial"/>
                <w:sz w:val="7"/>
                <w:szCs w:val="7"/>
                <w:color w:val="auto"/>
              </w:rPr>
              <w:t>​</w:t>
            </w:r>
          </w:p>
        </w:tc>
        <w:tc>
          <w:tcPr>
            <w:tcW w:w="11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0" w:type="dxa"/>
            <w:vAlign w:val="bottom"/>
            <w:gridSpan w:val="2"/>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200" w:type="dxa"/>
            <w:vAlign w:val="bottom"/>
            <w:gridSpan w:val="2"/>
          </w:tcPr>
          <w:p>
            <w:pPr>
              <w:jc w:val="right"/>
              <w:ind w:right="41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915,228</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0" w:type="dxa"/>
            <w:vAlign w:val="bottom"/>
            <w:gridSpan w:val="2"/>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200" w:type="dxa"/>
            <w:vAlign w:val="bottom"/>
            <w:gridSpan w:val="2"/>
          </w:tcPr>
          <w:p>
            <w:pPr>
              <w:jc w:val="right"/>
              <w:ind w:right="41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1,028,241</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4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686,538</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4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717,576</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-934085</wp:posOffset>
            </wp:positionV>
            <wp:extent cx="484314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43145" cy="2057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29" w:lineRule="exact"/>
        <w:rPr>
          <w:sz w:val="20"/>
          <w:szCs w:val="20"/>
          <w:color w:val="auto"/>
        </w:rPr>
      </w:pPr>
    </w:p>
    <w:p>
      <w:pPr>
        <w:jc w:val="both"/>
        <w:ind w:left="1900" w:right="60" w:hanging="364"/>
        <w:spacing w:after="0" w:line="262" w:lineRule="auto"/>
        <w:tabs>
          <w:tab w:leader="none" w:pos="1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Calculations of annual cash incentive payouts, as a percentage of base salary, were made using the named executive’s actual base salary received in 2023. Such amounts are lower than if calculated using the 2023 base salaries in the table above due to the timing of when base salary increases take effect.</w:t>
      </w:r>
    </w:p>
    <w:p>
      <w:pPr>
        <w:spacing w:after="0" w:line="68" w:lineRule="exact"/>
        <w:rPr>
          <w:rFonts w:ascii="Arial" w:cs="Arial" w:eastAsia="Arial" w:hAnsi="Arial"/>
          <w:sz w:val="18"/>
          <w:szCs w:val="18"/>
          <w:color w:val="auto"/>
        </w:rPr>
      </w:pPr>
    </w:p>
    <w:p>
      <w:pPr>
        <w:ind w:left="1900" w:right="60" w:hanging="364"/>
        <w:spacing w:after="0" w:line="287" w:lineRule="auto"/>
        <w:tabs>
          <w:tab w:leader="none" w:pos="1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March 2023, the target percentage of base salary for Mr. Fish was increased from 150% to 160%, yielding a 158% target percentage of base salary for the full year of 2023.</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2023 annual long-term incentive award, the MD&amp;C Committee decided to grant both PSUs comprising 80% of each named executive’s award and stock options comprising 20% of each named executive’s award, consistent with prior years. Half of each named executives’ PSUs granted in 2023 are Cash Flow PSUs and the remaining half are TSR PSUs. Meanwhile, stock options encourage focus on increasing the market value of our stock. Before determining the actual number of PSUs and stock options that were granted to each of the named executives in 2023,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200" w:lineRule="exact"/>
        <w:rPr>
          <w:sz w:val="20"/>
          <w:szCs w:val="20"/>
          <w:color w:val="auto"/>
        </w:rPr>
      </w:pPr>
    </w:p>
    <w:p>
      <w:pPr>
        <w:spacing w:after="0" w:line="32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00" w:type="dxa"/>
            <w:vAlign w:val="bottom"/>
          </w:tcPr>
          <w:p>
            <w:pPr>
              <w:jc w:val="right"/>
              <w:ind w:right="45"/>
              <w:spacing w:after="0"/>
              <w:rPr>
                <w:sz w:val="20"/>
                <w:szCs w:val="20"/>
                <w:color w:val="auto"/>
              </w:rPr>
            </w:pPr>
            <w:r>
              <w:rPr>
                <w:rFonts w:ascii="Arial" w:cs="Arial" w:eastAsia="Arial" w:hAnsi="Arial"/>
                <w:sz w:val="14"/>
                <w:szCs w:val="14"/>
                <w:b w:val="1"/>
                <w:bCs w:val="1"/>
                <w:color w:val="457157"/>
              </w:rPr>
              <w:t>Dollar Values of 2023</w:t>
            </w: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300" w:type="dxa"/>
            <w:vAlign w:val="bottom"/>
          </w:tcPr>
          <w:p>
            <w:pPr>
              <w:jc w:val="right"/>
              <w:ind w:right="45"/>
              <w:spacing w:after="0" w:line="139" w:lineRule="exact"/>
              <w:rPr>
                <w:sz w:val="20"/>
                <w:szCs w:val="20"/>
                <w:color w:val="auto"/>
              </w:rPr>
            </w:pPr>
            <w:r>
              <w:rPr>
                <w:rFonts w:ascii="Arial" w:cs="Arial" w:eastAsia="Arial" w:hAnsi="Arial"/>
                <w:sz w:val="14"/>
                <w:szCs w:val="14"/>
                <w:b w:val="1"/>
                <w:bCs w:val="1"/>
                <w:color w:val="457157"/>
              </w:rPr>
              <w:t>Long-Term Equity Incentives</w:t>
            </w:r>
          </w:p>
        </w:tc>
        <w:tc>
          <w:tcPr>
            <w:tcW w:w="0" w:type="dxa"/>
            <w:vAlign w:val="bottom"/>
          </w:tcPr>
          <w:p>
            <w:pPr>
              <w:spacing w:after="0"/>
              <w:rPr>
                <w:sz w:val="1"/>
                <w:szCs w:val="1"/>
                <w:color w:val="auto"/>
              </w:rPr>
            </w:pPr>
          </w:p>
        </w:tc>
      </w:tr>
      <w:tr>
        <w:trPr>
          <w:trHeight w:val="144"/>
        </w:trPr>
        <w:tc>
          <w:tcPr>
            <w:tcW w:w="35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1820" w:type="dxa"/>
            <w:vAlign w:val="bottom"/>
          </w:tcPr>
          <w:p>
            <w:pPr>
              <w:spacing w:after="0"/>
              <w:rPr>
                <w:sz w:val="12"/>
                <w:szCs w:val="12"/>
                <w:color w:val="auto"/>
              </w:rPr>
            </w:pPr>
          </w:p>
        </w:tc>
        <w:tc>
          <w:tcPr>
            <w:tcW w:w="2300" w:type="dxa"/>
            <w:vAlign w:val="bottom"/>
          </w:tcPr>
          <w:p>
            <w:pPr>
              <w:jc w:val="right"/>
              <w:ind w:right="45"/>
              <w:spacing w:after="0" w:line="145" w:lineRule="exact"/>
              <w:rPr>
                <w:sz w:val="20"/>
                <w:szCs w:val="20"/>
                <w:color w:val="auto"/>
              </w:rPr>
            </w:pPr>
            <w:r>
              <w:rPr>
                <w:rFonts w:ascii="Arial" w:cs="Arial" w:eastAsia="Arial" w:hAnsi="Arial"/>
                <w:sz w:val="14"/>
                <w:szCs w:val="14"/>
                <w:b w:val="1"/>
                <w:bCs w:val="1"/>
                <w:color w:val="457157"/>
              </w:rPr>
              <w:t>Set by the Committee</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457157"/>
            </w:tcBorders>
            <w:vMerge w:val="continue"/>
          </w:tcPr>
          <w:p>
            <w:pPr>
              <w:spacing w:after="0"/>
              <w:rPr>
                <w:sz w:val="18"/>
                <w:szCs w:val="18"/>
                <w:color w:val="auto"/>
              </w:rPr>
            </w:pP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4"/>
                <w:szCs w:val="14"/>
                <w:b w:val="1"/>
                <w:bCs w:val="1"/>
                <w:color w:val="457157"/>
              </w:rPr>
              <w:t>​ ​</w:t>
            </w:r>
          </w:p>
        </w:tc>
        <w:tc>
          <w:tcPr>
            <w:tcW w:w="2300" w:type="dxa"/>
            <w:vAlign w:val="bottom"/>
            <w:tcBorders>
              <w:bottom w:val="single" w:sz="8" w:color="457157"/>
            </w:tcBorders>
          </w:tcPr>
          <w:p>
            <w:pPr>
              <w:ind w:left="1460"/>
              <w:spacing w:after="0" w:line="216" w:lineRule="exact"/>
              <w:rPr>
                <w:sz w:val="20"/>
                <w:szCs w:val="20"/>
                <w:color w:val="auto"/>
              </w:rPr>
            </w:pPr>
            <w:r>
              <w:rPr>
                <w:rFonts w:ascii="Arial" w:cs="Arial" w:eastAsia="Arial" w:hAnsi="Arial"/>
                <w:sz w:val="13"/>
                <w:szCs w:val="13"/>
                <w:b w:val="1"/>
                <w:bCs w:val="1"/>
                <w:color w:val="457157"/>
              </w:rPr>
              <w:t>(at Target)</w:t>
            </w:r>
            <w:r>
              <w:rPr>
                <w:rFonts w:ascii="Arial" w:cs="Arial" w:eastAsia="Arial" w:hAnsi="Arial"/>
                <w:sz w:val="25"/>
                <w:szCs w:val="25"/>
                <w:b w:val="1"/>
                <w:bCs w:val="1"/>
                <w:color w:val="457157"/>
                <w:vertAlign w:val="subscript"/>
              </w:rPr>
              <w:t>​</w:t>
            </w:r>
          </w:p>
        </w:tc>
        <w:tc>
          <w:tcPr>
            <w:tcW w:w="0" w:type="dxa"/>
            <w:vAlign w:val="bottom"/>
          </w:tcPr>
          <w:p>
            <w:pPr>
              <w:spacing w:after="0"/>
              <w:rPr>
                <w:sz w:val="1"/>
                <w:szCs w:val="1"/>
                <w:color w:val="auto"/>
              </w:rPr>
            </w:pPr>
          </w:p>
        </w:tc>
      </w:tr>
      <w:tr>
        <w:trPr>
          <w:trHeight w:val="263"/>
        </w:trPr>
        <w:tc>
          <w:tcPr>
            <w:tcW w:w="3520" w:type="dxa"/>
            <w:vAlign w:val="bottom"/>
            <w:tcBorders>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64" w:lineRule="exact"/>
              <w:rPr>
                <w:sz w:val="20"/>
                <w:szCs w:val="20"/>
                <w:color w:val="auto"/>
              </w:rPr>
            </w:pPr>
            <w:r>
              <w:rPr>
                <w:rFonts w:ascii="Arial" w:cs="Arial" w:eastAsia="Arial" w:hAnsi="Arial"/>
                <w:sz w:val="16"/>
                <w:szCs w:val="16"/>
                <w:color w:val="auto"/>
              </w:rPr>
              <w:t>$9,750,000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Rankin</w:t>
            </w: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tcPr>
          <w:p>
            <w:pPr>
              <w:ind w:left="1260"/>
              <w:spacing w:after="0" w:line="250" w:lineRule="exact"/>
              <w:rPr>
                <w:sz w:val="20"/>
                <w:szCs w:val="20"/>
                <w:color w:val="auto"/>
              </w:rPr>
            </w:pPr>
            <w:r>
              <w:rPr>
                <w:rFonts w:ascii="Arial" w:cs="Arial" w:eastAsia="Arial" w:hAnsi="Arial"/>
                <w:sz w:val="15"/>
                <w:szCs w:val="15"/>
                <w:color w:val="auto"/>
              </w:rPr>
              <w:t>$2,300,000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shd w:val="clear" w:color="auto" w:fill="CCEEFF"/>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Morris</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50" w:lineRule="exact"/>
              <w:rPr>
                <w:sz w:val="20"/>
                <w:szCs w:val="20"/>
                <w:color w:val="auto"/>
              </w:rPr>
            </w:pPr>
            <w:r>
              <w:rPr>
                <w:rFonts w:ascii="Arial" w:cs="Arial" w:eastAsia="Arial" w:hAnsi="Arial"/>
                <w:sz w:val="15"/>
                <w:szCs w:val="15"/>
                <w:color w:val="auto"/>
              </w:rPr>
              <w:t>$2,700,000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Carrasco</w:t>
            </w: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tcPr>
          <w:p>
            <w:pPr>
              <w:ind w:left="1260"/>
              <w:spacing w:after="0" w:line="250" w:lineRule="exact"/>
              <w:rPr>
                <w:sz w:val="20"/>
                <w:szCs w:val="20"/>
                <w:color w:val="auto"/>
              </w:rPr>
            </w:pPr>
            <w:r>
              <w:rPr>
                <w:rFonts w:ascii="Arial" w:cs="Arial" w:eastAsia="Arial" w:hAnsi="Arial"/>
                <w:sz w:val="15"/>
                <w:szCs w:val="15"/>
                <w:color w:val="auto"/>
              </w:rPr>
              <w:t>$2,000,000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shd w:val="clear" w:color="auto" w:fill="CCEEFF"/>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Hemmer</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50" w:lineRule="exact"/>
              <w:rPr>
                <w:sz w:val="20"/>
                <w:szCs w:val="20"/>
                <w:color w:val="auto"/>
              </w:rPr>
            </w:pPr>
            <w:r>
              <w:rPr>
                <w:rFonts w:ascii="Arial" w:cs="Arial" w:eastAsia="Arial" w:hAnsi="Arial"/>
                <w:sz w:val="15"/>
                <w:szCs w:val="15"/>
                <w:color w:val="auto"/>
              </w:rPr>
              <w:t>$1,800,000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117" w:lineRule="exact"/>
        <w:rPr>
          <w:sz w:val="20"/>
          <w:szCs w:val="20"/>
          <w:color w:val="auto"/>
        </w:rPr>
      </w:pPr>
    </w:p>
    <w:p>
      <w:pPr>
        <w:jc w:val="both"/>
        <w:ind w:left="1360" w:right="60" w:hanging="184"/>
        <w:spacing w:after="0" w:line="267" w:lineRule="auto"/>
        <w:tabs>
          <w:tab w:leader="none" w:pos="1360" w:val="left"/>
        </w:tabs>
        <w:numPr>
          <w:ilvl w:val="0"/>
          <w:numId w:val="31"/>
        </w:numPr>
        <w:rPr>
          <w:rFonts w:ascii="Arial" w:cs="Arial" w:eastAsia="Arial" w:hAnsi="Arial"/>
          <w:sz w:val="18"/>
          <w:szCs w:val="18"/>
          <w:color w:val="457157"/>
        </w:rPr>
      </w:pPr>
      <w:r>
        <w:rPr>
          <w:rFonts w:ascii="Arial" w:cs="Arial" w:eastAsia="Arial" w:hAnsi="Arial"/>
          <w:sz w:val="18"/>
          <w:szCs w:val="18"/>
          <w:i w:val="1"/>
          <w:iCs w:val="1"/>
          <w:color w:val="auto"/>
        </w:rPr>
        <w:t>Named executives were granted new PSUs with a three-year performance period ending December 31, 2025. Half of each named executive’s PSUs granted in 2023 are Cash Flow PSUs and the remaining half are TSR PSUs.</w:t>
      </w:r>
    </w:p>
    <w:p>
      <w:pPr>
        <w:spacing w:after="0" w:line="65"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1"/>
        </w:numPr>
        <w:rPr>
          <w:rFonts w:ascii="Arial" w:cs="Arial" w:eastAsia="Arial" w:hAnsi="Arial"/>
          <w:sz w:val="18"/>
          <w:szCs w:val="18"/>
          <w:color w:val="457157"/>
        </w:rPr>
      </w:pPr>
      <w:r>
        <w:rPr>
          <w:rFonts w:ascii="Arial" w:cs="Arial" w:eastAsia="Arial" w:hAnsi="Arial"/>
          <w:sz w:val="18"/>
          <w:szCs w:val="18"/>
          <w:i w:val="1"/>
          <w:iCs w:val="1"/>
          <w:color w:val="auto"/>
        </w:rPr>
        <w:t>Named executives received a payout of 200% of the PSUs granted in 2021 with a three-year performance period ended December 31, 2023. The Company exceeded the maximum level of performance for the Cash Flow PSUs and the TSR PSUs.</w:t>
      </w:r>
    </w:p>
    <w:p>
      <w:pPr>
        <w:spacing w:after="0" w:line="6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PSUs Granted in 2023.</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w:t>
      </w:r>
    </w:p>
    <w:p>
      <w:pPr>
        <w:spacing w:after="0" w:line="2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number of shares ranging from 0% to 200% of the initial number of PSUs granted, depending on the Company’s three-year performance against pre-established targets.</w:t>
      </w:r>
    </w:p>
    <w:p>
      <w:pPr>
        <w:spacing w:after="0" w:line="45"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2023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2023 are shown in the table below.</w:t>
      </w:r>
    </w:p>
    <w:p>
      <w:pPr>
        <w:spacing w:after="0" w:line="308" w:lineRule="exact"/>
        <w:rPr>
          <w:sz w:val="20"/>
          <w:szCs w:val="20"/>
          <w:color w:val="auto"/>
        </w:rPr>
      </w:pPr>
    </w:p>
    <w:tbl>
      <w:tblPr>
        <w:tblLayout w:type="fixed"/>
        <w:tblInd w:w="1520" w:type="dxa"/>
        <w:tblCellMar>
          <w:top w:w="0" w:type="dxa"/>
          <w:left w:w="0" w:type="dxa"/>
          <w:bottom w:w="0" w:type="dxa"/>
          <w:right w:w="0" w:type="dxa"/>
        </w:tblCellMar>
      </w:tblPr>
      <w:tr>
        <w:trPr>
          <w:trHeight w:val="168"/>
        </w:trPr>
        <w:tc>
          <w:tcPr>
            <w:tcW w:w="43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340" w:type="dxa"/>
            <w:vAlign w:val="bottom"/>
            <w:gridSpan w:val="2"/>
          </w:tcPr>
          <w:p>
            <w:pPr>
              <w:jc w:val="center"/>
              <w:ind w:left="2403"/>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457157"/>
            </w:tcBorders>
            <w:vMerge w:val="continue"/>
          </w:tcPr>
          <w:p>
            <w:pPr>
              <w:spacing w:after="0"/>
              <w:rPr>
                <w:sz w:val="17"/>
                <w:szCs w:val="17"/>
                <w:color w:val="auto"/>
              </w:rPr>
            </w:pPr>
          </w:p>
        </w:tc>
        <w:tc>
          <w:tcPr>
            <w:tcW w:w="3320" w:type="dxa"/>
            <w:vAlign w:val="bottom"/>
            <w:tcBorders>
              <w:bottom w:val="single" w:sz="8" w:color="457157"/>
            </w:tcBorders>
          </w:tcPr>
          <w:p>
            <w:pPr>
              <w:ind w:left="240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of PSUs</w:t>
            </w:r>
            <w:r>
              <w:rPr>
                <w:rFonts w:ascii="Arial" w:cs="Arial" w:eastAsia="Arial" w:hAnsi="Arial"/>
                <w:sz w:val="22"/>
                <w:szCs w:val="22"/>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51,316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12,106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14,210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10,526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9,474</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12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w:t>
      </w:r>
    </w:p>
    <w:p>
      <w:pPr>
        <w:spacing w:after="0" w:line="2" w:lineRule="exact"/>
        <w:rPr>
          <w:sz w:val="20"/>
          <w:szCs w:val="20"/>
          <w:color w:val="auto"/>
        </w:rPr>
      </w:pPr>
    </w:p>
    <w:p>
      <w:pPr>
        <w:jc w:val="both"/>
        <w:ind w:left="820" w:right="60" w:hanging="4"/>
        <w:spacing w:after="0" w:line="253" w:lineRule="auto"/>
        <w:tabs>
          <w:tab w:leader="none" w:pos="11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 (the “Cash Flow PSU Definition”). The table below shows the required achievement of the cash flow generation performance measure and the corresponding potential payouts under our Cash Flow PSUs granted in 2023.</w:t>
      </w:r>
    </w:p>
    <w:p>
      <w:pPr>
        <w:spacing w:after="0" w:line="327"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jc w:val="right"/>
              <w:ind w:right="1913"/>
              <w:spacing w:after="0"/>
              <w:rPr>
                <w:sz w:val="20"/>
                <w:szCs w:val="20"/>
                <w:color w:val="auto"/>
              </w:rPr>
            </w:pPr>
            <w:r>
              <w:rPr>
                <w:rFonts w:ascii="Arial" w:cs="Arial" w:eastAsia="Arial" w:hAnsi="Arial"/>
                <w:sz w:val="14"/>
                <w:szCs w:val="14"/>
                <w:b w:val="1"/>
                <w:bCs w:val="1"/>
                <w:color w:val="457157"/>
              </w:rPr>
              <w:t>​​</w:t>
            </w:r>
          </w:p>
        </w:tc>
        <w:tc>
          <w:tcPr>
            <w:tcW w:w="1200" w:type="dxa"/>
            <w:vAlign w:val="bottom"/>
          </w:tcPr>
          <w:p>
            <w:pPr>
              <w:ind w:left="1060"/>
              <w:spacing w:after="0"/>
              <w:rPr>
                <w:sz w:val="20"/>
                <w:szCs w:val="20"/>
                <w:color w:val="auto"/>
              </w:rPr>
            </w:pPr>
            <w:r>
              <w:rPr>
                <w:rFonts w:ascii="Arial" w:cs="Arial" w:eastAsia="Arial" w:hAnsi="Arial"/>
                <w:sz w:val="14"/>
                <w:szCs w:val="14"/>
                <w:b w:val="1"/>
                <w:bCs w:val="1"/>
                <w:color w:val="457157"/>
              </w:rPr>
              <w:t>​ ​</w:t>
            </w:r>
          </w:p>
        </w:tc>
        <w:tc>
          <w:tcPr>
            <w:tcW w:w="60" w:type="dxa"/>
            <w:vAlign w:val="bottom"/>
            <w:tcBorders>
              <w:bottom w:val="single" w:sz="8" w:color="457157"/>
            </w:tcBorders>
          </w:tcPr>
          <w:p>
            <w:pPr>
              <w:spacing w:after="0"/>
              <w:rPr>
                <w:sz w:val="18"/>
                <w:szCs w:val="18"/>
                <w:color w:val="auto"/>
              </w:rPr>
            </w:pPr>
          </w:p>
        </w:tc>
        <w:tc>
          <w:tcPr>
            <w:tcW w:w="1300" w:type="dxa"/>
            <w:vAlign w:val="bottom"/>
            <w:tcBorders>
              <w:bottom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Threshold</w:t>
            </w:r>
          </w:p>
        </w:tc>
        <w:tc>
          <w:tcPr>
            <w:tcW w:w="280" w:type="dxa"/>
            <w:vAlign w:val="bottom"/>
            <w:tcBorders>
              <w:bottom w:val="single" w:sz="8" w:color="457157"/>
            </w:tcBorders>
          </w:tcPr>
          <w:p>
            <w:pPr>
              <w:spacing w:after="0"/>
              <w:rPr>
                <w:sz w:val="18"/>
                <w:szCs w:val="18"/>
                <w:color w:val="auto"/>
              </w:rPr>
            </w:pPr>
          </w:p>
        </w:tc>
        <w:tc>
          <w:tcPr>
            <w:tcW w:w="180" w:type="dxa"/>
            <w:vAlign w:val="bottom"/>
            <w:tcBorders>
              <w:bottom w:val="single" w:sz="8" w:color="457157"/>
            </w:tcBorders>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4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040" w:type="dxa"/>
            <w:vAlign w:val="bottom"/>
            <w:tcBorders>
              <w:bottom w:val="single" w:sz="8" w:color="457157"/>
            </w:tcBorders>
            <w:gridSpan w:val="2"/>
          </w:tcPr>
          <w:p>
            <w:pPr>
              <w:ind w:left="540"/>
              <w:spacing w:after="0"/>
              <w:rPr>
                <w:sz w:val="20"/>
                <w:szCs w:val="20"/>
                <w:color w:val="auto"/>
              </w:rPr>
            </w:pPr>
            <w:r>
              <w:rPr>
                <w:rFonts w:ascii="Arial" w:cs="Arial" w:eastAsia="Arial" w:hAnsi="Arial"/>
                <w:sz w:val="14"/>
                <w:szCs w:val="14"/>
                <w:b w:val="1"/>
                <w:bCs w:val="1"/>
                <w:color w:val="457157"/>
              </w:rPr>
              <w:t>Target</w:t>
            </w:r>
          </w:p>
        </w:tc>
        <w:tc>
          <w:tcPr>
            <w:tcW w:w="160" w:type="dxa"/>
            <w:vAlign w:val="bottom"/>
            <w:tcBorders>
              <w:bottom w:val="single" w:sz="8" w:color="457157"/>
            </w:tcBorders>
          </w:tcPr>
          <w:p>
            <w:pPr>
              <w:spacing w:after="0"/>
              <w:rPr>
                <w:sz w:val="18"/>
                <w:szCs w:val="18"/>
                <w:color w:val="auto"/>
              </w:rPr>
            </w:pPr>
          </w:p>
        </w:tc>
        <w:tc>
          <w:tcPr>
            <w:tcW w:w="48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240" w:type="dxa"/>
            <w:vAlign w:val="bottom"/>
            <w:tcBorders>
              <w:bottom w:val="single" w:sz="8" w:color="457157"/>
            </w:tcBorders>
            <w:gridSpan w:val="2"/>
          </w:tcPr>
          <w:p>
            <w:pPr>
              <w:ind w:left="520"/>
              <w:spacing w:after="0"/>
              <w:rPr>
                <w:sz w:val="20"/>
                <w:szCs w:val="20"/>
                <w:color w:val="auto"/>
              </w:rPr>
            </w:pPr>
            <w:r>
              <w:rPr>
                <w:rFonts w:ascii="Arial" w:cs="Arial" w:eastAsia="Arial" w:hAnsi="Arial"/>
                <w:sz w:val="14"/>
                <w:szCs w:val="14"/>
                <w:b w:val="1"/>
                <w:bCs w:val="1"/>
                <w:color w:val="457157"/>
              </w:rPr>
              <w:t>Maximum</w:t>
            </w:r>
          </w:p>
        </w:tc>
        <w:tc>
          <w:tcPr>
            <w:tcW w:w="540" w:type="dxa"/>
            <w:vAlign w:val="bottom"/>
            <w:tcBorders>
              <w:bottom w:val="single" w:sz="8" w:color="457157"/>
            </w:tcBorders>
          </w:tcPr>
          <w:p>
            <w:pPr>
              <w:spacing w:after="0"/>
              <w:rPr>
                <w:sz w:val="18"/>
                <w:szCs w:val="18"/>
                <w:color w:val="auto"/>
              </w:rPr>
            </w:pPr>
          </w:p>
        </w:tc>
        <w:tc>
          <w:tcPr>
            <w:tcW w:w="40" w:type="dxa"/>
            <w:vAlign w:val="bottom"/>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236"/>
        </w:trPr>
        <w:tc>
          <w:tcPr>
            <w:tcW w:w="2060" w:type="dxa"/>
            <w:vAlign w:val="bottom"/>
          </w:tcPr>
          <w:p>
            <w:pPr>
              <w:jc w:val="right"/>
              <w:ind w:right="1913"/>
              <w:spacing w:after="0"/>
              <w:rPr>
                <w:sz w:val="20"/>
                <w:szCs w:val="20"/>
                <w:color w:val="auto"/>
              </w:rPr>
            </w:pPr>
            <w:r>
              <w:rPr>
                <w:rFonts w:ascii="Arial" w:cs="Arial" w:eastAsia="Arial" w:hAnsi="Arial"/>
                <w:sz w:val="14"/>
                <w:szCs w:val="14"/>
                <w:b w:val="1"/>
                <w:bCs w:val="1"/>
                <w:color w:val="457157"/>
              </w:rPr>
              <w:t>​</w:t>
            </w:r>
          </w:p>
        </w:tc>
        <w:tc>
          <w:tcPr>
            <w:tcW w:w="1260" w:type="dxa"/>
            <w:vAlign w:val="bottom"/>
            <w:gridSpan w:val="2"/>
          </w:tcPr>
          <w:p>
            <w:pPr>
              <w:ind w:left="1100"/>
              <w:spacing w:after="0"/>
              <w:rPr>
                <w:sz w:val="20"/>
                <w:szCs w:val="20"/>
                <w:color w:val="auto"/>
              </w:rPr>
            </w:pPr>
            <w:r>
              <w:rPr>
                <w:rFonts w:ascii="Arial" w:cs="Arial" w:eastAsia="Arial" w:hAnsi="Arial"/>
                <w:sz w:val="14"/>
                <w:szCs w:val="14"/>
                <w:b w:val="1"/>
                <w:bCs w:val="1"/>
                <w:color w:val="457157"/>
              </w:rPr>
              <w:t>​ ​</w:t>
            </w:r>
          </w:p>
        </w:tc>
        <w:tc>
          <w:tcPr>
            <w:tcW w:w="1020" w:type="dxa"/>
            <w:vAlign w:val="bottom"/>
          </w:tcPr>
          <w:p>
            <w:pPr>
              <w:ind w:left="60"/>
              <w:spacing w:after="0"/>
              <w:rPr>
                <w:sz w:val="20"/>
                <w:szCs w:val="20"/>
                <w:color w:val="auto"/>
              </w:rPr>
            </w:pPr>
            <w:r>
              <w:rPr>
                <w:rFonts w:ascii="Arial" w:cs="Arial" w:eastAsia="Arial" w:hAnsi="Arial"/>
                <w:sz w:val="14"/>
                <w:szCs w:val="14"/>
                <w:b w:val="1"/>
                <w:bCs w:val="1"/>
                <w:color w:val="457157"/>
              </w:rPr>
              <w:t>Performance</w:t>
            </w:r>
          </w:p>
        </w:tc>
        <w:tc>
          <w:tcPr>
            <w:tcW w:w="980" w:type="dxa"/>
            <w:vAlign w:val="bottom"/>
            <w:gridSpan w:val="5"/>
          </w:tcPr>
          <w:p>
            <w:pPr>
              <w:ind w:left="12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457157"/>
              </w:rPr>
              <w:t>Performance</w:t>
            </w:r>
          </w:p>
        </w:tc>
        <w:tc>
          <w:tcPr>
            <w:tcW w:w="80" w:type="dxa"/>
            <w:vAlign w:val="bottom"/>
          </w:tcPr>
          <w:p>
            <w:pPr>
              <w:spacing w:after="0"/>
              <w:rPr>
                <w:sz w:val="20"/>
                <w:szCs w:val="20"/>
                <w:color w:val="auto"/>
              </w:rPr>
            </w:pPr>
          </w:p>
        </w:tc>
        <w:tc>
          <w:tcPr>
            <w:tcW w:w="640" w:type="dxa"/>
            <w:vAlign w:val="bottom"/>
            <w:gridSpan w:val="2"/>
          </w:tcPr>
          <w:p>
            <w:pPr>
              <w:ind w:left="2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Payout</w:t>
            </w:r>
          </w:p>
        </w:tc>
        <w:tc>
          <w:tcPr>
            <w:tcW w:w="20" w:type="dxa"/>
            <w:vAlign w:val="bottom"/>
          </w:tcPr>
          <w:p>
            <w:pPr>
              <w:spacing w:after="0"/>
              <w:rPr>
                <w:sz w:val="20"/>
                <w:szCs w:val="20"/>
                <w:color w:val="auto"/>
              </w:rPr>
            </w:pPr>
          </w:p>
        </w:tc>
        <w:tc>
          <w:tcPr>
            <w:tcW w:w="1180" w:type="dxa"/>
            <w:vAlign w:val="bottom"/>
            <w:gridSpan w:val="2"/>
          </w:tcPr>
          <w:p>
            <w:pPr>
              <w:ind w:left="1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Performance</w:t>
            </w:r>
          </w:p>
        </w:tc>
        <w:tc>
          <w:tcPr>
            <w:tcW w:w="820" w:type="dxa"/>
            <w:vAlign w:val="bottom"/>
            <w:gridSpan w:val="3"/>
          </w:tcPr>
          <w:p>
            <w:pPr>
              <w:jc w:val="right"/>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457157"/>
            </w:tcBorders>
          </w:tcPr>
          <w:p>
            <w:pPr>
              <w:jc w:val="right"/>
              <w:ind w:right="993"/>
              <w:spacing w:after="0" w:line="196" w:lineRule="exact"/>
              <w:rPr>
                <w:sz w:val="20"/>
                <w:szCs w:val="20"/>
                <w:color w:val="auto"/>
              </w:rPr>
            </w:pPr>
            <w:r>
              <w:rPr>
                <w:rFonts w:ascii="Arial" w:cs="Arial" w:eastAsia="Arial" w:hAnsi="Arial"/>
                <w:sz w:val="18"/>
                <w:szCs w:val="18"/>
                <w:b w:val="1"/>
                <w:bCs w:val="1"/>
                <w:color w:val="auto"/>
              </w:rPr>
              <w:t>Cash Flow</w:t>
            </w:r>
          </w:p>
        </w:tc>
        <w:tc>
          <w:tcPr>
            <w:tcW w:w="1260" w:type="dxa"/>
            <w:vAlign w:val="bottom"/>
            <w:tcBorders>
              <w:top w:val="single" w:sz="8" w:color="457157"/>
            </w:tcBorders>
            <w:gridSpan w:val="2"/>
            <w:vMerge w:val="restart"/>
          </w:tcPr>
          <w:p>
            <w:pPr>
              <w:ind w:left="1060"/>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$6.60 billion</w:t>
            </w:r>
          </w:p>
        </w:tc>
        <w:tc>
          <w:tcPr>
            <w:tcW w:w="28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457157"/>
            </w:tcBorders>
            <w:gridSpan w:val="4"/>
          </w:tcPr>
          <w:p>
            <w:pPr>
              <w:ind w:left="80"/>
              <w:spacing w:after="0" w:line="196" w:lineRule="exact"/>
              <w:rPr>
                <w:sz w:val="20"/>
                <w:szCs w:val="20"/>
                <w:color w:val="auto"/>
              </w:rPr>
            </w:pPr>
            <w:r>
              <w:rPr>
                <w:rFonts w:ascii="Arial" w:cs="Arial" w:eastAsia="Arial" w:hAnsi="Arial"/>
                <w:sz w:val="18"/>
                <w:szCs w:val="18"/>
                <w:color w:val="auto"/>
              </w:rPr>
              <w:t>​50%</w:t>
            </w:r>
          </w:p>
        </w:tc>
        <w:tc>
          <w:tcPr>
            <w:tcW w:w="1040" w:type="dxa"/>
            <w:vAlign w:val="bottom"/>
            <w:tcBorders>
              <w:top w:val="single" w:sz="8" w:color="457157"/>
            </w:tcBorders>
            <w:gridSpan w:val="2"/>
          </w:tcPr>
          <w:p>
            <w:pPr>
              <w:ind w:left="40"/>
              <w:spacing w:after="0" w:line="196" w:lineRule="exact"/>
              <w:rPr>
                <w:sz w:val="20"/>
                <w:szCs w:val="20"/>
                <w:color w:val="auto"/>
              </w:rPr>
            </w:pPr>
            <w:r>
              <w:rPr>
                <w:rFonts w:ascii="Arial" w:cs="Arial" w:eastAsia="Arial" w:hAnsi="Arial"/>
                <w:sz w:val="18"/>
                <w:szCs w:val="18"/>
                <w:color w:val="auto"/>
              </w:rPr>
              <w:t>$7.30 billion</w:t>
            </w:r>
          </w:p>
        </w:tc>
        <w:tc>
          <w:tcPr>
            <w:tcW w:w="240" w:type="dxa"/>
            <w:vAlign w:val="bottom"/>
            <w:tcBorders>
              <w:top w:val="single" w:sz="8" w:color="457157"/>
            </w:tcBorders>
            <w:gridSpan w:val="2"/>
            <w:vMerge w:val="restart"/>
          </w:tcPr>
          <w:p>
            <w:pPr>
              <w:spacing w:after="0"/>
              <w:rPr>
                <w:sz w:val="20"/>
                <w:szCs w:val="20"/>
                <w:color w:val="auto"/>
              </w:rPr>
            </w:pPr>
            <w:r>
              <w:rPr>
                <w:rFonts w:ascii="Arial" w:cs="Arial" w:eastAsia="Arial" w:hAnsi="Arial"/>
                <w:sz w:val="18"/>
                <w:szCs w:val="18"/>
                <w:color w:val="auto"/>
              </w:rPr>
              <w:t>​​ ​</w:t>
            </w:r>
          </w:p>
        </w:tc>
        <w:tc>
          <w:tcPr>
            <w:tcW w:w="680" w:type="dxa"/>
            <w:vAlign w:val="bottom"/>
            <w:tcBorders>
              <w:top w:val="single" w:sz="8" w:color="457157"/>
            </w:tcBorders>
            <w:gridSpan w:val="3"/>
          </w:tcPr>
          <w:p>
            <w:pPr>
              <w:ind w:left="40"/>
              <w:spacing w:after="0" w:line="196" w:lineRule="exact"/>
              <w:rPr>
                <w:sz w:val="20"/>
                <w:szCs w:val="20"/>
                <w:color w:val="auto"/>
              </w:rPr>
            </w:pPr>
            <w:r>
              <w:rPr>
                <w:rFonts w:ascii="Arial" w:cs="Arial" w:eastAsia="Arial" w:hAnsi="Arial"/>
                <w:sz w:val="18"/>
                <w:szCs w:val="18"/>
                <w:color w:val="auto"/>
              </w:rPr>
              <w:t>​100%</w:t>
            </w:r>
          </w:p>
        </w:tc>
        <w:tc>
          <w:tcPr>
            <w:tcW w:w="1000" w:type="dxa"/>
            <w:vAlign w:val="bottom"/>
            <w:tcBorders>
              <w:top w:val="single" w:sz="8" w:color="457157"/>
            </w:tcBorders>
          </w:tcPr>
          <w:p>
            <w:pPr>
              <w:ind w:left="80"/>
              <w:spacing w:after="0" w:line="196" w:lineRule="exact"/>
              <w:rPr>
                <w:sz w:val="20"/>
                <w:szCs w:val="20"/>
                <w:color w:val="auto"/>
              </w:rPr>
            </w:pPr>
            <w:r>
              <w:rPr>
                <w:rFonts w:ascii="Arial" w:cs="Arial" w:eastAsia="Arial" w:hAnsi="Arial"/>
                <w:sz w:val="18"/>
                <w:szCs w:val="18"/>
                <w:color w:val="auto"/>
              </w:rPr>
              <w:t>$8.0 billion</w:t>
            </w:r>
          </w:p>
        </w:tc>
        <w:tc>
          <w:tcPr>
            <w:tcW w:w="24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457157"/>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60" w:type="dxa"/>
            <w:vAlign w:val="bottom"/>
          </w:tcPr>
          <w:p>
            <w:pPr>
              <w:jc w:val="right"/>
              <w:ind w:right="1933"/>
              <w:spacing w:after="0" w:line="68" w:lineRule="exact"/>
              <w:rPr>
                <w:sz w:val="20"/>
                <w:szCs w:val="20"/>
                <w:color w:val="auto"/>
              </w:rPr>
            </w:pPr>
            <w:r>
              <w:rPr>
                <w:rFonts w:ascii="Arial" w:cs="Arial" w:eastAsia="Arial" w:hAnsi="Arial"/>
                <w:sz w:val="7"/>
                <w:szCs w:val="7"/>
                <w:color w:val="auto"/>
              </w:rPr>
              <w:t>​</w:t>
            </w:r>
          </w:p>
        </w:tc>
        <w:tc>
          <w:tcPr>
            <w:tcW w:w="1260" w:type="dxa"/>
            <w:vAlign w:val="bottom"/>
            <w:gridSpan w:val="2"/>
            <w:vMerge w:val="continue"/>
          </w:tcPr>
          <w:p>
            <w:pPr>
              <w:spacing w:after="0"/>
              <w:rPr>
                <w:sz w:val="5"/>
                <w:szCs w:val="5"/>
                <w:color w:val="auto"/>
              </w:rPr>
            </w:pPr>
          </w:p>
        </w:tc>
        <w:tc>
          <w:tcPr>
            <w:tcW w:w="1020" w:type="dxa"/>
            <w:vAlign w:val="bottom"/>
          </w:tcPr>
          <w:p>
            <w:pPr>
              <w:spacing w:after="0" w:line="68" w:lineRule="exact"/>
              <w:rPr>
                <w:sz w:val="20"/>
                <w:szCs w:val="20"/>
                <w:color w:val="auto"/>
              </w:rPr>
            </w:pPr>
            <w:r>
              <w:rPr>
                <w:rFonts w:ascii="Arial" w:cs="Arial" w:eastAsia="Arial" w:hAnsi="Arial"/>
                <w:sz w:val="7"/>
                <w:szCs w:val="7"/>
                <w:color w:val="auto"/>
              </w:rPr>
              <w:t>​</w:t>
            </w:r>
          </w:p>
        </w:tc>
        <w:tc>
          <w:tcPr>
            <w:tcW w:w="280" w:type="dxa"/>
            <w:vAlign w:val="bottom"/>
            <w:vMerge w:val="continue"/>
          </w:tcPr>
          <w:p>
            <w:pPr>
              <w:spacing w:after="0"/>
              <w:rPr>
                <w:sz w:val="5"/>
                <w:szCs w:val="5"/>
                <w:color w:val="auto"/>
              </w:rPr>
            </w:pPr>
          </w:p>
        </w:tc>
        <w:tc>
          <w:tcPr>
            <w:tcW w:w="28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20" w:type="dxa"/>
            <w:vAlign w:val="bottom"/>
            <w:gridSpan w:val="3"/>
          </w:tcPr>
          <w:p>
            <w:pPr>
              <w:jc w:val="right"/>
              <w:ind w:right="40"/>
              <w:spacing w:after="0" w:line="68" w:lineRule="exact"/>
              <w:rPr>
                <w:sz w:val="20"/>
                <w:szCs w:val="20"/>
                <w:color w:val="auto"/>
              </w:rPr>
            </w:pPr>
            <w:r>
              <w:rPr>
                <w:rFonts w:ascii="Arial" w:cs="Arial" w:eastAsia="Arial" w:hAnsi="Arial"/>
                <w:sz w:val="7"/>
                <w:szCs w:val="7"/>
                <w:color w:val="auto"/>
              </w:rPr>
              <w:t>​​ ​</w:t>
            </w:r>
          </w:p>
        </w:tc>
        <w:tc>
          <w:tcPr>
            <w:tcW w:w="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gridSpan w:val="3"/>
          </w:tcPr>
          <w:p>
            <w:pPr>
              <w:spacing w:after="0" w:line="68" w:lineRule="exact"/>
              <w:rPr>
                <w:sz w:val="20"/>
                <w:szCs w:val="20"/>
                <w:color w:val="auto"/>
              </w:rPr>
            </w:pPr>
            <w:r>
              <w:rPr>
                <w:rFonts w:ascii="Arial" w:cs="Arial" w:eastAsia="Arial" w:hAnsi="Arial"/>
                <w:sz w:val="7"/>
                <w:szCs w:val="7"/>
                <w:color w:val="auto"/>
              </w:rPr>
              <w:t>​​ ​ ​</w:t>
            </w:r>
          </w:p>
        </w:tc>
        <w:tc>
          <w:tcPr>
            <w:tcW w:w="240" w:type="dxa"/>
            <w:vAlign w:val="bottom"/>
            <w:vMerge w:val="continue"/>
          </w:tcPr>
          <w:p>
            <w:pPr>
              <w:spacing w:after="0"/>
              <w:rPr>
                <w:sz w:val="5"/>
                <w:szCs w:val="5"/>
                <w:color w:val="auto"/>
              </w:rPr>
            </w:pPr>
          </w:p>
        </w:tc>
        <w:tc>
          <w:tcPr>
            <w:tcW w:w="58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4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2023.</w:t>
      </w:r>
    </w:p>
    <w:p>
      <w:pPr>
        <w:spacing w:after="0" w:line="111"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98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260" w:type="dxa"/>
            <w:vAlign w:val="bottom"/>
            <w:tcBorders>
              <w:bottom w:val="single" w:sz="8" w:color="457157"/>
            </w:tcBorders>
            <w:gridSpan w:val="2"/>
          </w:tcPr>
          <w:p>
            <w:pPr>
              <w:ind w:left="960"/>
              <w:spacing w:after="0"/>
              <w:rPr>
                <w:sz w:val="20"/>
                <w:szCs w:val="20"/>
                <w:color w:val="auto"/>
              </w:rPr>
            </w:pPr>
            <w:r>
              <w:rPr>
                <w:rFonts w:ascii="Arial" w:cs="Arial" w:eastAsia="Arial" w:hAnsi="Arial"/>
                <w:sz w:val="14"/>
                <w:szCs w:val="14"/>
                <w:b w:val="1"/>
                <w:bCs w:val="1"/>
                <w:color w:val="457157"/>
              </w:rPr>
              <w:t>Total Shareholder Return Relative to the S&amp;P 500</w:t>
            </w:r>
          </w:p>
        </w:tc>
        <w:tc>
          <w:tcPr>
            <w:tcW w:w="800" w:type="dxa"/>
            <w:vAlign w:val="bottom"/>
            <w:tcBorders>
              <w:bottom w:val="single" w:sz="8" w:color="457157"/>
            </w:tcBorders>
          </w:tcPr>
          <w:p>
            <w:pPr>
              <w:spacing w:after="0"/>
              <w:rPr>
                <w:sz w:val="18"/>
                <w:szCs w:val="18"/>
                <w:color w:val="auto"/>
              </w:rPr>
            </w:pPr>
          </w:p>
        </w:tc>
        <w:tc>
          <w:tcPr>
            <w:tcW w:w="160" w:type="dxa"/>
            <w:vAlign w:val="bottom"/>
            <w:tcBorders>
              <w:bottom w:val="single" w:sz="8" w:color="457157"/>
            </w:tcBorders>
          </w:tcPr>
          <w:p>
            <w:pPr>
              <w:spacing w:after="0"/>
              <w:rPr>
                <w:sz w:val="18"/>
                <w:szCs w:val="18"/>
                <w:color w:val="auto"/>
              </w:rPr>
            </w:pPr>
          </w:p>
        </w:tc>
        <w:tc>
          <w:tcPr>
            <w:tcW w:w="340" w:type="dxa"/>
            <w:vAlign w:val="bottom"/>
            <w:tcBorders>
              <w:bottom w:val="single" w:sz="8" w:color="457157"/>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457157"/>
              </w:rPr>
              <w:t>​</w:t>
            </w:r>
          </w:p>
        </w:tc>
        <w:tc>
          <w:tcPr>
            <w:tcW w:w="1620" w:type="dxa"/>
            <w:vAlign w:val="bottom"/>
          </w:tcPr>
          <w:p>
            <w:pPr>
              <w:spacing w:after="0"/>
              <w:rPr>
                <w:sz w:val="20"/>
                <w:szCs w:val="20"/>
                <w:color w:val="auto"/>
              </w:rPr>
            </w:pPr>
          </w:p>
        </w:tc>
        <w:tc>
          <w:tcPr>
            <w:tcW w:w="3640" w:type="dxa"/>
            <w:vAlign w:val="bottom"/>
          </w:tcPr>
          <w:p>
            <w:pPr>
              <w:jc w:val="center"/>
              <w:ind w:right="1956"/>
              <w:spacing w:after="0"/>
              <w:rPr>
                <w:sz w:val="20"/>
                <w:szCs w:val="20"/>
                <w:color w:val="auto"/>
              </w:rPr>
            </w:pPr>
            <w:r>
              <w:rPr>
                <w:rFonts w:ascii="Arial" w:cs="Arial" w:eastAsia="Arial" w:hAnsi="Arial"/>
                <w:sz w:val="14"/>
                <w:szCs w:val="14"/>
                <w:b w:val="1"/>
                <w:bCs w:val="1"/>
                <w:color w:val="457157"/>
              </w:rPr>
              <w:t>Performance</w:t>
            </w:r>
          </w:p>
        </w:tc>
        <w:tc>
          <w:tcPr>
            <w:tcW w:w="1380" w:type="dxa"/>
            <w:vAlign w:val="bottom"/>
            <w:gridSpan w:val="4"/>
          </w:tcPr>
          <w:p>
            <w:pPr>
              <w:ind w:left="6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237"/>
        </w:trPr>
        <w:tc>
          <w:tcPr>
            <w:tcW w:w="40" w:type="dxa"/>
            <w:vAlign w:val="bottom"/>
            <w:tcBorders>
              <w:top w:val="single" w:sz="8" w:color="457157"/>
            </w:tcBorders>
          </w:tcPr>
          <w:p>
            <w:pPr>
              <w:spacing w:after="0"/>
              <w:rPr>
                <w:sz w:val="20"/>
                <w:szCs w:val="20"/>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80"/>
              <w:spacing w:after="0" w:line="236" w:lineRule="exact"/>
              <w:rPr>
                <w:sz w:val="20"/>
                <w:szCs w:val="20"/>
                <w:color w:val="auto"/>
              </w:rPr>
            </w:pPr>
            <w:r>
              <w:rPr>
                <w:rFonts w:ascii="Arial" w:cs="Arial" w:eastAsia="Arial" w:hAnsi="Arial"/>
                <w:sz w:val="18"/>
                <w:szCs w:val="18"/>
                <w:color w:val="auto"/>
                <w:w w:val="97"/>
              </w:rPr>
              <w:t>75</w:t>
            </w:r>
            <w:r>
              <w:rPr>
                <w:rFonts w:ascii="Arial" w:cs="Arial" w:eastAsia="Arial" w:hAnsi="Arial"/>
                <w:sz w:val="23"/>
                <w:szCs w:val="23"/>
                <w:color w:val="auto"/>
                <w:w w:val="97"/>
                <w:vertAlign w:val="superscript"/>
              </w:rPr>
              <w:t>th</w:t>
            </w:r>
          </w:p>
        </w:tc>
        <w:tc>
          <w:tcPr>
            <w:tcW w:w="364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percentile (Maximum)</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5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vMerge w:val="restart"/>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jc w:val="center"/>
              <w:ind w:right="336"/>
              <w:spacing w:after="0" w:line="223" w:lineRule="exact"/>
              <w:rPr>
                <w:sz w:val="20"/>
                <w:szCs w:val="20"/>
                <w:color w:val="auto"/>
              </w:rPr>
            </w:pPr>
            <w:r>
              <w:rPr>
                <w:rFonts w:ascii="Arial" w:cs="Arial" w:eastAsia="Arial" w:hAnsi="Arial"/>
                <w:sz w:val="18"/>
                <w:szCs w:val="18"/>
                <w:color w:val="auto"/>
              </w:rPr>
              <w:t>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(Target)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40" w:type="dxa"/>
            <w:vAlign w:val="bottom"/>
            <w:tcBorders>
              <w:top w:val="single" w:sz="8" w:color="457157"/>
            </w:tcBorders>
          </w:tcPr>
          <w:p>
            <w:pPr>
              <w:spacing w:after="0"/>
              <w:rPr>
                <w:sz w:val="19"/>
                <w:szCs w:val="19"/>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60"/>
              <w:spacing w:after="0" w:line="223" w:lineRule="exact"/>
              <w:rPr>
                <w:sz w:val="20"/>
                <w:szCs w:val="20"/>
                <w:color w:val="auto"/>
              </w:rPr>
            </w:pPr>
            <w:r>
              <w:rPr>
                <w:rFonts w:ascii="Arial" w:cs="Arial" w:eastAsia="Arial" w:hAnsi="Arial"/>
                <w:sz w:val="18"/>
                <w:szCs w:val="18"/>
                <w:color w:val="auto"/>
              </w:rPr>
              <w:t>25</w:t>
            </w:r>
            <w:r>
              <w:rPr>
                <w:rFonts w:ascii="Arial" w:cs="Arial" w:eastAsia="Arial" w:hAnsi="Arial"/>
                <w:sz w:val="23"/>
                <w:szCs w:val="23"/>
                <w:color w:val="auto"/>
                <w:vertAlign w:val="superscript"/>
              </w:rPr>
              <w:t>th</w:t>
            </w:r>
          </w:p>
        </w:tc>
        <w:tc>
          <w:tcPr>
            <w:tcW w:w="3640" w:type="dxa"/>
            <w:vAlign w:val="bottom"/>
            <w:tcBorders>
              <w:top w:val="single" w:sz="8" w:color="457157"/>
            </w:tcBorders>
          </w:tcPr>
          <w:p>
            <w:pPr>
              <w:ind w:left="20"/>
              <w:spacing w:after="0"/>
              <w:rPr>
                <w:sz w:val="20"/>
                <w:szCs w:val="20"/>
                <w:color w:val="auto"/>
              </w:rPr>
            </w:pPr>
            <w:r>
              <w:rPr>
                <w:rFonts w:ascii="Arial" w:cs="Arial" w:eastAsia="Arial" w:hAnsi="Arial"/>
                <w:sz w:val="18"/>
                <w:szCs w:val="18"/>
                <w:color w:val="auto"/>
              </w:rPr>
              <w:t>percentile (Threshold)</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-608330</wp:posOffset>
            </wp:positionV>
            <wp:extent cx="484314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43145" cy="2057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-205105</wp:posOffset>
            </wp:positionV>
            <wp:extent cx="4843145" cy="196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43145" cy="19685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30" w:lineRule="auto"/>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2023 and beyond, including macroeconomic and market conditions and economic indicators for future periods, to align the cash flow targets with the Company’s long-range strategic plan. The 2023 cash</w:t>
      </w:r>
      <w:r>
        <w:rPr>
          <w:rFonts w:ascii="Arial" w:cs="Arial" w:eastAsia="Arial" w:hAnsi="Arial"/>
          <w:sz w:val="32"/>
          <w:szCs w:val="32"/>
          <w:b w:val="1"/>
          <w:bCs w:val="1"/>
          <w:color w:val="457157"/>
        </w:rPr>
        <w:t>|</w:t>
      </w:r>
      <w:r>
        <w:rPr>
          <w:rFonts w:ascii="Arial" w:cs="Arial" w:eastAsia="Arial" w:hAnsi="Arial"/>
          <w:sz w:val="18"/>
          <w:szCs w:val="18"/>
          <w:color w:val="auto"/>
        </w:rPr>
        <w:t xml:space="preserve">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-38735</wp:posOffset>
            </wp:positionV>
            <wp:extent cx="471805"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7"/>
          <w:szCs w:val="17"/>
          <w:color w:val="auto"/>
        </w:rPr>
        <w:t>targets are also reflective of planned increases in capital spending to 2024accelerateProxy Statementoursustainability45​</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2023</w:t>
      </w:r>
      <w:r>
        <w:rPr>
          <w:rFonts w:ascii="Arial" w:cs="Arial" w:eastAsia="Arial" w:hAnsi="Arial"/>
          <w:sz w:val="18"/>
          <w:szCs w:val="18"/>
          <w:color w:val="auto"/>
        </w:rPr>
        <w:t>. Half of the PSUs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with the performance period ended December 31, 2023 were TSR PSUs, and the remaining half of the PSUs granted in 2021 were Cash Flow PSUs. With respect to the TSR PSUs with a three-year performance period ended December 31, 2023, the performance of the Company’s Common Stock on this measure translated into a percentile rank relative to the S&amp;P 500 of 77.27%, resulting in a maximum 200% payout in shares of Common Stock that were issued in February 2024.</w:t>
      </w:r>
    </w:p>
    <w:p>
      <w:pPr>
        <w:spacing w:after="0" w:line="7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purposes of the Cash Flow PSUs with a three-year performance period ended December 31, 2023, the Company generated net cash flow from operating activities, less capital expenditures, of $7.789 billion, exceeding the target criteria of $7.032 billion and the maximum criteria of $7.50 billion; this performance level yielded a 200% payout in shares of Common Stock that were issued in February 2024. This performance was calculated in accordance with the Cash Flow PSU Definition above. Additionally, in line with the MD&amp;C Committee’s policy on calculation adjustments discussed above, the MD&amp;C Committee approved an adjustment to the measurement of performance on the cash flow measure to exclude the impact of $1.325 billion of capital expenditures allocated to strategic investments in recycling and renewable energy that were not contemplated at the time the performance measures were established. These strategic investments did not have a material impact on any of the other 2023 executive compensation performance measures.</w:t>
      </w:r>
    </w:p>
    <w:p>
      <w:pPr>
        <w:spacing w:after="0" w:line="29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2022 in connection with the annual grant of long-term equity awards was based on the targeted dollar amounts established for total long -term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307" w:lineRule="exact"/>
        <w:rPr>
          <w:sz w:val="20"/>
          <w:szCs w:val="20"/>
          <w:color w:val="auto"/>
        </w:rPr>
      </w:pPr>
    </w:p>
    <w:tbl>
      <w:tblPr>
        <w:tblLayout w:type="fixed"/>
        <w:tblInd w:w="1520" w:type="dxa"/>
        <w:tblCellMar>
          <w:top w:w="0" w:type="dxa"/>
          <w:left w:w="0" w:type="dxa"/>
          <w:bottom w:w="0" w:type="dxa"/>
          <w:right w:w="0" w:type="dxa"/>
        </w:tblCellMar>
      </w:tblPr>
      <w:tr>
        <w:trPr>
          <w:trHeight w:val="168"/>
        </w:trPr>
        <w:tc>
          <w:tcPr>
            <w:tcW w:w="424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457157"/>
            </w:tcBorders>
            <w:vMerge w:val="continue"/>
          </w:tcPr>
          <w:p>
            <w:pPr>
              <w:spacing w:after="0"/>
              <w:rPr>
                <w:sz w:val="17"/>
                <w:szCs w:val="17"/>
                <w:color w:val="auto"/>
              </w:rPr>
            </w:pPr>
          </w:p>
        </w:tc>
        <w:tc>
          <w:tcPr>
            <w:tcW w:w="3400" w:type="dxa"/>
            <w:vAlign w:val="bottom"/>
            <w:tcBorders>
              <w:bottom w:val="single" w:sz="8" w:color="457157"/>
            </w:tcBorders>
            <w:gridSpan w:val="2"/>
          </w:tcPr>
          <w:p>
            <w:pPr>
              <w:ind w:left="232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of Options</w:t>
            </w:r>
            <w:r>
              <w:rPr>
                <w:rFonts w:ascii="Arial" w:cs="Arial" w:eastAsia="Arial" w:hAnsi="Arial"/>
                <w:sz w:val="22"/>
                <w:szCs w:val="22"/>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4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59,415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14,016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16,453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12,188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10,969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The stock options granted in 2023 vest ratably in three annual increments, beginning on the first anniversary of the date of grant. The exercise price of the options granted in 2023 is $ 150.115,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291"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did not grant any RSUs to the named executives in 2023.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named executives, other than Mr. Fish, holds outstanding RSUs that were granted in 2022 in connection with achievement of targeted synergies from the Company’s 2020 acquisition of Advanced Disposal Services, Inc. Mr. Carrasco also had RSUs vest in 2023, and will have RSUs vest in 2024, that were granted prior to his promotion to the senior leadership team.</w:t>
      </w:r>
    </w:p>
    <w:p>
      <w:pPr>
        <w:spacing w:after="0" w:line="71"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RSUs vest in full on the third anniversary of the date of grant. Dividends on the RSUs will accrue and be paid in cash upon vesting. The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MD&amp;C Committee anticipates that grants of RSUs to named executives will continue to be made</w:t>
      </w:r>
    </w:p>
    <w:p>
      <w:pPr>
        <w:jc w:val="both"/>
        <w:ind w:left="820" w:right="60"/>
        <w:spacing w:after="0" w:line="216" w:lineRule="auto"/>
        <w:rPr>
          <w:sz w:val="20"/>
          <w:szCs w:val="20"/>
          <w:color w:val="auto"/>
        </w:rPr>
      </w:pPr>
      <w:r>
        <w:rPr>
          <w:rFonts w:ascii="Arial" w:cs="Arial" w:eastAsia="Arial" w:hAnsi="Arial"/>
          <w:sz w:val="18"/>
          <w:szCs w:val="18"/>
          <w:color w:val="auto"/>
        </w:rPr>
        <w:t>46on a</w:t>
      </w:r>
      <w:r>
        <w:rPr>
          <w:rFonts w:ascii="Arial" w:cs="Arial" w:eastAsia="Arial" w:hAnsi="Arial"/>
          <w:sz w:val="32"/>
          <w:szCs w:val="32"/>
          <w:b w:val="1"/>
          <w:bCs w:val="1"/>
          <w:color w:val="457157"/>
        </w:rPr>
        <w:t>|</w:t>
      </w:r>
      <w:r>
        <w:rPr>
          <w:rFonts w:ascii="Arial" w:cs="Arial" w:eastAsia="Arial" w:hAnsi="Arial"/>
          <w:sz w:val="18"/>
          <w:szCs w:val="18"/>
          <w:color w:val="auto"/>
        </w:rPr>
        <w:t xml:space="preserve"> limited basis2024in Proxycases Statementsuchas a significant promotion, increased responsibilities, special recognition and to attract new hires, and that RSUs will not be a routine component of named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183515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-429260</wp:posOffset>
            </wp:positionV>
            <wp:extent cx="471805" cy="128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Post-Employment and Change in Control Compensation; Clawback Policies</w:t>
      </w:r>
    </w:p>
    <w:p>
      <w:pPr>
        <w:spacing w:after="0" w:line="12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 -based approach. Going forward, the Company does not anticipate entering into new employment agreements with our executive officers, and neither Mr. Carrasco nor Ms. Hemmer is a party to an employment agreement with the Company.</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Post-Employment Covenants and 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29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98"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In 2023, the MD&amp;C Committee adopted the executive compensation clawback policy mandated by the New York Stock Exchange, which is accessible through the Exhibit List to the Company’s Annual Report on Form 10-K. This clawback policy provides for the recovery of erroneously awarded incentive -based compensation received by current and former executive officers in connection with a financial restatement, regardless of fault or misconduct. No obligation has arisen to recover executive compensation pursuant to this policy.</w:t>
      </w:r>
    </w:p>
    <w:p>
      <w:pPr>
        <w:spacing w:after="0" w:line="3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Other Compensation Policies and Practices</w:t>
      </w:r>
    </w:p>
    <w:p>
      <w:pPr>
        <w:spacing w:after="0" w:line="112"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w:t>
      </w:r>
    </w:p>
    <w:p>
      <w:pPr>
        <w:spacing w:after="0" w:line="206" w:lineRule="exact"/>
        <w:rPr>
          <w:sz w:val="20"/>
          <w:szCs w:val="20"/>
          <w:color w:val="auto"/>
        </w:rPr>
      </w:pPr>
    </w:p>
    <w:p>
      <w:pPr>
        <w:ind w:left="820"/>
        <w:spacing w:after="0" w:line="191" w:lineRule="auto"/>
        <w:rPr>
          <w:sz w:val="20"/>
          <w:szCs w:val="20"/>
          <w:color w:val="auto"/>
        </w:rPr>
      </w:pPr>
      <w:r>
        <w:rPr>
          <w:rFonts w:ascii="Arial" w:cs="Arial" w:eastAsia="Arial" w:hAnsi="Arial"/>
          <w:sz w:val="17"/>
          <w:szCs w:val="17"/>
          <w:color w:val="auto"/>
        </w:rPr>
        <w:t>employees and any payment in reasonable settlement of a legal claim. Additionally, “Death Benefits” under the policy does not include deferred compensation, retirement benefits2024orProxyacceleratedStatementvesting</w:t>
      </w:r>
      <w:r>
        <w:rPr>
          <w:rFonts w:ascii="Arial" w:cs="Arial" w:eastAsia="Arial" w:hAnsi="Arial"/>
          <w:sz w:val="30"/>
          <w:szCs w:val="30"/>
          <w:b w:val="1"/>
          <w:bCs w:val="1"/>
          <w:color w:val="457157"/>
        </w:rPr>
        <w:t>|</w:t>
      </w:r>
      <w:r>
        <w:rPr>
          <w:rFonts w:ascii="Arial" w:cs="Arial" w:eastAsia="Arial" w:hAnsi="Arial"/>
          <w:sz w:val="17"/>
          <w:szCs w:val="17"/>
          <w:color w:val="auto"/>
        </w:rPr>
        <w:t xml:space="preserve"> 47​or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-151765</wp:posOffset>
            </wp:positionV>
            <wp:extent cx="47180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jc w:val="both"/>
        <w:ind w:left="820" w:right="60"/>
        <w:spacing w:after="0" w:line="257" w:lineRule="auto"/>
        <w:rPr>
          <w:sz w:val="20"/>
          <w:szCs w:val="20"/>
          <w:color w:val="auto"/>
        </w:rPr>
      </w:pPr>
      <w:r>
        <w:rPr>
          <w:rFonts w:ascii="Arial" w:cs="Arial" w:eastAsia="Arial" w:hAnsi="Arial"/>
          <w:sz w:val="18"/>
          <w:szCs w:val="18"/>
          <w:color w:val="auto"/>
        </w:rPr>
        <w:t>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28575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0" w:name="page51"/>
    <w:bookmarkEnd w:id="50"/>
    <w:p>
      <w:pPr>
        <w:spacing w:after="0" w:line="188" w:lineRule="auto"/>
        <w:framePr w:w="2020" w:h="163" w:wrap="auto" w:vAnchor="page" w:hAnchor="page" w:x="2960" w:y="13113"/>
        <w:rPr>
          <w:rFonts w:ascii="Arial" w:cs="Arial" w:eastAsia="Arial" w:hAnsi="Arial"/>
          <w:sz w:val="18"/>
          <w:szCs w:val="18"/>
          <w:color w:val="auto"/>
        </w:rPr>
      </w:pPr>
      <w:r>
        <w:rPr>
          <w:rFonts w:ascii="Arial" w:cs="Arial" w:eastAsia="Arial" w:hAnsi="Arial"/>
          <w:sz w:val="18"/>
          <w:szCs w:val="18"/>
          <w:color w:val="auto"/>
        </w:rPr>
        <w:t>2024 Proxy Statement</w:t>
      </w:r>
    </w:p>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rFonts w:ascii="Arial" w:cs="Arial" w:eastAsia="Arial" w:hAnsi="Arial"/>
          <w:sz w:val="18"/>
          <w:szCs w:val="18"/>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rFonts w:ascii="Arial" w:cs="Arial" w:eastAsia="Arial" w:hAnsi="Arial"/>
          <w:sz w:val="18"/>
          <w:szCs w:val="18"/>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 -term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298" w:lineRule="exact"/>
        <w:rPr>
          <w:rFonts w:ascii="Arial" w:cs="Arial" w:eastAsia="Arial" w:hAnsi="Arial"/>
          <w:sz w:val="18"/>
          <w:szCs w:val="18"/>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named executive’s ownership guideline multiple of base salary and ownership multiple of base salary attained as of March 5, 2024, using the closing price of our Common Stock on such date and base salaries in effect on December 31, 2023, are set forth below. Shares owned outright, vested equity awards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318" w:lineRule="exact"/>
        <w:rPr>
          <w:rFonts w:ascii="Arial" w:cs="Arial" w:eastAsia="Arial" w:hAnsi="Arial"/>
          <w:sz w:val="18"/>
          <w:szCs w:val="18"/>
          <w:color w:val="auto"/>
        </w:rPr>
      </w:pPr>
    </w:p>
    <w:tbl>
      <w:tblPr>
        <w:tblLayout w:type="fixed"/>
        <w:tblInd w:w="634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457157"/>
              </w:rPr>
              <w:t>Ownership</w:t>
            </w:r>
          </w:p>
        </w:tc>
        <w:tc>
          <w:tcPr>
            <w:tcW w:w="0" w:type="dxa"/>
            <w:vAlign w:val="bottom"/>
          </w:tcPr>
          <w:p>
            <w:pPr>
              <w:spacing w:after="0"/>
              <w:rPr>
                <w:sz w:val="1"/>
                <w:szCs w:val="1"/>
                <w:color w:val="auto"/>
              </w:rPr>
            </w:pPr>
          </w:p>
        </w:tc>
      </w:tr>
      <w:tr>
        <w:trPr>
          <w:trHeight w:val="144"/>
        </w:trPr>
        <w:tc>
          <w:tcPr>
            <w:tcW w:w="1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457157"/>
              </w:rPr>
              <w:t>Ownership</w:t>
            </w: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Multiple of</w:t>
            </w:r>
          </w:p>
        </w:tc>
        <w:tc>
          <w:tcPr>
            <w:tcW w:w="0" w:type="dxa"/>
            <w:vAlign w:val="bottom"/>
          </w:tcPr>
          <w:p>
            <w:pPr>
              <w:spacing w:after="0"/>
              <w:rPr>
                <w:sz w:val="1"/>
                <w:szCs w:val="1"/>
                <w:color w:val="auto"/>
              </w:rPr>
            </w:pPr>
          </w:p>
        </w:tc>
      </w:tr>
      <w:tr>
        <w:trPr>
          <w:trHeight w:val="139"/>
        </w:trPr>
        <w:tc>
          <w:tcPr>
            <w:tcW w:w="1520" w:type="dxa"/>
            <w:vAlign w:val="bottom"/>
            <w:vMerge w:val="continue"/>
          </w:tcPr>
          <w:p>
            <w:pPr>
              <w:spacing w:after="0"/>
              <w:rPr>
                <w:sz w:val="12"/>
                <w:szCs w:val="12"/>
                <w:color w:val="auto"/>
              </w:rPr>
            </w:pPr>
          </w:p>
        </w:tc>
        <w:tc>
          <w:tcPr>
            <w:tcW w:w="118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Base Salary</w:t>
            </w:r>
          </w:p>
        </w:tc>
        <w:tc>
          <w:tcPr>
            <w:tcW w:w="0" w:type="dxa"/>
            <w:vAlign w:val="bottom"/>
          </w:tcPr>
          <w:p>
            <w:pPr>
              <w:spacing w:after="0"/>
              <w:rPr>
                <w:sz w:val="1"/>
                <w:szCs w:val="1"/>
                <w:color w:val="auto"/>
              </w:rPr>
            </w:pPr>
          </w:p>
        </w:tc>
      </w:tr>
      <w:tr>
        <w:trPr>
          <w:trHeight w:val="149"/>
        </w:trPr>
        <w:tc>
          <w:tcPr>
            <w:tcW w:w="15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457157"/>
              </w:rPr>
              <w:t>Guideline Multiple</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Attained as of</w:t>
            </w:r>
          </w:p>
        </w:tc>
        <w:tc>
          <w:tcPr>
            <w:tcW w:w="0" w:type="dxa"/>
            <w:vAlign w:val="bottom"/>
          </w:tcPr>
          <w:p>
            <w:pPr>
              <w:spacing w:after="0"/>
              <w:rPr>
                <w:sz w:val="1"/>
                <w:szCs w:val="1"/>
                <w:color w:val="auto"/>
              </w:rPr>
            </w:pPr>
          </w:p>
        </w:tc>
      </w:tr>
    </w:tbl>
    <w:p>
      <w:pPr>
        <w:spacing w:after="0" w:line="1" w:lineRule="exact"/>
        <w:rPr>
          <w:rFonts w:ascii="Arial" w:cs="Arial" w:eastAsia="Arial" w:hAnsi="Arial"/>
          <w:sz w:val="18"/>
          <w:szCs w:val="18"/>
          <w:color w:val="auto"/>
        </w:rPr>
      </w:pPr>
    </w:p>
    <w:tbl>
      <w:tblPr>
        <w:tblLayout w:type="fixed"/>
        <w:tblInd w:w="1520" w:type="dxa"/>
        <w:tblCellMar>
          <w:top w:w="0" w:type="dxa"/>
          <w:left w:w="0" w:type="dxa"/>
          <w:bottom w:w="0" w:type="dxa"/>
          <w:right w:w="0" w:type="dxa"/>
        </w:tblCellMar>
      </w:tblPr>
      <w:tr>
        <w:trPr>
          <w:trHeight w:val="198"/>
        </w:trPr>
        <w:tc>
          <w:tcPr>
            <w:tcW w:w="296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2040" w:type="dxa"/>
            <w:vAlign w:val="bottom"/>
          </w:tcPr>
          <w:p>
            <w:pPr>
              <w:ind w:left="1760"/>
              <w:spacing w:after="0"/>
              <w:rPr>
                <w:sz w:val="20"/>
                <w:szCs w:val="20"/>
                <w:color w:val="auto"/>
              </w:rPr>
            </w:pPr>
            <w:r>
              <w:rPr>
                <w:rFonts w:ascii="Arial" w:cs="Arial" w:eastAsia="Arial" w:hAnsi="Arial"/>
                <w:sz w:val="14"/>
                <w:szCs w:val="14"/>
                <w:b w:val="1"/>
                <w:bCs w:val="1"/>
                <w:color w:val="457157"/>
              </w:rPr>
              <w:t>​ ​</w:t>
            </w:r>
          </w:p>
        </w:tc>
        <w:tc>
          <w:tcPr>
            <w:tcW w:w="2680" w:type="dxa"/>
            <w:vAlign w:val="bottom"/>
            <w:gridSpan w:val="5"/>
          </w:tcPr>
          <w:p>
            <w:pPr>
              <w:ind w:left="160"/>
              <w:spacing w:after="0" w:line="198" w:lineRule="exact"/>
              <w:rPr>
                <w:sz w:val="20"/>
                <w:szCs w:val="20"/>
                <w:color w:val="auto"/>
              </w:rPr>
            </w:pPr>
            <w:r>
              <w:rPr>
                <w:rFonts w:ascii="Arial" w:cs="Arial" w:eastAsia="Arial" w:hAnsi="Arial"/>
                <w:sz w:val="12"/>
                <w:szCs w:val="12"/>
                <w:b w:val="1"/>
                <w:bCs w:val="1"/>
                <w:color w:val="457157"/>
              </w:rPr>
              <w:t xml:space="preserve">of Base Salary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March 5, 2024 </w:t>
            </w:r>
            <w:r>
              <w:rPr>
                <w:rFonts w:ascii="Arial" w:cs="Arial" w:eastAsia="Arial" w:hAnsi="Arial"/>
                <w:sz w:val="22"/>
                <w:szCs w:val="22"/>
                <w:b w:val="1"/>
                <w:bCs w:val="1"/>
                <w:color w:val="457157"/>
                <w:vertAlign w:val="subscript"/>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​6x</w:t>
            </w:r>
          </w:p>
        </w:tc>
        <w:tc>
          <w:tcPr>
            <w:tcW w:w="72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​44x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2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​16x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2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​24x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2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2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​16x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56" w:lineRule="exact"/>
        <w:rPr>
          <w:rFonts w:ascii="Arial" w:cs="Arial" w:eastAsia="Arial" w:hAnsi="Arial"/>
          <w:sz w:val="18"/>
          <w:szCs w:val="18"/>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286" w:lineRule="exact"/>
        <w:rPr>
          <w:rFonts w:ascii="Arial" w:cs="Arial" w:eastAsia="Arial" w:hAnsi="Arial"/>
          <w:sz w:val="18"/>
          <w:szCs w:val="18"/>
          <w:color w:val="auto"/>
        </w:rPr>
      </w:pPr>
    </w:p>
    <w:p>
      <w:pPr>
        <w:jc w:val="both"/>
        <w:ind w:left="820" w:right="60"/>
        <w:spacing w:after="0" w:line="252"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w:t>
      </w:r>
    </w:p>
    <w:p>
      <w:pPr>
        <w:spacing w:after="0" w:line="215" w:lineRule="exact"/>
        <w:rPr>
          <w:rFonts w:ascii="Arial" w:cs="Arial" w:eastAsia="Arial" w:hAnsi="Arial"/>
          <w:sz w:val="18"/>
          <w:szCs w:val="18"/>
          <w:color w:val="auto"/>
        </w:rPr>
      </w:pPr>
    </w:p>
    <w:p>
      <w:pPr>
        <w:ind w:left="820" w:right="7720"/>
        <w:spacing w:after="0"/>
        <w:rPr>
          <w:sz w:val="20"/>
          <w:szCs w:val="20"/>
          <w:color w:val="auto"/>
        </w:rPr>
      </w:pPr>
      <w:r>
        <w:rPr>
          <w:rFonts w:ascii="Arial" w:cs="Arial" w:eastAsia="Arial" w:hAnsi="Arial"/>
          <w:sz w:val="15"/>
          <w:szCs w:val="15"/>
          <w:color w:val="auto"/>
        </w:rPr>
        <w:t>margin</w:t>
      </w:r>
      <w:r>
        <w:rPr>
          <w:rFonts w:ascii="Arial" w:cs="Arial" w:eastAsia="Arial" w:hAnsi="Arial"/>
          <w:sz w:val="26"/>
          <w:szCs w:val="26"/>
          <w:b w:val="1"/>
          <w:bCs w:val="1"/>
          <w:color w:val="457157"/>
        </w:rPr>
        <w:t>|</w:t>
      </w:r>
      <w:r>
        <w:rPr>
          <w:rFonts w:ascii="Arial" w:cs="Arial" w:eastAsia="Arial" w:hAnsi="Arial"/>
          <w:sz w:val="15"/>
          <w:szCs w:val="15"/>
          <w:color w:val="auto"/>
        </w:rPr>
        <w:t xml:space="preserve"> account. 48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-137160</wp:posOffset>
            </wp:positionV>
            <wp:extent cx="47180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EXECUTIVE COMPENSATION TABLES</w:t>
      </w:r>
    </w:p>
    <w:p>
      <w:pPr>
        <w:spacing w:after="0" w:line="121"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SUMMARY COMPENSATION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Stock</w:t>
            </w:r>
          </w:p>
        </w:tc>
        <w:tc>
          <w:tcPr>
            <w:tcW w:w="180" w:type="dxa"/>
            <w:vAlign w:val="bottom"/>
          </w:tcPr>
          <w:p>
            <w:pPr>
              <w:spacing w:after="0"/>
              <w:rPr>
                <w:sz w:val="14"/>
                <w:szCs w:val="14"/>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457157"/>
              </w:rPr>
              <w:t>Option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457157"/>
              </w:rPr>
              <w:t>Non-Equity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All Other</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Salary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Incentive Plan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3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Awards</w:t>
            </w:r>
          </w:p>
        </w:tc>
        <w:tc>
          <w:tcPr>
            <w:tcW w:w="180" w:type="dxa"/>
            <w:vAlign w:val="bottom"/>
          </w:tcPr>
          <w:p>
            <w:pPr>
              <w:spacing w:after="0"/>
              <w:rPr>
                <w:sz w:val="12"/>
                <w:szCs w:val="12"/>
                <w:color w:val="auto"/>
              </w:rPr>
            </w:pPr>
          </w:p>
        </w:tc>
        <w:tc>
          <w:tcPr>
            <w:tcW w:w="184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Awards  Compensation</w:t>
            </w:r>
          </w:p>
        </w:tc>
        <w:tc>
          <w:tcPr>
            <w:tcW w:w="60" w:type="dxa"/>
            <w:vAlign w:val="bottom"/>
          </w:tcPr>
          <w:p>
            <w:pPr>
              <w:spacing w:after="0"/>
              <w:rPr>
                <w:sz w:val="12"/>
                <w:szCs w:val="12"/>
                <w:color w:val="auto"/>
              </w:rPr>
            </w:pPr>
          </w:p>
        </w:tc>
        <w:tc>
          <w:tcPr>
            <w:tcW w:w="120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Compensation</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3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457157"/>
              </w:rPr>
              <w:t>​ ​</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620" w:type="dxa"/>
            <w:vAlign w:val="bottom"/>
          </w:tcPr>
          <w:p>
            <w:pPr>
              <w:jc w:val="right"/>
              <w:spacing w:after="0" w:line="149" w:lineRule="exact"/>
              <w:rPr>
                <w:sz w:val="20"/>
                <w:szCs w:val="20"/>
                <w:color w:val="auto"/>
              </w:rPr>
            </w:pPr>
            <w:r>
              <w:rPr>
                <w:rFonts w:ascii="Arial" w:cs="Arial" w:eastAsia="Arial" w:hAnsi="Arial"/>
                <w:sz w:val="17"/>
                <w:szCs w:val="17"/>
                <w:b w:val="1"/>
                <w:bCs w:val="1"/>
                <w:color w:val="457157"/>
                <w:vertAlign w:val="subscript"/>
              </w:rPr>
              <w:t>($)</w:t>
            </w:r>
            <w:r>
              <w:rPr>
                <w:rFonts w:ascii="Arial" w:cs="Arial" w:eastAsia="Arial" w:hAnsi="Arial"/>
                <w:sz w:val="7"/>
                <w:szCs w:val="7"/>
                <w:b w:val="1"/>
                <w:bCs w:val="1"/>
                <w:color w:val="457157"/>
              </w:rPr>
              <w:t>(1)</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40" w:type="dxa"/>
            <w:vAlign w:val="bottom"/>
          </w:tcPr>
          <w:p>
            <w:pPr>
              <w:jc w:val="right"/>
              <w:spacing w:after="0" w:line="149" w:lineRule="exact"/>
              <w:rPr>
                <w:sz w:val="20"/>
                <w:szCs w:val="20"/>
                <w:color w:val="auto"/>
              </w:rPr>
            </w:pPr>
            <w:r>
              <w:rPr>
                <w:rFonts w:ascii="Arial" w:cs="Arial" w:eastAsia="Arial" w:hAnsi="Arial"/>
                <w:sz w:val="17"/>
                <w:szCs w:val="17"/>
                <w:b w:val="1"/>
                <w:bCs w:val="1"/>
                <w:color w:val="457157"/>
                <w:vertAlign w:val="subscript"/>
              </w:rPr>
              <w:t>($)</w:t>
            </w:r>
            <w:r>
              <w:rPr>
                <w:rFonts w:ascii="Arial" w:cs="Arial" w:eastAsia="Arial" w:hAnsi="Arial"/>
                <w:sz w:val="7"/>
                <w:szCs w:val="7"/>
                <w:b w:val="1"/>
                <w:bCs w:val="1"/>
                <w:color w:val="457157"/>
              </w:rPr>
              <w:t>(2)</w:t>
            </w:r>
          </w:p>
        </w:tc>
        <w:tc>
          <w:tcPr>
            <w:tcW w:w="3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457157"/>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(3)</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7"/>
                <w:szCs w:val="17"/>
                <w:b w:val="1"/>
                <w:bCs w:val="1"/>
                <w:color w:val="457157"/>
                <w:vertAlign w:val="subscript"/>
              </w:rPr>
              <w:t>($)</w:t>
            </w:r>
            <w:r>
              <w:rPr>
                <w:rFonts w:ascii="Arial" w:cs="Arial" w:eastAsia="Arial" w:hAnsi="Arial"/>
                <w:sz w:val="7"/>
                <w:szCs w:val="7"/>
                <w:b w:val="1"/>
                <w:bCs w:val="1"/>
                <w:color w:val="457157"/>
              </w:rPr>
              <w:t>(4)</w:t>
            </w:r>
          </w:p>
        </w:tc>
        <w:tc>
          <w:tcPr>
            <w:tcW w:w="3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p>
        </w:tc>
        <w:tc>
          <w:tcPr>
            <w:tcW w:w="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296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360" w:type="dxa"/>
            <w:vAlign w:val="bottom"/>
            <w:tcBorders>
              <w:bottom w:val="single" w:sz="8" w:color="457157"/>
            </w:tcBorders>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280" w:type="dxa"/>
            <w:vAlign w:val="bottom"/>
            <w:tcBorders>
              <w:bottom w:val="single" w:sz="8" w:color="457157"/>
            </w:tcBorders>
            <w:gridSpan w:val="2"/>
            <w:vMerge w:val="continue"/>
          </w:tcPr>
          <w:p>
            <w:pPr>
              <w:spacing w:after="0"/>
              <w:rPr>
                <w:sz w:val="4"/>
                <w:szCs w:val="4"/>
                <w:color w:val="auto"/>
              </w:rPr>
            </w:pPr>
          </w:p>
        </w:tc>
        <w:tc>
          <w:tcPr>
            <w:tcW w:w="62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8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James C. Fish, Jr.</w:t>
            </w: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20" w:type="dxa"/>
            <w:vAlign w:val="bottom"/>
            <w:tcBorders>
              <w:bottom w:val="single" w:sz="8" w:color="457157"/>
            </w:tcBorders>
            <w:gridSpan w:val="2"/>
            <w:shd w:val="clear" w:color="auto" w:fill="CCEEFF"/>
          </w:tcPr>
          <w:p>
            <w:pPr>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President and Chief Executive Officer </w:t>
            </w:r>
            <w:r>
              <w:rPr>
                <w:rFonts w:ascii="Arial" w:cs="Arial" w:eastAsia="Arial" w:hAnsi="Arial"/>
                <w:sz w:val="25"/>
                <w:szCs w:val="25"/>
                <w:b w:val="1"/>
                <w:bCs w:val="1"/>
                <w:color w:val="auto"/>
                <w:vertAlign w:val="subscript"/>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tcPr>
          <w:p>
            <w:pPr>
              <w:jc w:val="right"/>
              <w:ind w:right="2512"/>
              <w:spacing w:after="0" w:line="169" w:lineRule="exact"/>
              <w:rPr>
                <w:sz w:val="20"/>
                <w:szCs w:val="20"/>
                <w:color w:val="auto"/>
              </w:rPr>
            </w:pPr>
            <w:r>
              <w:rPr>
                <w:rFonts w:ascii="Arial" w:cs="Arial" w:eastAsia="Arial" w:hAnsi="Arial"/>
                <w:sz w:val="15"/>
                <w:szCs w:val="15"/>
                <w:color w:val="auto"/>
              </w:rPr>
              <w:t>2023</w:t>
            </w:r>
          </w:p>
        </w:tc>
        <w:tc>
          <w:tcPr>
            <w:tcW w:w="1080" w:type="dxa"/>
            <w:vAlign w:val="bottom"/>
            <w:gridSpan w:val="3"/>
          </w:tcPr>
          <w:p>
            <w:pPr>
              <w:jc w:val="center"/>
              <w:ind w:left="193"/>
              <w:spacing w:after="0" w:line="169" w:lineRule="exact"/>
              <w:rPr>
                <w:sz w:val="20"/>
                <w:szCs w:val="20"/>
                <w:color w:val="auto"/>
              </w:rPr>
            </w:pPr>
            <w:r>
              <w:rPr>
                <w:rFonts w:ascii="Arial" w:cs="Arial" w:eastAsia="Arial" w:hAnsi="Arial"/>
                <w:sz w:val="15"/>
                <w:szCs w:val="15"/>
                <w:color w:val="auto"/>
                <w:w w:val="99"/>
              </w:rPr>
              <w:t>​1,388,461</w:t>
            </w:r>
            <w:r>
              <w:rPr>
                <w:rFonts w:ascii="Arial" w:cs="Arial" w:eastAsia="Arial" w:hAnsi="Arial"/>
                <w:sz w:val="19"/>
                <w:szCs w:val="19"/>
                <w:color w:val="auto"/>
                <w:w w:val="99"/>
                <w:vertAlign w:val="superscript"/>
              </w:rPr>
              <w:t>(5)</w:t>
            </w: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​8,405,433</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​1,950,000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2,638,116</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7"/>
              <w:spacing w:after="0" w:line="169" w:lineRule="exact"/>
              <w:rPr>
                <w:sz w:val="20"/>
                <w:szCs w:val="20"/>
                <w:color w:val="auto"/>
              </w:rPr>
            </w:pPr>
            <w:r>
              <w:rPr>
                <w:rFonts w:ascii="Arial" w:cs="Arial" w:eastAsia="Arial" w:hAnsi="Arial"/>
                <w:sz w:val="15"/>
                <w:szCs w:val="15"/>
                <w:color w:val="auto"/>
              </w:rPr>
              <w:t>​ 246,844</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​14,628,854</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line="68" w:lineRule="exact"/>
              <w:rPr>
                <w:sz w:val="20"/>
                <w:szCs w:val="20"/>
                <w:color w:val="auto"/>
              </w:rPr>
            </w:pPr>
            <w:r>
              <w:rPr>
                <w:rFonts w:ascii="Arial" w:cs="Arial" w:eastAsia="Arial" w:hAnsi="Arial"/>
                <w:sz w:val="7"/>
                <w:szCs w:val="7"/>
                <w:color w:val="auto"/>
              </w:rPr>
              <w:t>​</w:t>
            </w:r>
          </w:p>
        </w:tc>
        <w:tc>
          <w:tcPr>
            <w:tcW w:w="36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457157"/>
            </w:tcBorders>
            <w:shd w:val="clear" w:color="auto" w:fill="CCEEFF"/>
          </w:tcPr>
          <w:p>
            <w:pPr>
              <w:jc w:val="right"/>
              <w:ind w:right="2512"/>
              <w:spacing w:after="0" w:line="169" w:lineRule="exact"/>
              <w:rPr>
                <w:sz w:val="20"/>
                <w:szCs w:val="20"/>
                <w:color w:val="auto"/>
              </w:rPr>
            </w:pPr>
            <w:r>
              <w:rPr>
                <w:rFonts w:ascii="Arial" w:cs="Arial" w:eastAsia="Arial" w:hAnsi="Arial"/>
                <w:sz w:val="15"/>
                <w:szCs w:val="15"/>
                <w:color w:val="auto"/>
              </w:rPr>
              <w:t>2022</w:t>
            </w:r>
          </w:p>
        </w:tc>
        <w:tc>
          <w:tcPr>
            <w:tcW w:w="1080" w:type="dxa"/>
            <w:vAlign w:val="bottom"/>
            <w:tcBorders>
              <w:top w:val="single" w:sz="8" w:color="457157"/>
            </w:tcBorders>
            <w:gridSpan w:val="3"/>
            <w:shd w:val="clear" w:color="auto" w:fill="CCEEFF"/>
          </w:tcPr>
          <w:p>
            <w:pPr>
              <w:jc w:val="center"/>
              <w:ind w:left="193"/>
              <w:spacing w:after="0" w:line="169" w:lineRule="exact"/>
              <w:rPr>
                <w:sz w:val="20"/>
                <w:szCs w:val="20"/>
                <w:color w:val="auto"/>
              </w:rPr>
            </w:pPr>
            <w:r>
              <w:rPr>
                <w:rFonts w:ascii="Arial" w:cs="Arial" w:eastAsia="Arial" w:hAnsi="Arial"/>
                <w:sz w:val="15"/>
                <w:szCs w:val="15"/>
                <w:color w:val="auto"/>
                <w:w w:val="99"/>
              </w:rPr>
              <w:t>​1,338,462</w:t>
            </w:r>
            <w:r>
              <w:rPr>
                <w:rFonts w:ascii="Arial" w:cs="Arial" w:eastAsia="Arial" w:hAnsi="Arial"/>
                <w:sz w:val="19"/>
                <w:szCs w:val="19"/>
                <w:color w:val="auto"/>
                <w:w w:val="99"/>
                <w:vertAlign w:val="superscript"/>
              </w:rPr>
              <w:t>(5)</w:t>
            </w:r>
          </w:p>
        </w:tc>
        <w:tc>
          <w:tcPr>
            <w:tcW w:w="76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​8,023,256</w:t>
            </w:r>
          </w:p>
        </w:tc>
        <w:tc>
          <w:tcPr>
            <w:tcW w:w="82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​1,750,011</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457157"/>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457157"/>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rPr>
              <w:t>3,459,049</w:t>
            </w:r>
          </w:p>
        </w:tc>
        <w:tc>
          <w:tcPr>
            <w:tcW w:w="280" w:type="dxa"/>
            <w:vAlign w:val="bottom"/>
            <w:tcBorders>
              <w:top w:val="single" w:sz="8" w:color="457157"/>
            </w:tcBorders>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tcBorders>
            <w:gridSpan w:val="2"/>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rPr>
              <w:t>​ 249,906</w:t>
            </w:r>
          </w:p>
        </w:tc>
        <w:tc>
          <w:tcPr>
            <w:tcW w:w="6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​14,820,684</w:t>
            </w:r>
          </w:p>
        </w:tc>
        <w:tc>
          <w:tcPr>
            <w:tcW w:w="4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96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36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gridSpan w:val="2"/>
            <w:vMerge w:val="continue"/>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gridSpan w:val="2"/>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457157"/>
            </w:tcBorders>
            <w:shd w:val="clear" w:color="auto" w:fill="CCEEFF"/>
          </w:tcPr>
          <w:p>
            <w:pPr>
              <w:spacing w:after="0"/>
              <w:rPr>
                <w:sz w:val="5"/>
                <w:szCs w:val="5"/>
                <w:color w:val="auto"/>
              </w:rPr>
            </w:pPr>
          </w:p>
        </w:tc>
        <w:tc>
          <w:tcPr>
            <w:tcW w:w="4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60" w:type="dxa"/>
            <w:vAlign w:val="bottom"/>
          </w:tcPr>
          <w:p>
            <w:pPr>
              <w:jc w:val="right"/>
              <w:ind w:right="2512"/>
              <w:spacing w:after="0" w:line="169" w:lineRule="exact"/>
              <w:rPr>
                <w:sz w:val="20"/>
                <w:szCs w:val="20"/>
                <w:color w:val="auto"/>
              </w:rPr>
            </w:pPr>
            <w:r>
              <w:rPr>
                <w:rFonts w:ascii="Arial" w:cs="Arial" w:eastAsia="Arial" w:hAnsi="Arial"/>
                <w:sz w:val="15"/>
                <w:szCs w:val="15"/>
                <w:color w:val="auto"/>
              </w:rPr>
              <w:t>2021</w:t>
            </w:r>
          </w:p>
        </w:tc>
        <w:tc>
          <w:tcPr>
            <w:tcW w:w="1080" w:type="dxa"/>
            <w:vAlign w:val="bottom"/>
            <w:gridSpan w:val="3"/>
          </w:tcPr>
          <w:p>
            <w:pPr>
              <w:jc w:val="center"/>
              <w:ind w:left="193"/>
              <w:spacing w:after="0" w:line="169" w:lineRule="exact"/>
              <w:rPr>
                <w:sz w:val="20"/>
                <w:szCs w:val="20"/>
                <w:color w:val="auto"/>
              </w:rPr>
            </w:pPr>
            <w:r>
              <w:rPr>
                <w:rFonts w:ascii="Arial" w:cs="Arial" w:eastAsia="Arial" w:hAnsi="Arial"/>
                <w:sz w:val="15"/>
                <w:szCs w:val="15"/>
                <w:color w:val="auto"/>
                <w:w w:val="99"/>
              </w:rPr>
              <w:t>​1,294,231</w:t>
            </w:r>
            <w:r>
              <w:rPr>
                <w:rFonts w:ascii="Arial" w:cs="Arial" w:eastAsia="Arial" w:hAnsi="Arial"/>
                <w:sz w:val="19"/>
                <w:szCs w:val="19"/>
                <w:color w:val="auto"/>
                <w:w w:val="99"/>
                <w:vertAlign w:val="superscript"/>
              </w:rPr>
              <w:t>(5)</w:t>
            </w: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​7,312,195</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​1,700,005</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2,656,497</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10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147"/>
              <w:spacing w:after="0" w:line="169" w:lineRule="exact"/>
              <w:rPr>
                <w:sz w:val="20"/>
                <w:szCs w:val="20"/>
                <w:color w:val="auto"/>
              </w:rPr>
            </w:pPr>
            <w:r>
              <w:rPr>
                <w:rFonts w:ascii="Arial" w:cs="Arial" w:eastAsia="Arial" w:hAnsi="Arial"/>
                <w:sz w:val="15"/>
                <w:szCs w:val="15"/>
                <w:color w:val="auto"/>
              </w:rPr>
              <w:t>94,435</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​13,057,363</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line="68" w:lineRule="exact"/>
              <w:rPr>
                <w:sz w:val="20"/>
                <w:szCs w:val="20"/>
                <w:color w:val="auto"/>
              </w:rPr>
            </w:pPr>
            <w:r>
              <w:rPr>
                <w:rFonts w:ascii="Arial" w:cs="Arial" w:eastAsia="Arial" w:hAnsi="Arial"/>
                <w:sz w:val="7"/>
                <w:szCs w:val="7"/>
                <w:color w:val="auto"/>
              </w:rPr>
              <w:t>​</w:t>
            </w:r>
          </w:p>
        </w:tc>
        <w:tc>
          <w:tcPr>
            <w:tcW w:w="36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Devina A. Rankin</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Executive Vice President and Chief</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Financial Officer</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760,792</w:t>
            </w:r>
            <w:r>
              <w:rPr>
                <w:rFonts w:ascii="Arial" w:cs="Arial" w:eastAsia="Arial" w:hAnsi="Arial"/>
                <w:sz w:val="27"/>
                <w:szCs w:val="27"/>
                <w:color w:val="auto"/>
                <w:vertAlign w:val="subscript"/>
              </w:rPr>
              <w:t>​​ ​​</w:t>
            </w:r>
            <w:r>
              <w:rPr>
                <w:rFonts w:ascii="Arial" w:cs="Arial" w:eastAsia="Arial" w:hAnsi="Arial"/>
                <w:sz w:val="14"/>
                <w:szCs w:val="14"/>
                <w:color w:val="auto"/>
              </w:rPr>
              <w:t>​1,982,933</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460,005</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915,228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95,142</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4,214,100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60" w:type="dxa"/>
            <w:vAlign w:val="bottom"/>
            <w:tcBorders>
              <w:top w:val="single" w:sz="8" w:color="457157"/>
              <w:bottom w:val="single" w:sz="8" w:color="457157"/>
            </w:tcBorders>
            <w:shd w:val="clear" w:color="auto" w:fill="CCEEFF"/>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6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730,288</w:t>
            </w:r>
            <w:r>
              <w:rPr>
                <w:rFonts w:ascii="Arial" w:cs="Arial" w:eastAsia="Arial" w:hAnsi="Arial"/>
                <w:sz w:val="27"/>
                <w:szCs w:val="27"/>
                <w:color w:val="auto"/>
                <w:vertAlign w:val="subscript"/>
              </w:rPr>
              <w:t>​​ ​​</w:t>
            </w:r>
            <w:r>
              <w:rPr>
                <w:rFonts w:ascii="Arial" w:cs="Arial" w:eastAsia="Arial" w:hAnsi="Arial"/>
                <w:sz w:val="14"/>
                <w:szCs w:val="14"/>
                <w:color w:val="auto"/>
              </w:rPr>
              <w:t>​3,008,095</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439,988</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1,258,404</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7"/>
              <w:spacing w:after="0"/>
              <w:rPr>
                <w:sz w:val="20"/>
                <w:szCs w:val="20"/>
                <w:color w:val="auto"/>
              </w:rPr>
            </w:pPr>
            <w:r>
              <w:rPr>
                <w:rFonts w:ascii="Arial" w:cs="Arial" w:eastAsia="Arial" w:hAnsi="Arial"/>
                <w:sz w:val="15"/>
                <w:szCs w:val="15"/>
                <w:color w:val="auto"/>
              </w:rPr>
              <w:t>98,980</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5,535,755</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700,671</w:t>
            </w:r>
            <w:r>
              <w:rPr>
                <w:rFonts w:ascii="Arial" w:cs="Arial" w:eastAsia="Arial" w:hAnsi="Arial"/>
                <w:sz w:val="27"/>
                <w:szCs w:val="27"/>
                <w:color w:val="auto"/>
                <w:vertAlign w:val="subscript"/>
              </w:rPr>
              <w:t>​​ ​​</w:t>
            </w:r>
            <w:r>
              <w:rPr>
                <w:rFonts w:ascii="Arial" w:cs="Arial" w:eastAsia="Arial" w:hAnsi="Arial"/>
                <w:sz w:val="14"/>
                <w:szCs w:val="14"/>
                <w:color w:val="auto"/>
              </w:rPr>
              <w:t>​1,806,413</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420,003</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958,821</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56,094</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3,942,002</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John J. Morris, Jr.</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Executive Vice President and Chief</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Operating Officer</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777,031</w:t>
            </w:r>
            <w:r>
              <w:rPr>
                <w:rFonts w:ascii="Arial" w:cs="Arial" w:eastAsia="Arial" w:hAnsi="Arial"/>
                <w:sz w:val="27"/>
                <w:szCs w:val="27"/>
                <w:color w:val="auto"/>
                <w:vertAlign w:val="subscript"/>
              </w:rPr>
              <w:t>​​ ​​</w:t>
            </w:r>
            <w:r>
              <w:rPr>
                <w:rFonts w:ascii="Arial" w:cs="Arial" w:eastAsia="Arial" w:hAnsi="Arial"/>
                <w:sz w:val="14"/>
                <w:szCs w:val="14"/>
                <w:color w:val="auto"/>
              </w:rPr>
              <w:t>​2,327,562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539,987</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1,028,241</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144,151</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4,816,972</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60" w:type="dxa"/>
            <w:vAlign w:val="bottom"/>
            <w:tcBorders>
              <w:top w:val="single" w:sz="8" w:color="457157"/>
              <w:bottom w:val="single" w:sz="8" w:color="457157"/>
            </w:tcBorders>
            <w:shd w:val="clear" w:color="auto" w:fill="CCEEFF"/>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6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748,736</w:t>
            </w:r>
            <w:r>
              <w:rPr>
                <w:rFonts w:ascii="Arial" w:cs="Arial" w:eastAsia="Arial" w:hAnsi="Arial"/>
                <w:sz w:val="27"/>
                <w:szCs w:val="27"/>
                <w:color w:val="auto"/>
                <w:vertAlign w:val="subscript"/>
              </w:rPr>
              <w:t>​​ ​​</w:t>
            </w:r>
            <w:r>
              <w:rPr>
                <w:rFonts w:ascii="Arial" w:cs="Arial" w:eastAsia="Arial" w:hAnsi="Arial"/>
                <w:sz w:val="14"/>
                <w:szCs w:val="14"/>
                <w:color w:val="auto"/>
              </w:rPr>
              <w:t>​3,870,479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519,995</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1,391,871</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bottom w:val="single" w:sz="8" w:color="457157"/>
            </w:tcBorders>
            <w:gridSpan w:val="2"/>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131,155</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6,662,236</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728,138</w:t>
            </w:r>
            <w:r>
              <w:rPr>
                <w:rFonts w:ascii="Arial" w:cs="Arial" w:eastAsia="Arial" w:hAnsi="Arial"/>
                <w:sz w:val="27"/>
                <w:szCs w:val="27"/>
                <w:color w:val="auto"/>
                <w:vertAlign w:val="subscript"/>
              </w:rPr>
              <w:t>​​ ​​</w:t>
            </w:r>
            <w:r>
              <w:rPr>
                <w:rFonts w:ascii="Arial" w:cs="Arial" w:eastAsia="Arial" w:hAnsi="Arial"/>
                <w:sz w:val="14"/>
                <w:szCs w:val="14"/>
                <w:color w:val="auto"/>
              </w:rPr>
              <w:t>​1,978,522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460,006</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996,408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67,420</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4,230,494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Rafael E. Carrasco</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Senior Vice President — Enterprise</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Strategy</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633,592</w:t>
            </w:r>
            <w:r>
              <w:rPr>
                <w:rFonts w:ascii="Arial" w:cs="Arial" w:eastAsia="Arial" w:hAnsi="Arial"/>
                <w:sz w:val="27"/>
                <w:szCs w:val="27"/>
                <w:color w:val="auto"/>
                <w:vertAlign w:val="subscript"/>
              </w:rPr>
              <w:t>​​ ​​</w:t>
            </w:r>
            <w:r>
              <w:rPr>
                <w:rFonts w:ascii="Arial" w:cs="Arial" w:eastAsia="Arial" w:hAnsi="Arial"/>
                <w:sz w:val="14"/>
                <w:szCs w:val="14"/>
                <w:color w:val="auto"/>
              </w:rPr>
              <w:t>​1,724,132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400,010</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686,538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16,036</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3,460,308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Tara J. Hemmer</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Senior Vice President and Chief</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Sustainability Officer</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662,769</w:t>
            </w:r>
            <w:r>
              <w:rPr>
                <w:rFonts w:ascii="Arial" w:cs="Arial" w:eastAsia="Arial" w:hAnsi="Arial"/>
                <w:sz w:val="27"/>
                <w:szCs w:val="27"/>
                <w:color w:val="auto"/>
                <w:vertAlign w:val="subscript"/>
              </w:rPr>
              <w:t>​​ ​​</w:t>
            </w:r>
            <w:r>
              <w:rPr>
                <w:rFonts w:ascii="Arial" w:cs="Arial" w:eastAsia="Arial" w:hAnsi="Arial"/>
                <w:sz w:val="14"/>
                <w:szCs w:val="14"/>
                <w:color w:val="auto"/>
              </w:rPr>
              <w:t>​1,551,818</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360,003</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717,576</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102,639</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3,394,805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2960" w:type="dxa"/>
            <w:vAlign w:val="bottom"/>
            <w:tcBorders>
              <w:top w:val="single" w:sz="8" w:color="457157"/>
              <w:bottom w:val="single" w:sz="8" w:color="457157"/>
            </w:tcBorders>
            <w:shd w:val="clear" w:color="auto" w:fill="CCEEFF"/>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6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630,506</w:t>
            </w:r>
            <w:r>
              <w:rPr>
                <w:rFonts w:ascii="Arial" w:cs="Arial" w:eastAsia="Arial" w:hAnsi="Arial"/>
                <w:sz w:val="27"/>
                <w:szCs w:val="27"/>
                <w:color w:val="auto"/>
                <w:vertAlign w:val="subscript"/>
              </w:rPr>
              <w:t>​​ ​​</w:t>
            </w:r>
            <w:r>
              <w:rPr>
                <w:rFonts w:ascii="Arial" w:cs="Arial" w:eastAsia="Arial" w:hAnsi="Arial"/>
                <w:sz w:val="14"/>
                <w:szCs w:val="14"/>
                <w:color w:val="auto"/>
              </w:rPr>
              <w:t>​2,302,032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339,992</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978,476</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7"/>
              <w:spacing w:after="0"/>
              <w:rPr>
                <w:sz w:val="20"/>
                <w:szCs w:val="20"/>
                <w:color w:val="auto"/>
              </w:rPr>
            </w:pPr>
            <w:r>
              <w:rPr>
                <w:rFonts w:ascii="Arial" w:cs="Arial" w:eastAsia="Arial" w:hAnsi="Arial"/>
                <w:sz w:val="15"/>
                <w:szCs w:val="15"/>
                <w:color w:val="auto"/>
              </w:rPr>
              <w:t>70,648</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4,321,654</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585,868</w:t>
            </w:r>
            <w:r>
              <w:rPr>
                <w:rFonts w:ascii="Arial" w:cs="Arial" w:eastAsia="Arial" w:hAnsi="Arial"/>
                <w:sz w:val="27"/>
                <w:szCs w:val="27"/>
                <w:color w:val="auto"/>
                <w:vertAlign w:val="subscript"/>
              </w:rPr>
              <w:t>​​ ​​</w:t>
            </w:r>
            <w:r>
              <w:rPr>
                <w:rFonts w:ascii="Arial" w:cs="Arial" w:eastAsia="Arial" w:hAnsi="Arial"/>
                <w:sz w:val="14"/>
                <w:szCs w:val="14"/>
                <w:color w:val="auto"/>
              </w:rPr>
              <w:t>​1,462,439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339,998</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721,549</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45,601</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3,155,455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29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4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1180" w:right="60" w:hanging="364"/>
        <w:spacing w:after="0" w:line="253"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The grant date fair values were calculated in accordance with ASC Topic 718, as further described in Note 14 in the Notes to the Consolidated Financial Statements in our 2023 Annual Report on Form 10-K. The grant date fair value of a TSR PSU granted in 2023, based on a multifactor Monte Carlo model, is $177.48, and because total shareholder return is a market condition, projected achievement is embedded in the grant date fair value. The grant date fair value of a Cash Flow PSU granted in 2023 is $150.115, which is the average of the high and low market price of our Common Stock on the date of the grant, in accordance with our 2014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82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457157"/>
            </w:tcBorders>
          </w:tcPr>
          <w:p>
            <w:pPr>
              <w:spacing w:after="0"/>
              <w:rPr>
                <w:sz w:val="14"/>
                <w:szCs w:val="14"/>
                <w:color w:val="auto"/>
              </w:rPr>
            </w:pPr>
          </w:p>
        </w:tc>
        <w:tc>
          <w:tcPr>
            <w:tcW w:w="320" w:type="dxa"/>
            <w:vAlign w:val="bottom"/>
            <w:tcBorders>
              <w:top w:val="single" w:sz="8" w:color="457157"/>
            </w:tcBorders>
          </w:tcPr>
          <w:p>
            <w:pPr>
              <w:spacing w:after="0"/>
              <w:rPr>
                <w:sz w:val="14"/>
                <w:szCs w:val="14"/>
                <w:color w:val="auto"/>
              </w:rPr>
            </w:pPr>
          </w:p>
        </w:tc>
        <w:tc>
          <w:tcPr>
            <w:tcW w:w="1180" w:type="dxa"/>
            <w:vAlign w:val="bottom"/>
            <w:tcBorders>
              <w:top w:val="single" w:sz="8" w:color="457157"/>
            </w:tcBorders>
          </w:tcPr>
          <w:p>
            <w:pPr>
              <w:spacing w:after="0"/>
              <w:rPr>
                <w:sz w:val="14"/>
                <w:szCs w:val="14"/>
                <w:color w:val="auto"/>
              </w:rPr>
            </w:pPr>
          </w:p>
        </w:tc>
        <w:tc>
          <w:tcPr>
            <w:tcW w:w="380" w:type="dxa"/>
            <w:vAlign w:val="bottom"/>
            <w:tcBorders>
              <w:top w:val="single" w:sz="8" w:color="457157"/>
            </w:tcBorders>
          </w:tcPr>
          <w:p>
            <w:pPr>
              <w:spacing w:after="0"/>
              <w:rPr>
                <w:sz w:val="14"/>
                <w:szCs w:val="14"/>
                <w:color w:val="auto"/>
              </w:rPr>
            </w:pPr>
          </w:p>
        </w:tc>
        <w:tc>
          <w:tcPr>
            <w:tcW w:w="300" w:type="dxa"/>
            <w:vAlign w:val="bottom"/>
            <w:tcBorders>
              <w:top w:val="single" w:sz="8" w:color="457157"/>
            </w:tcBorders>
          </w:tcPr>
          <w:p>
            <w:pPr>
              <w:spacing w:after="0"/>
              <w:rPr>
                <w:sz w:val="14"/>
                <w:szCs w:val="14"/>
                <w:color w:val="auto"/>
              </w:rPr>
            </w:pPr>
          </w:p>
        </w:tc>
        <w:tc>
          <w:tcPr>
            <w:tcW w:w="118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382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7"/>
        </w:trPr>
        <w:tc>
          <w:tcPr>
            <w:tcW w:w="3820" w:type="dxa"/>
            <w:vAlign w:val="bottom"/>
          </w:tcPr>
          <w:p>
            <w:pPr>
              <w:spacing w:after="0"/>
              <w:rPr>
                <w:sz w:val="18"/>
                <w:szCs w:val="18"/>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38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0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457157"/>
              </w:rPr>
              <w:t>Assuming Target</w:t>
            </w:r>
          </w:p>
        </w:tc>
        <w:tc>
          <w:tcPr>
            <w:tcW w:w="380" w:type="dxa"/>
            <w:vAlign w:val="bottom"/>
          </w:tcPr>
          <w:p>
            <w:pPr>
              <w:spacing w:after="0"/>
              <w:rPr>
                <w:sz w:val="12"/>
                <w:szCs w:val="12"/>
                <w:color w:val="auto"/>
              </w:rPr>
            </w:pPr>
          </w:p>
        </w:tc>
        <w:tc>
          <w:tcPr>
            <w:tcW w:w="14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Assuming Highest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820" w:type="dxa"/>
            <w:vAlign w:val="bottom"/>
          </w:tcPr>
          <w:p>
            <w:pPr>
              <w:spacing w:after="0"/>
              <w:rPr>
                <w:sz w:val="12"/>
                <w:szCs w:val="12"/>
                <w:color w:val="auto"/>
              </w:rPr>
            </w:pPr>
          </w:p>
        </w:tc>
        <w:tc>
          <w:tcPr>
            <w:tcW w:w="32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86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8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1780" w:type="dxa"/>
            <w:vAlign w:val="bottom"/>
          </w:tcPr>
          <w:p>
            <w:pPr>
              <w:ind w:left="920"/>
              <w:spacing w:after="0" w:line="189" w:lineRule="exact"/>
              <w:rPr>
                <w:sz w:val="20"/>
                <w:szCs w:val="20"/>
                <w:color w:val="auto"/>
              </w:rPr>
            </w:pPr>
            <w:r>
              <w:rPr>
                <w:rFonts w:ascii="Arial" w:cs="Arial" w:eastAsia="Arial" w:hAnsi="Arial"/>
                <w:sz w:val="12"/>
                <w:szCs w:val="12"/>
                <w:b w:val="1"/>
                <w:bCs w:val="1"/>
                <w:color w:val="457157"/>
              </w:rPr>
              <w:t xml:space="preserve">​ ​ </w:t>
            </w:r>
            <w:r>
              <w:rPr>
                <w:rFonts w:ascii="Arial" w:cs="Arial" w:eastAsia="Arial" w:hAnsi="Arial"/>
                <w:sz w:val="21"/>
                <w:szCs w:val="21"/>
                <w:b w:val="1"/>
                <w:bCs w:val="1"/>
                <w:color w:val="457157"/>
                <w:vertAlign w:val="superscript"/>
              </w:rPr>
              <w:t>Year</w:t>
            </w:r>
            <w:r>
              <w:rPr>
                <w:rFonts w:ascii="Arial" w:cs="Arial" w:eastAsia="Arial" w:hAnsi="Arial"/>
                <w:sz w:val="12"/>
                <w:szCs w:val="12"/>
                <w:b w:val="1"/>
                <w:bCs w:val="1"/>
                <w:color w:val="457157"/>
              </w:rPr>
              <w:t xml:space="preserve">  ​ ​</w:t>
            </w:r>
          </w:p>
        </w:tc>
        <w:tc>
          <w:tcPr>
            <w:tcW w:w="32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457157"/>
              </w:rPr>
              <w:t>Achieved ($)  ​ ​</w:t>
            </w:r>
          </w:p>
        </w:tc>
        <w:tc>
          <w:tcPr>
            <w:tcW w:w="3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Achieved ($) ​</w:t>
            </w:r>
          </w:p>
        </w:tc>
      </w:tr>
      <w:tr>
        <w:trPr>
          <w:trHeight w:val="223"/>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3,851,651</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7,703,302</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3,468,403</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6,936,806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3,304,908</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6,609,816</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908,646</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1,817,292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871,981</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1,743,962</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816,448</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1,632,896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1,066,567</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2,133,134</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1,030,615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2,061,230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894,237</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1,788,474</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790,055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1,580,110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711,095</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1,422,190</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673,869</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1,347,738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tcBorders>
              <w:top w:val="single" w:sz="8" w:color="457157"/>
              <w:bottom w:val="single" w:sz="8" w:color="457157"/>
            </w:tcBorders>
            <w:shd w:val="clear" w:color="auto" w:fill="CCEEFF"/>
          </w:tcPr>
          <w:p>
            <w:pPr>
              <w:ind w:left="2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660,982</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1,321,963</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49" w:lineRule="exact"/>
        <w:rPr>
          <w:sz w:val="20"/>
          <w:szCs w:val="20"/>
          <w:color w:val="auto"/>
        </w:rPr>
      </w:pPr>
    </w:p>
    <w:p>
      <w:pPr>
        <w:jc w:val="both"/>
        <w:ind w:left="1180" w:right="60" w:hanging="364"/>
        <w:spacing w:after="0" w:line="261"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2023, calculated using a Black-Scholes option pricing model, is $32.82 per option. See Note 14 in the Notes to the Consolidated Financial Statements in our 2023 Annual Report on Form 10-K for additional information.</w:t>
      </w:r>
    </w:p>
    <w:p>
      <w:pPr>
        <w:spacing w:after="0" w:line="274"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2023 Compensation Program and Results — Annual Cash Incentive” for additional information.</w:t>
      </w:r>
    </w:p>
    <w:p>
      <w:pPr>
        <w:spacing w:after="0" w:line="272" w:lineRule="exact"/>
        <w:rPr>
          <w:rFonts w:ascii="Arial" w:cs="Arial" w:eastAsia="Arial" w:hAnsi="Arial"/>
          <w:sz w:val="18"/>
          <w:szCs w:val="18"/>
          <w:color w:val="auto"/>
        </w:rPr>
      </w:pPr>
    </w:p>
    <w:p>
      <w:pPr>
        <w:ind w:left="1180" w:hanging="36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2023 are shown below (in dollars):</w:t>
      </w:r>
    </w:p>
    <w:p>
      <w:pPr>
        <w:spacing w:after="0" w:line="8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7157"/>
              </w:rPr>
              <w:t>401(k) Plan</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409A Deferral</w:t>
            </w:r>
          </w:p>
        </w:tc>
        <w:tc>
          <w:tcPr>
            <w:tcW w:w="1300" w:type="dxa"/>
            <w:vAlign w:val="bottom"/>
            <w:gridSpan w:val="2"/>
            <w:vMerge w:val="restart"/>
          </w:tcPr>
          <w:p>
            <w:pPr>
              <w:jc w:val="center"/>
              <w:ind w:left="93"/>
              <w:spacing w:after="0"/>
              <w:rPr>
                <w:sz w:val="20"/>
                <w:szCs w:val="20"/>
                <w:color w:val="auto"/>
              </w:rPr>
            </w:pPr>
            <w:r>
              <w:rPr>
                <w:rFonts w:ascii="Arial" w:cs="Arial" w:eastAsia="Arial" w:hAnsi="Arial"/>
                <w:sz w:val="14"/>
                <w:szCs w:val="14"/>
                <w:b w:val="1"/>
                <w:bCs w:val="1"/>
                <w:color w:val="457157"/>
              </w:rPr>
              <w:t>Life Insurance</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457157"/>
              </w:rPr>
              <w:t>Perquisites and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Matching</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Plan Matching</w:t>
            </w: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Other Personal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3120" w:type="dxa"/>
            <w:vAlign w:val="bottom"/>
            <w:gridSpan w:val="6"/>
          </w:tcPr>
          <w:p>
            <w:pPr>
              <w:ind w:left="38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Contributions </w:t>
            </w: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Contributions </w:t>
            </w:r>
            <w:r>
              <w:rPr>
                <w:rFonts w:ascii="Arial" w:cs="Arial" w:eastAsia="Arial" w:hAnsi="Arial"/>
                <w:sz w:val="23"/>
                <w:szCs w:val="23"/>
                <w:b w:val="1"/>
                <w:bCs w:val="1"/>
                <w:color w:val="457157"/>
                <w:vertAlign w:val="subscript"/>
              </w:rPr>
              <w:t>​ ​</w:t>
            </w:r>
          </w:p>
        </w:tc>
        <w:tc>
          <w:tcPr>
            <w:tcW w:w="1180" w:type="dxa"/>
            <w:vAlign w:val="bottom"/>
            <w:gridSpan w:val="2"/>
          </w:tcPr>
          <w:p>
            <w:pPr>
              <w:ind w:left="220"/>
              <w:spacing w:after="0" w:line="202" w:lineRule="exact"/>
              <w:rPr>
                <w:sz w:val="20"/>
                <w:szCs w:val="20"/>
                <w:color w:val="auto"/>
              </w:rPr>
            </w:pPr>
            <w:r>
              <w:rPr>
                <w:rFonts w:ascii="Arial" w:cs="Arial" w:eastAsia="Arial" w:hAnsi="Arial"/>
                <w:sz w:val="13"/>
                <w:szCs w:val="13"/>
                <w:b w:val="1"/>
                <w:bCs w:val="1"/>
                <w:color w:val="457157"/>
              </w:rPr>
              <w:t xml:space="preserve">Premiums </w:t>
            </w:r>
            <w:r>
              <w:rPr>
                <w:rFonts w:ascii="Arial" w:cs="Arial" w:eastAsia="Arial" w:hAnsi="Arial"/>
                <w:sz w:val="23"/>
                <w:szCs w:val="23"/>
                <w:b w:val="1"/>
                <w:bCs w:val="1"/>
                <w:color w:val="457157"/>
                <w:vertAlign w:val="subscript"/>
              </w:rPr>
              <w:t>​ ​</w:t>
            </w:r>
          </w:p>
        </w:tc>
        <w:tc>
          <w:tcPr>
            <w:tcW w:w="36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3"/>
                <w:szCs w:val="13"/>
                <w:b w:val="1"/>
                <w:bCs w:val="1"/>
                <w:color w:val="457157"/>
              </w:rPr>
              <w:t>Benefits</w:t>
            </w:r>
            <w:r>
              <w:rPr>
                <w:rFonts w:ascii="Arial" w:cs="Arial" w:eastAsia="Arial" w:hAnsi="Arial"/>
                <w:sz w:val="15"/>
                <w:szCs w:val="15"/>
                <w:b w:val="1"/>
                <w:bCs w:val="1"/>
                <w:color w:val="457157"/>
                <w:vertAlign w:val="superscript"/>
              </w:rPr>
              <w:t>(a)</w:t>
            </w:r>
            <w:r>
              <w:rPr>
                <w:rFonts w:ascii="Arial" w:cs="Arial" w:eastAsia="Arial" w:hAnsi="Arial"/>
                <w:sz w:val="13"/>
                <w:szCs w:val="13"/>
                <w:b w:val="1"/>
                <w:bCs w:val="1"/>
                <w:color w:val="457157"/>
              </w:rPr>
              <w:t xml:space="preserve">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5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191,240</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2,467</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38,287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78,835</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1,457</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ind w:left="2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John J. Morris, Jr.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82,751</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1,497</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45,053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Rafael E. Carrasco</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1,186</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ind w:left="2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59,006</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1,280</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27,503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80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52" w:lineRule="auto"/>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column includes perquisites and personal benefits received by a named executive officer in 2023, to the extent that the total incremental cost of such perquisites and personal benefits was at least $10,000, consisting of (i) incremental cost for personal use of Company aircraft in the following amounts: Mr. Fish — $34,930, Mr. Morris — $41,696 and Ms. Hemmer — $24,146 and (ii) $3,357 of income that was imputed for the cost of the executive’s guest’s participation in Company events.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jc w:val="both"/>
        <w:ind w:left="1180" w:right="60" w:hanging="364"/>
        <w:spacing w:after="0" w:line="268"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$100,000 of base salary in each of 2021 and 2022 and $200,000 of base salary in 2023 to which Mr. Fish was entitled but voluntarily relinquished to fund scholarships and other programs that benefit Company employees.</w:t>
      </w:r>
    </w:p>
    <w:p>
      <w:pPr>
        <w:spacing w:after="0" w:line="24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GRANT OF PLAN-BASED AWARDS IN 2023</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457157"/>
              </w:rPr>
              <w:t>All other</w:t>
            </w: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4"/>
                <w:szCs w:val="14"/>
                <w:b w:val="1"/>
                <w:bCs w:val="1"/>
                <w:color w:val="457157"/>
              </w:rPr>
              <w:t>Grant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457157"/>
              </w:rPr>
              <w:t>Estimated Possible Payouts</w:t>
            </w:r>
          </w:p>
        </w:tc>
        <w:tc>
          <w:tcPr>
            <w:tcW w:w="21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457157"/>
              </w:rPr>
              <w:t>Estimated Future Payouts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2"/>
                <w:szCs w:val="12"/>
                <w:color w:val="auto"/>
              </w:rPr>
            </w:pPr>
          </w:p>
        </w:tc>
        <w:tc>
          <w:tcPr>
            <w:tcW w:w="22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457157"/>
              </w:rPr>
              <w:t>Option Exercise  Closing</w:t>
            </w:r>
          </w:p>
        </w:tc>
        <w:tc>
          <w:tcPr>
            <w:tcW w:w="120" w:type="dxa"/>
            <w:vAlign w:val="bottom"/>
          </w:tcPr>
          <w:p>
            <w:pPr>
              <w:spacing w:after="0"/>
              <w:rPr>
                <w:sz w:val="12"/>
                <w:szCs w:val="12"/>
                <w:color w:val="auto"/>
              </w:rPr>
            </w:pPr>
          </w:p>
        </w:tc>
        <w:tc>
          <w:tcPr>
            <w:tcW w:w="7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457157"/>
              </w:rPr>
              <w:t>Date Fair</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10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457157"/>
              </w:rPr>
              <w:t>Awards:</w:t>
            </w:r>
          </w:p>
        </w:tc>
        <w:tc>
          <w:tcPr>
            <w:tcW w:w="80" w:type="dxa"/>
            <w:vAlign w:val="bottom"/>
          </w:tcPr>
          <w:p>
            <w:pPr>
              <w:spacing w:after="0"/>
              <w:rPr>
                <w:sz w:val="7"/>
                <w:szCs w:val="7"/>
                <w:color w:val="auto"/>
              </w:rPr>
            </w:pPr>
          </w:p>
        </w:tc>
        <w:tc>
          <w:tcPr>
            <w:tcW w:w="84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457157"/>
              </w:rPr>
              <w:t>Awards:</w:t>
            </w:r>
          </w:p>
        </w:tc>
        <w:tc>
          <w:tcPr>
            <w:tcW w:w="120" w:type="dxa"/>
            <w:vAlign w:val="bottom"/>
          </w:tcPr>
          <w:p>
            <w:pPr>
              <w:spacing w:after="0"/>
              <w:rPr>
                <w:sz w:val="7"/>
                <w:szCs w:val="7"/>
                <w:color w:val="auto"/>
              </w:rPr>
            </w:pPr>
          </w:p>
        </w:tc>
        <w:tc>
          <w:tcPr>
            <w:tcW w:w="720" w:type="dxa"/>
            <w:vAlign w:val="bottom"/>
            <w:vMerge w:val="restart"/>
          </w:tcPr>
          <w:p>
            <w:pPr>
              <w:jc w:val="right"/>
              <w:ind w:right="61"/>
              <w:spacing w:after="0" w:line="139" w:lineRule="exact"/>
              <w:rPr>
                <w:sz w:val="20"/>
                <w:szCs w:val="20"/>
                <w:color w:val="auto"/>
              </w:rPr>
            </w:pPr>
            <w:r>
              <w:rPr>
                <w:rFonts w:ascii="Arial" w:cs="Arial" w:eastAsia="Arial" w:hAnsi="Arial"/>
                <w:sz w:val="14"/>
                <w:szCs w:val="14"/>
                <w:b w:val="1"/>
                <w:bCs w:val="1"/>
                <w:color w:val="457157"/>
              </w:rPr>
              <w:t>or Base</w:t>
            </w:r>
          </w:p>
        </w:tc>
        <w:tc>
          <w:tcPr>
            <w:tcW w:w="56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457157"/>
              </w:rPr>
              <w:t>Market</w:t>
            </w:r>
          </w:p>
        </w:tc>
        <w:tc>
          <w:tcPr>
            <w:tcW w:w="120" w:type="dxa"/>
            <w:vAlign w:val="bottom"/>
          </w:tcPr>
          <w:p>
            <w:pPr>
              <w:spacing w:after="0"/>
              <w:rPr>
                <w:sz w:val="7"/>
                <w:szCs w:val="7"/>
                <w:color w:val="auto"/>
              </w:rPr>
            </w:pPr>
          </w:p>
        </w:tc>
        <w:tc>
          <w:tcPr>
            <w:tcW w:w="780" w:type="dxa"/>
            <w:vAlign w:val="bottom"/>
            <w:gridSpan w:val="2"/>
            <w:vMerge w:val="restart"/>
          </w:tcPr>
          <w:p>
            <w:pPr>
              <w:jc w:val="right"/>
              <w:ind w:right="17"/>
              <w:spacing w:after="0" w:line="139" w:lineRule="exact"/>
              <w:rPr>
                <w:sz w:val="20"/>
                <w:szCs w:val="20"/>
                <w:color w:val="auto"/>
              </w:rPr>
            </w:pPr>
            <w:r>
              <w:rPr>
                <w:rFonts w:ascii="Arial" w:cs="Arial" w:eastAsia="Arial" w:hAnsi="Arial"/>
                <w:sz w:val="14"/>
                <w:szCs w:val="14"/>
                <w:b w:val="1"/>
                <w:bCs w:val="1"/>
                <w:color w:val="457157"/>
              </w:rPr>
              <w:t>Value of</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00" w:type="dxa"/>
            <w:vAlign w:val="bottom"/>
            <w:gridSpan w:val="3"/>
            <w:vMerge w:val="restart"/>
          </w:tcPr>
          <w:p>
            <w:pPr>
              <w:jc w:val="right"/>
              <w:ind w:right="160"/>
              <w:spacing w:after="0" w:line="139" w:lineRule="exact"/>
              <w:rPr>
                <w:sz w:val="20"/>
                <w:szCs w:val="20"/>
                <w:color w:val="auto"/>
              </w:rPr>
            </w:pPr>
            <w:r>
              <w:rPr>
                <w:rFonts w:ascii="Arial" w:cs="Arial" w:eastAsia="Arial" w:hAnsi="Arial"/>
                <w:sz w:val="14"/>
                <w:szCs w:val="14"/>
                <w:b w:val="1"/>
                <w:bCs w:val="1"/>
                <w:color w:val="457157"/>
              </w:rPr>
              <w:t>Under Non-Equity Incentive</w:t>
            </w:r>
          </w:p>
        </w:tc>
        <w:tc>
          <w:tcPr>
            <w:tcW w:w="120" w:type="dxa"/>
            <w:vAlign w:val="bottom"/>
          </w:tcPr>
          <w:p>
            <w:pPr>
              <w:spacing w:after="0"/>
              <w:rPr>
                <w:sz w:val="5"/>
                <w:szCs w:val="5"/>
                <w:color w:val="auto"/>
              </w:rPr>
            </w:pPr>
          </w:p>
        </w:tc>
        <w:tc>
          <w:tcPr>
            <w:tcW w:w="1980" w:type="dxa"/>
            <w:vAlign w:val="bottom"/>
            <w:gridSpan w:val="4"/>
            <w:vMerge w:val="restart"/>
          </w:tcPr>
          <w:p>
            <w:pPr>
              <w:jc w:val="center"/>
              <w:ind w:right="99"/>
              <w:spacing w:after="0" w:line="139" w:lineRule="exact"/>
              <w:rPr>
                <w:sz w:val="20"/>
                <w:szCs w:val="20"/>
                <w:color w:val="auto"/>
              </w:rPr>
            </w:pPr>
            <w:r>
              <w:rPr>
                <w:rFonts w:ascii="Arial" w:cs="Arial" w:eastAsia="Arial" w:hAnsi="Arial"/>
                <w:sz w:val="14"/>
                <w:szCs w:val="14"/>
                <w:b w:val="1"/>
                <w:bCs w:val="1"/>
                <w:color w:val="457157"/>
              </w:rPr>
              <w:t>Under Equity Incentive</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restart"/>
          </w:tcPr>
          <w:p>
            <w:pPr>
              <w:jc w:val="right"/>
              <w:spacing w:after="0" w:line="145" w:lineRule="exact"/>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7"/>
                <w:szCs w:val="7"/>
                <w:color w:val="auto"/>
              </w:rPr>
            </w:pPr>
          </w:p>
        </w:tc>
        <w:tc>
          <w:tcPr>
            <w:tcW w:w="840" w:type="dxa"/>
            <w:vAlign w:val="bottom"/>
            <w:gridSpan w:val="2"/>
            <w:vMerge w:val="restart"/>
          </w:tcPr>
          <w:p>
            <w:pPr>
              <w:jc w:val="right"/>
              <w:spacing w:after="0" w:line="145" w:lineRule="exact"/>
              <w:rPr>
                <w:sz w:val="20"/>
                <w:szCs w:val="20"/>
                <w:color w:val="auto"/>
              </w:rPr>
            </w:pPr>
            <w:r>
              <w:rPr>
                <w:rFonts w:ascii="Arial" w:cs="Arial" w:eastAsia="Arial" w:hAnsi="Arial"/>
                <w:sz w:val="14"/>
                <w:szCs w:val="14"/>
                <w:b w:val="1"/>
                <w:bCs w:val="1"/>
                <w:color w:val="457157"/>
              </w:rPr>
              <w:t>Number of</w:t>
            </w:r>
          </w:p>
        </w:tc>
        <w:tc>
          <w:tcPr>
            <w:tcW w:w="120" w:type="dxa"/>
            <w:vAlign w:val="bottom"/>
          </w:tcPr>
          <w:p>
            <w:pPr>
              <w:spacing w:after="0"/>
              <w:rPr>
                <w:sz w:val="7"/>
                <w:szCs w:val="7"/>
                <w:color w:val="auto"/>
              </w:rPr>
            </w:pPr>
          </w:p>
        </w:tc>
        <w:tc>
          <w:tcPr>
            <w:tcW w:w="2180" w:type="dxa"/>
            <w:vAlign w:val="bottom"/>
            <w:gridSpan w:val="5"/>
            <w:vMerge w:val="restart"/>
          </w:tcPr>
          <w:p>
            <w:pPr>
              <w:jc w:val="right"/>
              <w:ind w:right="17"/>
              <w:spacing w:after="0" w:line="145" w:lineRule="exact"/>
              <w:rPr>
                <w:sz w:val="20"/>
                <w:szCs w:val="20"/>
                <w:color w:val="auto"/>
              </w:rPr>
            </w:pPr>
            <w:r>
              <w:rPr>
                <w:rFonts w:ascii="Arial" w:cs="Arial" w:eastAsia="Arial" w:hAnsi="Arial"/>
                <w:sz w:val="14"/>
                <w:szCs w:val="14"/>
                <w:b w:val="1"/>
                <w:bCs w:val="1"/>
                <w:color w:val="457157"/>
              </w:rPr>
              <w:t>Price of Price on Stock and</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5"/>
                <w:szCs w:val="5"/>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(2)</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1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line="115" w:lineRule="exact"/>
              <w:rPr>
                <w:sz w:val="20"/>
                <w:szCs w:val="20"/>
                <w:color w:val="auto"/>
              </w:rPr>
            </w:pPr>
            <w:r>
              <w:rPr>
                <w:rFonts w:ascii="Arial" w:cs="Arial" w:eastAsia="Arial" w:hAnsi="Arial"/>
                <w:sz w:val="13"/>
                <w:szCs w:val="13"/>
                <w:b w:val="1"/>
                <w:bCs w:val="1"/>
                <w:color w:val="457157"/>
              </w:rPr>
              <w:t>​</w:t>
            </w:r>
          </w:p>
        </w:tc>
        <w:tc>
          <w:tcPr>
            <w:tcW w:w="1100" w:type="dxa"/>
            <w:vAlign w:val="bottom"/>
          </w:tcPr>
          <w:p>
            <w:pPr>
              <w:spacing w:after="0"/>
              <w:rPr>
                <w:sz w:val="10"/>
                <w:szCs w:val="10"/>
                <w:color w:val="auto"/>
              </w:rPr>
            </w:pPr>
          </w:p>
        </w:tc>
        <w:tc>
          <w:tcPr>
            <w:tcW w:w="140" w:type="dxa"/>
            <w:vAlign w:val="bottom"/>
            <w:tcBorders>
              <w:bottom w:val="single" w:sz="8" w:color="457157"/>
            </w:tcBorders>
            <w:vMerge w:val="continue"/>
          </w:tcPr>
          <w:p>
            <w:pPr>
              <w:spacing w:after="0"/>
              <w:rPr>
                <w:sz w:val="10"/>
                <w:szCs w:val="10"/>
                <w:color w:val="auto"/>
              </w:rPr>
            </w:pPr>
          </w:p>
        </w:tc>
        <w:tc>
          <w:tcPr>
            <w:tcW w:w="1800" w:type="dxa"/>
            <w:vAlign w:val="bottom"/>
            <w:tcBorders>
              <w:bottom w:val="single" w:sz="8" w:color="457157"/>
            </w:tcBorders>
            <w:gridSpan w:val="2"/>
            <w:vMerge w:val="continue"/>
          </w:tcPr>
          <w:p>
            <w:pPr>
              <w:spacing w:after="0"/>
              <w:rPr>
                <w:sz w:val="10"/>
                <w:szCs w:val="10"/>
                <w:color w:val="auto"/>
              </w:rPr>
            </w:pPr>
          </w:p>
        </w:tc>
        <w:tc>
          <w:tcPr>
            <w:tcW w:w="500" w:type="dxa"/>
            <w:vAlign w:val="bottom"/>
            <w:tcBorders>
              <w:bottom w:val="single" w:sz="8" w:color="457157"/>
            </w:tcBorders>
            <w:vMerge w:val="continue"/>
          </w:tcPr>
          <w:p>
            <w:pPr>
              <w:spacing w:after="0"/>
              <w:rPr>
                <w:sz w:val="10"/>
                <w:szCs w:val="10"/>
                <w:color w:val="auto"/>
              </w:rPr>
            </w:pPr>
          </w:p>
        </w:tc>
        <w:tc>
          <w:tcPr>
            <w:tcW w:w="120" w:type="dxa"/>
            <w:vAlign w:val="bottom"/>
            <w:tcBorders>
              <w:bottom w:val="single" w:sz="8" w:color="457157"/>
            </w:tcBorders>
          </w:tcPr>
          <w:p>
            <w:pPr>
              <w:spacing w:after="0"/>
              <w:rPr>
                <w:sz w:val="10"/>
                <w:szCs w:val="10"/>
                <w:color w:val="auto"/>
              </w:rPr>
            </w:pPr>
          </w:p>
        </w:tc>
        <w:tc>
          <w:tcPr>
            <w:tcW w:w="1460" w:type="dxa"/>
            <w:vAlign w:val="bottom"/>
            <w:tcBorders>
              <w:bottom w:val="single" w:sz="8" w:color="457157"/>
            </w:tcBorders>
            <w:gridSpan w:val="3"/>
            <w:vMerge w:val="continue"/>
          </w:tcPr>
          <w:p>
            <w:pPr>
              <w:spacing w:after="0"/>
              <w:rPr>
                <w:sz w:val="10"/>
                <w:szCs w:val="10"/>
                <w:color w:val="auto"/>
              </w:rPr>
            </w:pPr>
          </w:p>
        </w:tc>
        <w:tc>
          <w:tcPr>
            <w:tcW w:w="520" w:type="dxa"/>
            <w:vAlign w:val="bottom"/>
            <w:tcBorders>
              <w:bottom w:val="single" w:sz="8" w:color="457157"/>
            </w:tcBorders>
          </w:tcPr>
          <w:p>
            <w:pPr>
              <w:spacing w:after="0"/>
              <w:rPr>
                <w:sz w:val="10"/>
                <w:szCs w:val="10"/>
                <w:color w:val="auto"/>
              </w:rPr>
            </w:pPr>
          </w:p>
        </w:tc>
        <w:tc>
          <w:tcPr>
            <w:tcW w:w="60" w:type="dxa"/>
            <w:vAlign w:val="bottom"/>
            <w:tcBorders>
              <w:bottom w:val="single" w:sz="8" w:color="457157"/>
            </w:tcBorders>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vertAlign w:val="superscript"/>
              </w:rPr>
              <w:t>​</w:t>
            </w:r>
            <w:r>
              <w:rPr>
                <w:rFonts w:ascii="Arial" w:cs="Arial" w:eastAsia="Arial" w:hAnsi="Arial"/>
                <w:sz w:val="9"/>
                <w:szCs w:val="9"/>
                <w:b w:val="1"/>
                <w:bCs w:val="1"/>
                <w:color w:val="457157"/>
              </w:rPr>
              <w:t xml:space="preserve"> Shares of</w:t>
            </w: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rPr>
              <w:t>Securities</w:t>
            </w:r>
          </w:p>
        </w:tc>
        <w:tc>
          <w:tcPr>
            <w:tcW w:w="120" w:type="dxa"/>
            <w:vAlign w:val="bottom"/>
          </w:tcPr>
          <w:p>
            <w:pPr>
              <w:spacing w:after="0"/>
              <w:rPr>
                <w:sz w:val="10"/>
                <w:szCs w:val="10"/>
                <w:color w:val="auto"/>
              </w:rPr>
            </w:pPr>
          </w:p>
        </w:tc>
        <w:tc>
          <w:tcPr>
            <w:tcW w:w="720" w:type="dxa"/>
            <w:vAlign w:val="bottom"/>
          </w:tcPr>
          <w:p>
            <w:pPr>
              <w:jc w:val="right"/>
              <w:ind w:right="61"/>
              <w:spacing w:after="0" w:line="122" w:lineRule="exact"/>
              <w:rPr>
                <w:sz w:val="20"/>
                <w:szCs w:val="20"/>
                <w:color w:val="auto"/>
              </w:rPr>
            </w:pPr>
            <w:r>
              <w:rPr>
                <w:rFonts w:ascii="Arial" w:cs="Arial" w:eastAsia="Arial" w:hAnsi="Arial"/>
                <w:sz w:val="14"/>
                <w:szCs w:val="14"/>
                <w:b w:val="1"/>
                <w:bCs w:val="1"/>
                <w:color w:val="457157"/>
              </w:rPr>
              <w:t>Option</w:t>
            </w:r>
          </w:p>
        </w:tc>
        <w:tc>
          <w:tcPr>
            <w:tcW w:w="560" w:type="dxa"/>
            <w:vAlign w:val="bottom"/>
          </w:tcPr>
          <w:p>
            <w:pPr>
              <w:jc w:val="right"/>
              <w:spacing w:after="0" w:line="122" w:lineRule="exact"/>
              <w:rPr>
                <w:sz w:val="20"/>
                <w:szCs w:val="20"/>
                <w:color w:val="auto"/>
              </w:rPr>
            </w:pPr>
            <w:r>
              <w:rPr>
                <w:rFonts w:ascii="Arial" w:cs="Arial" w:eastAsia="Arial" w:hAnsi="Arial"/>
                <w:sz w:val="14"/>
                <w:szCs w:val="14"/>
                <w:b w:val="1"/>
                <w:bCs w:val="1"/>
                <w:color w:val="457157"/>
              </w:rPr>
              <w:t>Date of</w:t>
            </w:r>
          </w:p>
        </w:tc>
        <w:tc>
          <w:tcPr>
            <w:tcW w:w="120" w:type="dxa"/>
            <w:vAlign w:val="bottom"/>
          </w:tcPr>
          <w:p>
            <w:pPr>
              <w:spacing w:after="0"/>
              <w:rPr>
                <w:sz w:val="10"/>
                <w:szCs w:val="10"/>
                <w:color w:val="auto"/>
              </w:rPr>
            </w:pPr>
          </w:p>
        </w:tc>
        <w:tc>
          <w:tcPr>
            <w:tcW w:w="780" w:type="dxa"/>
            <w:vAlign w:val="bottom"/>
            <w:gridSpan w:val="2"/>
          </w:tcPr>
          <w:p>
            <w:pPr>
              <w:jc w:val="right"/>
              <w:ind w:right="17"/>
              <w:spacing w:after="0" w:line="122" w:lineRule="exact"/>
              <w:rPr>
                <w:sz w:val="20"/>
                <w:szCs w:val="20"/>
                <w:color w:val="auto"/>
              </w:rPr>
            </w:pPr>
            <w:r>
              <w:rPr>
                <w:rFonts w:ascii="Arial" w:cs="Arial" w:eastAsia="Arial" w:hAnsi="Arial"/>
                <w:sz w:val="14"/>
                <w:szCs w:val="14"/>
                <w:b w:val="1"/>
                <w:bCs w:val="1"/>
                <w:color w:val="457157"/>
              </w:rPr>
              <w:t>Option</w:t>
            </w:r>
          </w:p>
        </w:tc>
        <w:tc>
          <w:tcPr>
            <w:tcW w:w="0" w:type="dxa"/>
            <w:vAlign w:val="bottom"/>
          </w:tcPr>
          <w:p>
            <w:pPr>
              <w:spacing w:after="0"/>
              <w:rPr>
                <w:sz w:val="1"/>
                <w:szCs w:val="1"/>
                <w:color w:val="auto"/>
              </w:rPr>
            </w:pPr>
          </w:p>
        </w:tc>
      </w:tr>
      <w:tr>
        <w:trPr>
          <w:trHeight w:val="155"/>
        </w:trPr>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​Grant Date</w:t>
            </w:r>
          </w:p>
        </w:tc>
        <w:tc>
          <w:tcPr>
            <w:tcW w:w="940" w:type="dxa"/>
            <w:vAlign w:val="bottom"/>
            <w:gridSpan w:val="2"/>
          </w:tcPr>
          <w:p>
            <w:pPr>
              <w:jc w:val="right"/>
              <w:ind w:right="81"/>
              <w:spacing w:after="0" w:line="155" w:lineRule="exact"/>
              <w:rPr>
                <w:sz w:val="20"/>
                <w:szCs w:val="20"/>
                <w:color w:val="auto"/>
              </w:rPr>
            </w:pPr>
            <w:r>
              <w:rPr>
                <w:rFonts w:ascii="Arial" w:cs="Arial" w:eastAsia="Arial" w:hAnsi="Arial"/>
                <w:sz w:val="14"/>
                <w:szCs w:val="14"/>
                <w:b w:val="1"/>
                <w:bCs w:val="1"/>
                <w:color w:val="457157"/>
              </w:rPr>
              <w:t>Threshold</w:t>
            </w:r>
          </w:p>
        </w:tc>
        <w:tc>
          <w:tcPr>
            <w:tcW w:w="2340" w:type="dxa"/>
            <w:vAlign w:val="bottom"/>
            <w:gridSpan w:val="5"/>
          </w:tcPr>
          <w:p>
            <w:pPr>
              <w:jc w:val="right"/>
              <w:ind w:right="57"/>
              <w:spacing w:after="0" w:line="155" w:lineRule="exact"/>
              <w:rPr>
                <w:sz w:val="20"/>
                <w:szCs w:val="20"/>
                <w:color w:val="auto"/>
              </w:rPr>
            </w:pPr>
            <w:r>
              <w:rPr>
                <w:rFonts w:ascii="Arial" w:cs="Arial" w:eastAsia="Arial" w:hAnsi="Arial"/>
                <w:sz w:val="14"/>
                <w:szCs w:val="14"/>
                <w:b w:val="1"/>
                <w:bCs w:val="1"/>
                <w:color w:val="457157"/>
              </w:rPr>
              <w:t>Target Maximum Threshold</w:t>
            </w: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457157"/>
              </w:rPr>
              <w:t>Target Maximum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457157"/>
              </w:rPr>
              <w:t>Stock or</w:t>
            </w: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57157"/>
              </w:rPr>
              <w:t>Underlying</w:t>
            </w:r>
          </w:p>
        </w:tc>
        <w:tc>
          <w:tcPr>
            <w:tcW w:w="120" w:type="dxa"/>
            <w:vAlign w:val="bottom"/>
          </w:tcPr>
          <w:p>
            <w:pPr>
              <w:spacing w:after="0"/>
              <w:rPr>
                <w:sz w:val="13"/>
                <w:szCs w:val="13"/>
                <w:color w:val="auto"/>
              </w:rPr>
            </w:pPr>
          </w:p>
        </w:tc>
        <w:tc>
          <w:tcPr>
            <w:tcW w:w="720" w:type="dxa"/>
            <w:vAlign w:val="bottom"/>
          </w:tcPr>
          <w:p>
            <w:pPr>
              <w:jc w:val="right"/>
              <w:ind w:right="61"/>
              <w:spacing w:after="0" w:line="155" w:lineRule="exact"/>
              <w:rPr>
                <w:sz w:val="20"/>
                <w:szCs w:val="20"/>
                <w:color w:val="auto"/>
              </w:rPr>
            </w:pPr>
            <w:r>
              <w:rPr>
                <w:rFonts w:ascii="Arial" w:cs="Arial" w:eastAsia="Arial" w:hAnsi="Arial"/>
                <w:sz w:val="14"/>
                <w:szCs w:val="14"/>
                <w:b w:val="1"/>
                <w:bCs w:val="1"/>
                <w:color w:val="457157"/>
              </w:rPr>
              <w:t>Awards</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457157"/>
              </w:rPr>
              <w:t>Grant</w:t>
            </w:r>
          </w:p>
        </w:tc>
        <w:tc>
          <w:tcPr>
            <w:tcW w:w="120" w:type="dxa"/>
            <w:vAlign w:val="bottom"/>
          </w:tcPr>
          <w:p>
            <w:pPr>
              <w:spacing w:after="0"/>
              <w:rPr>
                <w:sz w:val="13"/>
                <w:szCs w:val="13"/>
                <w:color w:val="auto"/>
              </w:rPr>
            </w:pPr>
          </w:p>
        </w:tc>
        <w:tc>
          <w:tcPr>
            <w:tcW w:w="780" w:type="dxa"/>
            <w:vAlign w:val="bottom"/>
            <w:gridSpan w:val="2"/>
          </w:tcPr>
          <w:p>
            <w:pPr>
              <w:jc w:val="right"/>
              <w:ind w:right="17"/>
              <w:spacing w:after="0" w:line="155" w:lineRule="exact"/>
              <w:rPr>
                <w:sz w:val="20"/>
                <w:szCs w:val="20"/>
                <w:color w:val="auto"/>
              </w:rPr>
            </w:pPr>
            <w:r>
              <w:rPr>
                <w:rFonts w:ascii="Arial" w:cs="Arial" w:eastAsia="Arial" w:hAnsi="Arial"/>
                <w:sz w:val="14"/>
                <w:szCs w:val="14"/>
                <w:b w:val="1"/>
                <w:bCs w:val="1"/>
                <w:color w:val="457157"/>
              </w:rPr>
              <w:t>Awards</w:t>
            </w:r>
          </w:p>
        </w:tc>
        <w:tc>
          <w:tcPr>
            <w:tcW w:w="0" w:type="dxa"/>
            <w:vAlign w:val="bottom"/>
          </w:tcPr>
          <w:p>
            <w:pPr>
              <w:spacing w:after="0"/>
              <w:rPr>
                <w:sz w:val="1"/>
                <w:szCs w:val="1"/>
                <w:color w:val="auto"/>
              </w:rPr>
            </w:pPr>
          </w:p>
        </w:tc>
      </w:tr>
      <w:tr>
        <w:trPr>
          <w:trHeight w:val="176"/>
        </w:trPr>
        <w:tc>
          <w:tcPr>
            <w:tcW w:w="1200" w:type="dxa"/>
            <w:vAlign w:val="bottom"/>
            <w:gridSpan w:val="2"/>
            <w:vMerge w:val="continue"/>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1000" w:type="dxa"/>
            <w:vAlign w:val="bottom"/>
          </w:tcPr>
          <w:p>
            <w:pPr>
              <w:jc w:val="right"/>
              <w:ind w:right="220"/>
              <w:spacing w:after="0"/>
              <w:rPr>
                <w:sz w:val="20"/>
                <w:szCs w:val="20"/>
                <w:color w:val="auto"/>
              </w:rPr>
            </w:pPr>
            <w:r>
              <w:rPr>
                <w:rFonts w:ascii="Arial" w:cs="Arial" w:eastAsia="Arial" w:hAnsi="Arial"/>
                <w:sz w:val="14"/>
                <w:szCs w:val="14"/>
                <w:b w:val="1"/>
                <w:bCs w:val="1"/>
                <w:color w:val="457157"/>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jc w:val="right"/>
              <w:ind w:right="78"/>
              <w:spacing w:after="0"/>
              <w:rPr>
                <w:sz w:val="20"/>
                <w:szCs w:val="20"/>
                <w:color w:val="auto"/>
              </w:rPr>
            </w:pPr>
            <w:r>
              <w:rPr>
                <w:rFonts w:ascii="Arial" w:cs="Arial" w:eastAsia="Arial" w:hAnsi="Arial"/>
                <w:sz w:val="14"/>
                <w:szCs w:val="14"/>
                <w:b w:val="1"/>
                <w:bCs w:val="1"/>
                <w:color w:val="457157"/>
              </w:rPr>
              <w:t>(#)​</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w:t>
            </w: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457157"/>
              </w:rPr>
              <w:t>Units (#)​Options(#)</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457157"/>
              </w:rPr>
              <w:t>($/sh)</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457157"/>
              </w:rPr>
              <w:t>($/sh)​</w:t>
            </w:r>
          </w:p>
        </w:tc>
        <w:tc>
          <w:tcPr>
            <w:tcW w:w="78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(5)</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196"/>
        </w:trPr>
        <w:tc>
          <w:tcPr>
            <w:tcW w:w="2140" w:type="dxa"/>
            <w:vAlign w:val="bottom"/>
            <w:tcBorders>
              <w:top w:val="single" w:sz="8" w:color="457157"/>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​James C. Fish, Jr.</w:t>
            </w:r>
          </w:p>
        </w:tc>
        <w:tc>
          <w:tcPr>
            <w:tcW w:w="1000" w:type="dxa"/>
            <w:vAlign w:val="bottom"/>
            <w:tcBorders>
              <w:top w:val="single" w:sz="8" w:color="457157"/>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spacing w:after="0"/>
              <w:rPr>
                <w:sz w:val="17"/>
                <w:szCs w:val="17"/>
                <w:color w:val="auto"/>
              </w:rPr>
            </w:pPr>
          </w:p>
        </w:tc>
        <w:tc>
          <w:tcPr>
            <w:tcW w:w="2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top w:val="single" w:sz="8" w:color="457157"/>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spacing w:after="0"/>
              <w:rPr>
                <w:sz w:val="17"/>
                <w:szCs w:val="17"/>
                <w:color w:val="auto"/>
              </w:rPr>
            </w:pPr>
          </w:p>
        </w:tc>
        <w:tc>
          <w:tcPr>
            <w:tcW w:w="16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457157"/>
              <w:bottom w:val="single" w:sz="8" w:color="457157"/>
            </w:tcBorders>
            <w:shd w:val="clear" w:color="auto" w:fill="CCEEFF"/>
          </w:tcPr>
          <w:p>
            <w:pPr>
              <w:spacing w:after="0"/>
              <w:rPr>
                <w:sz w:val="17"/>
                <w:szCs w:val="17"/>
                <w:color w:val="auto"/>
              </w:rPr>
            </w:pP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457157"/>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457157"/>
            </w:tcBorders>
            <w:gridSpan w:val="6"/>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r>
              <w:rPr>
                <w:rFonts w:ascii="Arial" w:cs="Arial" w:eastAsia="Arial" w:hAnsi="Arial"/>
                <w:sz w:val="17"/>
                <w:szCs w:val="17"/>
                <w:color w:val="auto"/>
              </w:rPr>
              <w:t xml:space="preserve"> 1,316,786</w:t>
            </w:r>
            <w:r>
              <w:rPr>
                <w:rFonts w:ascii="Arial" w:cs="Arial" w:eastAsia="Arial" w:hAnsi="Arial"/>
                <w:sz w:val="17"/>
                <w:szCs w:val="17"/>
                <w:b w:val="1"/>
                <w:bCs w:val="1"/>
                <w:color w:val="auto"/>
              </w:rPr>
              <w:t>​</w:t>
            </w:r>
            <w:r>
              <w:rPr>
                <w:rFonts w:ascii="Arial" w:cs="Arial" w:eastAsia="Arial" w:hAnsi="Arial"/>
                <w:sz w:val="17"/>
                <w:szCs w:val="17"/>
                <w:color w:val="auto"/>
              </w:rPr>
              <w:t>2,194,643</w:t>
            </w:r>
            <w:r>
              <w:rPr>
                <w:rFonts w:ascii="Arial" w:cs="Arial" w:eastAsia="Arial" w:hAnsi="Arial"/>
                <w:sz w:val="17"/>
                <w:szCs w:val="17"/>
                <w:b w:val="1"/>
                <w:bCs w:val="1"/>
                <w:color w:val="auto"/>
              </w:rPr>
              <w:t>​</w:t>
            </w:r>
            <w:r>
              <w:rPr>
                <w:rFonts w:ascii="Arial" w:cs="Arial" w:eastAsia="Arial" w:hAnsi="Arial"/>
                <w:sz w:val="17"/>
                <w:szCs w:val="17"/>
                <w:color w:val="auto"/>
              </w:rPr>
              <w:t>4,389,286​</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457157"/>
            </w:tcBorders>
            <w:gridSpan w:val="2"/>
            <w:shd w:val="clear" w:color="auto" w:fill="CCEEFF"/>
          </w:tcPr>
          <w:p>
            <w:pPr>
              <w:ind w:left="40"/>
              <w:spacing w:after="0"/>
              <w:rPr>
                <w:sz w:val="20"/>
                <w:szCs w:val="20"/>
                <w:color w:val="auto"/>
              </w:rPr>
            </w:pPr>
            <w:r>
              <w:rPr>
                <w:rFonts w:ascii="Arial" w:cs="Arial" w:eastAsia="Arial" w:hAnsi="Arial"/>
                <w:sz w:val="17"/>
                <w:szCs w:val="17"/>
                <w:color w:val="auto"/>
              </w:rPr>
              <w:t>​ 25,658</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20" w:type="dxa"/>
            <w:vAlign w:val="bottom"/>
            <w:tcBorders>
              <w:bottom w:val="single" w:sz="8" w:color="457157"/>
            </w:tcBorders>
            <w:gridSpan w:val="4"/>
            <w:shd w:val="clear" w:color="auto" w:fill="CCEEFF"/>
          </w:tcPr>
          <w:p>
            <w:pPr>
              <w:jc w:val="right"/>
              <w:spacing w:after="0"/>
              <w:rPr>
                <w:sz w:val="20"/>
                <w:szCs w:val="20"/>
                <w:color w:val="auto"/>
              </w:rPr>
            </w:pPr>
            <w:r>
              <w:rPr>
                <w:rFonts w:ascii="Arial" w:cs="Arial" w:eastAsia="Arial" w:hAnsi="Arial"/>
                <w:sz w:val="17"/>
                <w:szCs w:val="17"/>
                <w:color w:val="auto"/>
              </w:rPr>
              <w:t>51,316​</w:t>
            </w:r>
            <w:r>
              <w:rPr>
                <w:rFonts w:ascii="Arial" w:cs="Arial" w:eastAsia="Arial" w:hAnsi="Arial"/>
                <w:sz w:val="17"/>
                <w:szCs w:val="17"/>
                <w:b w:val="1"/>
                <w:bCs w:val="1"/>
                <w:color w:val="auto"/>
              </w:rPr>
              <w:t>​</w:t>
            </w:r>
            <w:r>
              <w:rPr>
                <w:rFonts w:ascii="Arial" w:cs="Arial" w:eastAsia="Arial" w:hAnsi="Arial"/>
                <w:sz w:val="17"/>
                <w:szCs w:val="17"/>
                <w:color w:val="auto"/>
              </w:rPr>
              <w:t xml:space="preserve"> 102,632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8,405,433</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​59,415</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1420" w:type="dxa"/>
            <w:vAlign w:val="bottom"/>
            <w:tcBorders>
              <w:bottom w:val="single" w:sz="8" w:color="457157"/>
            </w:tcBorders>
            <w:gridSpan w:val="3"/>
          </w:tcPr>
          <w:p>
            <w:pPr>
              <w:ind w:left="60"/>
              <w:spacing w:after="0"/>
              <w:rPr>
                <w:sz w:val="20"/>
                <w:szCs w:val="20"/>
                <w:color w:val="auto"/>
              </w:rPr>
            </w:pPr>
            <w:r>
              <w:rPr>
                <w:rFonts w:ascii="Arial" w:cs="Arial" w:eastAsia="Arial" w:hAnsi="Arial"/>
                <w:sz w:val="17"/>
                <w:szCs w:val="17"/>
                <w:color w:val="auto"/>
                <w:w w:val="99"/>
              </w:rPr>
              <w:t xml:space="preserve">149.40 </w:t>
            </w:r>
            <w:r>
              <w:rPr>
                <w:rFonts w:ascii="Arial" w:cs="Arial" w:eastAsia="Arial" w:hAnsi="Arial"/>
                <w:sz w:val="17"/>
                <w:szCs w:val="17"/>
                <w:b w:val="1"/>
                <w:bCs w:val="1"/>
                <w:color w:val="auto"/>
                <w:w w:val="99"/>
              </w:rPr>
              <w:t>​</w:t>
            </w:r>
            <w:r>
              <w:rPr>
                <w:rFonts w:ascii="Arial" w:cs="Arial" w:eastAsia="Arial" w:hAnsi="Arial"/>
                <w:sz w:val="17"/>
                <w:szCs w:val="17"/>
                <w:color w:val="auto"/>
                <w:w w:val="99"/>
              </w:rPr>
              <w:t>1,950,000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​Devina A. Rankin</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456,826</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761,377</w:t>
            </w:r>
            <w:r>
              <w:rPr>
                <w:rFonts w:ascii="Arial" w:cs="Arial" w:eastAsia="Arial" w:hAnsi="Arial"/>
                <w:sz w:val="17"/>
                <w:szCs w:val="17"/>
                <w:b w:val="1"/>
                <w:bCs w:val="1"/>
                <w:color w:val="auto"/>
              </w:rPr>
              <w:t>​</w:t>
            </w:r>
            <w:r>
              <w:rPr>
                <w:rFonts w:ascii="Arial" w:cs="Arial" w:eastAsia="Arial" w:hAnsi="Arial"/>
                <w:sz w:val="17"/>
                <w:szCs w:val="17"/>
                <w:color w:val="auto"/>
              </w:rPr>
              <w:t>1,522,754​</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6,053</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color w:val="auto"/>
              </w:rPr>
              <w:t>12,106​</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24,212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1,982,933</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​14,016</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680" w:type="dxa"/>
            <w:vAlign w:val="bottom"/>
            <w:tcBorders>
              <w:bottom w:val="single" w:sz="8" w:color="457157"/>
            </w:tcBorders>
            <w:gridSpan w:val="2"/>
          </w:tcPr>
          <w:p>
            <w:pPr>
              <w:ind w:left="60"/>
              <w:spacing w:after="0"/>
              <w:rPr>
                <w:sz w:val="20"/>
                <w:szCs w:val="20"/>
                <w:color w:val="auto"/>
              </w:rPr>
            </w:pPr>
            <w:r>
              <w:rPr>
                <w:rFonts w:ascii="Arial" w:cs="Arial" w:eastAsia="Arial" w:hAnsi="Arial"/>
                <w:sz w:val="17"/>
                <w:szCs w:val="17"/>
                <w:color w:val="auto"/>
              </w:rPr>
              <w:t xml:space="preserve">149.40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460,005</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​John J. Morris, Jr.</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513,235</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855,392</w:t>
            </w:r>
            <w:r>
              <w:rPr>
                <w:rFonts w:ascii="Arial" w:cs="Arial" w:eastAsia="Arial" w:hAnsi="Arial"/>
                <w:sz w:val="17"/>
                <w:szCs w:val="17"/>
                <w:b w:val="1"/>
                <w:bCs w:val="1"/>
                <w:color w:val="auto"/>
              </w:rPr>
              <w:t>​</w:t>
            </w:r>
            <w:r>
              <w:rPr>
                <w:rFonts w:ascii="Arial" w:cs="Arial" w:eastAsia="Arial" w:hAnsi="Arial"/>
                <w:sz w:val="17"/>
                <w:szCs w:val="17"/>
                <w:color w:val="auto"/>
              </w:rPr>
              <w:t>1,710,784​</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7,105</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color w:val="auto"/>
              </w:rPr>
              <w:t>14,210​</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28,420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2,327,562</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​16,453</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680" w:type="dxa"/>
            <w:vAlign w:val="bottom"/>
            <w:tcBorders>
              <w:bottom w:val="single" w:sz="8" w:color="457157"/>
            </w:tcBorders>
            <w:gridSpan w:val="2"/>
          </w:tcPr>
          <w:p>
            <w:pPr>
              <w:ind w:left="60"/>
              <w:spacing w:after="0"/>
              <w:rPr>
                <w:sz w:val="20"/>
                <w:szCs w:val="20"/>
                <w:color w:val="auto"/>
              </w:rPr>
            </w:pPr>
            <w:r>
              <w:rPr>
                <w:rFonts w:ascii="Arial" w:cs="Arial" w:eastAsia="Arial" w:hAnsi="Arial"/>
                <w:sz w:val="17"/>
                <w:szCs w:val="17"/>
                <w:color w:val="auto"/>
              </w:rPr>
              <w:t xml:space="preserve">149.40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539,987</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​Rafael E. Carrasco</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342,678</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571,130</w:t>
            </w:r>
            <w:r>
              <w:rPr>
                <w:rFonts w:ascii="Arial" w:cs="Arial" w:eastAsia="Arial" w:hAnsi="Arial"/>
                <w:sz w:val="17"/>
                <w:szCs w:val="17"/>
                <w:b w:val="1"/>
                <w:bCs w:val="1"/>
                <w:color w:val="auto"/>
              </w:rPr>
              <w:t>​</w:t>
            </w:r>
            <w:r>
              <w:rPr>
                <w:rFonts w:ascii="Arial" w:cs="Arial" w:eastAsia="Arial" w:hAnsi="Arial"/>
                <w:sz w:val="17"/>
                <w:szCs w:val="17"/>
                <w:color w:val="auto"/>
              </w:rPr>
              <w:t>1,142,260​</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5,263</w:t>
            </w:r>
          </w:p>
        </w:tc>
        <w:tc>
          <w:tcPr>
            <w:tcW w:w="940" w:type="dxa"/>
            <w:vAlign w:val="bottom"/>
            <w:tcBorders>
              <w:bottom w:val="single" w:sz="8" w:color="457157"/>
            </w:tcBorders>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10,5266​</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21,052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1,724,132</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​12,188</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680" w:type="dxa"/>
            <w:vAlign w:val="bottom"/>
            <w:tcBorders>
              <w:bottom w:val="single" w:sz="8" w:color="457157"/>
            </w:tcBorders>
            <w:gridSpan w:val="2"/>
          </w:tcPr>
          <w:p>
            <w:pPr>
              <w:ind w:left="60"/>
              <w:spacing w:after="0"/>
              <w:rPr>
                <w:sz w:val="20"/>
                <w:szCs w:val="20"/>
                <w:color w:val="auto"/>
              </w:rPr>
            </w:pPr>
            <w:r>
              <w:rPr>
                <w:rFonts w:ascii="Arial" w:cs="Arial" w:eastAsia="Arial" w:hAnsi="Arial"/>
                <w:sz w:val="17"/>
                <w:szCs w:val="17"/>
                <w:color w:val="auto"/>
              </w:rPr>
              <w:t xml:space="preserve">149.40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400,010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​Tara J. Hemmer</w:t>
            </w:r>
          </w:p>
        </w:tc>
        <w:tc>
          <w:tcPr>
            <w:tcW w:w="800" w:type="dxa"/>
            <w:vAlign w:val="bottom"/>
            <w:tcBorders>
              <w:bottom w:val="single" w:sz="8" w:color="457157"/>
            </w:tcBorders>
            <w:shd w:val="clear" w:color="auto" w:fill="CCEEFF"/>
          </w:tcPr>
          <w:p>
            <w:pPr>
              <w:spacing w:after="0"/>
              <w:rPr>
                <w:sz w:val="17"/>
                <w:szCs w:val="17"/>
                <w:color w:val="auto"/>
              </w:rPr>
            </w:pP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358,170</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596,950</w:t>
            </w:r>
            <w:r>
              <w:rPr>
                <w:rFonts w:ascii="Arial" w:cs="Arial" w:eastAsia="Arial" w:hAnsi="Arial"/>
                <w:sz w:val="17"/>
                <w:szCs w:val="17"/>
                <w:b w:val="1"/>
                <w:bCs w:val="1"/>
                <w:color w:val="auto"/>
              </w:rPr>
              <w:t>​</w:t>
            </w:r>
            <w:r>
              <w:rPr>
                <w:rFonts w:ascii="Arial" w:cs="Arial" w:eastAsia="Arial" w:hAnsi="Arial"/>
                <w:sz w:val="17"/>
                <w:szCs w:val="17"/>
                <w:color w:val="auto"/>
              </w:rPr>
              <w:t>1,193,900​</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4,737</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color w:val="auto"/>
              </w:rPr>
              <w:t>9,474​</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18,948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1,551,818</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Pr>
          <w:p>
            <w:pPr>
              <w:ind w:left="20"/>
              <w:spacing w:after="0" w:line="155"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200"/>
              <w:spacing w:after="0" w:line="155"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12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vMerge w:val="restart"/>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center"/>
              <w:spacing w:after="0" w:line="155" w:lineRule="exact"/>
              <w:rPr>
                <w:sz w:val="20"/>
                <w:szCs w:val="20"/>
                <w:color w:val="auto"/>
              </w:rPr>
            </w:pPr>
            <w:r>
              <w:rPr>
                <w:rFonts w:ascii="Arial" w:cs="Arial" w:eastAsia="Arial" w:hAnsi="Arial"/>
                <w:sz w:val="17"/>
                <w:szCs w:val="17"/>
                <w:color w:val="auto"/>
              </w:rPr>
              <w:t>​</w:t>
            </w:r>
          </w:p>
        </w:tc>
        <w:tc>
          <w:tcPr>
            <w:tcW w:w="8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ind w:left="120"/>
              <w:spacing w:after="0" w:line="155" w:lineRule="exact"/>
              <w:rPr>
                <w:sz w:val="20"/>
                <w:szCs w:val="20"/>
                <w:color w:val="auto"/>
              </w:rPr>
            </w:pPr>
            <w:r>
              <w:rPr>
                <w:rFonts w:ascii="Arial" w:cs="Arial" w:eastAsia="Arial" w:hAnsi="Arial"/>
                <w:sz w:val="17"/>
                <w:szCs w:val="17"/>
                <w:color w:val="auto"/>
              </w:rPr>
              <w:t>​10,969</w:t>
            </w:r>
          </w:p>
        </w:tc>
        <w:tc>
          <w:tcPr>
            <w:tcW w:w="1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7"/>
                <w:szCs w:val="17"/>
                <w:color w:val="auto"/>
              </w:rPr>
              <w:t>150.115 ​</w:t>
            </w:r>
          </w:p>
        </w:tc>
        <w:tc>
          <w:tcPr>
            <w:tcW w:w="560" w:type="dxa"/>
            <w:vAlign w:val="bottom"/>
          </w:tcPr>
          <w:p>
            <w:pPr>
              <w:ind w:left="60"/>
              <w:spacing w:after="0" w:line="155" w:lineRule="exact"/>
              <w:rPr>
                <w:sz w:val="20"/>
                <w:szCs w:val="20"/>
                <w:color w:val="auto"/>
              </w:rPr>
            </w:pPr>
            <w:r>
              <w:rPr>
                <w:rFonts w:ascii="Arial" w:cs="Arial" w:eastAsia="Arial" w:hAnsi="Arial"/>
                <w:sz w:val="17"/>
                <w:szCs w:val="17"/>
                <w:color w:val="auto"/>
                <w:w w:val="92"/>
              </w:rPr>
              <w:t>149.40</w:t>
            </w:r>
          </w:p>
        </w:tc>
        <w:tc>
          <w:tcPr>
            <w:tcW w:w="12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auto"/>
              </w:rPr>
              <w:t>360,003​</w:t>
            </w:r>
          </w:p>
        </w:tc>
        <w:tc>
          <w:tcPr>
            <w:tcW w:w="0" w:type="dxa"/>
            <w:vAlign w:val="bottom"/>
          </w:tcPr>
          <w:p>
            <w:pPr>
              <w:spacing w:after="0"/>
              <w:rPr>
                <w:sz w:val="1"/>
                <w:szCs w:val="1"/>
                <w:color w:val="auto"/>
              </w:rPr>
            </w:pPr>
          </w:p>
        </w:tc>
      </w:tr>
      <w:tr>
        <w:trPr>
          <w:trHeight w:val="95"/>
        </w:trPr>
        <w:tc>
          <w:tcPr>
            <w:tcW w:w="1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w:t>
            </w:r>
          </w:p>
        </w:tc>
        <w:tc>
          <w:tcPr>
            <w:tcW w:w="1000" w:type="dxa"/>
            <w:vAlign w:val="bottom"/>
          </w:tcPr>
          <w:p>
            <w:pPr>
              <w:jc w:val="right"/>
              <w:ind w:right="220"/>
              <w:spacing w:after="0" w:line="95" w:lineRule="exact"/>
              <w:rPr>
                <w:sz w:val="20"/>
                <w:szCs w:val="20"/>
                <w:color w:val="auto"/>
              </w:rPr>
            </w:pPr>
            <w:r>
              <w:rPr>
                <w:rFonts w:ascii="Arial" w:cs="Arial" w:eastAsia="Arial" w:hAnsi="Arial"/>
                <w:sz w:val="10"/>
                <w:szCs w:val="10"/>
                <w:b w:val="1"/>
                <w:bCs w:val="1"/>
                <w:color w:val="auto"/>
              </w:rPr>
              <w:t>​</w:t>
            </w:r>
          </w:p>
        </w:tc>
        <w:tc>
          <w:tcPr>
            <w:tcW w:w="5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0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7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4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1180" w:right="780" w:hanging="364"/>
        <w:spacing w:after="0" w:line="254"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payouts of cash incentive awards for 2023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the potential impact of the sustainability modifier, pursuant to which cash incentive payouts were eligible to be increased, or decreased, up to 5% depending on achievement calculated using a sustainability scorecard. See “Compensation Discussion and Analysis — Named Executive’s 2023 Compensation Program and Results — Annual Cash Incentive” for additional information.</w:t>
      </w:r>
    </w:p>
    <w:p>
      <w:pPr>
        <w:spacing w:after="0" w:line="296" w:lineRule="exact"/>
        <w:rPr>
          <w:rFonts w:ascii="Arial" w:cs="Arial" w:eastAsia="Arial" w:hAnsi="Arial"/>
          <w:sz w:val="18"/>
          <w:szCs w:val="18"/>
          <w:color w:val="auto"/>
        </w:rPr>
      </w:pPr>
    </w:p>
    <w:p>
      <w:pPr>
        <w:jc w:val="both"/>
        <w:ind w:left="1180" w:right="780" w:hanging="364"/>
        <w:spacing w:after="0" w:line="25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based on the achievement of performance criteria under PSU awards granted under our 2014 Stock Incentive Plan. See “Compensation Discussion and Analysis — Named Executive’s 2023 Compensation Program and Results — Long-Term Equity Incentives — PSUs Granted in 2023” for additional information. The performance period for these awards ends December 31, 2025. PSUs earn dividend equivalents, which are paid out based on the number of shares earned at the end of the performance period.</w:t>
      </w:r>
    </w:p>
    <w:p>
      <w:pPr>
        <w:spacing w:after="0" w:line="74" w:lineRule="exact"/>
        <w:rPr>
          <w:rFonts w:ascii="Arial" w:cs="Arial" w:eastAsia="Arial" w:hAnsi="Arial"/>
          <w:sz w:val="18"/>
          <w:szCs w:val="18"/>
          <w:color w:val="auto"/>
        </w:rPr>
      </w:pPr>
    </w:p>
    <w:p>
      <w:pPr>
        <w:jc w:val="both"/>
        <w:ind w:left="1180" w:right="780" w:hanging="364"/>
        <w:spacing w:after="0" w:line="25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upon the exercise of options granted under our 2014 Stock Incentive Plan. See “Compensation Discussion and Analysis — Named Executive’s 2023 Compensation Program and Results — Long-Term Equity Incentives — Stock Options” for additional information.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290" w:lineRule="exact"/>
        <w:rPr>
          <w:rFonts w:ascii="Arial" w:cs="Arial" w:eastAsia="Arial" w:hAnsi="Arial"/>
          <w:sz w:val="18"/>
          <w:szCs w:val="18"/>
          <w:color w:val="auto"/>
        </w:rPr>
      </w:pPr>
    </w:p>
    <w:p>
      <w:pPr>
        <w:ind w:left="1180" w:right="800" w:hanging="364"/>
        <w:spacing w:after="0" w:line="28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2014 Stock Incentive Plan.</w:t>
      </w:r>
    </w:p>
    <w:p>
      <w:pPr>
        <w:spacing w:after="0" w:line="58" w:lineRule="exact"/>
        <w:rPr>
          <w:rFonts w:ascii="Arial" w:cs="Arial" w:eastAsia="Arial" w:hAnsi="Arial"/>
          <w:sz w:val="18"/>
          <w:szCs w:val="18"/>
          <w:color w:val="auto"/>
        </w:rPr>
      </w:pPr>
    </w:p>
    <w:p>
      <w:pPr>
        <w:ind w:left="1180" w:right="780" w:hanging="364"/>
        <w:spacing w:after="0" w:line="28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223"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660"/>
          </w:cols>
          <w:pgMar w:left="580" w:top="97" w:right="65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OUTSTANDING EQUITY AWARDS AS OF DECEMBER 31, 2023</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11"/>
        </w:trPr>
        <w:tc>
          <w:tcPr>
            <w:tcW w:w="6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340" w:type="dxa"/>
            <w:vAlign w:val="bottom"/>
            <w:gridSpan w:val="2"/>
          </w:tcPr>
          <w:p>
            <w:pPr>
              <w:ind w:left="20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457157"/>
              </w:rPr>
              <w:t>Option Awards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Stock Awards</w:t>
            </w:r>
            <w:r>
              <w:rPr>
                <w:rFonts w:ascii="Arial" w:cs="Arial" w:eastAsia="Arial" w:hAnsi="Arial"/>
                <w:sz w:val="17"/>
                <w:szCs w:val="17"/>
                <w:b w:val="1"/>
                <w:bCs w:val="1"/>
                <w:color w:val="457157"/>
                <w:vertAlign w:val="superscript"/>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8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0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740" w:type="dxa"/>
            <w:vAlign w:val="bottom"/>
            <w:tcBorders>
              <w:top w:val="single" w:sz="8" w:color="457157"/>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64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58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60" w:type="dxa"/>
            <w:vAlign w:val="bottom"/>
            <w:tcBorders>
              <w:top w:val="single" w:sz="8" w:color="457157"/>
            </w:tcBorders>
          </w:tcPr>
          <w:p>
            <w:pPr>
              <w:jc w:val="right"/>
              <w:ind w:right="18"/>
              <w:spacing w:after="0"/>
              <w:rPr>
                <w:sz w:val="20"/>
                <w:szCs w:val="20"/>
                <w:color w:val="auto"/>
              </w:rPr>
            </w:pPr>
            <w:r>
              <w:rPr>
                <w:rFonts w:ascii="Arial" w:cs="Arial" w:eastAsia="Arial" w:hAnsi="Arial"/>
                <w:sz w:val="14"/>
                <w:szCs w:val="14"/>
                <w:b w:val="1"/>
                <w:bCs w:val="1"/>
                <w:color w:val="457157"/>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457157"/>
              </w:rPr>
              <w:t>Equity</w:t>
            </w:r>
          </w:p>
        </w:tc>
        <w:tc>
          <w:tcPr>
            <w:tcW w:w="2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b w:val="1"/>
                <w:bCs w:val="1"/>
                <w:color w:val="45715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8"/>
              <w:spacing w:after="0" w:line="145" w:lineRule="exact"/>
              <w:rPr>
                <w:sz w:val="20"/>
                <w:szCs w:val="20"/>
                <w:color w:val="auto"/>
              </w:rPr>
            </w:pPr>
            <w:r>
              <w:rPr>
                <w:rFonts w:ascii="Arial" w:cs="Arial" w:eastAsia="Arial" w:hAnsi="Arial"/>
                <w:sz w:val="14"/>
                <w:szCs w:val="14"/>
                <w:b w:val="1"/>
                <w:bCs w:val="1"/>
                <w:color w:val="457157"/>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Incentive</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left="136"/>
              <w:spacing w:after="0" w:line="139" w:lineRule="exact"/>
              <w:rPr>
                <w:sz w:val="20"/>
                <w:szCs w:val="20"/>
                <w:color w:val="auto"/>
              </w:rPr>
            </w:pPr>
            <w:r>
              <w:rPr>
                <w:rFonts w:ascii="Arial" w:cs="Arial" w:eastAsia="Arial" w:hAnsi="Arial"/>
                <w:sz w:val="14"/>
                <w:szCs w:val="14"/>
                <w:b w:val="1"/>
                <w:bCs w:val="1"/>
                <w:color w:val="457157"/>
              </w:rPr>
              <w:t>Plan</w:t>
            </w:r>
          </w:p>
        </w:tc>
        <w:tc>
          <w:tcPr>
            <w:tcW w:w="2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b w:val="1"/>
                <w:bCs w:val="1"/>
                <w:color w:val="457157"/>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457157"/>
              </w:rPr>
              <w:t>Awards:</w:t>
            </w:r>
          </w:p>
        </w:tc>
        <w:tc>
          <w:tcPr>
            <w:tcW w:w="200" w:type="dxa"/>
            <w:vAlign w:val="bottom"/>
          </w:tcPr>
          <w:p>
            <w:pPr>
              <w:spacing w:after="0"/>
              <w:rPr>
                <w:sz w:val="12"/>
                <w:szCs w:val="12"/>
                <w:color w:val="auto"/>
              </w:rPr>
            </w:pPr>
          </w:p>
        </w:tc>
        <w:tc>
          <w:tcPr>
            <w:tcW w:w="860" w:type="dxa"/>
            <w:vAlign w:val="bottom"/>
          </w:tcPr>
          <w:p>
            <w:pPr>
              <w:jc w:val="right"/>
              <w:ind w:right="18"/>
              <w:spacing w:after="0" w:line="145" w:lineRule="exact"/>
              <w:rPr>
                <w:sz w:val="20"/>
                <w:szCs w:val="20"/>
                <w:color w:val="auto"/>
              </w:rPr>
            </w:pPr>
            <w:r>
              <w:rPr>
                <w:rFonts w:ascii="Arial" w:cs="Arial" w:eastAsia="Arial" w:hAnsi="Arial"/>
                <w:sz w:val="14"/>
                <w:szCs w:val="14"/>
                <w:b w:val="1"/>
                <w:bCs w:val="1"/>
                <w:color w:val="457157"/>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Market</w:t>
            </w: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Number of</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Unearned</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Value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457157"/>
              </w:rPr>
              <w:t>Shares,</w:t>
            </w:r>
          </w:p>
        </w:tc>
        <w:tc>
          <w:tcPr>
            <w:tcW w:w="200" w:type="dxa"/>
            <w:vAlign w:val="bottom"/>
          </w:tcPr>
          <w:p>
            <w:pPr>
              <w:spacing w:after="0"/>
              <w:rPr>
                <w:sz w:val="11"/>
                <w:szCs w:val="11"/>
                <w:color w:val="auto"/>
              </w:rPr>
            </w:pPr>
          </w:p>
        </w:tc>
        <w:tc>
          <w:tcPr>
            <w:tcW w:w="86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57157"/>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457157"/>
              </w:rPr>
              <w:t>Units or</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457157"/>
              </w:rPr>
              <w:t>Other</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457157"/>
              </w:rPr>
              <w:t>Rights</w:t>
            </w:r>
          </w:p>
        </w:tc>
        <w:tc>
          <w:tcPr>
            <w:tcW w:w="200" w:type="dxa"/>
            <w:vAlign w:val="bottom"/>
          </w:tcPr>
          <w:p>
            <w:pPr>
              <w:spacing w:after="0"/>
              <w:rPr>
                <w:sz w:val="11"/>
                <w:szCs w:val="11"/>
                <w:color w:val="auto"/>
              </w:rPr>
            </w:pPr>
          </w:p>
        </w:tc>
        <w:tc>
          <w:tcPr>
            <w:tcW w:w="86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5715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Exercise</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That Have</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That Have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457157"/>
              </w:rPr>
              <w:t>Name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Exercisable</w:t>
            </w:r>
          </w:p>
        </w:tc>
        <w:tc>
          <w:tcPr>
            <w:tcW w:w="6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Unexercisable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Price</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Expiration</w:t>
            </w: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2100" w:type="dxa"/>
            <w:vAlign w:val="bottom"/>
            <w:gridSpan w:val="6"/>
          </w:tcPr>
          <w:p>
            <w:pPr>
              <w:jc w:val="right"/>
              <w:ind w:right="18"/>
              <w:spacing w:after="0" w:line="149" w:lineRule="exact"/>
              <w:rPr>
                <w:sz w:val="20"/>
                <w:szCs w:val="20"/>
                <w:color w:val="auto"/>
              </w:rPr>
            </w:pPr>
            <w:r>
              <w:rPr>
                <w:rFonts w:ascii="Arial" w:cs="Arial" w:eastAsia="Arial" w:hAnsi="Arial"/>
                <w:sz w:val="14"/>
                <w:szCs w:val="14"/>
                <w:b w:val="1"/>
                <w:bCs w:val="1"/>
                <w:color w:val="457157"/>
              </w:rPr>
              <w:t>Not Vested   Not 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(2)</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40" w:type="dxa"/>
            <w:vAlign w:val="bottom"/>
            <w:vMerge w:val="restart"/>
          </w:tcPr>
          <w:p>
            <w:pPr>
              <w:ind w:left="80"/>
              <w:spacing w:after="0"/>
              <w:rPr>
                <w:sz w:val="20"/>
                <w:szCs w:val="20"/>
                <w:color w:val="auto"/>
              </w:rPr>
            </w:pPr>
            <w:r>
              <w:rPr>
                <w:rFonts w:ascii="Arial" w:cs="Arial" w:eastAsia="Arial" w:hAnsi="Arial"/>
                <w:sz w:val="14"/>
                <w:szCs w:val="14"/>
                <w:b w:val="1"/>
                <w:bCs w:val="1"/>
                <w:color w:val="457157"/>
              </w:rPr>
              <w:t>​ ​</w:t>
            </w: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Date</w:t>
            </w:r>
          </w:p>
        </w:tc>
        <w:tc>
          <w:tcPr>
            <w:tcW w:w="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ind w:right="12"/>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(6)</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(6)</w:t>
            </w:r>
          </w:p>
        </w:tc>
        <w:tc>
          <w:tcPr>
            <w:tcW w:w="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620" w:type="dxa"/>
            <w:vAlign w:val="bottom"/>
            <w:tcBorders>
              <w:bottom w:val="single" w:sz="8" w:color="457157"/>
            </w:tcBorders>
          </w:tcPr>
          <w:p>
            <w:pPr>
              <w:spacing w:after="0" w:line="54" w:lineRule="exact"/>
              <w:rPr>
                <w:sz w:val="20"/>
                <w:szCs w:val="20"/>
                <w:color w:val="auto"/>
              </w:rPr>
            </w:pPr>
            <w:r>
              <w:rPr>
                <w:rFonts w:ascii="Arial" w:cs="Arial" w:eastAsia="Arial" w:hAnsi="Arial"/>
                <w:sz w:val="6"/>
                <w:szCs w:val="6"/>
                <w:b w:val="1"/>
                <w:bCs w:val="1"/>
                <w:color w:val="457157"/>
              </w:rPr>
              <w:t>​</w:t>
            </w:r>
          </w:p>
        </w:tc>
        <w:tc>
          <w:tcPr>
            <w:tcW w:w="340" w:type="dxa"/>
            <w:vAlign w:val="bottom"/>
            <w:tcBorders>
              <w:bottom w:val="single" w:sz="8" w:color="457157"/>
            </w:tcBorders>
            <w:gridSpan w:val="2"/>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2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3"/>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86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​James C. Fish,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59,415</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98,936</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​35,438,875</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22,063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44,125</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32,850</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​Devina A. Rankin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14,016</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6,803</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​1,218,417</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24,078</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8,624,740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5,547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11,094</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16,232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8,116</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25,284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​John J. Morris,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16,453</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10,204</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​1,827,536</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28,360</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​10,158,552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6,556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13,111</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8,889</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13,907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​Rafael E. Carrasco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12,188</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3,061</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548,225</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19,778</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7,084,480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4,287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8,572</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351</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62,864</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1,546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21"/>
                <w:szCs w:val="21"/>
                <w:color w:val="auto"/>
                <w:vertAlign w:val="subscript"/>
              </w:rPr>
              <w:t>773</w:t>
            </w:r>
            <w:r>
              <w:rPr>
                <w:rFonts w:ascii="Arial" w:cs="Arial" w:eastAsia="Arial" w:hAnsi="Arial"/>
                <w:sz w:val="9"/>
                <w:szCs w:val="9"/>
                <w:color w:val="auto"/>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2,655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3,273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98.898</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​2/19/2029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3,207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85.34</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​2/20/2028</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1,000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73.335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​2/28/2027</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​Tara J. Hemmer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10,969</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5,102</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913,768</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18,726</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6,707,653</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4,287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8,572</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13,140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6,570</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20,860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tcPr>
          <w:p>
            <w:pPr>
              <w:spacing w:after="0" w:line="54" w:lineRule="exact"/>
              <w:rPr>
                <w:sz w:val="20"/>
                <w:szCs w:val="20"/>
                <w:color w:val="auto"/>
              </w:rPr>
            </w:pPr>
            <w:r>
              <w:rPr>
                <w:rFonts w:ascii="Arial" w:cs="Arial" w:eastAsia="Arial" w:hAnsi="Arial"/>
                <w:sz w:val="6"/>
                <w:szCs w:val="6"/>
                <w:color w:val="auto"/>
              </w:rPr>
              <w:t>​</w:t>
            </w: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-4405630</wp:posOffset>
            </wp:positionV>
            <wp:extent cx="576072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-4079875</wp:posOffset>
            </wp:positionV>
            <wp:extent cx="5760720"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-3754120</wp:posOffset>
            </wp:positionV>
            <wp:extent cx="576072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-3428365</wp:posOffset>
            </wp:positionV>
            <wp:extent cx="576072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-3102610</wp:posOffset>
            </wp:positionV>
            <wp:extent cx="5760720" cy="163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-2776855</wp:posOffset>
            </wp:positionV>
            <wp:extent cx="576072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-2451100</wp:posOffset>
            </wp:positionV>
            <wp:extent cx="576072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-2125345</wp:posOffset>
            </wp:positionV>
            <wp:extent cx="5760720"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-1799590</wp:posOffset>
            </wp:positionV>
            <wp:extent cx="5760720"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-1473835</wp:posOffset>
            </wp:positionV>
            <wp:extent cx="576072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-1148080</wp:posOffset>
            </wp:positionV>
            <wp:extent cx="576072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-822325</wp:posOffset>
            </wp:positionV>
            <wp:extent cx="576072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-496570</wp:posOffset>
            </wp:positionV>
            <wp:extent cx="576072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-170815</wp:posOffset>
            </wp:positionV>
            <wp:extent cx="576072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0720" cy="162560"/>
                    </a:xfrm>
                    <a:prstGeom prst="rect">
                      <a:avLst/>
                    </a:prstGeom>
                    <a:noFill/>
                  </pic:spPr>
                </pic:pic>
              </a:graphicData>
            </a:graphic>
          </wp:anchor>
        </w:drawing>
      </w:r>
    </w:p>
    <w:p>
      <w:pPr>
        <w:spacing w:after="0" w:line="42" w:lineRule="exact"/>
        <w:rPr>
          <w:sz w:val="20"/>
          <w:szCs w:val="20"/>
          <w:color w:val="auto"/>
        </w:rPr>
      </w:pPr>
    </w:p>
    <w:p>
      <w:pPr>
        <w:ind w:left="1180" w:hanging="36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2023 of $179.10.</w:t>
      </w:r>
    </w:p>
    <w:p>
      <w:pPr>
        <w:spacing w:after="0" w:line="117" w:lineRule="exact"/>
        <w:rPr>
          <w:rFonts w:ascii="Arial" w:cs="Arial" w:eastAsia="Arial" w:hAnsi="Arial"/>
          <w:sz w:val="18"/>
          <w:szCs w:val="18"/>
          <w:color w:val="auto"/>
        </w:rPr>
      </w:pPr>
    </w:p>
    <w:p>
      <w:pPr>
        <w:jc w:val="both"/>
        <w:ind w:left="1180" w:right="60" w:hanging="364"/>
        <w:spacing w:after="0" w:line="278"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28, 2017; February 20, 2018; February 19, 2019; February 19, 2020, February 23, 2021 and March 1, 2022 pursuant to our 2014 Stock Incentive Plan.</w:t>
      </w:r>
    </w:p>
    <w:p>
      <w:pPr>
        <w:spacing w:after="0" w:line="276"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stock options granted on March 7, 2023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stock options granted on March 1, 2022 that vest ratably in three annual increments, beginning on the first anniversary of the date of grant.</w:t>
      </w:r>
    </w:p>
    <w:p>
      <w:pPr>
        <w:spacing w:after="0" w:line="22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ind w:left="1180" w:right="60" w:hanging="364"/>
        <w:spacing w:after="0" w:line="28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stock options granted on February 23, 2021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RSUs granted on March 1, 2022 under our 2014 Stock Incentive Plan that vest in full on the third anniversary of the date of grant. In the case of Mr. Carrasco, the table also includes 351 RSUs granted on February 23, 2021 under our 2014 Stock Incentive Plan, prior to his promotion to the senior leadership team, that vest in full on the third anniversary of the date of grant.</w:t>
      </w:r>
    </w:p>
    <w:p>
      <w:pPr>
        <w:spacing w:after="0" w:line="68" w:lineRule="exact"/>
        <w:rPr>
          <w:rFonts w:ascii="Arial" w:cs="Arial" w:eastAsia="Arial" w:hAnsi="Arial"/>
          <w:sz w:val="18"/>
          <w:szCs w:val="18"/>
          <w:color w:val="auto"/>
        </w:rPr>
      </w:pPr>
    </w:p>
    <w:p>
      <w:pPr>
        <w:jc w:val="both"/>
        <w:ind w:left="1180" w:right="60" w:hanging="364"/>
        <w:spacing w:after="0" w:line="253"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2024 and December 31, 2025.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2023 are not included in the table as they are considered earned as of December 31, 2023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2022 exceeded target, the payout value of unearned awards is calculated assuming maximum performance criteria is achieved. The following number of PSUs have a performance period ending December 31, 2024: Mr. Fish — 47,620; Ms. Rankin — 11,972; Mr. Morris — 14,150; Mr. Carrasco — 9,252; and Ms. Hemmer — 9,252. The following number of PSUs have a performance period ending December 31, 2025: Mr. Fish —  51,316; Ms. Rankin — 12,106; Mr. Morris — 14,210; Mr. Carrasco — 10,526; and Ms. Hemmer —  9,474.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OPTION EXERCISES AND STOCK VESTED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760" w:type="dxa"/>
            <w:vAlign w:val="bottom"/>
          </w:tcPr>
          <w:p>
            <w:pPr>
              <w:jc w:val="right"/>
              <w:ind w:right="1627"/>
              <w:spacing w:after="0"/>
              <w:rPr>
                <w:sz w:val="20"/>
                <w:szCs w:val="20"/>
                <w:color w:val="auto"/>
              </w:rPr>
            </w:pPr>
            <w:r>
              <w:rPr>
                <w:rFonts w:ascii="Arial" w:cs="Arial" w:eastAsia="Arial" w:hAnsi="Arial"/>
                <w:sz w:val="14"/>
                <w:szCs w:val="14"/>
                <w:b w:val="1"/>
                <w:bCs w:val="1"/>
                <w:color w:val="457157"/>
              </w:rPr>
              <w:t>​</w:t>
            </w: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457157"/>
              </w:rPr>
              <w:t>​ ​</w:t>
            </w:r>
          </w:p>
        </w:tc>
        <w:tc>
          <w:tcPr>
            <w:tcW w:w="4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Option Awards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457157"/>
              </w:rPr>
              <w:t>​ ​</w:t>
            </w:r>
          </w:p>
        </w:tc>
        <w:tc>
          <w:tcPr>
            <w:tcW w:w="440" w:type="dxa"/>
            <w:vAlign w:val="bottom"/>
          </w:tcPr>
          <w:p>
            <w:pPr>
              <w:spacing w:after="0"/>
              <w:rPr>
                <w:sz w:val="18"/>
                <w:szCs w:val="18"/>
                <w:color w:val="auto"/>
              </w:rPr>
            </w:pPr>
          </w:p>
        </w:tc>
        <w:tc>
          <w:tcPr>
            <w:tcW w:w="1620" w:type="dxa"/>
            <w:vAlign w:val="bottom"/>
            <w:gridSpan w:val="4"/>
          </w:tcPr>
          <w:p>
            <w:pPr>
              <w:ind w:left="500"/>
              <w:spacing w:after="0"/>
              <w:rPr>
                <w:sz w:val="20"/>
                <w:szCs w:val="20"/>
                <w:color w:val="auto"/>
              </w:rPr>
            </w:pPr>
            <w:r>
              <w:rPr>
                <w:rFonts w:ascii="Arial" w:cs="Arial" w:eastAsia="Arial" w:hAnsi="Arial"/>
                <w:sz w:val="14"/>
                <w:szCs w:val="14"/>
                <w:b w:val="1"/>
                <w:bCs w:val="1"/>
                <w:color w:val="457157"/>
              </w:rPr>
              <w:t>Stock Awards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83"/>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180" w:type="dxa"/>
            <w:vAlign w:val="bottom"/>
          </w:tcPr>
          <w:p>
            <w:pPr>
              <w:spacing w:after="0"/>
              <w:rPr>
                <w:sz w:val="15"/>
                <w:szCs w:val="15"/>
                <w:color w:val="auto"/>
              </w:rPr>
            </w:pPr>
          </w:p>
        </w:tc>
        <w:tc>
          <w:tcPr>
            <w:tcW w:w="30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48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40" w:type="dxa"/>
            <w:vAlign w:val="bottom"/>
            <w:tcBorders>
              <w:top w:val="single" w:sz="8" w:color="457157"/>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50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457157"/>
              </w:rPr>
              <w:t>Acquired on Exercise(#)</w:t>
            </w:r>
            <w:r>
              <w:rPr>
                <w:rFonts w:ascii="Arial" w:cs="Arial" w:eastAsia="Arial" w:hAnsi="Arial"/>
                <w:sz w:val="8"/>
                <w:szCs w:val="8"/>
                <w:b w:val="1"/>
                <w:bCs w:val="1"/>
                <w:color w:val="457157"/>
              </w:rPr>
              <w:t>(1)</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457157"/>
              </w:rPr>
              <w:t>Exercise ($)</w:t>
            </w:r>
          </w:p>
        </w:tc>
        <w:tc>
          <w:tcPr>
            <w:tcW w:w="120" w:type="dxa"/>
            <w:vAlign w:val="bottom"/>
          </w:tcPr>
          <w:p>
            <w:pPr>
              <w:spacing w:after="0"/>
              <w:rPr>
                <w:sz w:val="11"/>
                <w:szCs w:val="11"/>
                <w:color w:val="auto"/>
              </w:rPr>
            </w:pPr>
          </w:p>
        </w:tc>
        <w:tc>
          <w:tcPr>
            <w:tcW w:w="19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457157"/>
              </w:rPr>
              <w:t>Acquired on Vesting (#)</w:t>
            </w:r>
            <w:r>
              <w:rPr>
                <w:rFonts w:ascii="Arial" w:cs="Arial" w:eastAsia="Arial" w:hAnsi="Arial"/>
                <w:sz w:val="8"/>
                <w:szCs w:val="8"/>
                <w:b w:val="1"/>
                <w:bCs w:val="1"/>
                <w:color w:val="457157"/>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Vesting ($)</w:t>
            </w:r>
            <w:r>
              <w:rPr>
                <w:rFonts w:ascii="Arial" w:cs="Arial" w:eastAsia="Arial" w:hAnsi="Arial"/>
                <w:sz w:val="8"/>
                <w:szCs w:val="8"/>
                <w:b w:val="1"/>
                <w:bCs w:val="1"/>
                <w:color w:val="457157"/>
              </w:rPr>
              <w:t>(2)</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1760" w:type="dxa"/>
            <w:vAlign w:val="bottom"/>
            <w:tcBorders>
              <w:bottom w:val="single" w:sz="8" w:color="457157"/>
            </w:tcBorders>
          </w:tcPr>
          <w:p>
            <w:pPr>
              <w:jc w:val="right"/>
              <w:ind w:right="1627"/>
              <w:spacing w:after="0" w:line="68" w:lineRule="exact"/>
              <w:rPr>
                <w:sz w:val="20"/>
                <w:szCs w:val="20"/>
                <w:color w:val="auto"/>
              </w:rPr>
            </w:pPr>
            <w:r>
              <w:rPr>
                <w:rFonts w:ascii="Arial" w:cs="Arial" w:eastAsia="Arial" w:hAnsi="Arial"/>
                <w:sz w:val="7"/>
                <w:szCs w:val="7"/>
                <w:b w:val="1"/>
                <w:bCs w:val="1"/>
                <w:color w:val="457157"/>
              </w:rPr>
              <w:t>​</w:t>
            </w:r>
          </w:p>
        </w:tc>
        <w:tc>
          <w:tcPr>
            <w:tcW w:w="480" w:type="dxa"/>
            <w:vAlign w:val="bottom"/>
            <w:tcBorders>
              <w:bottom w:val="single" w:sz="8" w:color="457157"/>
            </w:tcBorders>
            <w:gridSpan w:val="2"/>
          </w:tcPr>
          <w:p>
            <w:pPr>
              <w:ind w:left="120"/>
              <w:spacing w:after="0" w:line="68" w:lineRule="exact"/>
              <w:rPr>
                <w:sz w:val="20"/>
                <w:szCs w:val="20"/>
                <w:color w:val="auto"/>
              </w:rPr>
            </w:pPr>
            <w:r>
              <w:rPr>
                <w:rFonts w:ascii="Arial" w:cs="Arial" w:eastAsia="Arial" w:hAnsi="Arial"/>
                <w:sz w:val="7"/>
                <w:szCs w:val="7"/>
                <w:b w:val="1"/>
                <w:bCs w:val="1"/>
                <w:color w:val="457157"/>
              </w:rPr>
              <w:t>​ ​</w:t>
            </w:r>
          </w:p>
        </w:tc>
        <w:tc>
          <w:tcPr>
            <w:tcW w:w="460" w:type="dxa"/>
            <w:vAlign w:val="bottom"/>
            <w:tcBorders>
              <w:bottom w:val="single" w:sz="8" w:color="457157"/>
            </w:tcBorders>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32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980" w:type="dxa"/>
            <w:vAlign w:val="bottom"/>
            <w:tcBorders>
              <w:bottom w:val="single" w:sz="8" w:color="457157"/>
            </w:tcBorders>
          </w:tcPr>
          <w:p>
            <w:pPr>
              <w:spacing w:after="0"/>
              <w:rPr>
                <w:sz w:val="5"/>
                <w:szCs w:val="5"/>
                <w:color w:val="auto"/>
              </w:rPr>
            </w:pPr>
          </w:p>
        </w:tc>
        <w:tc>
          <w:tcPr>
            <w:tcW w:w="40" w:type="dxa"/>
            <w:vAlign w:val="bottom"/>
            <w:tcBorders>
              <w:bottom w:val="single" w:sz="8" w:color="457157"/>
            </w:tcBorders>
          </w:tcPr>
          <w:p>
            <w:pPr>
              <w:spacing w:after="0"/>
              <w:rPr>
                <w:sz w:val="5"/>
                <w:szCs w:val="5"/>
                <w:color w:val="auto"/>
              </w:rPr>
            </w:pPr>
          </w:p>
        </w:tc>
        <w:tc>
          <w:tcPr>
            <w:tcW w:w="400" w:type="dxa"/>
            <w:vAlign w:val="bottom"/>
            <w:tcBorders>
              <w:bottom w:val="single" w:sz="8" w:color="457157"/>
            </w:tcBorders>
            <w:gridSpan w:val="2"/>
          </w:tcPr>
          <w:p>
            <w:pPr>
              <w:jc w:val="right"/>
              <w:ind w:right="148"/>
              <w:spacing w:after="0" w:line="68" w:lineRule="exact"/>
              <w:rPr>
                <w:sz w:val="20"/>
                <w:szCs w:val="20"/>
                <w:color w:val="auto"/>
              </w:rPr>
            </w:pPr>
            <w:r>
              <w:rPr>
                <w:rFonts w:ascii="Arial" w:cs="Arial" w:eastAsia="Arial" w:hAnsi="Arial"/>
                <w:sz w:val="7"/>
                <w:szCs w:val="7"/>
                <w:b w:val="1"/>
                <w:bCs w:val="1"/>
                <w:color w:val="457157"/>
              </w:rPr>
              <w:t>​ ​</w:t>
            </w:r>
          </w:p>
        </w:tc>
        <w:tc>
          <w:tcPr>
            <w:tcW w:w="440" w:type="dxa"/>
            <w:vAlign w:val="bottom"/>
            <w:tcBorders>
              <w:bottom w:val="single" w:sz="8" w:color="457157"/>
            </w:tcBorders>
          </w:tcPr>
          <w:p>
            <w:pPr>
              <w:spacing w:after="0"/>
              <w:rPr>
                <w:sz w:val="5"/>
                <w:szCs w:val="5"/>
                <w:color w:val="auto"/>
              </w:rPr>
            </w:pPr>
          </w:p>
        </w:tc>
        <w:tc>
          <w:tcPr>
            <w:tcW w:w="116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3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83,419</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3,626,951</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54"/>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119,300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23,483,609</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29,472</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5,801,416</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4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 xml:space="preserve">John J. Morris, Jr. </w:t>
            </w:r>
            <w:r>
              <w:rPr>
                <w:rFonts w:ascii="Arial" w:cs="Arial" w:eastAsia="Arial" w:hAnsi="Arial"/>
                <w:sz w:val="30"/>
                <w:szCs w:val="30"/>
                <w:color w:val="auto"/>
                <w:vertAlign w:val="subscript"/>
              </w:rPr>
              <w:t>​​</w:t>
            </w:r>
          </w:p>
        </w:tc>
        <w:tc>
          <w:tcPr>
            <w:tcW w:w="460" w:type="dxa"/>
            <w:vAlign w:val="bottom"/>
          </w:tcPr>
          <w:p>
            <w:pPr>
              <w:ind w:left="3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8,889</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553,792</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32,280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6,354,157</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 xml:space="preserve">Rafael E. Carrasco </w:t>
            </w:r>
            <w:r>
              <w:rPr>
                <w:rFonts w:ascii="Arial" w:cs="Arial" w:eastAsia="Arial" w:hAnsi="Arial"/>
                <w:sz w:val="30"/>
                <w:szCs w:val="30"/>
                <w:color w:val="auto"/>
                <w:vertAlign w:val="subscript"/>
              </w:rPr>
              <w:t>​​</w:t>
            </w:r>
          </w:p>
        </w:tc>
        <w:tc>
          <w:tcPr>
            <w:tcW w:w="460" w:type="dxa"/>
            <w:vAlign w:val="bottom"/>
          </w:tcPr>
          <w:p>
            <w:pPr>
              <w:ind w:left="3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2,451</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467,471</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0" w:type="dxa"/>
            <w:vAlign w:val="bottom"/>
            <w:gridSpan w:val="2"/>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3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27,005</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1,970,469</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23,860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4,696,722</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-908050</wp:posOffset>
            </wp:positionV>
            <wp:extent cx="576072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ind w:left="1180" w:right="60" w:hanging="364"/>
        <w:spacing w:after="0" w:line="28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and/or sale of shares to cover option costs and taxes: Mr. Fish — 13,454; Mr. Morris — 1,940; and Ms. Hemmer — 6,954;</w:t>
      </w:r>
    </w:p>
    <w:p>
      <w:pPr>
        <w:spacing w:after="0" w:line="44" w:lineRule="exact"/>
        <w:rPr>
          <w:rFonts w:ascii="Arial" w:cs="Arial" w:eastAsia="Arial" w:hAnsi="Arial"/>
          <w:sz w:val="18"/>
          <w:szCs w:val="18"/>
          <w:color w:val="auto"/>
        </w:rPr>
      </w:pPr>
    </w:p>
    <w:p>
      <w:pPr>
        <w:jc w:val="both"/>
        <w:ind w:left="1180" w:right="60" w:hanging="364"/>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2021 with a performance period ended December 31, 2023. The determination of achievement of performance results and corresponding vesting of such PSUs was performed by the MD&amp;C Committee in February 2024. Following such determination, shares of the Company’s Common Stock earned under this award were issued on February 13, 2024. Also includes 347 RSUs granted to Mr. Carrasco prior to his promotion to the senior leadership team that vested in 2023. The value of PSUs and RSUs is calculated using the average of the high and low market price of our Common Stock on the date of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Nonqualified Deferred Compensation in 2023</w:t>
      </w:r>
    </w:p>
    <w:p>
      <w:pPr>
        <w:spacing w:after="0" w:line="54"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Amounts that Can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409A Deferral Plan,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elect to defer receipt of portions of their base salary and annual cash incentives for the applicable fiscal year in excess of the annual compensation threshold (the “Threshold”) established under Section 401(a)(17) of IRC. For 2023, the Threshold was $330,000.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213"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Matching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match provided under the 409A Deferral Plan is dollar for</w:t>
      </w:r>
      <w:r>
        <w:rPr>
          <w:rFonts w:ascii="Arial" w:cs="Arial" w:eastAsia="Arial" w:hAnsi="Arial"/>
          <w:sz w:val="18"/>
          <w:szCs w:val="18"/>
          <w:i w:val="1"/>
          <w:iCs w:val="1"/>
          <w:color w:val="auto"/>
        </w:rPr>
        <w:t xml:space="preserve"> </w:t>
      </w:r>
      <w:r>
        <w:rPr>
          <w:rFonts w:ascii="Arial" w:cs="Arial" w:eastAsia="Arial" w:hAnsi="Arial"/>
          <w:sz w:val="18"/>
          <w:szCs w:val="18"/>
          <w:color w:val="auto"/>
        </w:rPr>
        <w:t>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12"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30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57157"/>
              </w:rPr>
              <w:t>Executive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57157"/>
              </w:rPr>
              <w:t>Registrant</w:t>
            </w:r>
          </w:p>
        </w:tc>
        <w:tc>
          <w:tcPr>
            <w:tcW w:w="134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457157"/>
              </w:rPr>
              <w:t>Aggregate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48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126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280" w:type="dxa"/>
            <w:vAlign w:val="bottom"/>
          </w:tcPr>
          <w:p>
            <w:pPr>
              <w:spacing w:after="0"/>
              <w:rPr>
                <w:sz w:val="12"/>
                <w:szCs w:val="12"/>
                <w:color w:val="auto"/>
              </w:rPr>
            </w:pPr>
          </w:p>
        </w:tc>
        <w:tc>
          <w:tcPr>
            <w:tcW w:w="1060" w:type="dxa"/>
            <w:vAlign w:val="bottom"/>
          </w:tcPr>
          <w:p>
            <w:pPr>
              <w:jc w:val="right"/>
              <w:ind w:right="284"/>
              <w:spacing w:after="0" w:line="139" w:lineRule="exact"/>
              <w:rPr>
                <w:sz w:val="20"/>
                <w:szCs w:val="20"/>
                <w:color w:val="auto"/>
              </w:rPr>
            </w:pPr>
            <w:r>
              <w:rPr>
                <w:rFonts w:ascii="Arial" w:cs="Arial" w:eastAsia="Arial" w:hAnsi="Arial"/>
                <w:sz w:val="14"/>
                <w:szCs w:val="14"/>
                <w:b w:val="1"/>
                <w:bCs w:val="1"/>
                <w:color w:val="457157"/>
              </w:rPr>
              <w:t>Earnings</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Aggregate</w:t>
            </w: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Aggregate 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280" w:type="dxa"/>
            <w:vAlign w:val="bottom"/>
          </w:tcPr>
          <w:p>
            <w:pPr>
              <w:spacing w:after="0"/>
              <w:rPr>
                <w:sz w:val="12"/>
                <w:szCs w:val="12"/>
                <w:color w:val="auto"/>
              </w:rPr>
            </w:pPr>
          </w:p>
        </w:tc>
        <w:tc>
          <w:tcPr>
            <w:tcW w:w="1060" w:type="dxa"/>
            <w:vAlign w:val="bottom"/>
          </w:tcPr>
          <w:p>
            <w:pPr>
              <w:jc w:val="right"/>
              <w:ind w:right="284"/>
              <w:spacing w:after="0" w:line="145" w:lineRule="exact"/>
              <w:rPr>
                <w:sz w:val="20"/>
                <w:szCs w:val="20"/>
                <w:color w:val="auto"/>
              </w:rPr>
            </w:pPr>
            <w:r>
              <w:rPr>
                <w:rFonts w:ascii="Arial" w:cs="Arial" w:eastAsia="Arial" w:hAnsi="Arial"/>
                <w:sz w:val="14"/>
                <w:szCs w:val="14"/>
                <w:b w:val="1"/>
                <w:bCs w:val="1"/>
                <w:color w:val="457157"/>
              </w:rPr>
              <w:t>in Last</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520" w:type="dxa"/>
            <w:vAlign w:val="bottom"/>
            <w:vMerge w:val="restart"/>
          </w:tcPr>
          <w:p>
            <w:pPr>
              <w:ind w:left="340"/>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280" w:type="dxa"/>
            <w:vAlign w:val="bottom"/>
          </w:tcPr>
          <w:p>
            <w:pPr>
              <w:spacing w:after="0"/>
              <w:rPr>
                <w:sz w:val="12"/>
                <w:szCs w:val="12"/>
                <w:color w:val="auto"/>
              </w:rPr>
            </w:pPr>
          </w:p>
        </w:tc>
        <w:tc>
          <w:tcPr>
            <w:tcW w:w="1060" w:type="dxa"/>
            <w:vAlign w:val="bottom"/>
          </w:tcPr>
          <w:p>
            <w:pPr>
              <w:jc w:val="right"/>
              <w:ind w:right="284"/>
              <w:spacing w:after="0" w:line="149" w:lineRule="exact"/>
              <w:rPr>
                <w:sz w:val="20"/>
                <w:szCs w:val="20"/>
                <w:color w:val="auto"/>
              </w:rPr>
            </w:pPr>
            <w:r>
              <w:rPr>
                <w:rFonts w:ascii="Arial" w:cs="Arial" w:eastAsia="Arial" w:hAnsi="Arial"/>
                <w:sz w:val="14"/>
                <w:szCs w:val="14"/>
                <w:b w:val="1"/>
                <w:bCs w:val="1"/>
                <w:color w:val="457157"/>
              </w:rPr>
              <w:t>Fiscal</w:t>
            </w:r>
          </w:p>
        </w:tc>
        <w:tc>
          <w:tcPr>
            <w:tcW w:w="22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457157"/>
              </w:rPr>
              <w:t>Withdrawals/​</w:t>
            </w: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 Last Fiscal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 ​</w:t>
            </w:r>
          </w:p>
        </w:tc>
        <w:tc>
          <w:tcPr>
            <w:tcW w:w="12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 ​</w:t>
            </w:r>
          </w:p>
        </w:tc>
        <w:tc>
          <w:tcPr>
            <w:tcW w:w="2560" w:type="dxa"/>
            <w:vAlign w:val="bottom"/>
            <w:gridSpan w:val="4"/>
          </w:tcPr>
          <w:p>
            <w:pPr>
              <w:ind w:left="40"/>
              <w:spacing w:after="0" w:line="176" w:lineRule="exact"/>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 ​Distributions ($)</w:t>
            </w:r>
            <w:r>
              <w:rPr>
                <w:rFonts w:ascii="Arial" w:cs="Arial" w:eastAsia="Arial" w:hAnsi="Arial"/>
                <w:sz w:val="17"/>
                <w:szCs w:val="17"/>
                <w:b w:val="1"/>
                <w:bCs w:val="1"/>
                <w:color w:val="457157"/>
                <w:vertAlign w:val="superscript"/>
              </w:rPr>
              <w:t>(3)</w:t>
            </w:r>
            <w:r>
              <w:rPr>
                <w:rFonts w:ascii="Arial" w:cs="Arial" w:eastAsia="Arial" w:hAnsi="Arial"/>
                <w:sz w:val="14"/>
                <w:szCs w:val="14"/>
                <w:b w:val="1"/>
                <w:bCs w:val="1"/>
                <w:color w:val="457157"/>
              </w:rPr>
              <w:t xml:space="preserve">  ​ ​</w:t>
            </w: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Year End ($)</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118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2"/>
              <w:spacing w:after="0" w:line="182" w:lineRule="exact"/>
              <w:rPr>
                <w:sz w:val="20"/>
                <w:szCs w:val="20"/>
                <w:color w:val="auto"/>
              </w:rPr>
            </w:pPr>
            <w:r>
              <w:rPr>
                <w:rFonts w:ascii="Arial" w:cs="Arial" w:eastAsia="Arial" w:hAnsi="Arial"/>
                <w:sz w:val="18"/>
                <w:szCs w:val="18"/>
                <w:color w:val="auto"/>
              </w:rPr>
              <w:t>​ 250,005</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 191,240</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2,782,176​​ ​</w:t>
            </w:r>
          </w:p>
        </w:tc>
        <w:tc>
          <w:tcPr>
            <w:tcW w:w="1180" w:type="dxa"/>
            <w:vAlign w:val="bottom"/>
            <w:gridSpan w:val="2"/>
          </w:tcPr>
          <w:p>
            <w:pPr>
              <w:jc w:val="right"/>
              <w:ind w:right="176"/>
              <w:spacing w:after="0" w:line="182" w:lineRule="exact"/>
              <w:rPr>
                <w:sz w:val="20"/>
                <w:szCs w:val="20"/>
                <w:color w:val="auto"/>
              </w:rPr>
            </w:pPr>
            <w:r>
              <w:rPr>
                <w:rFonts w:ascii="Arial" w:cs="Arial" w:eastAsia="Arial" w:hAnsi="Arial"/>
                <w:sz w:val="18"/>
                <w:szCs w:val="18"/>
                <w:color w:val="auto"/>
              </w:rPr>
              <w:t>​ 265,563</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20,355,169</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2"/>
              <w:spacing w:after="0" w:line="182" w:lineRule="exact"/>
              <w:rPr>
                <w:sz w:val="20"/>
                <w:szCs w:val="20"/>
                <w:color w:val="auto"/>
              </w:rPr>
            </w:pPr>
            <w:r>
              <w:rPr>
                <w:rFonts w:ascii="Arial" w:cs="Arial" w:eastAsia="Arial" w:hAnsi="Arial"/>
                <w:sz w:val="18"/>
                <w:szCs w:val="18"/>
                <w:color w:val="auto"/>
              </w:rPr>
              <w:t>​ 101,352</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78,835</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128,916​​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998,839</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42"/>
              <w:spacing w:after="0" w:line="182" w:lineRule="exact"/>
              <w:rPr>
                <w:sz w:val="20"/>
                <w:szCs w:val="20"/>
                <w:color w:val="auto"/>
              </w:rPr>
            </w:pPr>
            <w:r>
              <w:rPr>
                <w:rFonts w:ascii="Arial" w:cs="Arial" w:eastAsia="Arial" w:hAnsi="Arial"/>
                <w:sz w:val="18"/>
                <w:szCs w:val="18"/>
                <w:color w:val="auto"/>
              </w:rPr>
              <w:t>110,334</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82,751</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546,764​​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3,159,891</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42"/>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ind w:left="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64"/>
              <w:spacing w:after="0" w:line="182" w:lineRule="exact"/>
              <w:rPr>
                <w:sz w:val="20"/>
                <w:szCs w:val="20"/>
                <w:color w:val="auto"/>
              </w:rPr>
            </w:pPr>
            <w:r>
              <w:rPr>
                <w:rFonts w:ascii="Arial" w:cs="Arial" w:eastAsia="Arial" w:hAnsi="Arial"/>
                <w:sz w:val="18"/>
                <w:szCs w:val="18"/>
                <w:color w:val="auto"/>
              </w:rPr>
              <w:t>—​​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2"/>
              <w:spacing w:after="0" w:line="182" w:lineRule="exact"/>
              <w:rPr>
                <w:sz w:val="20"/>
                <w:szCs w:val="20"/>
                <w:color w:val="auto"/>
              </w:rPr>
            </w:pPr>
            <w:r>
              <w:rPr>
                <w:rFonts w:ascii="Arial" w:cs="Arial" w:eastAsia="Arial" w:hAnsi="Arial"/>
                <w:sz w:val="18"/>
                <w:szCs w:val="18"/>
                <w:color w:val="auto"/>
              </w:rPr>
              <w:t>​ 131,124</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59,006</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139,619​​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991,541</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-642620</wp:posOffset>
            </wp:positionV>
            <wp:extent cx="576072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-385445</wp:posOffset>
            </wp:positionV>
            <wp:extent cx="57607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-128270</wp:posOffset>
            </wp:positionV>
            <wp:extent cx="57607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60720" cy="137160"/>
                    </a:xfrm>
                    <a:prstGeom prst="rect">
                      <a:avLst/>
                    </a:prstGeom>
                    <a:noFill/>
                  </pic:spPr>
                </pic:pic>
              </a:graphicData>
            </a:graphic>
          </wp:anchor>
        </w:drawing>
      </w:r>
    </w:p>
    <w:p>
      <w:pPr>
        <w:jc w:val="both"/>
        <w:ind w:left="1180" w:right="60" w:hanging="364"/>
        <w:spacing w:after="0" w:line="263"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232" w:lineRule="exact"/>
        <w:rPr>
          <w:rFonts w:ascii="Arial" w:cs="Arial" w:eastAsia="Arial" w:hAnsi="Arial"/>
          <w:sz w:val="18"/>
          <w:szCs w:val="18"/>
          <w:color w:val="auto"/>
        </w:rPr>
      </w:pPr>
    </w:p>
    <w:p>
      <w:pPr>
        <w:ind w:left="1180" w:right="60" w:hanging="364"/>
        <w:spacing w:after="0" w:line="273"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spacing w:after="0" w:line="1" w:lineRule="exact"/>
        <w:rPr>
          <w:rFonts w:ascii="Arial" w:cs="Arial" w:eastAsia="Arial" w:hAnsi="Arial"/>
          <w:sz w:val="18"/>
          <w:szCs w:val="18"/>
          <w:color w:val="auto"/>
        </w:rPr>
      </w:pPr>
    </w:p>
    <w:p>
      <w:pPr>
        <w:jc w:val="both"/>
        <w:ind w:left="1180" w:right="60" w:hanging="364"/>
        <w:spacing w:after="0" w:line="254"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2022 to December 31, 2023, plus $2.80 of dividend equivalents paid per share of Common Stock in 2023, multiplied by the number of shares deferred. The dividend equivalents on the deferred shares were paid in cash to Mr. Fish during 2023 and are reflected in the Aggregate Withdrawals/ Distributions column above. The value of Mr. Fish’s deferred shares was included in the Option Exercises and Stock Vested table in the years such awards vested.</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2021-2023: Mr. Fish — $852,605; Ms. Rankin — $421,888; Mr. Morris — $408,768 and Ms. Hemmer — $439,700. Mr. Carrasco has not elected to participate in the 409A Deferral Plan.</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Payments Upon Termination or Change in Control</w:t>
      </w:r>
    </w:p>
    <w:p>
      <w:pPr>
        <w:spacing w:after="0" w:line="12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88" w:lineRule="exact"/>
        <w:rPr>
          <w:sz w:val="20"/>
          <w:szCs w:val="20"/>
          <w:color w:val="auto"/>
        </w:rPr>
      </w:pPr>
    </w:p>
    <w:p>
      <w:pPr>
        <w:ind w:left="820"/>
        <w:spacing w:after="0"/>
        <w:tabs>
          <w:tab w:leader="none" w:pos="6200" w:val="left"/>
        </w:tabs>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sz w:val="20"/>
          <w:szCs w:val="20"/>
          <w:color w:val="auto"/>
        </w:rPr>
        <w:tab/>
      </w:r>
      <w:r>
        <w:rPr>
          <w:rFonts w:ascii="Arial" w:cs="Arial" w:eastAsia="Arial" w:hAnsi="Arial"/>
          <w:sz w:val="18"/>
          <w:szCs w:val="18"/>
          <w:color w:val="auto"/>
        </w:rPr>
        <w:t>Under the Severance Protection Plan, in</w:t>
      </w:r>
    </w:p>
    <w:p>
      <w:pPr>
        <w:spacing w:after="0" w:line="27"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8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278" w:lineRule="exact"/>
        <w:rPr>
          <w:sz w:val="20"/>
          <w:szCs w:val="20"/>
          <w:color w:val="auto"/>
        </w:rPr>
      </w:pPr>
    </w:p>
    <w:p>
      <w:pPr>
        <w:jc w:val="both"/>
        <w:ind w:left="1180" w:right="60"/>
        <w:spacing w:after="0" w:line="252"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62" w:lineRule="exact"/>
        <w:rPr>
          <w:sz w:val="20"/>
          <w:szCs w:val="20"/>
          <w:color w:val="auto"/>
        </w:rPr>
      </w:pPr>
    </w:p>
    <w:p>
      <w:pPr>
        <w:jc w:val="both"/>
        <w:ind w:left="1180" w:right="60"/>
        <w:spacing w:after="0" w:line="251"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65" w:lineRule="exact"/>
        <w:rPr>
          <w:sz w:val="20"/>
          <w:szCs w:val="20"/>
          <w:color w:val="auto"/>
        </w:rPr>
      </w:pPr>
    </w:p>
    <w:p>
      <w:pPr>
        <w:jc w:val="both"/>
        <w:ind w:left="1180" w:right="60"/>
        <w:spacing w:after="0" w:line="246"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0"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90"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PSUs and stock options generally continue to vest following a qualifying retirement as if the employee had remained employed until the end of the performance period. If the recipient</w:t>
      </w:r>
    </w:p>
    <w:p>
      <w:pPr>
        <w:spacing w:after="0" w:line="24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is terminated by the Company without cause or voluntarily resigns, the recipient is entitled to exercise all stock options outstanding and exercisable within a specified time frame after such termination.</w:t>
      </w:r>
    </w:p>
    <w:p>
      <w:pPr>
        <w:spacing w:after="0" w:line="45"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year-end upon termination of employment in the circumstances indicated pursuant to the terms of applicable plans and agreements. The payouts set forth below assume the triggering event indicated occurred on December 31, 2023, when the closing price of our Common Stock was $179.10 per share. These payouts are calculated for SEC disclosure purposes and are not necessarily indicative of the actual amounts the named executive would receive. Please note the following when reviewing the payouts set forth below:</w:t>
      </w:r>
    </w:p>
    <w:p>
      <w:pPr>
        <w:spacing w:after="0" w:line="290" w:lineRule="exact"/>
        <w:rPr>
          <w:sz w:val="20"/>
          <w:szCs w:val="20"/>
          <w:color w:val="auto"/>
        </w:rPr>
      </w:pPr>
    </w:p>
    <w:p>
      <w:pPr>
        <w:jc w:val="both"/>
        <w:ind w:left="1360" w:right="60" w:hanging="184"/>
        <w:spacing w:after="0" w:line="265" w:lineRule="auto"/>
        <w:tabs>
          <w:tab w:leader="none" w:pos="1360" w:val="left"/>
        </w:tabs>
        <w:numPr>
          <w:ilvl w:val="0"/>
          <w:numId w:val="42"/>
        </w:numPr>
        <w:rPr>
          <w:rFonts w:ascii="Arial" w:cs="Arial" w:eastAsia="Arial" w:hAnsi="Arial"/>
          <w:sz w:val="18"/>
          <w:szCs w:val="18"/>
          <w:color w:val="457157"/>
        </w:rPr>
      </w:pPr>
      <w:r>
        <w:rPr>
          <w:rFonts w:ascii="Arial" w:cs="Arial" w:eastAsia="Arial" w:hAnsi="Arial"/>
          <w:sz w:val="18"/>
          <w:szCs w:val="18"/>
          <w:color w:val="auto"/>
        </w:rPr>
        <w:t>The compensation component set forth below for accelerated vesting of stock options is comprised of the unvested stock options granted in 2021, 2022 and 2023, based on the difference between the closing price of our Common Stock on December 31, 2023 and the exercise price of those options.</w:t>
      </w:r>
    </w:p>
    <w:p>
      <w:pPr>
        <w:spacing w:after="0" w:line="286"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42"/>
        </w:numPr>
        <w:rPr>
          <w:rFonts w:ascii="Arial" w:cs="Arial" w:eastAsia="Arial" w:hAnsi="Arial"/>
          <w:sz w:val="18"/>
          <w:szCs w:val="18"/>
          <w:color w:val="457157"/>
        </w:rPr>
      </w:pPr>
      <w:r>
        <w:rPr>
          <w:rFonts w:ascii="Arial" w:cs="Arial" w:eastAsia="Arial" w:hAnsi="Arial"/>
          <w:sz w:val="18"/>
          <w:szCs w:val="18"/>
          <w:color w:val="auto"/>
        </w:rPr>
        <w:t>For purposes of calculating the payout of performance share unit awards outstanding as of December 31, 2023, we have assumed that target performance was achieved; actual performance share unit payouts will be based on actual performance of the Company during the performance period.</w:t>
      </w:r>
    </w:p>
    <w:p>
      <w:pPr>
        <w:spacing w:after="0" w:line="286"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42"/>
        </w:numPr>
        <w:rPr>
          <w:rFonts w:ascii="Arial" w:cs="Arial" w:eastAsia="Arial" w:hAnsi="Arial"/>
          <w:sz w:val="18"/>
          <w:szCs w:val="18"/>
          <w:color w:val="457157"/>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2023.</w:t>
      </w:r>
    </w:p>
    <w:p>
      <w:pPr>
        <w:spacing w:after="0" w:line="28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42"/>
        </w:numPr>
        <w:rPr>
          <w:rFonts w:ascii="Arial" w:cs="Arial" w:eastAsia="Arial" w:hAnsi="Arial"/>
          <w:sz w:val="18"/>
          <w:szCs w:val="18"/>
          <w:color w:val="457157"/>
        </w:rPr>
      </w:pPr>
      <w:r>
        <w:rPr>
          <w:rFonts w:ascii="Arial" w:cs="Arial" w:eastAsia="Arial" w:hAnsi="Arial"/>
          <w:sz w:val="18"/>
          <w:szCs w:val="18"/>
          <w:color w:val="auto"/>
        </w:rPr>
        <w:t>The payout for continuation of benefits is an estimate of the cost the Company would incur to continue those benefits.</w:t>
      </w:r>
    </w:p>
    <w:p>
      <w:pPr>
        <w:spacing w:after="0" w:line="44" w:lineRule="exact"/>
        <w:rPr>
          <w:rFonts w:ascii="Arial" w:cs="Arial" w:eastAsia="Arial" w:hAnsi="Arial"/>
          <w:sz w:val="18"/>
          <w:szCs w:val="18"/>
          <w:color w:val="457157"/>
        </w:rPr>
      </w:pPr>
    </w:p>
    <w:p>
      <w:pPr>
        <w:jc w:val="both"/>
        <w:ind w:left="1360" w:right="60" w:hanging="184"/>
        <w:spacing w:after="0" w:line="262" w:lineRule="auto"/>
        <w:tabs>
          <w:tab w:leader="none" w:pos="1360" w:val="left"/>
        </w:tabs>
        <w:numPr>
          <w:ilvl w:val="0"/>
          <w:numId w:val="42"/>
        </w:numPr>
        <w:rPr>
          <w:rFonts w:ascii="Arial" w:cs="Arial" w:eastAsia="Arial" w:hAnsi="Arial"/>
          <w:sz w:val="18"/>
          <w:szCs w:val="18"/>
          <w:color w:val="457157"/>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68"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42"/>
        </w:numPr>
        <w:rPr>
          <w:rFonts w:ascii="Arial" w:cs="Arial" w:eastAsia="Arial" w:hAnsi="Arial"/>
          <w:sz w:val="18"/>
          <w:szCs w:val="18"/>
          <w:color w:val="457157"/>
        </w:rPr>
      </w:pPr>
      <w:r>
        <w:rPr>
          <w:rFonts w:ascii="Arial" w:cs="Arial" w:eastAsia="Arial" w:hAnsi="Arial"/>
          <w:sz w:val="18"/>
          <w:szCs w:val="18"/>
          <w:color w:val="auto"/>
        </w:rPr>
        <w:t>Refer to the Nonqualified Deferred Compensation in 2023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Consideration Upon Termination of Employment</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36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286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xml:space="preserve">Mr. Fish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Ms. Rankin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Mr. Morris </w:t>
            </w:r>
          </w:p>
        </w:tc>
        <w:tc>
          <w:tcPr>
            <w:tcW w:w="2220" w:type="dxa"/>
            <w:vAlign w:val="bottom"/>
            <w:gridSpan w:val="5"/>
          </w:tcPr>
          <w:p>
            <w:pPr>
              <w:jc w:val="right"/>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Mr. Carrasco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Ms. Hemmer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18"/>
        </w:trPr>
        <w:tc>
          <w:tcPr>
            <w:tcW w:w="3620" w:type="dxa"/>
            <w:vAlign w:val="bottom"/>
            <w:tcBorders>
              <w:top w:val="single" w:sz="8" w:color="457157"/>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Payout or Value of Compensation</w:t>
            </w:r>
          </w:p>
        </w:tc>
        <w:tc>
          <w:tcPr>
            <w:tcW w:w="400" w:type="dxa"/>
            <w:vAlign w:val="bottom"/>
            <w:tcBorders>
              <w:top w:val="single" w:sz="8" w:color="457157"/>
            </w:tcBorders>
            <w:shd w:val="clear" w:color="auto" w:fill="CCEEFF"/>
          </w:tcPr>
          <w:p>
            <w:pPr>
              <w:spacing w:after="0"/>
              <w:rPr>
                <w:sz w:val="18"/>
                <w:szCs w:val="18"/>
                <w:color w:val="auto"/>
              </w:rPr>
            </w:pPr>
          </w:p>
        </w:tc>
        <w:tc>
          <w:tcPr>
            <w:tcW w:w="1840" w:type="dxa"/>
            <w:vAlign w:val="bottom"/>
            <w:tcBorders>
              <w:top w:val="single" w:sz="8" w:color="457157"/>
            </w:tcBorders>
            <w:shd w:val="clear" w:color="auto" w:fill="CCEEFF"/>
          </w:tcPr>
          <w:p>
            <w:pPr>
              <w:spacing w:after="0"/>
              <w:rPr>
                <w:sz w:val="18"/>
                <w:szCs w:val="18"/>
                <w:color w:val="auto"/>
              </w:rPr>
            </w:pPr>
          </w:p>
        </w:tc>
        <w:tc>
          <w:tcPr>
            <w:tcW w:w="1020" w:type="dxa"/>
            <w:vAlign w:val="bottom"/>
            <w:tcBorders>
              <w:top w:val="single" w:sz="8" w:color="457157"/>
            </w:tcBorders>
            <w:shd w:val="clear" w:color="auto" w:fill="CCEEFF"/>
          </w:tcPr>
          <w:p>
            <w:pPr>
              <w:spacing w:after="0"/>
              <w:rPr>
                <w:sz w:val="18"/>
                <w:szCs w:val="18"/>
                <w:color w:val="auto"/>
              </w:rPr>
            </w:pPr>
          </w:p>
        </w:tc>
        <w:tc>
          <w:tcPr>
            <w:tcW w:w="280" w:type="dxa"/>
            <w:vAlign w:val="bottom"/>
            <w:tcBorders>
              <w:top w:val="single" w:sz="8" w:color="457157"/>
            </w:tcBorders>
            <w:shd w:val="clear" w:color="auto" w:fill="CCEEFF"/>
          </w:tcPr>
          <w:p>
            <w:pPr>
              <w:spacing w:after="0"/>
              <w:rPr>
                <w:sz w:val="18"/>
                <w:szCs w:val="18"/>
                <w:color w:val="auto"/>
              </w:rPr>
            </w:pPr>
          </w:p>
        </w:tc>
        <w:tc>
          <w:tcPr>
            <w:tcW w:w="1000" w:type="dxa"/>
            <w:vAlign w:val="bottom"/>
            <w:tcBorders>
              <w:top w:val="single" w:sz="8" w:color="457157"/>
            </w:tcBorders>
            <w:shd w:val="clear" w:color="auto" w:fill="CCEEFF"/>
          </w:tcPr>
          <w:p>
            <w:pPr>
              <w:spacing w:after="0"/>
              <w:rPr>
                <w:sz w:val="18"/>
                <w:szCs w:val="18"/>
                <w:color w:val="auto"/>
              </w:rPr>
            </w:pPr>
          </w:p>
        </w:tc>
        <w:tc>
          <w:tcPr>
            <w:tcW w:w="82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Components,</w:t>
            </w:r>
          </w:p>
        </w:tc>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 dollars</w:t>
            </w:r>
          </w:p>
        </w:tc>
        <w:tc>
          <w:tcPr>
            <w:tcW w:w="4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457157"/>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57157"/>
            </w:tcBorders>
            <w:shd w:val="clear" w:color="auto" w:fill="CCEEFF"/>
          </w:tcPr>
          <w:p>
            <w:pPr>
              <w:jc w:val="right"/>
              <w:ind w:right="2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457157"/>
            </w:tcBorders>
            <w:shd w:val="clear" w:color="auto" w:fill="CCEEFF"/>
          </w:tcPr>
          <w:p>
            <w:pPr>
              <w:spacing w:after="0"/>
              <w:rPr>
                <w:sz w:val="21"/>
                <w:szCs w:val="21"/>
                <w:color w:val="auto"/>
              </w:rPr>
            </w:pPr>
          </w:p>
        </w:tc>
        <w:tc>
          <w:tcPr>
            <w:tcW w:w="8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Event of Death or Disability</w:t>
            </w:r>
          </w:p>
        </w:tc>
        <w:tc>
          <w:tcPr>
            <w:tcW w:w="4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840" w:type="dxa"/>
            <w:vAlign w:val="bottom"/>
          </w:tcPr>
          <w:p>
            <w:pPr>
              <w:ind w:left="820"/>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80" w:type="dxa"/>
            <w:vAlign w:val="bottom"/>
          </w:tcPr>
          <w:p>
            <w:pPr>
              <w:jc w:val="right"/>
              <w:ind w:right="26"/>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84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ind w:left="40"/>
              <w:spacing w:after="0" w:line="196" w:lineRule="exact"/>
              <w:rPr>
                <w:sz w:val="20"/>
                <w:szCs w:val="20"/>
                <w:color w:val="auto"/>
              </w:rPr>
            </w:pPr>
            <w:r>
              <w:rPr>
                <w:rFonts w:ascii="Arial" w:cs="Arial" w:eastAsia="Arial" w:hAnsi="Arial"/>
                <w:sz w:val="18"/>
                <w:szCs w:val="18"/>
                <w:color w:val="457157"/>
              </w:rPr>
              <w:t xml:space="preserve">• </w:t>
            </w:r>
            <w:r>
              <w:rPr>
                <w:rFonts w:ascii="Arial" w:cs="Arial" w:eastAsia="Arial" w:hAnsi="Arial"/>
                <w:sz w:val="18"/>
                <w:szCs w:val="18"/>
                <w:color w:val="000000"/>
              </w:rPr>
              <w:t>Accelerated vesting of stock options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40" w:type="dxa"/>
            <w:vAlign w:val="bottom"/>
          </w:tcPr>
          <w:p>
            <w:pPr>
              <w:ind w:left="20"/>
              <w:spacing w:after="0" w:line="196" w:lineRule="exact"/>
              <w:rPr>
                <w:sz w:val="20"/>
                <w:szCs w:val="20"/>
                <w:color w:val="auto"/>
              </w:rPr>
            </w:pPr>
            <w:r>
              <w:rPr>
                <w:rFonts w:ascii="Arial" w:cs="Arial" w:eastAsia="Arial" w:hAnsi="Arial"/>
                <w:sz w:val="18"/>
                <w:szCs w:val="18"/>
                <w:color w:val="auto"/>
              </w:rPr>
              <w:t>5,440,570 ​ 1,331,368</w:t>
            </w:r>
          </w:p>
        </w:tc>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 1,522,221</w:t>
            </w:r>
          </w:p>
        </w:tc>
        <w:tc>
          <w:tcPr>
            <w:tcW w:w="280" w:type="dxa"/>
            <w:vAlign w:val="bottom"/>
          </w:tcPr>
          <w:p>
            <w:pPr>
              <w:jc w:val="right"/>
              <w:ind w:right="26"/>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692,619  </w:t>
            </w: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1,053,163</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2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00" w:type="dxa"/>
            <w:vAlign w:val="bottom"/>
          </w:tcPr>
          <w:p>
            <w:pPr>
              <w:jc w:val="right"/>
              <w:ind w:right="6"/>
              <w:spacing w:after="0" w:line="54" w:lineRule="exact"/>
              <w:rPr>
                <w:sz w:val="20"/>
                <w:szCs w:val="20"/>
                <w:color w:val="auto"/>
              </w:rPr>
            </w:pPr>
            <w:r>
              <w:rPr>
                <w:rFonts w:ascii="Arial" w:cs="Arial" w:eastAsia="Arial" w:hAnsi="Arial"/>
                <w:sz w:val="6"/>
                <w:szCs w:val="6"/>
                <w:color w:val="auto"/>
              </w:rPr>
              <w:t>​​</w:t>
            </w:r>
          </w:p>
        </w:tc>
        <w:tc>
          <w:tcPr>
            <w:tcW w:w="1840" w:type="dxa"/>
            <w:vAlign w:val="bottom"/>
          </w:tcPr>
          <w:p>
            <w:pPr>
              <w:ind w:left="820"/>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jc w:val="right"/>
              <w:ind w:right="66"/>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84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-179070</wp:posOffset>
            </wp:positionV>
            <wp:extent cx="576072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ind w:left="1040" w:right="5440" w:hanging="183"/>
        <w:spacing w:after="0" w:line="260" w:lineRule="auto"/>
        <w:tabs>
          <w:tab w:leader="none" w:pos="104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Payment of PSUs (contingent on actual performance at end of performance</w:t>
      </w: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period)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17,719,438​​​</w:t>
            </w: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4,312,370​​​</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5,079,276​​​</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3,542,240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3,353,827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6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500" w:type="dxa"/>
            <w:vAlign w:val="bottom"/>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 ​</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1,218,417 ​</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1,827,536 </w:t>
            </w: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611,089</w:t>
            </w:r>
          </w:p>
        </w:tc>
        <w:tc>
          <w:tcPr>
            <w:tcW w:w="300" w:type="dxa"/>
            <w:vAlign w:val="bottom"/>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913,768</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60" w:type="dxa"/>
            <w:vAlign w:val="bottom"/>
          </w:tcPr>
          <w:p>
            <w:pPr>
              <w:spacing w:after="0"/>
              <w:rPr>
                <w:sz w:val="4"/>
                <w:szCs w:val="4"/>
                <w:color w:val="auto"/>
              </w:rPr>
            </w:pPr>
          </w:p>
        </w:tc>
        <w:tc>
          <w:tcPr>
            <w:tcW w:w="500" w:type="dxa"/>
            <w:vAlign w:val="bottom"/>
          </w:tcPr>
          <w:p>
            <w:pPr>
              <w:jc w:val="right"/>
              <w:ind w:right="300"/>
              <w:spacing w:after="0" w:line="54" w:lineRule="exact"/>
              <w:rPr>
                <w:sz w:val="20"/>
                <w:szCs w:val="20"/>
                <w:color w:val="auto"/>
              </w:rPr>
            </w:pPr>
            <w:r>
              <w:rPr>
                <w:rFonts w:ascii="Arial" w:cs="Arial" w:eastAsia="Arial" w:hAnsi="Arial"/>
                <w:sz w:val="6"/>
                <w:szCs w:val="6"/>
                <w:color w:val="auto"/>
              </w:rPr>
              <w:t>​​</w:t>
            </w:r>
          </w:p>
        </w:tc>
        <w:tc>
          <w:tcPr>
            <w:tcW w:w="7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0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300" w:type="dxa"/>
            <w:vAlign w:val="bottom"/>
          </w:tcPr>
          <w:p>
            <w:pPr>
              <w:jc w:val="right"/>
              <w:ind w:right="60"/>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Life insurance benefit paid by insurance</w:t>
            </w:r>
          </w:p>
        </w:tc>
        <w:tc>
          <w:tcPr>
            <w:tcW w:w="500" w:type="dxa"/>
            <w:vAlign w:val="bottom"/>
            <w:tcBorders>
              <w:top w:val="single" w:sz="8" w:color="457157"/>
            </w:tcBorders>
          </w:tcPr>
          <w:p>
            <w:pPr>
              <w:spacing w:after="0"/>
              <w:rPr>
                <w:sz w:val="21"/>
                <w:szCs w:val="21"/>
                <w:color w:val="auto"/>
              </w:rPr>
            </w:pPr>
          </w:p>
        </w:tc>
        <w:tc>
          <w:tcPr>
            <w:tcW w:w="720" w:type="dxa"/>
            <w:vAlign w:val="bottom"/>
            <w:tcBorders>
              <w:top w:val="single" w:sz="8" w:color="457157"/>
            </w:tcBorders>
          </w:tcPr>
          <w:p>
            <w:pPr>
              <w:spacing w:after="0"/>
              <w:rPr>
                <w:sz w:val="21"/>
                <w:szCs w:val="21"/>
                <w:color w:val="auto"/>
              </w:rPr>
            </w:pPr>
          </w:p>
        </w:tc>
        <w:tc>
          <w:tcPr>
            <w:tcW w:w="1020" w:type="dxa"/>
            <w:vAlign w:val="bottom"/>
            <w:tcBorders>
              <w:top w:val="single" w:sz="8" w:color="457157"/>
            </w:tcBorders>
          </w:tcPr>
          <w:p>
            <w:pPr>
              <w:spacing w:after="0"/>
              <w:rPr>
                <w:sz w:val="21"/>
                <w:szCs w:val="21"/>
                <w:color w:val="auto"/>
              </w:rPr>
            </w:pPr>
          </w:p>
        </w:tc>
        <w:tc>
          <w:tcPr>
            <w:tcW w:w="104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company (in the case of death)</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1,250,000​​​</w:t>
            </w: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739,000​​​</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754,000​​​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595,000</w:t>
            </w:r>
          </w:p>
        </w:tc>
        <w:tc>
          <w:tcPr>
            <w:tcW w:w="300" w:type="dxa"/>
            <w:vAlign w:val="bottom"/>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643,000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2"/>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​​​24,410,008​​​​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7,601,155​​​​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9,183,033​​​​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5,440,948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5,963,758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382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w:t>
            </w:r>
          </w:p>
        </w:tc>
        <w:tc>
          <w:tcPr>
            <w:tcW w:w="50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1020" w:type="dxa"/>
            <w:vAlign w:val="bottom"/>
            <w:tcBorders>
              <w:top w:val="single" w:sz="8" w:color="457157"/>
            </w:tcBorders>
          </w:tcPr>
          <w:p>
            <w:pPr>
              <w:spacing w:after="0"/>
              <w:rPr>
                <w:sz w:val="17"/>
                <w:szCs w:val="17"/>
                <w:color w:val="auto"/>
              </w:rPr>
            </w:pPr>
          </w:p>
        </w:tc>
        <w:tc>
          <w:tcPr>
            <w:tcW w:w="104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7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by the Company or For Good Reason by</w:t>
            </w: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Employee</w:t>
            </w:r>
          </w:p>
        </w:tc>
        <w:tc>
          <w:tcPr>
            <w:tcW w:w="500" w:type="dxa"/>
            <w:vAlign w:val="bottom"/>
          </w:tcPr>
          <w:p>
            <w:pPr>
              <w:jc w:val="right"/>
              <w:ind w:right="260"/>
              <w:spacing w:after="0"/>
              <w:rPr>
                <w:sz w:val="20"/>
                <w:szCs w:val="20"/>
                <w:color w:val="auto"/>
              </w:rPr>
            </w:pPr>
            <w:r>
              <w:rPr>
                <w:rFonts w:ascii="Arial" w:cs="Arial" w:eastAsia="Arial" w:hAnsi="Arial"/>
                <w:sz w:val="18"/>
                <w:szCs w:val="18"/>
                <w:b w:val="1"/>
                <w:bCs w:val="1"/>
                <w:i w:val="1"/>
                <w:i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40" w:type="dxa"/>
            <w:vAlign w:val="bottom"/>
          </w:tcPr>
          <w:p>
            <w:pPr>
              <w:spacing w:after="0"/>
              <w:rPr>
                <w:sz w:val="21"/>
                <w:szCs w:val="21"/>
                <w:color w:val="auto"/>
              </w:rPr>
            </w:pPr>
          </w:p>
        </w:tc>
        <w:tc>
          <w:tcPr>
            <w:tcW w:w="300" w:type="dxa"/>
            <w:vAlign w:val="bottom"/>
          </w:tcPr>
          <w:p>
            <w:pPr>
              <w:jc w:val="right"/>
              <w:ind w:right="20"/>
              <w:spacing w:after="0"/>
              <w:rPr>
                <w:sz w:val="20"/>
                <w:szCs w:val="20"/>
                <w:color w:val="auto"/>
              </w:rPr>
            </w:pPr>
            <w:r>
              <w:rPr>
                <w:rFonts w:ascii="Arial" w:cs="Arial" w:eastAsia="Arial" w:hAnsi="Arial"/>
                <w:sz w:val="18"/>
                <w:szCs w:val="18"/>
                <w:b w:val="1"/>
                <w:bCs w:val="1"/>
                <w:i w:val="1"/>
                <w:iCs w:val="1"/>
                <w:color w:val="auto"/>
              </w:rPr>
              <w:t>​​​​​</w:t>
            </w:r>
          </w:p>
        </w:tc>
        <w:tc>
          <w:tcPr>
            <w:tcW w:w="7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-1105535</wp:posOffset>
            </wp:positionV>
            <wp:extent cx="576072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-607695</wp:posOffset>
            </wp:positionV>
            <wp:extent cx="5760720" cy="163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-7620</wp:posOffset>
            </wp:positionV>
            <wp:extent cx="5760720" cy="6000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spacing w:after="0" w:line="15" w:lineRule="exact"/>
        <w:rPr>
          <w:sz w:val="20"/>
          <w:szCs w:val="20"/>
          <w:color w:val="auto"/>
        </w:rPr>
      </w:pPr>
    </w:p>
    <w:p>
      <w:pPr>
        <w:ind w:left="1040" w:right="5420" w:hanging="183"/>
        <w:spacing w:after="0" w:line="260" w:lineRule="auto"/>
        <w:tabs>
          <w:tab w:leader="none" w:pos="1040" w:val="left"/>
        </w:tabs>
        <w:numPr>
          <w:ilvl w:val="0"/>
          <w:numId w:val="44"/>
        </w:numPr>
        <w:rPr>
          <w:rFonts w:ascii="Arial" w:cs="Arial" w:eastAsia="Arial" w:hAnsi="Arial"/>
          <w:sz w:val="18"/>
          <w:szCs w:val="18"/>
          <w:color w:val="457157"/>
        </w:rPr>
      </w:pPr>
      <w:r>
        <w:rPr>
          <w:rFonts w:ascii="Arial" w:cs="Arial" w:eastAsia="Arial" w:hAnsi="Arial"/>
          <w:sz w:val="18"/>
          <w:szCs w:val="18"/>
          <w:color w:val="auto"/>
        </w:rPr>
        <w:t>Two times base salary plus target annual cash bonus (one-half payable in</w:t>
      </w:r>
    </w:p>
    <w:tbl>
      <w:tblPr>
        <w:tblLayout w:type="fixed"/>
        <w:tblInd w:w="820" w:type="dxa"/>
        <w:tblCellMar>
          <w:top w:w="0" w:type="dxa"/>
          <w:left w:w="0" w:type="dxa"/>
          <w:bottom w:w="0" w:type="dxa"/>
          <w:right w:w="0" w:type="dxa"/>
        </w:tblCellMar>
      </w:tblPr>
      <w:tr>
        <w:trPr>
          <w:trHeight w:val="200"/>
        </w:trPr>
        <w:tc>
          <w:tcPr>
            <w:tcW w:w="160" w:type="dxa"/>
            <w:vAlign w:val="bottom"/>
          </w:tcPr>
          <w:p>
            <w:pPr>
              <w:spacing w:after="0"/>
              <w:rPr>
                <w:sz w:val="17"/>
                <w:szCs w:val="17"/>
                <w:color w:val="auto"/>
              </w:rPr>
            </w:pPr>
          </w:p>
        </w:tc>
        <w:tc>
          <w:tcPr>
            <w:tcW w:w="3660" w:type="dxa"/>
            <w:vAlign w:val="bottom"/>
          </w:tcPr>
          <w:p>
            <w:pPr>
              <w:ind w:left="60"/>
              <w:spacing w:after="0" w:line="200" w:lineRule="exact"/>
              <w:rPr>
                <w:sz w:val="20"/>
                <w:szCs w:val="20"/>
                <w:color w:val="auto"/>
              </w:rPr>
            </w:pPr>
            <w:r>
              <w:rPr>
                <w:rFonts w:ascii="Arial" w:cs="Arial" w:eastAsia="Arial" w:hAnsi="Arial"/>
                <w:sz w:val="18"/>
                <w:szCs w:val="18"/>
                <w:color w:val="auto"/>
              </w:rPr>
              <w:t>lump sum; one-half payable in bi-weekly</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328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7,280,000​​​</w:t>
            </w:r>
            <w:r>
              <w:rPr>
                <w:rFonts w:ascii="Arial" w:cs="Arial" w:eastAsia="Arial" w:hAnsi="Arial"/>
                <w:sz w:val="18"/>
                <w:szCs w:val="18"/>
                <w:b w:val="1"/>
                <w:bCs w:val="1"/>
                <w:color w:val="auto"/>
              </w:rPr>
              <w:t>​</w:t>
            </w:r>
            <w:r>
              <w:rPr>
                <w:rFonts w:ascii="Arial" w:cs="Arial" w:eastAsia="Arial" w:hAnsi="Arial"/>
                <w:sz w:val="18"/>
                <w:szCs w:val="18"/>
                <w:color w:val="auto"/>
              </w:rPr>
              <w:t xml:space="preserve"> 3,070,400​​​</w:t>
            </w:r>
            <w:r>
              <w:rPr>
                <w:rFonts w:ascii="Arial" w:cs="Arial" w:eastAsia="Arial" w:hAnsi="Arial"/>
                <w:sz w:val="18"/>
                <w:szCs w:val="18"/>
                <w:b w:val="1"/>
                <w:bCs w:val="1"/>
                <w:color w:val="auto"/>
              </w:rPr>
              <w:t>​</w:t>
            </w:r>
            <w:r>
              <w:rPr>
                <w:rFonts w:ascii="Arial" w:cs="Arial" w:eastAsia="Arial" w:hAnsi="Arial"/>
                <w:sz w:val="18"/>
                <w:szCs w:val="18"/>
                <w:color w:val="auto"/>
              </w:rPr>
              <w:t xml:space="preserve"> 3,292,800​​​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2,451,760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2,541,060​​</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32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04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320" w:type="dxa"/>
            <w:vAlign w:val="bottom"/>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60" w:type="dxa"/>
            <w:vAlign w:val="bottom"/>
          </w:tcPr>
          <w:p>
            <w:pPr>
              <w:jc w:val="right"/>
              <w:ind w:right="5"/>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31,324</w:t>
            </w:r>
          </w:p>
        </w:tc>
        <w:tc>
          <w:tcPr>
            <w:tcW w:w="300" w:type="dxa"/>
            <w:vAlign w:val="bottom"/>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31,324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Prorated payment of PSUs (contingent</w:t>
            </w:r>
          </w:p>
        </w:tc>
        <w:tc>
          <w:tcPr>
            <w:tcW w:w="32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04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60" w:type="dxa"/>
            <w:vAlign w:val="bottom"/>
          </w:tcPr>
          <w:p>
            <w:pPr>
              <w:ind w:left="60"/>
              <w:spacing w:after="0"/>
              <w:rPr>
                <w:sz w:val="20"/>
                <w:szCs w:val="20"/>
                <w:color w:val="auto"/>
              </w:rPr>
            </w:pPr>
            <w:r>
              <w:rPr>
                <w:rFonts w:ascii="Arial" w:cs="Arial" w:eastAsia="Arial" w:hAnsi="Arial"/>
                <w:sz w:val="18"/>
                <w:szCs w:val="18"/>
                <w:color w:val="auto"/>
              </w:rPr>
              <w:t>on actual performance at end of</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performance period)</w:t>
            </w:r>
          </w:p>
        </w:tc>
        <w:tc>
          <w:tcPr>
            <w:tcW w:w="328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8,749,393​​​</w:t>
            </w:r>
            <w:r>
              <w:rPr>
                <w:rFonts w:ascii="Arial" w:cs="Arial" w:eastAsia="Arial" w:hAnsi="Arial"/>
                <w:sz w:val="18"/>
                <w:szCs w:val="18"/>
                <w:b w:val="1"/>
                <w:bCs w:val="1"/>
                <w:color w:val="auto"/>
              </w:rPr>
              <w:t>​</w:t>
            </w:r>
            <w:r>
              <w:rPr>
                <w:rFonts w:ascii="Arial" w:cs="Arial" w:eastAsia="Arial" w:hAnsi="Arial"/>
                <w:sz w:val="18"/>
                <w:szCs w:val="18"/>
                <w:color w:val="auto"/>
              </w:rPr>
              <w:t xml:space="preserve"> 2,152,185​​​</w:t>
            </w:r>
            <w:r>
              <w:rPr>
                <w:rFonts w:ascii="Arial" w:cs="Arial" w:eastAsia="Arial" w:hAnsi="Arial"/>
                <w:sz w:val="18"/>
                <w:szCs w:val="18"/>
                <w:b w:val="1"/>
                <w:bCs w:val="1"/>
                <w:color w:val="auto"/>
              </w:rPr>
              <w:t>​</w:t>
            </w:r>
            <w:r>
              <w:rPr>
                <w:rFonts w:ascii="Arial" w:cs="Arial" w:eastAsia="Arial" w:hAnsi="Arial"/>
                <w:sz w:val="18"/>
                <w:szCs w:val="18"/>
                <w:color w:val="auto"/>
              </w:rPr>
              <w:t xml:space="preserve"> 2,537,847​​​</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1,733,091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1,670,287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60" w:type="dxa"/>
            <w:vAlign w:val="bottom"/>
          </w:tcPr>
          <w:p>
            <w:pPr>
              <w:ind w:left="60"/>
              <w:spacing w:after="0" w:line="196" w:lineRule="exact"/>
              <w:rPr>
                <w:sz w:val="20"/>
                <w:szCs w:val="20"/>
                <w:color w:val="auto"/>
              </w:rPr>
            </w:pPr>
            <w:r>
              <w:rPr>
                <w:rFonts w:ascii="Arial" w:cs="Arial" w:eastAsia="Arial" w:hAnsi="Arial"/>
                <w:sz w:val="18"/>
                <w:szCs w:val="18"/>
                <w:color w:val="auto"/>
              </w:rPr>
              <w:t>Prorated vesting of RSUs</w:t>
            </w:r>
          </w:p>
        </w:tc>
        <w:tc>
          <w:tcPr>
            <w:tcW w:w="320" w:type="dxa"/>
            <w:vAlign w:val="bottom"/>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
              <w:spacing w:after="0" w:line="196" w:lineRule="exact"/>
              <w:rPr>
                <w:sz w:val="20"/>
                <w:szCs w:val="20"/>
                <w:color w:val="auto"/>
              </w:rPr>
            </w:pPr>
            <w:r>
              <w:rPr>
                <w:rFonts w:ascii="Arial" w:cs="Arial" w:eastAsia="Arial" w:hAnsi="Arial"/>
                <w:sz w:val="18"/>
                <w:szCs w:val="18"/>
                <w:color w:val="auto"/>
              </w:rPr>
              <w:t>— ​</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743,235 ​</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1,114,797 </w:t>
            </w: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394,138</w:t>
            </w:r>
          </w:p>
        </w:tc>
        <w:tc>
          <w:tcPr>
            <w:tcW w:w="300" w:type="dxa"/>
            <w:vAlign w:val="bottom"/>
          </w:tcPr>
          <w:p>
            <w:pPr>
              <w:jc w:val="right"/>
              <w:ind w:right="19"/>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557,399</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60" w:type="dxa"/>
            <w:vAlign w:val="bottom"/>
          </w:tcPr>
          <w:p>
            <w:pPr>
              <w:spacing w:after="0"/>
              <w:rPr>
                <w:sz w:val="4"/>
                <w:szCs w:val="4"/>
                <w:color w:val="auto"/>
              </w:rPr>
            </w:pPr>
          </w:p>
        </w:tc>
        <w:tc>
          <w:tcPr>
            <w:tcW w:w="320" w:type="dxa"/>
            <w:vAlign w:val="bottom"/>
          </w:tcPr>
          <w:p>
            <w:pPr>
              <w:jc w:val="right"/>
              <w:ind w:right="119"/>
              <w:spacing w:after="0" w:line="54" w:lineRule="exact"/>
              <w:rPr>
                <w:sz w:val="20"/>
                <w:szCs w:val="20"/>
                <w:color w:val="auto"/>
              </w:rPr>
            </w:pPr>
            <w:r>
              <w:rPr>
                <w:rFonts w:ascii="Arial" w:cs="Arial" w:eastAsia="Arial" w:hAnsi="Arial"/>
                <w:sz w:val="6"/>
                <w:szCs w:val="6"/>
                <w:color w:val="auto"/>
              </w:rPr>
              <w:t>​​</w:t>
            </w:r>
          </w:p>
        </w:tc>
        <w:tc>
          <w:tcPr>
            <w:tcW w:w="960" w:type="dxa"/>
            <w:vAlign w:val="bottom"/>
          </w:tcPr>
          <w:p>
            <w:pPr>
              <w:jc w:val="right"/>
              <w:ind w:right="45"/>
              <w:spacing w:after="0" w:line="54" w:lineRule="exact"/>
              <w:rPr>
                <w:sz w:val="20"/>
                <w:szCs w:val="20"/>
                <w:color w:val="auto"/>
              </w:rPr>
            </w:pPr>
            <w:r>
              <w:rPr>
                <w:rFonts w:ascii="Arial" w:cs="Arial" w:eastAsia="Arial" w:hAnsi="Arial"/>
                <w:sz w:val="6"/>
                <w:szCs w:val="6"/>
                <w:color w:val="auto"/>
              </w:rPr>
              <w:t>​​​</w:t>
            </w:r>
          </w:p>
        </w:tc>
        <w:tc>
          <w:tcPr>
            <w:tcW w:w="960" w:type="dxa"/>
            <w:vAlign w:val="bottom"/>
          </w:tcPr>
          <w:p>
            <w:pPr>
              <w:jc w:val="right"/>
              <w:ind w:right="5"/>
              <w:spacing w:after="0" w:line="54" w:lineRule="exact"/>
              <w:rPr>
                <w:sz w:val="20"/>
                <w:szCs w:val="20"/>
                <w:color w:val="auto"/>
              </w:rPr>
            </w:pPr>
            <w:r>
              <w:rPr>
                <w:rFonts w:ascii="Arial" w:cs="Arial" w:eastAsia="Arial" w:hAnsi="Arial"/>
                <w:sz w:val="6"/>
                <w:szCs w:val="6"/>
                <w:color w:val="auto"/>
              </w:rPr>
              <w:t>​​​</w:t>
            </w:r>
          </w:p>
        </w:tc>
        <w:tc>
          <w:tcPr>
            <w:tcW w:w="1040" w:type="dxa"/>
            <w:vAlign w:val="bottom"/>
          </w:tcPr>
          <w:p>
            <w:pPr>
              <w:jc w:val="right"/>
              <w:ind w:right="5"/>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300" w:type="dxa"/>
            <w:vAlign w:val="bottom"/>
          </w:tcPr>
          <w:p>
            <w:pPr>
              <w:jc w:val="right"/>
              <w:ind w:right="59"/>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20" w:type="dxa"/>
            <w:vAlign w:val="bottom"/>
            <w:gridSpan w:val="2"/>
            <w:shd w:val="clear" w:color="auto" w:fill="457157"/>
          </w:tcPr>
          <w:p>
            <w:pPr>
              <w:spacing w:after="0" w:line="20" w:lineRule="exact"/>
              <w:rPr>
                <w:sz w:val="1"/>
                <w:szCs w:val="1"/>
                <w:color w:val="auto"/>
              </w:rPr>
            </w:pPr>
          </w:p>
        </w:tc>
        <w:tc>
          <w:tcPr>
            <w:tcW w:w="3280" w:type="dxa"/>
            <w:vAlign w:val="bottom"/>
            <w:gridSpan w:val="4"/>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4"/>
          </w:tcPr>
          <w:p>
            <w:pPr>
              <w:jc w:val="right"/>
              <w:spacing w:after="0"/>
              <w:rPr>
                <w:sz w:val="20"/>
                <w:szCs w:val="20"/>
                <w:color w:val="auto"/>
              </w:rPr>
            </w:pPr>
            <w:r>
              <w:rPr>
                <w:rFonts w:ascii="Arial" w:cs="Arial" w:eastAsia="Arial" w:hAnsi="Arial"/>
                <w:sz w:val="18"/>
                <w:szCs w:val="18"/>
                <w:b w:val="1"/>
                <w:bCs w:val="1"/>
                <w:color w:val="auto"/>
              </w:rPr>
              <w:t>​​​16,060,717​​​​ 5,997,144​​​​ 6,976,768​​​​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4,610,313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4,800,070</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382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w:t>
            </w:r>
          </w:p>
        </w:tc>
        <w:tc>
          <w:tcPr>
            <w:tcW w:w="320" w:type="dxa"/>
            <w:vAlign w:val="bottom"/>
            <w:tcBorders>
              <w:top w:val="single" w:sz="8" w:color="457157"/>
            </w:tcBorders>
          </w:tcPr>
          <w:p>
            <w:pPr>
              <w:spacing w:after="0"/>
              <w:rPr>
                <w:sz w:val="17"/>
                <w:szCs w:val="17"/>
                <w:color w:val="auto"/>
              </w:rPr>
            </w:pPr>
          </w:p>
        </w:tc>
        <w:tc>
          <w:tcPr>
            <w:tcW w:w="960" w:type="dxa"/>
            <w:vAlign w:val="bottom"/>
            <w:tcBorders>
              <w:top w:val="single" w:sz="8" w:color="457157"/>
            </w:tcBorders>
          </w:tcPr>
          <w:p>
            <w:pPr>
              <w:spacing w:after="0"/>
              <w:rPr>
                <w:sz w:val="17"/>
                <w:szCs w:val="17"/>
                <w:color w:val="auto"/>
              </w:rPr>
            </w:pPr>
          </w:p>
        </w:tc>
        <w:tc>
          <w:tcPr>
            <w:tcW w:w="960" w:type="dxa"/>
            <w:vAlign w:val="bottom"/>
            <w:tcBorders>
              <w:top w:val="single" w:sz="8" w:color="457157"/>
            </w:tcBorders>
          </w:tcPr>
          <w:p>
            <w:pPr>
              <w:spacing w:after="0"/>
              <w:rPr>
                <w:sz w:val="17"/>
                <w:szCs w:val="17"/>
                <w:color w:val="auto"/>
              </w:rPr>
            </w:pPr>
          </w:p>
        </w:tc>
        <w:tc>
          <w:tcPr>
            <w:tcW w:w="104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7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by the Company or For Good Reason by</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the Employee Six Months Following a</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​Change in Control (Double Trigger)</w:t>
            </w:r>
          </w:p>
        </w:tc>
        <w:tc>
          <w:tcPr>
            <w:tcW w:w="320" w:type="dxa"/>
            <w:vAlign w:val="bottom"/>
          </w:tcPr>
          <w:p>
            <w:pPr>
              <w:jc w:val="right"/>
              <w:ind w:right="79"/>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40" w:type="dxa"/>
            <w:vAlign w:val="bottom"/>
          </w:tcPr>
          <w:p>
            <w:pPr>
              <w:spacing w:after="0"/>
              <w:rPr>
                <w:sz w:val="21"/>
                <w:szCs w:val="21"/>
                <w:color w:val="auto"/>
              </w:rPr>
            </w:pPr>
          </w:p>
        </w:tc>
        <w:tc>
          <w:tcPr>
            <w:tcW w:w="300" w:type="dxa"/>
            <w:vAlign w:val="bottom"/>
          </w:tcPr>
          <w:p>
            <w:pPr>
              <w:jc w:val="right"/>
              <w:ind w:right="19"/>
              <w:spacing w:after="0"/>
              <w:rPr>
                <w:sz w:val="20"/>
                <w:szCs w:val="20"/>
                <w:color w:val="auto"/>
              </w:rPr>
            </w:pPr>
            <w:r>
              <w:rPr>
                <w:rFonts w:ascii="Arial" w:cs="Arial" w:eastAsia="Arial" w:hAnsi="Arial"/>
                <w:sz w:val="18"/>
                <w:szCs w:val="18"/>
                <w:b w:val="1"/>
                <w:bCs w:val="1"/>
                <w:i w:val="1"/>
                <w:iCs w:val="1"/>
                <w:color w:val="auto"/>
              </w:rPr>
              <w:t>​​​​​</w:t>
            </w:r>
          </w:p>
        </w:tc>
        <w:tc>
          <w:tcPr>
            <w:tcW w:w="7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-1379220</wp:posOffset>
            </wp:positionV>
            <wp:extent cx="5760720" cy="4629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60720" cy="4629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-745490</wp:posOffset>
            </wp:positionV>
            <wp:extent cx="5760720"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-8255</wp:posOffset>
            </wp:positionV>
            <wp:extent cx="5760720" cy="6000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Two times base salary plus target</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annual cash bonus (one-half payable in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lump sum; one-half payable in bi-weekly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7,280,000​​​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3,070,400​​​</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3,292,800​​​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2,451,760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2,541,060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31,324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stock options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5,440,570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1,331,368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1,522,221</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692,619</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1,053,163</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Prorated accelerated payment of PSUs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8,749,393</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2,152,185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2,537,847</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1,733,091</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1,670,287</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Accelerated payment of PSUs</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8,970,045</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2,160,185</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2,541,429</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1,809,149</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1,683,540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line="189" w:lineRule="exact"/>
              <w:rPr>
                <w:sz w:val="20"/>
                <w:szCs w:val="20"/>
                <w:color w:val="auto"/>
              </w:rPr>
            </w:pPr>
            <w:r>
              <w:rPr>
                <w:rFonts w:ascii="Arial" w:cs="Arial" w:eastAsia="Arial" w:hAnsi="Arial"/>
                <w:sz w:val="18"/>
                <w:szCs w:val="18"/>
                <w:color w:val="auto"/>
              </w:rPr>
              <w:t>replacement grant</w:t>
            </w: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1,218,417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1,827,536</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611,089</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913,768</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line="195" w:lineRule="exact"/>
              <w:rPr>
                <w:sz w:val="20"/>
                <w:szCs w:val="20"/>
                <w:color w:val="auto"/>
              </w:rPr>
            </w:pPr>
            <w:r>
              <w:rPr>
                <w:rFonts w:ascii="Arial" w:cs="Arial" w:eastAsia="Arial" w:hAnsi="Arial"/>
                <w:sz w:val="17"/>
                <w:szCs w:val="17"/>
                <w:color w:val="auto"/>
              </w:rPr>
              <w:t>Prorated annual cash bonus</w:t>
            </w:r>
            <w:r>
              <w:rPr>
                <w:rFonts w:ascii="Arial" w:cs="Arial" w:eastAsia="Arial" w:hAnsi="Arial"/>
                <w:sz w:val="22"/>
                <w:szCs w:val="22"/>
                <w:color w:val="auto"/>
                <w:vertAlign w:val="superscript"/>
              </w:rPr>
              <w:t>(1)</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4,480,000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1,535,200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1,724,800</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580,680</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601,830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vMerge w:val="restart"/>
          </w:tcPr>
          <w:p>
            <w:pPr>
              <w:ind w:left="20"/>
              <w:spacing w:after="0" w:line="81" w:lineRule="exact"/>
              <w:rPr>
                <w:sz w:val="20"/>
                <w:szCs w:val="20"/>
                <w:color w:val="auto"/>
              </w:rPr>
            </w:pPr>
            <w:r>
              <w:rPr>
                <w:rFonts w:ascii="Arial" w:cs="Arial" w:eastAsia="Arial" w:hAnsi="Arial"/>
                <w:sz w:val="9"/>
                <w:szCs w:val="9"/>
                <w:color w:val="auto"/>
              </w:rPr>
              <w:t>​</w:t>
            </w:r>
          </w:p>
        </w:tc>
        <w:tc>
          <w:tcPr>
            <w:tcW w:w="36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100" w:type="dxa"/>
            <w:vAlign w:val="bottom"/>
            <w:vMerge w:val="restart"/>
          </w:tcPr>
          <w:p>
            <w:pPr>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1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457157"/>
          </w:tcPr>
          <w:p>
            <w:pPr>
              <w:spacing w:after="0" w:line="20" w:lineRule="exact"/>
              <w:rPr>
                <w:sz w:val="1"/>
                <w:szCs w:val="1"/>
                <w:color w:val="auto"/>
              </w:rPr>
            </w:pPr>
          </w:p>
        </w:tc>
        <w:tc>
          <w:tcPr>
            <w:tcW w:w="3300" w:type="dxa"/>
            <w:vAlign w:val="bottom"/>
            <w:gridSpan w:val="7"/>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300" w:type="dxa"/>
            <w:vAlign w:val="bottom"/>
            <w:gridSpan w:val="7"/>
          </w:tcPr>
          <w:p>
            <w:pPr>
              <w:jc w:val="right"/>
              <w:spacing w:after="0"/>
              <w:rPr>
                <w:sz w:val="20"/>
                <w:szCs w:val="20"/>
                <w:color w:val="auto"/>
              </w:rPr>
            </w:pPr>
            <w:r>
              <w:rPr>
                <w:rFonts w:ascii="Arial" w:cs="Arial" w:eastAsia="Arial" w:hAnsi="Arial"/>
                <w:sz w:val="18"/>
                <w:szCs w:val="18"/>
                <w:b w:val="1"/>
                <w:bCs w:val="1"/>
                <w:color w:val="auto"/>
              </w:rPr>
              <w:t>​​​34,951,332​​​​11,499,079​​​​13,477,957​​​​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7,909,712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8,494,972</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-1165225</wp:posOffset>
            </wp:positionV>
            <wp:extent cx="576072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-822325</wp:posOffset>
            </wp:positionV>
            <wp:extent cx="5760720" cy="291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-359410</wp:posOffset>
            </wp:positionV>
            <wp:extent cx="576072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60720" cy="188595"/>
                    </a:xfrm>
                    <a:prstGeom prst="rect">
                      <a:avLst/>
                    </a:prstGeom>
                    <a:noFill/>
                  </pic:spPr>
                </pic:pic>
              </a:graphicData>
            </a:graphic>
          </wp:anchor>
        </w:drawing>
      </w:r>
    </w:p>
    <w:p>
      <w:pPr>
        <w:spacing w:after="0" w:line="15" w:lineRule="exact"/>
        <w:rPr>
          <w:sz w:val="20"/>
          <w:szCs w:val="20"/>
          <w:color w:val="auto"/>
        </w:rPr>
      </w:pPr>
    </w:p>
    <w:p>
      <w:pPr>
        <w:jc w:val="both"/>
        <w:ind w:left="1180" w:right="60" w:hanging="359"/>
        <w:spacing w:after="0" w:line="214" w:lineRule="auto"/>
        <w:tabs>
          <w:tab w:leader="none" w:pos="1160" w:val="left"/>
        </w:tabs>
        <w:rPr>
          <w:sz w:val="20"/>
          <w:szCs w:val="20"/>
          <w:color w:val="auto"/>
        </w:rPr>
      </w:pPr>
      <w:r>
        <w:rPr>
          <w:rFonts w:ascii="Arial" w:cs="Arial" w:eastAsia="Arial" w:hAnsi="Arial"/>
          <w:sz w:val="18"/>
          <w:szCs w:val="18"/>
          <w:color w:val="auto"/>
        </w:rPr>
        <w:t>(1)</w:t>
        <w:tab/>
        <w:t>Pursuant to the Severance Protection Plan, Ms. Hemmer and Mr. Carrasco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w:t>
      </w:r>
      <w:r>
        <w:rPr>
          <w:rFonts w:ascii="Arial" w:cs="Arial" w:eastAsia="Arial" w:hAnsi="Arial"/>
          <w:sz w:val="32"/>
          <w:szCs w:val="32"/>
          <w:b w:val="1"/>
          <w:bCs w:val="1"/>
          <w:color w:val="457157"/>
        </w:rPr>
        <w:t>|</w:t>
      </w:r>
      <w:r>
        <w:rPr>
          <w:rFonts w:ascii="Arial" w:cs="Arial" w:eastAsia="Arial" w:hAnsi="Arial"/>
          <w:sz w:val="18"/>
          <w:szCs w:val="18"/>
          <w:color w:val="auto"/>
        </w:rPr>
        <w:t xml:space="preserv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-50165</wp:posOffset>
            </wp:positionV>
            <wp:extent cx="4718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both"/>
        <w:ind w:left="1180"/>
        <w:spacing w:after="0" w:line="258" w:lineRule="auto"/>
        <w:rPr>
          <w:sz w:val="20"/>
          <w:szCs w:val="20"/>
          <w:color w:val="auto"/>
        </w:rPr>
      </w:pPr>
      <w:r>
        <w:rPr>
          <w:rFonts w:ascii="Arial" w:cs="Arial" w:eastAsia="Arial" w:hAnsi="Arial"/>
          <w:sz w:val="18"/>
          <w:szCs w:val="18"/>
          <w:color w:val="auto"/>
        </w:rPr>
        <w:t>account of similar terms in pre-existing employment agreements that2024executivesProxyStatementwereagreeing 57​to terminate in order to support the Company’s transition toward a more standardized and flexible approach to severance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138430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Chief Executive Officer Pay Ratio</w:t>
      </w:r>
    </w:p>
    <w:p>
      <w:pPr>
        <w:spacing w:after="0" w:line="81" w:lineRule="exact"/>
        <w:rPr>
          <w:sz w:val="20"/>
          <w:szCs w:val="20"/>
          <w:color w:val="auto"/>
        </w:rPr>
      </w:pPr>
    </w:p>
    <w:p>
      <w:pPr>
        <w:jc w:val="both"/>
        <w:ind w:left="820" w:right="660"/>
        <w:spacing w:after="0" w:line="242" w:lineRule="auto"/>
        <w:rPr>
          <w:sz w:val="20"/>
          <w:szCs w:val="20"/>
          <w:color w:val="auto"/>
        </w:rPr>
      </w:pPr>
      <w:r>
        <w:rPr>
          <w:rFonts w:ascii="Arial" w:cs="Arial" w:eastAsia="Arial" w:hAnsi="Arial"/>
          <w:sz w:val="18"/>
          <w:szCs w:val="18"/>
          <w:color w:val="auto"/>
        </w:rPr>
        <w:t>In 2022, we reconducted our analysis to identify the Company’s median employee, based on total annual compensation for all employees other than our Chief Executive Officer, in accordance with SEC Regulation S-K, Item 402(u) (the “Median Employee”). There have been no changes to the Company’s employee population, compensation arrangements, or the circumstances of the Median Employee that the Company believes would significantly impact this pay ratio disclosure and require identification of a new Median Employee. To select the Median Employee, we determined the actual taxable compensation paid to each listed employee in 2021, converted to U.S. dollars at appropriate exchange rates for non- U.S. employees, and annualized for salaried employees hired during the year. We did not apply any cost-of-living adjustments nor did we use any form of statistical sampling. The Median Employee, a Senior Technician in the U.S., was identified from a list of Company employees as of December 31, 2021. Out of a total worldwide employee population of 48,687 on that date, the list included 47,617 employees and excluded the Chief Executive Officer and our 1,069 employees based in India. Approximately 95.7% of these total employees work in the U.S. and approximately 4.3% work in Canada. Over 99% of these individuals are full-time employees. Any temporary or seasonal employees are included; any subcontracted workers are not employees and are excluded. For 2023, total annual compensation for the Median Employee was $97,046. The annual compensation of our Chief Executive Officer was $14,628,854, for a ratio of 1:151. These values were calculated in accordance with SEC Regulation S-K, Item 402(c)(2)(x) requirements for reporting total compensation in the Summary Compensation Table.</w:t>
      </w:r>
    </w:p>
    <w:p>
      <w:pPr>
        <w:spacing w:after="0" w:line="200" w:lineRule="exact"/>
        <w:rPr>
          <w:sz w:val="20"/>
          <w:szCs w:val="20"/>
          <w:color w:val="auto"/>
        </w:rPr>
      </w:pPr>
    </w:p>
    <w:p>
      <w:pPr>
        <w:spacing w:after="0" w:line="40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Equity Compensation Plan Table</w:t>
      </w:r>
    </w:p>
    <w:p>
      <w:pPr>
        <w:spacing w:after="0" w:line="81" w:lineRule="exact"/>
        <w:rPr>
          <w:sz w:val="20"/>
          <w:szCs w:val="20"/>
          <w:color w:val="auto"/>
        </w:rPr>
      </w:pPr>
    </w:p>
    <w:p>
      <w:pPr>
        <w:jc w:val="both"/>
        <w:ind w:left="820" w:right="660"/>
        <w:spacing w:after="0" w:line="268" w:lineRule="auto"/>
        <w:rPr>
          <w:sz w:val="20"/>
          <w:szCs w:val="20"/>
          <w:color w:val="auto"/>
        </w:rPr>
      </w:pPr>
      <w:r>
        <w:rPr>
          <w:rFonts w:ascii="Arial" w:cs="Arial" w:eastAsia="Arial" w:hAnsi="Arial"/>
          <w:sz w:val="18"/>
          <w:szCs w:val="18"/>
          <w:color w:val="auto"/>
        </w:rPr>
        <w:t>The following table provides information as of December 31, 2023 about the number of shares to be issued upon vesting or exercise of equity awards and shares remaining available for issuance under our equity compensation plans.</w:t>
      </w:r>
    </w:p>
    <w:p>
      <w:pPr>
        <w:spacing w:after="0" w:line="7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2"/>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5"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 to be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Weighted-Average</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457157"/>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4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Issued Upon</w:t>
            </w: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39" w:lineRule="exact"/>
              <w:rPr>
                <w:sz w:val="20"/>
                <w:szCs w:val="20"/>
                <w:color w:val="auto"/>
              </w:rPr>
            </w:pPr>
            <w:r>
              <w:rPr>
                <w:rFonts w:ascii="Arial" w:cs="Arial" w:eastAsia="Arial" w:hAnsi="Arial"/>
                <w:sz w:val="14"/>
                <w:szCs w:val="14"/>
                <w:b w:val="1"/>
                <w:bCs w:val="1"/>
                <w:color w:val="457157"/>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w:t>
            </w:r>
          </w:p>
        </w:tc>
        <w:tc>
          <w:tcPr>
            <w:tcW w:w="14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 Price of</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5" w:lineRule="exact"/>
              <w:rPr>
                <w:sz w:val="20"/>
                <w:szCs w:val="20"/>
                <w:color w:val="auto"/>
              </w:rPr>
            </w:pPr>
            <w:r>
              <w:rPr>
                <w:rFonts w:ascii="Arial" w:cs="Arial" w:eastAsia="Arial" w:hAnsi="Arial"/>
                <w:sz w:val="14"/>
                <w:szCs w:val="14"/>
                <w:b w:val="1"/>
                <w:bCs w:val="1"/>
                <w:color w:val="457157"/>
              </w:rPr>
              <w:t>Future 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457157"/>
              </w:rPr>
              <w:t>​Plan Category</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of Outstanding</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Outstanding</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457157"/>
              </w:rPr>
              <w:t>Under 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40" w:type="dxa"/>
            <w:vAlign w:val="bottom"/>
            <w:vMerge w:val="continue"/>
          </w:tcPr>
          <w:p>
            <w:pPr>
              <w:spacing w:after="0"/>
              <w:rPr>
                <w:sz w:val="15"/>
                <w:szCs w:val="15"/>
                <w:color w:val="auto"/>
              </w:rPr>
            </w:pPr>
          </w:p>
        </w:tc>
        <w:tc>
          <w:tcPr>
            <w:tcW w:w="4580" w:type="dxa"/>
            <w:vAlign w:val="bottom"/>
            <w:gridSpan w:val="8"/>
          </w:tcPr>
          <w:p>
            <w:pPr>
              <w:ind w:left="20"/>
              <w:spacing w:after="0"/>
              <w:rPr>
                <w:sz w:val="20"/>
                <w:szCs w:val="20"/>
                <w:color w:val="auto"/>
              </w:rPr>
            </w:pPr>
            <w:r>
              <w:rPr>
                <w:rFonts w:ascii="Arial" w:cs="Arial" w:eastAsia="Arial" w:hAnsi="Arial"/>
                <w:sz w:val="14"/>
                <w:szCs w:val="14"/>
                <w:b w:val="1"/>
                <w:bCs w:val="1"/>
                <w:color w:val="457157"/>
              </w:rPr>
              <w:t>​Options and Rights​Options and Rights​Compensation Plans​</w:t>
            </w: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Pr>
          <w:p>
            <w:pPr>
              <w:spacing w:after="0" w:line="22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  ​​ 4,162,092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w w:val="81"/>
              </w:rPr>
              <w:t>(2)</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   ​ $  111.22</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(3)</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 16,085,724</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-205105</wp:posOffset>
            </wp:positionV>
            <wp:extent cx="6137910" cy="196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37910" cy="196850"/>
                    </a:xfrm>
                    <a:prstGeom prst="rect">
                      <a:avLst/>
                    </a:prstGeom>
                    <a:noFill/>
                  </pic:spPr>
                </pic:pic>
              </a:graphicData>
            </a:graphic>
          </wp:anchor>
        </w:drawing>
      </w:r>
    </w:p>
    <w:p>
      <w:pPr>
        <w:jc w:val="both"/>
        <w:ind w:left="1180" w:right="660" w:hanging="364"/>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our 2009 Stock Incentive Plan, 2014 Stock Incentive Plan, 2023 Stock Incentive Plan and Employee Stock Purchase Plan (“ESPP”). No additional awards may be granted under our 2009 Stock Incentive Plan or our 2014 Stock Incentive Plan.</w:t>
      </w:r>
    </w:p>
    <w:p>
      <w:pPr>
        <w:spacing w:after="0" w:line="22" w:lineRule="exact"/>
        <w:rPr>
          <w:rFonts w:ascii="Arial" w:cs="Arial" w:eastAsia="Arial" w:hAnsi="Arial"/>
          <w:sz w:val="18"/>
          <w:szCs w:val="18"/>
          <w:color w:val="auto"/>
        </w:rPr>
      </w:pPr>
    </w:p>
    <w:p>
      <w:pPr>
        <w:jc w:val="both"/>
        <w:ind w:left="1180" w:right="660" w:hanging="364"/>
        <w:spacing w:after="0" w:line="25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options outstanding for 2,728,522 shares of Common Stock; 182,105 shares of Common Stock to be issued in connection with deferred compensation obligations; 370,902 shares underlying unvested RSUs and 880,563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880,563 shares.</w:t>
      </w:r>
    </w:p>
    <w:p>
      <w:pPr>
        <w:spacing w:after="0" w:line="74" w:lineRule="exact"/>
        <w:rPr>
          <w:rFonts w:ascii="Arial" w:cs="Arial" w:eastAsia="Arial" w:hAnsi="Arial"/>
          <w:sz w:val="18"/>
          <w:szCs w:val="18"/>
          <w:color w:val="auto"/>
        </w:rPr>
      </w:pPr>
    </w:p>
    <w:p>
      <w:pPr>
        <w:jc w:val="both"/>
        <w:ind w:left="1180" w:right="660"/>
        <w:spacing w:after="0" w:line="256"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308,597 shares on account of PSUs, at target, with the performance period ended December 31, 2023. The determination of achievement of performance results on such PSUs was performed by the MD&amp;C Committee in February 2024, and the Company achieved maximum performance criteria on the TSR PSUs and the Cash Flow PSUs, yielding a 200% payout. A total of 406,810 shares of Common Stock were issued on account of such PSUs in February 2024, net of units deferred, of which 203,405 shares of Common Stock were included in the first column of the table above.</w:t>
      </w:r>
    </w:p>
    <w:p>
      <w:pPr>
        <w:spacing w:after="0" w:line="74" w:lineRule="exact"/>
        <w:rPr>
          <w:rFonts w:ascii="Arial" w:cs="Arial" w:eastAsia="Arial" w:hAnsi="Arial"/>
          <w:sz w:val="18"/>
          <w:szCs w:val="18"/>
          <w:color w:val="auto"/>
        </w:rPr>
      </w:pPr>
    </w:p>
    <w:p>
      <w:pPr>
        <w:jc w:val="both"/>
        <w:ind w:left="1180" w:right="680"/>
        <w:spacing w:after="0" w:line="261" w:lineRule="auto"/>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247" w:lineRule="exact"/>
        <w:rPr>
          <w:rFonts w:ascii="Arial" w:cs="Arial" w:eastAsia="Arial" w:hAnsi="Arial"/>
          <w:sz w:val="18"/>
          <w:szCs w:val="18"/>
          <w:color w:val="auto"/>
        </w:rPr>
      </w:pPr>
    </w:p>
    <w:p>
      <w:pPr>
        <w:ind w:left="1180" w:right="660" w:hanging="364"/>
        <w:spacing w:after="0" w:line="28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PSUs and RSUs because those awards do not have exercise prices associated with them. Also excludes purchase rights under the ESPP for the reasons described in note (2) above.</w:t>
      </w:r>
    </w:p>
    <w:p>
      <w:pPr>
        <w:spacing w:after="0" w:line="17" w:lineRule="exact"/>
        <w:rPr>
          <w:rFonts w:ascii="Arial" w:cs="Arial" w:eastAsia="Arial" w:hAnsi="Arial"/>
          <w:sz w:val="18"/>
          <w:szCs w:val="18"/>
          <w:color w:val="auto"/>
        </w:rPr>
      </w:pPr>
    </w:p>
    <w:p>
      <w:pPr>
        <w:jc w:val="both"/>
        <w:ind w:left="1180" w:right="660" w:hanging="364"/>
        <w:spacing w:after="0" w:line="262"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shares remaining available include 1,795,378 shares under our ESPP and 14,290,346 shares under our 2023 Stock Incentive Plan, assuming payout of PSUs at maximum. Assuming payout of PSUs at target, the number of shares remaining available for issuance under our 2023 Stock Incentive Plan would be 15,170,909.</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w:t>
      </w:r>
    </w:p>
    <w:p>
      <w:pPr>
        <w:spacing w:after="0" w:line="121"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 xml:space="preserve">We are required to calculate and present the following compensation information in the tabular format prescribed by the SEC.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other executive compensation tables above should be read in conjunction with this section to gain a complete understanding of our executive compensation philosophy, programs and decisions.</w:t>
      </w:r>
    </w:p>
    <w:p>
      <w:pPr>
        <w:spacing w:after="0" w:line="6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 -end.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2023. This measure is also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is generally defined as the Company’s income from operations, excluding depreciation, depletion and 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A for additional information and a reconciliation of this non-GAAP measure to the most comparable GAAP measure.</w:t>
      </w:r>
    </w:p>
    <w:p>
      <w:pPr>
        <w:spacing w:after="0" w:line="39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Value of Initial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457157"/>
              </w:rPr>
              <w:t>Fixed $100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68"/>
              <w:spacing w:after="0" w:line="145" w:lineRule="exact"/>
              <w:rPr>
                <w:sz w:val="20"/>
                <w:szCs w:val="20"/>
                <w:color w:val="auto"/>
              </w:rPr>
            </w:pPr>
            <w:r>
              <w:rPr>
                <w:rFonts w:ascii="Arial" w:cs="Arial" w:eastAsia="Arial" w:hAnsi="Arial"/>
                <w:sz w:val="14"/>
                <w:szCs w:val="14"/>
                <w:b w:val="1"/>
                <w:bCs w:val="1"/>
                <w:color w:val="457157"/>
              </w:rPr>
              <w:t>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Average SCT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457157"/>
              </w:rPr>
              <w:t>Average</w:t>
            </w:r>
          </w:p>
        </w:tc>
        <w:tc>
          <w:tcPr>
            <w:tcW w:w="1140" w:type="dxa"/>
            <w:vAlign w:val="bottom"/>
            <w:tcBorders>
              <w:bottom w:val="single" w:sz="8" w:color="457157"/>
            </w:tcBorders>
            <w:gridSpan w:val="2"/>
          </w:tcPr>
          <w:p>
            <w:pPr>
              <w:jc w:val="right"/>
              <w:ind w:right="8"/>
              <w:spacing w:after="0" w:line="169" w:lineRule="exact"/>
              <w:rPr>
                <w:sz w:val="20"/>
                <w:szCs w:val="20"/>
                <w:color w:val="auto"/>
              </w:rPr>
            </w:pPr>
            <w:r>
              <w:rPr>
                <w:rFonts w:ascii="Arial" w:cs="Arial" w:eastAsia="Arial" w:hAnsi="Arial"/>
                <w:sz w:val="19"/>
                <w:szCs w:val="19"/>
                <w:b w:val="1"/>
                <w:bCs w:val="1"/>
                <w:color w:val="457157"/>
                <w:vertAlign w:val="subscript"/>
              </w:rPr>
              <w:t>​</w:t>
            </w:r>
            <w:r>
              <w:rPr>
                <w:rFonts w:ascii="Arial" w:cs="Arial" w:eastAsia="Arial" w:hAnsi="Arial"/>
                <w:sz w:val="11"/>
                <w:szCs w:val="11"/>
                <w:b w:val="1"/>
                <w:bCs w:val="1"/>
                <w:color w:val="457157"/>
              </w:rPr>
              <w:t xml:space="preserve"> Based on:</w:t>
            </w:r>
            <w:r>
              <w:rPr>
                <w:rFonts w:ascii="Arial" w:cs="Arial" w:eastAsia="Arial" w:hAnsi="Arial"/>
                <w:sz w:val="7"/>
                <w:szCs w:val="7"/>
                <w:b w:val="1"/>
                <w:bCs w:val="1"/>
                <w:color w:val="457157"/>
              </w:rPr>
              <w:t>(3)</w:t>
            </w:r>
          </w:p>
        </w:tc>
        <w:tc>
          <w:tcPr>
            <w:tcW w:w="80" w:type="dxa"/>
            <w:vAlign w:val="bottom"/>
            <w:tcBorders>
              <w:bottom w:val="single" w:sz="8" w:color="457157"/>
            </w:tcBorders>
          </w:tcPr>
          <w:p>
            <w:pPr>
              <w:spacing w:after="0"/>
              <w:rPr>
                <w:sz w:val="17"/>
                <w:szCs w:val="17"/>
                <w:color w:val="auto"/>
              </w:rPr>
            </w:pPr>
          </w:p>
        </w:tc>
        <w:tc>
          <w:tcPr>
            <w:tcW w:w="120" w:type="dxa"/>
            <w:vAlign w:val="bottom"/>
          </w:tcPr>
          <w:p>
            <w:pPr>
              <w:jc w:val="center"/>
              <w:ind w:right="29"/>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457157"/>
              </w:rPr>
              <w:t>SCT Total</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Total for</w:t>
            </w:r>
          </w:p>
        </w:tc>
        <w:tc>
          <w:tcPr>
            <w:tcW w:w="1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457157"/>
              </w:rPr>
              <w:t>Non-CEO</w:t>
            </w: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457157"/>
              </w:rPr>
              <w:t>WM</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Peer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CSM:</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457157"/>
              </w:rPr>
              <w:t>CEO CAP</w:t>
            </w:r>
            <w:r>
              <w:rPr>
                <w:rFonts w:ascii="Arial" w:cs="Arial" w:eastAsia="Arial" w:hAnsi="Arial"/>
                <w:sz w:val="17"/>
                <w:szCs w:val="17"/>
                <w:b w:val="1"/>
                <w:bCs w:val="1"/>
                <w:color w:val="457157"/>
                <w:vertAlign w:val="superscript"/>
              </w:rPr>
              <w:t>(1)(2)</w:t>
            </w:r>
          </w:p>
        </w:tc>
        <w:tc>
          <w:tcPr>
            <w:tcW w:w="2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Non-CEO</w:t>
            </w:r>
          </w:p>
        </w:tc>
        <w:tc>
          <w:tcPr>
            <w:tcW w:w="180" w:type="dxa"/>
            <w:vAlign w:val="bottom"/>
          </w:tcPr>
          <w:p>
            <w:pPr>
              <w:spacing w:after="0"/>
              <w:rPr>
                <w:sz w:val="12"/>
                <w:szCs w:val="12"/>
                <w:color w:val="auto"/>
              </w:rPr>
            </w:pPr>
          </w:p>
        </w:tc>
        <w:tc>
          <w:tcPr>
            <w:tcW w:w="84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457157"/>
              </w:rPr>
              <w:t>NEOs</w:t>
            </w:r>
          </w:p>
        </w:tc>
        <w:tc>
          <w:tcPr>
            <w:tcW w:w="640" w:type="dxa"/>
            <w:vAlign w:val="bottom"/>
            <w:vMerge w:val="continue"/>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Group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Net Income</w:t>
            </w:r>
          </w:p>
        </w:tc>
        <w:tc>
          <w:tcPr>
            <w:tcW w:w="24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b w:val="1"/>
                <w:bCs w:val="1"/>
                <w:color w:val="457157"/>
              </w:rPr>
              <w:t>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6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 CEO</w:t>
            </w:r>
            <w:r>
              <w:rPr>
                <w:rFonts w:ascii="Arial" w:cs="Arial" w:eastAsia="Arial" w:hAnsi="Arial"/>
                <w:sz w:val="8"/>
                <w:szCs w:val="8"/>
                <w:b w:val="1"/>
                <w:bCs w:val="1"/>
                <w:color w:val="457157"/>
              </w:rPr>
              <w:t>(1)</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NEOs</w:t>
            </w:r>
            <w:r>
              <w:rPr>
                <w:rFonts w:ascii="Arial" w:cs="Arial" w:eastAsia="Arial" w:hAnsi="Arial"/>
                <w:sz w:val="8"/>
                <w:szCs w:val="8"/>
                <w:b w:val="1"/>
                <w:bCs w:val="1"/>
                <w:color w:val="457157"/>
              </w:rPr>
              <w:t>(1)</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rPr>
              <w:t>CAP</w:t>
            </w:r>
            <w:r>
              <w:rPr>
                <w:rFonts w:ascii="Arial" w:cs="Arial" w:eastAsia="Arial" w:hAnsi="Arial"/>
                <w:sz w:val="8"/>
                <w:szCs w:val="8"/>
                <w:b w:val="1"/>
                <w:bCs w:val="1"/>
                <w:color w:val="457157"/>
              </w:rPr>
              <w:t>(1)(2)</w:t>
            </w:r>
          </w:p>
        </w:tc>
        <w:tc>
          <w:tcPr>
            <w:tcW w:w="640" w:type="dxa"/>
            <w:vAlign w:val="bottom"/>
          </w:tcPr>
          <w:p>
            <w:pPr>
              <w:jc w:val="right"/>
              <w:ind w:right="171"/>
              <w:spacing w:after="0" w:line="149" w:lineRule="exact"/>
              <w:rPr>
                <w:sz w:val="20"/>
                <w:szCs w:val="20"/>
                <w:color w:val="auto"/>
              </w:rPr>
            </w:pPr>
            <w:r>
              <w:rPr>
                <w:rFonts w:ascii="Arial" w:cs="Arial" w:eastAsia="Arial" w:hAnsi="Arial"/>
                <w:sz w:val="14"/>
                <w:szCs w:val="14"/>
                <w:b w:val="1"/>
                <w:bCs w:val="1"/>
                <w:color w:val="457157"/>
              </w:rPr>
              <w:t>TSR</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TSR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EBITDA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660" w:type="dxa"/>
            <w:vAlign w:val="bottom"/>
            <w:vMerge w:val="restart"/>
          </w:tcPr>
          <w:p>
            <w:pPr>
              <w:ind w:left="520"/>
              <w:spacing w:after="0"/>
              <w:rPr>
                <w:sz w:val="20"/>
                <w:szCs w:val="20"/>
                <w:color w:val="auto"/>
              </w:rPr>
            </w:pPr>
            <w:r>
              <w:rPr>
                <w:rFonts w:ascii="Arial" w:cs="Arial" w:eastAsia="Arial" w:hAnsi="Arial"/>
                <w:sz w:val="14"/>
                <w:szCs w:val="14"/>
                <w:b w:val="1"/>
                <w:bCs w:val="1"/>
                <w:color w:val="457157"/>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8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 ​​</w:t>
            </w:r>
          </w:p>
        </w:tc>
        <w:tc>
          <w:tcPr>
            <w:tcW w:w="5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457157"/>
              </w:rPr>
              <w:t>($ in billions)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94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66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90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tcPr>
          <w:p>
            <w:pPr>
              <w:spacing w:after="0"/>
              <w:rPr>
                <w:sz w:val="4"/>
                <w:szCs w:val="4"/>
                <w:color w:val="auto"/>
              </w:rPr>
            </w:pPr>
          </w:p>
        </w:tc>
        <w:tc>
          <w:tcPr>
            <w:tcW w:w="64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260" w:type="dxa"/>
            <w:vAlign w:val="bottom"/>
            <w:tcBorders>
              <w:bottom w:val="single" w:sz="8" w:color="457157"/>
            </w:tcBorders>
            <w:gridSpan w:val="3"/>
          </w:tcPr>
          <w:p>
            <w:pPr>
              <w:spacing w:after="0" w:line="54" w:lineRule="exact"/>
              <w:rPr>
                <w:sz w:val="20"/>
                <w:szCs w:val="20"/>
                <w:color w:val="auto"/>
              </w:rPr>
            </w:pPr>
            <w:r>
              <w:rPr>
                <w:rFonts w:ascii="Arial" w:cs="Arial" w:eastAsia="Arial" w:hAnsi="Arial"/>
                <w:sz w:val="6"/>
                <w:szCs w:val="6"/>
                <w:b w:val="1"/>
                <w:bCs w:val="1"/>
                <w:color w:val="457157"/>
              </w:rPr>
              <w:t>​​($ in billions) ​​</w:t>
            </w:r>
          </w:p>
        </w:tc>
        <w:tc>
          <w:tcPr>
            <w:tcW w:w="8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​2023</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14,628,854​​​</w:t>
            </w:r>
            <w:r>
              <w:rPr>
                <w:rFonts w:ascii="Arial" w:cs="Arial" w:eastAsia="Arial" w:hAnsi="Arial"/>
                <w:sz w:val="18"/>
                <w:szCs w:val="18"/>
                <w:b w:val="1"/>
                <w:bCs w:val="1"/>
                <w:color w:val="auto"/>
              </w:rPr>
              <w:t>​</w:t>
            </w:r>
            <w:r>
              <w:rPr>
                <w:rFonts w:ascii="Arial" w:cs="Arial" w:eastAsia="Arial" w:hAnsi="Arial"/>
                <w:sz w:val="18"/>
                <w:szCs w:val="18"/>
                <w:color w:val="auto"/>
              </w:rPr>
              <w:t xml:space="preserve"> 26,638,740​​​</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3,971,546 ​​​</w:t>
            </w:r>
            <w:r>
              <w:rPr>
                <w:rFonts w:ascii="Arial" w:cs="Arial" w:eastAsia="Arial" w:hAnsi="Arial"/>
                <w:sz w:val="18"/>
                <w:szCs w:val="18"/>
                <w:b w:val="1"/>
                <w:bCs w:val="1"/>
                <w:color w:val="auto"/>
              </w:rPr>
              <w:t>​</w:t>
            </w:r>
            <w:r>
              <w:rPr>
                <w:rFonts w:ascii="Arial" w:cs="Arial" w:eastAsia="Arial" w:hAnsi="Arial"/>
                <w:sz w:val="18"/>
                <w:szCs w:val="18"/>
                <w:color w:val="auto"/>
              </w:rPr>
              <w:t xml:space="preserve"> 6,550,505​​​</w:t>
            </w:r>
            <w:r>
              <w:rPr>
                <w:rFonts w:ascii="Arial" w:cs="Arial" w:eastAsia="Arial" w:hAnsi="Arial"/>
                <w:sz w:val="18"/>
                <w:szCs w:val="18"/>
                <w:b w:val="1"/>
                <w:bCs w:val="1"/>
                <w:color w:val="auto"/>
              </w:rPr>
              <w:t>​</w:t>
            </w:r>
            <w:r>
              <w:rPr>
                <w:rFonts w:ascii="Arial" w:cs="Arial" w:eastAsia="Arial" w:hAnsi="Arial"/>
                <w:sz w:val="18"/>
                <w:szCs w:val="18"/>
                <w:color w:val="auto"/>
              </w:rPr>
              <w:t>168 ​​​ ​166</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2.304</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5.892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​2022</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14,820,684​​​</w:t>
            </w:r>
            <w:r>
              <w:rPr>
                <w:rFonts w:ascii="Arial" w:cs="Arial" w:eastAsia="Arial" w:hAnsi="Arial"/>
                <w:sz w:val="18"/>
                <w:szCs w:val="18"/>
                <w:b w:val="1"/>
                <w:bCs w:val="1"/>
                <w:color w:val="auto"/>
              </w:rPr>
              <w:t>​</w:t>
            </w:r>
            <w:r>
              <w:rPr>
                <w:rFonts w:ascii="Arial" w:cs="Arial" w:eastAsia="Arial" w:hAnsi="Arial"/>
                <w:sz w:val="18"/>
                <w:szCs w:val="18"/>
                <w:color w:val="auto"/>
              </w:rPr>
              <w:t xml:space="preserve"> 13,037,001​​​</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5,202,091 ​​​</w:t>
            </w:r>
            <w:r>
              <w:rPr>
                <w:rFonts w:ascii="Arial" w:cs="Arial" w:eastAsia="Arial" w:hAnsi="Arial"/>
                <w:sz w:val="18"/>
                <w:szCs w:val="18"/>
                <w:b w:val="1"/>
                <w:bCs w:val="1"/>
                <w:color w:val="auto"/>
              </w:rPr>
              <w:t>​</w:t>
            </w:r>
            <w:r>
              <w:rPr>
                <w:rFonts w:ascii="Arial" w:cs="Arial" w:eastAsia="Arial" w:hAnsi="Arial"/>
                <w:sz w:val="18"/>
                <w:szCs w:val="18"/>
                <w:color w:val="auto"/>
              </w:rPr>
              <w:t xml:space="preserve"> 4,823,249​​​</w:t>
            </w:r>
            <w:r>
              <w:rPr>
                <w:rFonts w:ascii="Arial" w:cs="Arial" w:eastAsia="Arial" w:hAnsi="Arial"/>
                <w:sz w:val="18"/>
                <w:szCs w:val="18"/>
                <w:b w:val="1"/>
                <w:bCs w:val="1"/>
                <w:color w:val="auto"/>
              </w:rPr>
              <w:t>​</w:t>
            </w:r>
            <w:r>
              <w:rPr>
                <w:rFonts w:ascii="Arial" w:cs="Arial" w:eastAsia="Arial" w:hAnsi="Arial"/>
                <w:sz w:val="18"/>
                <w:szCs w:val="18"/>
                <w:color w:val="auto"/>
              </w:rPr>
              <w:t>145 ​​​ ​141</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2.238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5.475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​2021</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13,057,363​​​</w:t>
            </w:r>
            <w:r>
              <w:rPr>
                <w:rFonts w:ascii="Arial" w:cs="Arial" w:eastAsia="Arial" w:hAnsi="Arial"/>
                <w:sz w:val="18"/>
                <w:szCs w:val="18"/>
                <w:b w:val="1"/>
                <w:bCs w:val="1"/>
                <w:color w:val="auto"/>
              </w:rPr>
              <w:t>​</w:t>
            </w:r>
            <w:r>
              <w:rPr>
                <w:rFonts w:ascii="Arial" w:cs="Arial" w:eastAsia="Arial" w:hAnsi="Arial"/>
                <w:sz w:val="18"/>
                <w:szCs w:val="18"/>
                <w:color w:val="auto"/>
              </w:rPr>
              <w:t xml:space="preserve"> 44,273,994​​​</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3,637,383 ​​​</w:t>
            </w:r>
            <w:r>
              <w:rPr>
                <w:rFonts w:ascii="Arial" w:cs="Arial" w:eastAsia="Arial" w:hAnsi="Arial"/>
                <w:sz w:val="18"/>
                <w:szCs w:val="18"/>
                <w:b w:val="1"/>
                <w:bCs w:val="1"/>
                <w:color w:val="auto"/>
              </w:rPr>
              <w:t>​</w:t>
            </w:r>
            <w:r>
              <w:rPr>
                <w:rFonts w:ascii="Arial" w:cs="Arial" w:eastAsia="Arial" w:hAnsi="Arial"/>
                <w:sz w:val="18"/>
                <w:szCs w:val="18"/>
                <w:color w:val="auto"/>
              </w:rPr>
              <w:t>10,803,402​​​</w:t>
            </w:r>
            <w:r>
              <w:rPr>
                <w:rFonts w:ascii="Arial" w:cs="Arial" w:eastAsia="Arial" w:hAnsi="Arial"/>
                <w:sz w:val="18"/>
                <w:szCs w:val="18"/>
                <w:b w:val="1"/>
                <w:bCs w:val="1"/>
                <w:color w:val="auto"/>
              </w:rPr>
              <w:t>​</w:t>
            </w:r>
            <w:r>
              <w:rPr>
                <w:rFonts w:ascii="Arial" w:cs="Arial" w:eastAsia="Arial" w:hAnsi="Arial"/>
                <w:sz w:val="18"/>
                <w:szCs w:val="18"/>
                <w:color w:val="auto"/>
              </w:rPr>
              <w:t>152 ​​​ ​149</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1.816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4.961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​2020</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12,373,925​​​</w:t>
            </w:r>
            <w:r>
              <w:rPr>
                <w:rFonts w:ascii="Arial" w:cs="Arial" w:eastAsia="Arial" w:hAnsi="Arial"/>
                <w:sz w:val="18"/>
                <w:szCs w:val="18"/>
                <w:b w:val="1"/>
                <w:bCs w:val="1"/>
                <w:color w:val="auto"/>
              </w:rPr>
              <w:t>​</w:t>
            </w:r>
            <w:r>
              <w:rPr>
                <w:rFonts w:ascii="Arial" w:cs="Arial" w:eastAsia="Arial" w:hAnsi="Arial"/>
                <w:sz w:val="18"/>
                <w:szCs w:val="18"/>
                <w:color w:val="auto"/>
              </w:rPr>
              <w:t xml:space="preserve"> 15,824,928​​​</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3,372,614 ​​​</w:t>
            </w:r>
            <w:r>
              <w:rPr>
                <w:rFonts w:ascii="Arial" w:cs="Arial" w:eastAsia="Arial" w:hAnsi="Arial"/>
                <w:sz w:val="18"/>
                <w:szCs w:val="18"/>
                <w:b w:val="1"/>
                <w:bCs w:val="1"/>
                <w:color w:val="auto"/>
              </w:rPr>
              <w:t>​</w:t>
            </w:r>
            <w:r>
              <w:rPr>
                <w:rFonts w:ascii="Arial" w:cs="Arial" w:eastAsia="Arial" w:hAnsi="Arial"/>
                <w:sz w:val="18"/>
                <w:szCs w:val="18"/>
                <w:color w:val="auto"/>
              </w:rPr>
              <w:t xml:space="preserve"> 4,308,433​​​</w:t>
            </w:r>
            <w:r>
              <w:rPr>
                <w:rFonts w:ascii="Arial" w:cs="Arial" w:eastAsia="Arial" w:hAnsi="Arial"/>
                <w:sz w:val="18"/>
                <w:szCs w:val="18"/>
                <w:b w:val="1"/>
                <w:bCs w:val="1"/>
                <w:color w:val="auto"/>
              </w:rPr>
              <w:t>​</w:t>
            </w:r>
            <w:r>
              <w:rPr>
                <w:rFonts w:ascii="Arial" w:cs="Arial" w:eastAsia="Arial" w:hAnsi="Arial"/>
                <w:sz w:val="18"/>
                <w:szCs w:val="18"/>
                <w:color w:val="auto"/>
              </w:rPr>
              <w:t>105 ​​​ ​107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1.496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4.371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-599440</wp:posOffset>
            </wp:positionV>
            <wp:extent cx="57607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-299720</wp:posOffset>
            </wp:positionV>
            <wp:extent cx="5760720" cy="145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60720" cy="145415"/>
                    </a:xfrm>
                    <a:prstGeom prst="rect">
                      <a:avLst/>
                    </a:prstGeom>
                    <a:noFill/>
                  </pic:spPr>
                </pic:pic>
              </a:graphicData>
            </a:graphic>
          </wp:anchor>
        </w:drawing>
      </w:r>
    </w:p>
    <w:p>
      <w:pPr>
        <w:spacing w:after="0" w:line="29" w:lineRule="exact"/>
        <w:rPr>
          <w:sz w:val="20"/>
          <w:szCs w:val="20"/>
          <w:color w:val="auto"/>
        </w:rPr>
      </w:pPr>
    </w:p>
    <w:p>
      <w:pPr>
        <w:jc w:val="both"/>
        <w:ind w:left="1180" w:right="60" w:hanging="364"/>
        <w:spacing w:after="0" w:line="256"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all periods shown in the table above, the Company’s CEO was Mr. James C. Fish, Jr. The Non-CEO NEOs for purposes of the 2023 disclosures include Ms. Devina A. Rankin, Mr. John C. Morris, Jr., Mr. Rafael E. Carrasco and Ms. Tara J. Hemmer. The Non-CEO NEOs for purposes of the 2022 and 2020 disclosures include Ms. Rankin, Mr. Morris, Ms. Hemmer and Mr. Steven R. Batchelor, the Company’s retired Senior Vice President — Operations. The Non-CEO NEOs for purposes of the 2021 disclosures include Ms. Rankin, Mr. Morris, Ms. Hemmer and Mr. Charles C. Boettcher, Executive Vice President, Corporate Development &amp; Chief Legal Officer.</w:t>
      </w:r>
    </w:p>
    <w:p>
      <w:pPr>
        <w:spacing w:after="0" w:line="7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calculate 2023 CAP, we made specified adjustments to Total Compensation as reported in the SCT,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Adjustments to CEO’s SCT Total Compensation to Calculate CAP:</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160" w:type="dxa"/>
            <w:vAlign w:val="bottom"/>
          </w:tcPr>
          <w:p>
            <w:pPr>
              <w:jc w:val="center"/>
              <w:ind w:right="7"/>
              <w:spacing w:after="0"/>
              <w:rPr>
                <w:sz w:val="20"/>
                <w:szCs w:val="20"/>
                <w:color w:val="auto"/>
              </w:rPr>
            </w:pPr>
            <w:r>
              <w:rPr>
                <w:rFonts w:ascii="Arial" w:cs="Arial" w:eastAsia="Arial" w:hAnsi="Arial"/>
                <w:sz w:val="14"/>
                <w:szCs w:val="14"/>
                <w:b w:val="1"/>
                <w:bCs w:val="1"/>
                <w:color w:val="457157"/>
              </w:rPr>
              <w:t>​​</w:t>
            </w:r>
          </w:p>
        </w:tc>
        <w:tc>
          <w:tcPr>
            <w:tcW w:w="7200" w:type="dxa"/>
            <w:vAlign w:val="bottom"/>
          </w:tcPr>
          <w:p>
            <w:pPr>
              <w:spacing w:after="0"/>
              <w:rPr>
                <w:sz w:val="24"/>
                <w:szCs w:val="2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b w:val="1"/>
                <w:bCs w:val="1"/>
                <w:color w:val="457157"/>
              </w:rPr>
              <w:t>​ ​</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457157"/>
              </w:rPr>
              <w:t>2023</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20" w:type="dxa"/>
            <w:vAlign w:val="bottom"/>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gridSpan w:val="2"/>
            <w:vMerge w:val="continue"/>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​​14,628,854​​</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88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20" w:type="dxa"/>
            <w:vAlign w:val="bottom"/>
            <w:tcBorders>
              <w:top w:val="single" w:sz="8" w:color="457157"/>
            </w:tcBorders>
          </w:tcPr>
          <w:p>
            <w:pPr>
              <w:spacing w:after="0"/>
              <w:rPr>
                <w:sz w:val="20"/>
                <w:szCs w:val="20"/>
                <w:color w:val="auto"/>
              </w:rPr>
            </w:pPr>
          </w:p>
        </w:tc>
        <w:tc>
          <w:tcPr>
            <w:tcW w:w="260" w:type="dxa"/>
            <w:vAlign w:val="bottom"/>
            <w:tcBorders>
              <w:top w:val="single" w:sz="8" w:color="457157"/>
            </w:tcBorders>
          </w:tcPr>
          <w:p>
            <w:pPr>
              <w:spacing w:after="0"/>
              <w:rPr>
                <w:sz w:val="20"/>
                <w:szCs w:val="20"/>
                <w:color w:val="auto"/>
              </w:rPr>
            </w:pPr>
          </w:p>
        </w:tc>
        <w:tc>
          <w:tcPr>
            <w:tcW w:w="82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ind w:right="7"/>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​10,355,433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88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Fair value of stock awards granted during the year, as of 12/31</w:t>
            </w:r>
            <w:r>
              <w:rPr>
                <w:rFonts w:ascii="Arial" w:cs="Arial" w:eastAsia="Arial" w:hAnsi="Arial"/>
                <w:sz w:val="21"/>
                <w:szCs w:val="21"/>
                <w:color w:val="auto"/>
                <w:vertAlign w:val="superscript"/>
              </w:rPr>
              <w:t>(a)</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11,099,138​​</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Fair value of option awards granted during the year, as of 12/31</w:t>
            </w:r>
            <w:r>
              <w:rPr>
                <w:rFonts w:ascii="Arial" w:cs="Arial" w:eastAsia="Arial" w:hAnsi="Arial"/>
                <w:sz w:val="21"/>
                <w:szCs w:val="21"/>
                <w:color w:val="auto"/>
                <w:vertAlign w:val="superscript"/>
              </w:rPr>
              <w:t>(b)</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2,595,049​​</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unvested at 12/31</w:t>
            </w:r>
            <w:r>
              <w:rPr>
                <w:rFonts w:ascii="Arial" w:cs="Arial" w:eastAsia="Arial" w:hAnsi="Arial"/>
                <w:sz w:val="21"/>
                <w:szCs w:val="21"/>
                <w:color w:val="auto"/>
                <w:vertAlign w:val="superscript"/>
              </w:rPr>
              <w:t>(a)</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1,765,392​​</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unvested at 12/31</w:t>
            </w:r>
            <w:r>
              <w:rPr>
                <w:rFonts w:ascii="Arial" w:cs="Arial" w:eastAsia="Arial" w:hAnsi="Arial"/>
                <w:sz w:val="21"/>
                <w:szCs w:val="21"/>
                <w:color w:val="auto"/>
                <w:vertAlign w:val="superscript"/>
              </w:rPr>
              <w:t>(b)</w:t>
            </w:r>
          </w:p>
        </w:tc>
        <w:tc>
          <w:tcPr>
            <w:tcW w:w="880" w:type="dxa"/>
            <w:vAlign w:val="bottom"/>
            <w:gridSpan w:val="2"/>
            <w:vMerge w:val="restart"/>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818,348​​</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vesting during the year</w:t>
            </w:r>
            <w:r>
              <w:rPr>
                <w:rFonts w:ascii="Arial" w:cs="Arial" w:eastAsia="Arial" w:hAnsi="Arial"/>
                <w:sz w:val="21"/>
                <w:szCs w:val="21"/>
                <w:color w:val="auto"/>
                <w:vertAlign w:val="superscript"/>
              </w:rPr>
              <w:t>(a)</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5,614,556​​</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vesting during the year</w:t>
            </w:r>
            <w:r>
              <w:rPr>
                <w:rFonts w:ascii="Arial" w:cs="Arial" w:eastAsia="Arial" w:hAnsi="Arial"/>
                <w:sz w:val="21"/>
                <w:szCs w:val="21"/>
                <w:color w:val="auto"/>
                <w:vertAlign w:val="superscript"/>
              </w:rPr>
              <w:t>(b)</w:t>
            </w:r>
          </w:p>
        </w:tc>
        <w:tc>
          <w:tcPr>
            <w:tcW w:w="880" w:type="dxa"/>
            <w:vAlign w:val="bottom"/>
            <w:gridSpan w:val="2"/>
            <w:vMerge w:val="restart"/>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(445,774​​)</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918,610​​</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​​22,365,319​​</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​​26,638,740​​</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-1936750</wp:posOffset>
            </wp:positionV>
            <wp:extent cx="5760720" cy="308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-1482725</wp:posOffset>
            </wp:positionV>
            <wp:extent cx="576072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-1139825</wp:posOffset>
            </wp:positionV>
            <wp:extent cx="576072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-796925</wp:posOffset>
            </wp:positionV>
            <wp:extent cx="576072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-454025</wp:posOffset>
            </wp:positionV>
            <wp:extent cx="57607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-2236470</wp:posOffset>
            </wp:positionV>
            <wp:extent cx="57607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54" w:lineRule="exact"/>
        <w:rPr>
          <w:sz w:val="20"/>
          <w:szCs w:val="20"/>
          <w:color w:val="auto"/>
        </w:rPr>
      </w:pPr>
    </w:p>
    <w:p>
      <w:pPr>
        <w:ind w:left="820" w:right="300"/>
        <w:spacing w:after="0" w:line="256" w:lineRule="auto"/>
        <w:rPr>
          <w:sz w:val="20"/>
          <w:szCs w:val="20"/>
          <w:color w:val="auto"/>
        </w:rPr>
      </w:pPr>
      <w:r>
        <w:rPr>
          <w:rFonts w:ascii="Arial" w:cs="Arial" w:eastAsia="Arial" w:hAnsi="Arial"/>
          <w:sz w:val="22"/>
          <w:szCs w:val="22"/>
          <w:b w:val="1"/>
          <w:bCs w:val="1"/>
          <w:color w:val="457157"/>
        </w:rPr>
        <w:t>Adjustments to Non-CEO NEOs Average SCT Total Compensation to Calculate Average CAP:</w:t>
      </w:r>
    </w:p>
    <w:tbl>
      <w:tblPr>
        <w:tblLayout w:type="fixed"/>
        <w:tblInd w:w="820" w:type="dxa"/>
        <w:tblCellMar>
          <w:top w:w="0" w:type="dxa"/>
          <w:left w:w="0" w:type="dxa"/>
          <w:bottom w:w="0" w:type="dxa"/>
          <w:right w:w="0" w:type="dxa"/>
        </w:tblCellMar>
      </w:tblPr>
      <w:tr>
        <w:trPr>
          <w:trHeight w:val="312"/>
        </w:trPr>
        <w:tc>
          <w:tcPr>
            <w:tcW w:w="160" w:type="dxa"/>
            <w:vAlign w:val="bottom"/>
          </w:tcPr>
          <w:p>
            <w:pPr>
              <w:jc w:val="center"/>
              <w:ind w:right="7"/>
              <w:spacing w:after="0"/>
              <w:rPr>
                <w:sz w:val="20"/>
                <w:szCs w:val="20"/>
                <w:color w:val="auto"/>
              </w:rPr>
            </w:pPr>
            <w:r>
              <w:rPr>
                <w:rFonts w:ascii="Arial" w:cs="Arial" w:eastAsia="Arial" w:hAnsi="Arial"/>
                <w:sz w:val="14"/>
                <w:szCs w:val="14"/>
                <w:b w:val="1"/>
                <w:bCs w:val="1"/>
                <w:color w:val="457157"/>
              </w:rPr>
              <w:t>​​</w:t>
            </w:r>
          </w:p>
        </w:tc>
        <w:tc>
          <w:tcPr>
            <w:tcW w:w="724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b w:val="1"/>
                <w:bCs w:val="1"/>
                <w:color w:val="457157"/>
              </w:rPr>
              <w:t>​ ​</w:t>
            </w:r>
          </w:p>
        </w:tc>
        <w:tc>
          <w:tcPr>
            <w:tcW w:w="800" w:type="dxa"/>
            <w:vAlign w:val="bottom"/>
            <w:gridSpan w:val="2"/>
          </w:tcPr>
          <w:p>
            <w:pPr>
              <w:jc w:val="right"/>
              <w:ind w:right="40"/>
              <w:spacing w:after="0" w:line="312" w:lineRule="exact"/>
              <w:rPr>
                <w:sz w:val="20"/>
                <w:szCs w:val="20"/>
                <w:color w:val="auto"/>
              </w:rPr>
            </w:pPr>
            <w:r>
              <w:rPr>
                <w:rFonts w:ascii="Arial" w:cs="Arial" w:eastAsia="Arial" w:hAnsi="Arial"/>
                <w:sz w:val="14"/>
                <w:szCs w:val="14"/>
                <w:b w:val="1"/>
                <w:bCs w:val="1"/>
                <w:color w:val="457157"/>
              </w:rPr>
              <w:t>2023</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80" w:type="dxa"/>
            <w:vAlign w:val="bottom"/>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​​3,971,546​​</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80" w:type="dxa"/>
            <w:vAlign w:val="bottom"/>
            <w:tcBorders>
              <w:top w:val="single" w:sz="8" w:color="457157"/>
            </w:tcBorders>
          </w:tcPr>
          <w:p>
            <w:pPr>
              <w:spacing w:after="0"/>
              <w:rPr>
                <w:sz w:val="20"/>
                <w:szCs w:val="20"/>
                <w:color w:val="auto"/>
              </w:rPr>
            </w:pPr>
          </w:p>
        </w:tc>
        <w:tc>
          <w:tcPr>
            <w:tcW w:w="220" w:type="dxa"/>
            <w:vAlign w:val="bottom"/>
            <w:tcBorders>
              <w:top w:val="single" w:sz="8" w:color="457157"/>
            </w:tcBorders>
          </w:tcPr>
          <w:p>
            <w:pPr>
              <w:spacing w:after="0"/>
              <w:rPr>
                <w:sz w:val="20"/>
                <w:szCs w:val="20"/>
                <w:color w:val="auto"/>
              </w:rPr>
            </w:pPr>
          </w:p>
        </w:tc>
        <w:tc>
          <w:tcPr>
            <w:tcW w:w="76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ind w:right="7"/>
              <w:spacing w:after="0"/>
              <w:rPr>
                <w:sz w:val="20"/>
                <w:szCs w:val="20"/>
                <w:color w:val="auto"/>
              </w:rPr>
            </w:pPr>
            <w:r>
              <w:rPr>
                <w:rFonts w:ascii="Arial" w:cs="Arial" w:eastAsia="Arial" w:hAnsi="Arial"/>
                <w:sz w:val="18"/>
                <w:szCs w:val="18"/>
                <w:color w:val="auto"/>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​2,336,613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Fair value of stock awards granted during the year, as of 12/31</w:t>
            </w:r>
            <w:r>
              <w:rPr>
                <w:rFonts w:ascii="Arial" w:cs="Arial" w:eastAsia="Arial" w:hAnsi="Arial"/>
                <w:sz w:val="21"/>
                <w:szCs w:val="21"/>
                <w:color w:val="auto"/>
                <w:vertAlign w:val="superscript"/>
              </w:rPr>
              <w:t>(a)</w:t>
            </w:r>
          </w:p>
        </w:tc>
        <w:tc>
          <w:tcPr>
            <w:tcW w:w="170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2,501,178​​</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Fair value of option awards granted during the year, as of 12/31</w:t>
            </w:r>
            <w:r>
              <w:rPr>
                <w:rFonts w:ascii="Arial" w:cs="Arial" w:eastAsia="Arial" w:hAnsi="Arial"/>
                <w:sz w:val="21"/>
                <w:szCs w:val="21"/>
                <w:color w:val="auto"/>
                <w:vertAlign w:val="superscript"/>
              </w:rPr>
              <w:t>(b)</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585,555​​</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unvested at 12/31</w:t>
            </w:r>
            <w:r>
              <w:rPr>
                <w:rFonts w:ascii="Arial" w:cs="Arial" w:eastAsia="Arial" w:hAnsi="Arial"/>
                <w:sz w:val="21"/>
                <w:szCs w:val="21"/>
                <w:color w:val="auto"/>
                <w:vertAlign w:val="superscript"/>
              </w:rPr>
              <w:t>(a)</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552,912​​</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unvested at 12/31</w:t>
            </w:r>
            <w:r>
              <w:rPr>
                <w:rFonts w:ascii="Arial" w:cs="Arial" w:eastAsia="Arial" w:hAnsi="Arial"/>
                <w:sz w:val="21"/>
                <w:szCs w:val="21"/>
                <w:color w:val="auto"/>
                <w:vertAlign w:val="superscript"/>
              </w:rPr>
              <w:t>(b)</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163,643​​</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vesting during the year</w:t>
            </w:r>
            <w:r>
              <w:rPr>
                <w:rFonts w:ascii="Arial" w:cs="Arial" w:eastAsia="Arial" w:hAnsi="Arial"/>
                <w:sz w:val="21"/>
                <w:szCs w:val="21"/>
                <w:color w:val="auto"/>
                <w:vertAlign w:val="superscript"/>
              </w:rPr>
              <w:t>(a)</w:t>
            </w:r>
          </w:p>
        </w:tc>
        <w:tc>
          <w:tcPr>
            <w:tcW w:w="170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1,031,736​​</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vesting during the year</w:t>
            </w:r>
            <w:r>
              <w:rPr>
                <w:rFonts w:ascii="Arial" w:cs="Arial" w:eastAsia="Arial" w:hAnsi="Arial"/>
                <w:sz w:val="21"/>
                <w:szCs w:val="21"/>
                <w:color w:val="auto"/>
                <w:vertAlign w:val="superscript"/>
              </w:rPr>
              <w:t>(b)</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(88,919​​)</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169,467​​</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​​4,915,572​​</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​​6,550,505​​</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-1936750</wp:posOffset>
            </wp:positionV>
            <wp:extent cx="5760720" cy="3086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-1482090</wp:posOffset>
            </wp:positionV>
            <wp:extent cx="576072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-1139190</wp:posOffset>
            </wp:positionV>
            <wp:extent cx="576072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-796290</wp:posOffset>
            </wp:positionV>
            <wp:extent cx="576072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-453390</wp:posOffset>
            </wp:positionV>
            <wp:extent cx="57607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-2236470</wp:posOffset>
            </wp:positionV>
            <wp:extent cx="576072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5" w:lineRule="exact"/>
        <w:rPr>
          <w:sz w:val="20"/>
          <w:szCs w:val="20"/>
          <w:color w:val="auto"/>
        </w:rPr>
      </w:pPr>
    </w:p>
    <w:p>
      <w:pPr>
        <w:jc w:val="both"/>
        <w:ind w:left="1540" w:right="60" w:hanging="364"/>
        <w:spacing w:after="0" w:line="254"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2023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700" w:type="dxa"/>
            <w:vAlign w:val="bottom"/>
            <w:shd w:val="clear" w:color="auto" w:fill="457157"/>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00" w:type="dxa"/>
            <w:vAlign w:val="bottom"/>
          </w:tcPr>
          <w:p>
            <w:pPr>
              <w:spacing w:after="0"/>
              <w:rPr>
                <w:sz w:val="20"/>
                <w:szCs w:val="20"/>
                <w:color w:val="auto"/>
              </w:rPr>
            </w:pPr>
            <w:r>
              <w:rPr>
                <w:rFonts w:ascii="Arial" w:cs="Arial" w:eastAsia="Arial" w:hAnsi="Arial"/>
                <w:sz w:val="16"/>
                <w:szCs w:val="16"/>
                <w:b w:val="1"/>
                <w:bCs w:val="1"/>
                <w:color w:val="auto"/>
              </w:rPr>
              <w:t>​</w:t>
            </w:r>
          </w:p>
        </w:tc>
        <w:tc>
          <w:tcPr>
            <w:tcW w:w="8420" w:type="dxa"/>
            <w:vAlign w:val="bottom"/>
            <w:gridSpan w:val="11"/>
          </w:tcPr>
          <w:p>
            <w:pPr>
              <w:ind w:left="5400"/>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6280" w:type="dxa"/>
            <w:vAlign w:val="bottom"/>
          </w:tcPr>
          <w:p>
            <w:pPr>
              <w:ind w:left="60"/>
              <w:spacing w:after="0"/>
              <w:rPr>
                <w:sz w:val="20"/>
                <w:szCs w:val="20"/>
                <w:color w:val="auto"/>
              </w:rPr>
            </w:pPr>
            <w:r>
              <w:rPr>
                <w:rFonts w:ascii="Arial" w:cs="Arial" w:eastAsia="Arial" w:hAnsi="Arial"/>
                <w:sz w:val="14"/>
                <w:szCs w:val="14"/>
                <w:b w:val="1"/>
                <w:bCs w:val="1"/>
                <w:color w:val="457157"/>
              </w:rPr>
              <w:t>Projected Payout of Unvested Cash Flow PSUs at Year-End</w:t>
            </w:r>
          </w:p>
        </w:tc>
        <w:tc>
          <w:tcPr>
            <w:tcW w:w="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2023</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457157"/>
              </w:rPr>
              <w:t>2022</w:t>
            </w:r>
          </w:p>
        </w:tc>
        <w:tc>
          <w:tcPr>
            <w:tcW w:w="60" w:type="dxa"/>
            <w:vAlign w:val="bottom"/>
          </w:tcPr>
          <w:p>
            <w:pPr>
              <w:spacing w:after="0"/>
              <w:rPr>
                <w:sz w:val="16"/>
                <w:szCs w:val="16"/>
                <w:color w:val="auto"/>
              </w:rPr>
            </w:pPr>
          </w:p>
        </w:tc>
        <w:tc>
          <w:tcPr>
            <w:tcW w:w="7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Borders>
              <w:bottom w:val="single" w:sz="8" w:color="457157"/>
            </w:tcBorders>
          </w:tcPr>
          <w:p>
            <w:pPr>
              <w:ind w:left="60"/>
              <w:spacing w:after="0" w:line="68" w:lineRule="exact"/>
              <w:rPr>
                <w:sz w:val="20"/>
                <w:szCs w:val="20"/>
                <w:color w:val="auto"/>
              </w:rPr>
            </w:pPr>
            <w:r>
              <w:rPr>
                <w:rFonts w:ascii="Arial" w:cs="Arial" w:eastAsia="Arial" w:hAnsi="Arial"/>
                <w:sz w:val="7"/>
                <w:szCs w:val="7"/>
                <w:b w:val="1"/>
                <w:bCs w:val="1"/>
                <w:color w:val="457157"/>
              </w:rPr>
              <w:t>​</w:t>
            </w:r>
          </w:p>
        </w:tc>
        <w:tc>
          <w:tcPr>
            <w:tcW w:w="580" w:type="dxa"/>
            <w:vAlign w:val="bottom"/>
            <w:tcBorders>
              <w:bottom w:val="single" w:sz="8" w:color="457157"/>
            </w:tcBorders>
            <w:gridSpan w:val="2"/>
          </w:tcPr>
          <w:p>
            <w:pPr>
              <w:ind w:left="260"/>
              <w:spacing w:after="0" w:line="68" w:lineRule="exact"/>
              <w:rPr>
                <w:sz w:val="20"/>
                <w:szCs w:val="20"/>
                <w:color w:val="auto"/>
              </w:rPr>
            </w:pPr>
            <w:r>
              <w:rPr>
                <w:rFonts w:ascii="Arial" w:cs="Arial" w:eastAsia="Arial" w:hAnsi="Arial"/>
                <w:sz w:val="7"/>
                <w:szCs w:val="7"/>
                <w:b w:val="1"/>
                <w:bCs w:val="1"/>
                <w:color w:val="457157"/>
              </w:rPr>
              <w:t>​ ​</w:t>
            </w:r>
          </w:p>
        </w:tc>
        <w:tc>
          <w:tcPr>
            <w:tcW w:w="140" w:type="dxa"/>
            <w:vAlign w:val="bottom"/>
            <w:tcBorders>
              <w:bottom w:val="single" w:sz="8" w:color="457157"/>
            </w:tcBorders>
          </w:tcPr>
          <w:p>
            <w:pPr>
              <w:spacing w:after="0"/>
              <w:rPr>
                <w:sz w:val="5"/>
                <w:szCs w:val="5"/>
                <w:color w:val="auto"/>
              </w:rPr>
            </w:pPr>
          </w:p>
        </w:tc>
        <w:tc>
          <w:tcPr>
            <w:tcW w:w="220" w:type="dxa"/>
            <w:vAlign w:val="bottom"/>
            <w:tcBorders>
              <w:bottom w:val="single" w:sz="8" w:color="457157"/>
            </w:tcBorders>
            <w:gridSpan w:val="2"/>
            <w:vMerge w:val="continue"/>
          </w:tcPr>
          <w:p>
            <w:pPr>
              <w:spacing w:after="0"/>
              <w:rPr>
                <w:sz w:val="5"/>
                <w:szCs w:val="5"/>
                <w:color w:val="auto"/>
              </w:rPr>
            </w:pPr>
          </w:p>
        </w:tc>
        <w:tc>
          <w:tcPr>
            <w:tcW w:w="220" w:type="dxa"/>
            <w:vAlign w:val="bottom"/>
            <w:tcBorders>
              <w:bottom w:val="single" w:sz="8" w:color="457157"/>
            </w:tcBorders>
          </w:tcPr>
          <w:p>
            <w:pPr>
              <w:spacing w:after="0" w:line="68" w:lineRule="exact"/>
              <w:rPr>
                <w:sz w:val="20"/>
                <w:szCs w:val="20"/>
                <w:color w:val="auto"/>
              </w:rPr>
            </w:pPr>
            <w:r>
              <w:rPr>
                <w:rFonts w:ascii="Arial" w:cs="Arial" w:eastAsia="Arial" w:hAnsi="Arial"/>
                <w:sz w:val="7"/>
                <w:szCs w:val="7"/>
                <w:b w:val="1"/>
                <w:bCs w:val="1"/>
                <w:color w:val="457157"/>
              </w:rPr>
              <w:t>​</w:t>
            </w:r>
          </w:p>
        </w:tc>
        <w:tc>
          <w:tcPr>
            <w:tcW w:w="14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12/31/2023</w:t>
            </w:r>
          </w:p>
        </w:tc>
        <w:tc>
          <w:tcPr>
            <w:tcW w:w="580" w:type="dxa"/>
            <w:vAlign w:val="bottom"/>
            <w:gridSpan w:val="2"/>
            <w:vMerge w:val="restart"/>
          </w:tcPr>
          <w:p>
            <w:pPr>
              <w:ind w:lef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82"/>
              </w:rPr>
              <w:t>​200%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58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7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52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20" w:type="dxa"/>
            <w:vAlign w:val="bottom"/>
            <w:gridSpan w:val="3"/>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12/31/2024</w:t>
            </w:r>
          </w:p>
        </w:tc>
        <w:tc>
          <w:tcPr>
            <w:tcW w:w="36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7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12/31/2025</w:t>
            </w:r>
          </w:p>
        </w:tc>
        <w:tc>
          <w:tcPr>
            <w:tcW w:w="360" w:type="dxa"/>
            <w:vAlign w:val="bottom"/>
            <w:tcBorders>
              <w:top w:val="single" w:sz="8" w:color="457157"/>
            </w:tcBorders>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457157"/>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457157"/>
            </w:tcBorders>
            <w:vMerge w:val="restart"/>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457157"/>
            </w:tcBorders>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7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29" w:lineRule="exact"/>
        <w:rPr>
          <w:sz w:val="20"/>
          <w:szCs w:val="20"/>
          <w:color w:val="auto"/>
        </w:rPr>
      </w:pPr>
    </w:p>
    <w:p>
      <w:pPr>
        <w:jc w:val="both"/>
        <w:ind w:left="1540" w:right="60"/>
        <w:spacing w:after="0" w:line="273" w:lineRule="auto"/>
        <w:rPr>
          <w:sz w:val="20"/>
          <w:szCs w:val="20"/>
          <w:color w:val="auto"/>
        </w:rPr>
      </w:pPr>
      <w:r>
        <w:rPr>
          <w:rFonts w:ascii="Arial" w:cs="Arial" w:eastAsia="Arial" w:hAnsi="Arial"/>
          <w:sz w:val="18"/>
          <w:szCs w:val="18"/>
          <w:color w:val="auto"/>
        </w:rPr>
        <w:t>Stock awards also includes RSUs that vested for Mr. Carrasco in 2023; unvested RSUs that were granted to Mr. Carrasco in 2021; and unvested RSUs that were granted to Ms. Rankin, Mr. Morris, Ms. Hemmer and Mr. Carrasco in 2022. The fair value of an RSU is equal to the average of the high and low market price of our Common Stock on the given date.</w:t>
      </w:r>
    </w:p>
    <w:p>
      <w:pPr>
        <w:spacing w:after="0" w:line="98" w:lineRule="exact"/>
        <w:rPr>
          <w:sz w:val="20"/>
          <w:szCs w:val="20"/>
          <w:color w:val="auto"/>
        </w:rPr>
      </w:pPr>
    </w:p>
    <w:p>
      <w:pPr>
        <w:ind w:left="1540" w:hanging="364"/>
        <w:spacing w:after="0"/>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Option award fair values are calculated using a Black-Scholes option pricing model.</w:t>
      </w:r>
    </w:p>
    <w:p>
      <w:pPr>
        <w:spacing w:after="0" w:line="130" w:lineRule="exact"/>
        <w:rPr>
          <w:rFonts w:ascii="Arial" w:cs="Arial" w:eastAsia="Arial" w:hAnsi="Arial"/>
          <w:sz w:val="18"/>
          <w:szCs w:val="18"/>
          <w:color w:val="auto"/>
        </w:rPr>
      </w:pPr>
    </w:p>
    <w:p>
      <w:pPr>
        <w:jc w:val="both"/>
        <w:ind w:left="1180" w:right="60" w:hanging="364"/>
        <w:spacing w:after="0" w:line="261"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shareholder return (“TSR”) is based on a hypothetical $100 investment on December 31, 2019. The TSR amounts shown for 2020 represent the value of that $100 investment on December 31, 2020, and TSR is then calculated, on a cumulative basis, as of December 31, 2021, December 31, 2022 and December 31, 2023. The Peer Group TSR refers to the Dow Jones Waste &amp; Disposal Services Index.</w:t>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Tabular Disclosure of Most Important Measures to Determine 2023 CAP</w:t>
      </w:r>
    </w:p>
    <w:p>
      <w:pPr>
        <w:spacing w:after="0" w:line="121" w:lineRule="exact"/>
        <w:rPr>
          <w:sz w:val="20"/>
          <w:szCs w:val="20"/>
          <w:color w:val="auto"/>
        </w:rPr>
      </w:pPr>
    </w:p>
    <w:p>
      <w:pPr>
        <w:jc w:val="both"/>
        <w:ind w:left="820" w:right="60"/>
        <w:spacing w:after="0" w:line="276" w:lineRule="auto"/>
        <w:rPr>
          <w:sz w:val="20"/>
          <w:szCs w:val="20"/>
          <w:color w:val="auto"/>
        </w:rPr>
      </w:pPr>
      <w:r>
        <w:rPr>
          <w:rFonts w:ascii="Arial" w:cs="Arial" w:eastAsia="Arial" w:hAnsi="Arial"/>
          <w:sz w:val="18"/>
          <w:szCs w:val="18"/>
          <w:color w:val="auto"/>
        </w:rPr>
        <w:t xml:space="preserve">The five items listed below represent the most important measures used to determine CAP for 2023 for all of our NEOs, as each measure and its impact on executive compensation is further described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96"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6360" w:type="dxa"/>
            <w:vAlign w:val="bottom"/>
            <w:tcBorders>
              <w:bottom w:val="single" w:sz="8" w:color="457157"/>
            </w:tcBorders>
          </w:tcPr>
          <w:p>
            <w:pPr>
              <w:spacing w:after="0"/>
              <w:rPr>
                <w:sz w:val="20"/>
                <w:szCs w:val="20"/>
                <w:color w:val="auto"/>
              </w:rPr>
            </w:pPr>
            <w:r>
              <w:rPr>
                <w:rFonts w:ascii="Arial" w:cs="Arial" w:eastAsia="Arial" w:hAnsi="Arial"/>
                <w:sz w:val="18"/>
                <w:szCs w:val="18"/>
                <w:b w:val="1"/>
                <w:bCs w:val="1"/>
                <w:color w:val="auto"/>
              </w:rPr>
              <w:t>​Most Important Performance Measures</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b w:val="1"/>
                <w:bCs w:val="1"/>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TSR Relative to the S&amp;P 500</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Cash Flow Generation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Operating EBITDA</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Income from Operations Margin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Internal Revenue Growth</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Narrative Disclosure to Pay Versus Performance Table</w:t>
      </w:r>
    </w:p>
    <w:p>
      <w:pPr>
        <w:spacing w:after="0" w:line="121" w:lineRule="exact"/>
        <w:rPr>
          <w:sz w:val="20"/>
          <w:szCs w:val="20"/>
          <w:color w:val="auto"/>
        </w:rPr>
      </w:pPr>
    </w:p>
    <w:p>
      <w:pPr>
        <w:jc w:val="both"/>
        <w:ind w:left="820" w:right="60"/>
        <w:spacing w:after="0" w:line="277" w:lineRule="auto"/>
        <w:rPr>
          <w:sz w:val="20"/>
          <w:szCs w:val="20"/>
          <w:color w:val="auto"/>
        </w:rPr>
      </w:pPr>
      <w:r>
        <w:rPr>
          <w:rFonts w:ascii="Arial" w:cs="Arial" w:eastAsia="Arial" w:hAnsi="Arial"/>
          <w:sz w:val="18"/>
          <w:szCs w:val="18"/>
          <w:color w:val="auto"/>
        </w:rPr>
        <w:t>The following charts reflect the relationship of CAP over the four -year period ended December 31, 2023 to trends in the Company’s TSR, net income and Operating EBITDA over the same period. In addition, the first chart below reflects that the Company’s TSR is highly-aligned with the Peer Group TSR.</w:t>
      </w:r>
    </w:p>
    <w:p>
      <w:pPr>
        <w:spacing w:after="0" w:line="282"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We believe variations in CAP due to use of ASC Topic 718 fair values for four years of outstanding equity grants at specified points in time have resulted in CAP for the four-year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 target performance on financial compensation metrics and our TSR relative to the S&amp;P 500 having exceeded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57785</wp:posOffset>
            </wp:positionV>
            <wp:extent cx="5031740" cy="27171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31740" cy="271716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3658235</wp:posOffset>
            </wp:positionV>
            <wp:extent cx="5031740" cy="26485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317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2" w:lineRule="exact"/>
        <w:rPr>
          <w:sz w:val="20"/>
          <w:szCs w:val="20"/>
          <w:color w:val="auto"/>
        </w:rPr>
      </w:pPr>
    </w:p>
    <w:p>
      <w:pPr>
        <w:ind w:left="820" w:right="260"/>
        <w:spacing w:after="0" w:line="264" w:lineRule="auto"/>
        <w:rPr>
          <w:sz w:val="20"/>
          <w:szCs w:val="20"/>
          <w:color w:val="auto"/>
        </w:rPr>
      </w:pPr>
      <w:r>
        <w:rPr>
          <w:rFonts w:ascii="Arial" w:cs="Arial" w:eastAsia="Arial" w:hAnsi="Arial"/>
          <w:sz w:val="36"/>
          <w:szCs w:val="36"/>
          <w:b w:val="1"/>
          <w:bCs w:val="1"/>
          <w:color w:val="457157"/>
        </w:rPr>
        <w:t>RATIFICATION OF INDEPENDENT REGISTERED PUBLIC ACCOUNTING FIRM</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2 ON THE PROXY CARD)</w:t>
      </w:r>
    </w:p>
    <w:p>
      <w:pPr>
        <w:spacing w:after="0" w:line="94"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2024,</w:t>
      </w:r>
    </w:p>
    <w:p>
      <w:pPr>
        <w:ind w:left="820" w:right="60"/>
        <w:spacing w:after="0" w:line="226" w:lineRule="auto"/>
        <w:rPr>
          <w:sz w:val="20"/>
          <w:szCs w:val="20"/>
          <w:color w:val="auto"/>
        </w:rPr>
      </w:pPr>
      <w:r>
        <w:rPr>
          <w:rFonts w:ascii="Arial" w:cs="Arial" w:eastAsia="Arial" w:hAnsi="Arial"/>
          <w:sz w:val="18"/>
          <w:szCs w:val="18"/>
          <w:color w:val="auto"/>
        </w:rPr>
        <w:t>subject to ratification by our stockholders. Representatives of Ernst &amp; Young LLP will attend the Annual Meeting. They will be able to make a statement if they want, and will be available to answer</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appropriate questions from stockholders.</w:t>
      </w:r>
    </w:p>
    <w:p>
      <w:pPr>
        <w:spacing w:after="0" w:line="86" w:lineRule="exact"/>
        <w:rPr>
          <w:sz w:val="20"/>
          <w:szCs w:val="20"/>
          <w:color w:val="auto"/>
        </w:rPr>
      </w:pPr>
    </w:p>
    <w:p>
      <w:pPr>
        <w:jc w:val="both"/>
        <w:ind w:left="820" w:right="60"/>
        <w:spacing w:after="0" w:line="237" w:lineRule="auto"/>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w:t>
      </w:r>
    </w:p>
    <w:p>
      <w:pPr>
        <w:ind w:left="820"/>
        <w:spacing w:after="0" w:line="235" w:lineRule="auto"/>
        <w:rPr>
          <w:sz w:val="20"/>
          <w:szCs w:val="20"/>
          <w:color w:val="auto"/>
        </w:rPr>
      </w:pPr>
      <w:r>
        <w:rPr>
          <w:rFonts w:ascii="Arial" w:cs="Arial" w:eastAsia="Arial" w:hAnsi="Arial"/>
          <w:sz w:val="18"/>
          <w:szCs w:val="18"/>
          <w:color w:val="auto"/>
        </w:rPr>
        <w:t>views on our independent registered public accounting firm and as a matter of good governance. If our</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stockholders do not ratify our selection, it will be considered a direction to our Board and Audit Committee to consider selecting another firm. Even if the selection is ratified, the Audit Committee</w:t>
      </w:r>
    </w:p>
    <w:p>
      <w:pPr>
        <w:ind w:left="820"/>
        <w:spacing w:after="0" w:line="236" w:lineRule="auto"/>
        <w:rPr>
          <w:sz w:val="20"/>
          <w:szCs w:val="20"/>
          <w:color w:val="auto"/>
        </w:rPr>
      </w:pPr>
      <w:r>
        <w:rPr>
          <w:rFonts w:ascii="Arial" w:cs="Arial" w:eastAsia="Arial" w:hAnsi="Arial"/>
          <w:sz w:val="18"/>
          <w:szCs w:val="18"/>
          <w:color w:val="auto"/>
        </w:rPr>
        <w:t>may, in its discretion, select a different independent registered public accounting firm, subject to</w:t>
      </w:r>
    </w:p>
    <w:p>
      <w:pPr>
        <w:spacing w:after="0" w:line="1"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ratification by the Board, at any time during the year if it determines that such a change is in the best interests of the Company and our stockholders.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INDEPENDENT REGISTERED PUBLIC ACCOUNTING FIRM FEE INFORMATION</w:t>
      </w:r>
    </w:p>
    <w:p>
      <w:pPr>
        <w:spacing w:after="0" w:line="108" w:lineRule="exact"/>
        <w:rPr>
          <w:sz w:val="20"/>
          <w:szCs w:val="20"/>
          <w:color w:val="auto"/>
        </w:rPr>
      </w:pPr>
    </w:p>
    <w:p>
      <w:pPr>
        <w:ind w:left="820" w:right="60"/>
        <w:spacing w:after="0" w:line="255"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tbl>
      <w:tblPr>
        <w:tblLayout w:type="fixed"/>
        <w:tblInd w:w="820" w:type="dxa"/>
        <w:tblCellMar>
          <w:top w:w="0" w:type="dxa"/>
          <w:left w:w="0" w:type="dxa"/>
          <w:bottom w:w="0" w:type="dxa"/>
          <w:right w:w="0" w:type="dxa"/>
        </w:tblCellMar>
      </w:tblPr>
      <w:tr>
        <w:trPr>
          <w:trHeight w:val="308"/>
        </w:trPr>
        <w:tc>
          <w:tcPr>
            <w:tcW w:w="4760" w:type="dxa"/>
            <w:vAlign w:val="bottom"/>
          </w:tcPr>
          <w:p>
            <w:pPr>
              <w:jc w:val="right"/>
              <w:ind w:right="4602"/>
              <w:spacing w:after="0"/>
              <w:rPr>
                <w:sz w:val="20"/>
                <w:szCs w:val="20"/>
                <w:color w:val="auto"/>
              </w:rPr>
            </w:pPr>
            <w:r>
              <w:rPr>
                <w:rFonts w:ascii="Arial" w:cs="Arial" w:eastAsia="Arial" w:hAnsi="Arial"/>
                <w:sz w:val="14"/>
                <w:szCs w:val="14"/>
                <w:b w:val="1"/>
                <w:bCs w:val="1"/>
                <w:color w:val="457157"/>
              </w:rPr>
              <w:t>​</w:t>
            </w:r>
          </w:p>
        </w:tc>
        <w:tc>
          <w:tcPr>
            <w:tcW w:w="4340" w:type="dxa"/>
            <w:vAlign w:val="bottom"/>
            <w:gridSpan w:val="2"/>
          </w:tcPr>
          <w:p>
            <w:pPr>
              <w:jc w:val="right"/>
              <w:spacing w:after="0" w:line="308"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2023  </w:t>
            </w: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2022 </w:t>
            </w:r>
            <w:r>
              <w:rPr>
                <w:rFonts w:ascii="Arial" w:cs="Arial" w:eastAsia="Arial" w:hAnsi="Arial"/>
                <w:sz w:val="28"/>
                <w:szCs w:val="28"/>
                <w:b w:val="1"/>
                <w:bCs w:val="1"/>
                <w:color w:val="457157"/>
                <w:vertAlign w:val="subscript"/>
              </w:rPr>
              <w:t>​</w:t>
            </w:r>
          </w:p>
        </w:tc>
      </w:tr>
      <w:tr>
        <w:trPr>
          <w:trHeight w:val="237"/>
        </w:trPr>
        <w:tc>
          <w:tcPr>
            <w:tcW w:w="4760" w:type="dxa"/>
            <w:vAlign w:val="bottom"/>
            <w:tcBorders>
              <w:top w:val="single" w:sz="8" w:color="457157"/>
            </w:tcBorders>
          </w:tcPr>
          <w:p>
            <w:pPr>
              <w:jc w:val="right"/>
              <w:ind w:right="4602"/>
              <w:spacing w:after="0"/>
              <w:rPr>
                <w:sz w:val="20"/>
                <w:szCs w:val="20"/>
                <w:color w:val="auto"/>
              </w:rPr>
            </w:pPr>
            <w:r>
              <w:rPr>
                <w:rFonts w:ascii="Arial" w:cs="Arial" w:eastAsia="Arial" w:hAnsi="Arial"/>
                <w:sz w:val="14"/>
                <w:szCs w:val="14"/>
                <w:b w:val="1"/>
                <w:bCs w:val="1"/>
                <w:color w:val="457157"/>
              </w:rPr>
              <w:t>​​</w:t>
            </w:r>
          </w:p>
        </w:tc>
        <w:tc>
          <w:tcPr>
            <w:tcW w:w="4300" w:type="dxa"/>
            <w:vAlign w:val="bottom"/>
            <w:tcBorders>
              <w:top w:val="single" w:sz="8" w:color="457157"/>
            </w:tcBorders>
          </w:tcPr>
          <w:p>
            <w:pPr>
              <w:ind w:left="296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(In millions)</w:t>
            </w:r>
            <w:r>
              <w:rPr>
                <w:rFonts w:ascii="Arial" w:cs="Arial" w:eastAsia="Arial" w:hAnsi="Arial"/>
                <w:sz w:val="27"/>
                <w:szCs w:val="27"/>
                <w:b w:val="1"/>
                <w:bCs w:val="1"/>
                <w:color w:val="457157"/>
                <w:vertAlign w:val="subscript"/>
              </w:rPr>
              <w:t>​</w:t>
            </w:r>
          </w:p>
        </w:tc>
        <w:tc>
          <w:tcPr>
            <w:tcW w:w="40" w:type="dxa"/>
            <w:vAlign w:val="bottom"/>
          </w:tcPr>
          <w:p>
            <w:pPr>
              <w:spacing w:after="0"/>
              <w:rPr>
                <w:sz w:val="20"/>
                <w:szCs w:val="20"/>
                <w:color w:val="auto"/>
              </w:rPr>
            </w:pPr>
          </w:p>
        </w:tc>
      </w:tr>
      <w:tr>
        <w:trPr>
          <w:trHeight w:val="270"/>
        </w:trPr>
        <w:tc>
          <w:tcPr>
            <w:tcW w:w="4760" w:type="dxa"/>
            <w:vAlign w:val="bottom"/>
          </w:tcPr>
          <w:p>
            <w:pPr>
              <w:ind w:left="2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7"/>
                <w:szCs w:val="17"/>
                <w:b w:val="1"/>
                <w:bCs w:val="1"/>
                <w:color w:val="auto"/>
              </w:rPr>
              <w:t>Audit Fees</w:t>
            </w:r>
          </w:p>
        </w:tc>
        <w:tc>
          <w:tcPr>
            <w:tcW w:w="4340" w:type="dxa"/>
            <w:vAlign w:val="bottom"/>
            <w:gridSpan w:val="2"/>
          </w:tcPr>
          <w:p>
            <w:pPr>
              <w:jc w:val="right"/>
              <w:spacing w:after="0" w:line="269" w:lineRule="exact"/>
              <w:rPr>
                <w:sz w:val="20"/>
                <w:szCs w:val="20"/>
                <w:color w:val="auto"/>
              </w:rPr>
            </w:pP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$ 6.8</w:t>
            </w: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$ 6.5</w:t>
            </w:r>
            <w:r>
              <w:rPr>
                <w:rFonts w:ascii="Arial" w:cs="Arial" w:eastAsia="Arial" w:hAnsi="Arial"/>
                <w:sz w:val="17"/>
                <w:szCs w:val="17"/>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Audit-Related Fees</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​1.0</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​0.2</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Tax Fees</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All Other Fees</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Total</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w:t>
            </w:r>
            <w:r>
              <w:rPr>
                <w:rFonts w:ascii="Arial" w:cs="Arial" w:eastAsia="Arial" w:hAnsi="Arial"/>
                <w:sz w:val="30"/>
                <w:szCs w:val="30"/>
                <w:b w:val="1"/>
                <w:bCs w:val="1"/>
                <w:color w:val="auto"/>
                <w:vertAlign w:val="superscript"/>
              </w:rPr>
              <w:t>$ 7.8</w:t>
            </w:r>
            <w:r>
              <w:rPr>
                <w:rFonts w:ascii="Arial" w:cs="Arial" w:eastAsia="Arial" w:hAnsi="Arial"/>
                <w:sz w:val="16"/>
                <w:szCs w:val="16"/>
                <w:b w:val="1"/>
                <w:bCs w:val="1"/>
                <w:color w:val="auto"/>
              </w:rPr>
              <w:t>​​ ​​</w:t>
            </w:r>
            <w:r>
              <w:rPr>
                <w:rFonts w:ascii="Arial" w:cs="Arial" w:eastAsia="Arial" w:hAnsi="Arial"/>
                <w:sz w:val="30"/>
                <w:szCs w:val="30"/>
                <w:b w:val="1"/>
                <w:bCs w:val="1"/>
                <w:color w:val="auto"/>
                <w:vertAlign w:val="superscript"/>
              </w:rPr>
              <w:t>$ 6.7</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-899795</wp:posOffset>
            </wp:positionV>
            <wp:extent cx="576072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29"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Audit fees include fees for the annual audit, reviews of the Company’s Quarterly Reports on Form 10-Q, work performed to support the Company’s debt issuances, accounting consultations, and separate</w:t>
      </w:r>
    </w:p>
    <w:p>
      <w:pPr>
        <w:spacing w:after="0" w:line="1" w:lineRule="exact"/>
        <w:rPr>
          <w:sz w:val="20"/>
          <w:szCs w:val="20"/>
          <w:color w:val="auto"/>
        </w:rPr>
      </w:pPr>
    </w:p>
    <w:p>
      <w:pPr>
        <w:ind w:left="820" w:right="60"/>
        <w:spacing w:after="0" w:line="250" w:lineRule="auto"/>
        <w:rPr>
          <w:sz w:val="20"/>
          <w:szCs w:val="20"/>
          <w:color w:val="auto"/>
        </w:rPr>
      </w:pPr>
      <w:r>
        <w:rPr>
          <w:rFonts w:ascii="Arial" w:cs="Arial" w:eastAsia="Arial" w:hAnsi="Arial"/>
          <w:sz w:val="18"/>
          <w:szCs w:val="18"/>
          <w:color w:val="auto"/>
        </w:rPr>
        <w:t>subsidiary audits required by statute or regulation. Audit-related fees include attest services related to financial reporting that are not required by statute or regulations.</w:t>
      </w:r>
    </w:p>
    <w:p>
      <w:pPr>
        <w:spacing w:after="0" w:line="50" w:lineRule="exact"/>
        <w:rPr>
          <w:sz w:val="20"/>
          <w:szCs w:val="20"/>
          <w:color w:val="auto"/>
        </w:rPr>
      </w:pPr>
    </w:p>
    <w:p>
      <w:pPr>
        <w:ind w:left="820" w:right="60"/>
        <w:spacing w:after="0" w:line="245" w:lineRule="auto"/>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w:t>
      </w:r>
    </w:p>
    <w:p>
      <w:pPr>
        <w:jc w:val="both"/>
        <w:ind w:left="820" w:right="60"/>
        <w:spacing w:after="0" w:line="226" w:lineRule="auto"/>
        <w:rPr>
          <w:sz w:val="20"/>
          <w:szCs w:val="20"/>
          <w:color w:val="auto"/>
        </w:rPr>
      </w:pPr>
      <w:r>
        <w:rPr>
          <w:rFonts w:ascii="Arial" w:cs="Arial" w:eastAsia="Arial" w:hAnsi="Arial"/>
          <w:sz w:val="18"/>
          <w:szCs w:val="18"/>
          <w:color w:val="auto"/>
        </w:rPr>
        <w:t>fees for the upcoming audit are provided to the Audit Committee for approval. The services are grouped into significant categories and provided to the Audit Committee in the format shown above.</w:t>
      </w:r>
    </w:p>
    <w:p>
      <w:pPr>
        <w:ind w:left="820"/>
        <w:spacing w:after="0" w:line="236" w:lineRule="auto"/>
        <w:rPr>
          <w:sz w:val="20"/>
          <w:szCs w:val="20"/>
          <w:color w:val="auto"/>
        </w:rPr>
      </w:pPr>
      <w:r>
        <w:rPr>
          <w:rFonts w:ascii="Arial" w:cs="Arial" w:eastAsia="Arial" w:hAnsi="Arial"/>
          <w:sz w:val="18"/>
          <w:szCs w:val="18"/>
          <w:color w:val="auto"/>
        </w:rPr>
        <w:t>All projects that have the potential to exceed $100,000 are separately identified and reported to the</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Committee for approval. The Audit Committee Chair has the authority to approve additional services, not previously approved, between Committee meetings. Any additional services approved by the Audit</w:t>
      </w:r>
    </w:p>
    <w:p>
      <w:pPr>
        <w:spacing w:after="0" w:line="2"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Committee Chair between Committee meetings are reported to the full Audit Committee at the next regularly scheduled meeting. The Audit Committee is updated on the status of all services and related</w:t>
      </w:r>
    </w:p>
    <w:p>
      <w:pPr>
        <w:ind w:left="820"/>
        <w:spacing w:after="0" w:line="236" w:lineRule="auto"/>
        <w:rPr>
          <w:sz w:val="20"/>
          <w:szCs w:val="20"/>
          <w:color w:val="auto"/>
        </w:rPr>
      </w:pPr>
      <w:r>
        <w:rPr>
          <w:rFonts w:ascii="Arial" w:cs="Arial" w:eastAsia="Arial" w:hAnsi="Arial"/>
          <w:sz w:val="18"/>
          <w:szCs w:val="18"/>
          <w:color w:val="auto"/>
        </w:rPr>
        <w:t>fees at every regular meeting. In 2023 and 2022, the Audit Committee or Audit Committee Chair pre-</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approved all audit and audit-related services performed by Ernst &amp; Young LLP. As set forth in the Audit Committee Report, the Audit Committee has considered whether the provision of these audit-related</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services is compatible with maintaining auditor independence and has determined that it is.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Approval of this proposal requires the affirmative vote of the holders of a majority of the outstanding</w:t>
      </w:r>
    </w:p>
    <w:p>
      <w:pPr>
        <w:spacing w:after="0" w:line="14" w:lineRule="exact"/>
        <w:rPr>
          <w:sz w:val="20"/>
          <w:szCs w:val="20"/>
          <w:color w:val="auto"/>
        </w:rPr>
      </w:pPr>
    </w:p>
    <w:p>
      <w:pPr>
        <w:ind w:left="820" w:right="60"/>
        <w:spacing w:after="0"/>
        <w:rPr>
          <w:sz w:val="20"/>
          <w:szCs w:val="20"/>
          <w:color w:val="auto"/>
        </w:rPr>
      </w:pPr>
      <w:r>
        <w:rPr>
          <w:rFonts w:ascii="Arial" w:cs="Arial" w:eastAsia="Arial" w:hAnsi="Arial"/>
          <w:sz w:val="18"/>
          <w:szCs w:val="18"/>
          <w:color w:val="auto"/>
        </w:rPr>
        <w:t>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194945</wp:posOffset>
            </wp:positionV>
            <wp:extent cx="5340350" cy="514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40" w:lineRule="exact"/>
        <w:rPr>
          <w:sz w:val="20"/>
          <w:szCs w:val="20"/>
          <w:color w:val="auto"/>
        </w:rPr>
      </w:pPr>
    </w:p>
    <w:p>
      <w:pPr>
        <w:ind w:left="820" w:right="2940"/>
        <w:spacing w:after="0" w:line="268" w:lineRule="auto"/>
        <w:rPr>
          <w:sz w:val="20"/>
          <w:szCs w:val="20"/>
          <w:color w:val="auto"/>
        </w:rPr>
      </w:pPr>
      <w:r>
        <w:rPr>
          <w:rFonts w:ascii="Arial" w:cs="Arial" w:eastAsia="Arial" w:hAnsi="Arial"/>
          <w:sz w:val="36"/>
          <w:szCs w:val="36"/>
          <w:b w:val="1"/>
          <w:bCs w:val="1"/>
          <w:color w:val="457157"/>
        </w:rPr>
        <w:t>ADVISORY VOTE ON EXECUTIVE 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3 ON THE PROXY CARD)</w:t>
      </w:r>
    </w:p>
    <w:p>
      <w:pPr>
        <w:spacing w:after="0" w:line="12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69"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further the objective of our executive compensation program and evidence our dedication to competitive and reasonable compensation practices that are in the best interests of stockholders:</w:t>
      </w:r>
    </w:p>
    <w:p>
      <w:pPr>
        <w:spacing w:after="0" w:line="280" w:lineRule="exact"/>
        <w:rPr>
          <w:sz w:val="20"/>
          <w:szCs w:val="20"/>
          <w:color w:val="auto"/>
        </w:rPr>
      </w:pPr>
    </w:p>
    <w:p>
      <w:pPr>
        <w:jc w:val="both"/>
        <w:ind w:left="1360" w:right="60" w:hanging="184"/>
        <w:spacing w:after="0" w:line="278"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a significant majority of our named executive’s target compensation is linked to Company performance and long-term equity awards, which aligns executives’ interests with those of stockholders;</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31"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31"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287"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the Company has adopted policies that limit executive officer severance benefits and prohibit it from entering into agreements with executive officers that provide for certain death benefits or tax gross-up payments.</w:t>
      </w:r>
    </w:p>
    <w:p>
      <w:pPr>
        <w:spacing w:after="0" w:line="63"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215900</wp:posOffset>
            </wp:positionV>
            <wp:extent cx="5340350" cy="514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86" w:lineRule="exact"/>
        <w:rPr>
          <w:sz w:val="20"/>
          <w:szCs w:val="20"/>
          <w:color w:val="auto"/>
        </w:rPr>
      </w:pPr>
    </w:p>
    <w:p>
      <w:pPr>
        <w:ind w:left="820" w:right="300"/>
        <w:spacing w:after="0" w:line="257" w:lineRule="auto"/>
        <w:rPr>
          <w:sz w:val="20"/>
          <w:szCs w:val="20"/>
          <w:color w:val="auto"/>
        </w:rPr>
      </w:pPr>
      <w:r>
        <w:rPr>
          <w:rFonts w:ascii="Arial" w:cs="Arial" w:eastAsia="Arial" w:hAnsi="Arial"/>
          <w:sz w:val="36"/>
          <w:szCs w:val="36"/>
          <w:b w:val="1"/>
          <w:bCs w:val="1"/>
          <w:color w:val="457157"/>
        </w:rPr>
        <w:t>APPROVAL OF AN AMENDMENT TO THE CERTIFICATE OF INCORPORTION TO PROVIDE FOR OFFICER EXCULPATION</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4 ON THE PROXY CARD)</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Background</w:t>
      </w:r>
    </w:p>
    <w:p>
      <w:pPr>
        <w:spacing w:after="0" w:line="112"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State of Delaware, which is the Company’s state of incorporation, enacted legislation, effective August 1, 2022, that amended Section 102(b)(7) of the Delaware General Corporation Law (the “DGCL”) to enable Delaware corporations to include a provision in their certificates of incorporation to eliminate or limit the personal liability of certain officers for monetary damages associated with claims of breach of the duty of care in certain instances (referred to as “exculpation”). The Company’s Third Restated Certificate of Incorporation (the “Certificate of Incorporation”) provides for the exculpation of directors from personal liability for monetary damages associated with breaches of the duty of care but does not have a similar limitation of liability for our officers. The Company is asking its stockholders to approve an amendment to the Certificate of Incorporation to limit the liability of certain of the Company’s officers in specific circumstances, as permitted by Delaware law (the “Proposed Amendment”). The Proposed Amendment also simplifies the existing exculpation provision related to directors of the Company set forth in Article Seventh of the Certificate of Incorporation by referring to the DGCL as the same exists or may hereafter be amended instead of specifying each instance where exculpation for directors is currently not available under the DGCL. As such, the current exculpation protections available to the directors will remain unchanged as a result of the Proposed Amendment. In addition, the Proposed Amendment provides that if the DGCL is further amended to eliminate or limit the liability of officers or directors, the liability of such officers and directors will be limited or eliminated to the fullest extent permitted by law, as so amended. The following description is a summary only and is qualified in its entirety by reference to the text of the Proposed Amendment as shown below in the section titled “Proposed Amendment.”</w:t>
      </w:r>
    </w:p>
    <w:p>
      <w:pPr>
        <w:spacing w:after="0" w:line="200" w:lineRule="exact"/>
        <w:rPr>
          <w:sz w:val="20"/>
          <w:szCs w:val="20"/>
          <w:color w:val="auto"/>
        </w:rPr>
      </w:pPr>
    </w:p>
    <w:p>
      <w:pPr>
        <w:spacing w:after="0" w:line="321"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Consistent with the updated Section 102(b)(7), the Proposed Amendment would only exculpate certain officers of the Company from personal liability for monetary damages for direct claims brought by stockholders for breaches of the officer’s fiduciary duty of care, including class actions. In addition, as is the case for our directors under our current Certificate of Incorporation, officers would not be exculpated from personal liability (a) for breach of the officer’s duty of loyalty to the Company or its stockholders; (b) for acts or omissions not in good faith or which involve intentional misconduct or a knowing violation of law; or (c) for any transaction from which the officer derived an improper personal benefit. In addition, the Proposed Amendment also would not eliminate an officer’s monetary liability for claims brought by the Company itself or for derivative claims brought by stockholders in the name of the Company.</w:t>
      </w:r>
    </w:p>
    <w:p>
      <w:pPr>
        <w:spacing w:after="0" w:line="306"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color w:val="auto"/>
        </w:rPr>
        <w:t>The Proposed Amendment will not be retroactive to any act or omission occurring prior to its effective date. Further, the exculpation would only apply to certain officers, namely a person who (during the course of conduct alleged to be wrongful): (a) is or was president, chief executive officer, chief operating officer, chief financial officer, chief legal officer, controller, treasurer or chief accounting officer; (b) is or was identified in the Company’s public filings with the SEC as one of the most highly compensated executive officers of the Company; or (c) has, by written agreement with the Company, consented to be identified as an officer for purposes of accepting service of process in Delaware.</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Proposed Amendment</w:t>
      </w:r>
    </w:p>
    <w:p>
      <w:pPr>
        <w:spacing w:after="0" w:line="112" w:lineRule="exact"/>
        <w:rPr>
          <w:sz w:val="20"/>
          <w:szCs w:val="20"/>
          <w:color w:val="auto"/>
        </w:rPr>
      </w:pPr>
    </w:p>
    <w:p>
      <w:pPr>
        <w:jc w:val="both"/>
        <w:ind w:left="820" w:right="60"/>
        <w:spacing w:after="0" w:line="276" w:lineRule="auto"/>
        <w:rPr>
          <w:sz w:val="20"/>
          <w:szCs w:val="20"/>
          <w:color w:val="auto"/>
        </w:rPr>
      </w:pPr>
      <w:r>
        <w:rPr>
          <w:rFonts w:ascii="Arial" w:cs="Arial" w:eastAsia="Arial" w:hAnsi="Arial"/>
          <w:sz w:val="18"/>
          <w:szCs w:val="18"/>
          <w:color w:val="auto"/>
        </w:rPr>
        <w:t>We are asking that the stockholders approve the Proposed Amendment. The Proposed Amendment would result in Article Seventh, which currently provides for exculpation of directors, to be deleted in its entirety and replaced with the following:</w:t>
      </w:r>
    </w:p>
    <w:p>
      <w:pPr>
        <w:spacing w:after="0" w:line="69" w:lineRule="exact"/>
        <w:rPr>
          <w:sz w:val="20"/>
          <w:szCs w:val="20"/>
          <w:color w:val="auto"/>
        </w:rPr>
      </w:pPr>
    </w:p>
    <w:p>
      <w:pPr>
        <w:jc w:val="both"/>
        <w:ind w:left="1180" w:right="60"/>
        <w:spacing w:after="0" w:line="267" w:lineRule="auto"/>
        <w:rPr>
          <w:sz w:val="20"/>
          <w:szCs w:val="20"/>
          <w:color w:val="auto"/>
        </w:rPr>
      </w:pPr>
      <w:r>
        <w:rPr>
          <w:rFonts w:ascii="Arial" w:cs="Arial" w:eastAsia="Arial" w:hAnsi="Arial"/>
          <w:sz w:val="18"/>
          <w:szCs w:val="18"/>
          <w:color w:val="auto"/>
        </w:rPr>
        <w:t>“Seventh: 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Delaware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027"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6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Reasons for Proposed Amendment</w:t>
      </w:r>
    </w:p>
    <w:p>
      <w:pPr>
        <w:spacing w:after="0" w:line="126"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officers to avoid dismissal of such claims. The amendment to Section 102(b)(7) of the DGCL addressed this inconsistent treatment between officers and directors and the rising litigation and insurance costs for stockholders.</w:t>
      </w:r>
    </w:p>
    <w:p>
      <w:pPr>
        <w:spacing w:after="0" w:line="54"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In the course of the ongoing evaluation of the Company’s corporate governance practices, the Nominating &amp; Governance Committee and the Board of Directors have determined that the Proposed Amendment would reduce the unequal treatment of directors and officers associated with claims related to alleged breach of the duty of care and improve alignment of officers and directors on duty of care responsibilities. The Proposed Amendment would also better position the Company to continue to attract and retain top management talent by providing this additional protection. In the absence of such protection, particularly considering the recent trend of plaintiffs increasingly naming corporate officers as defendants in stockholder litigation, qualified officers might be deterred from serving as officers or, while officers, from making business decisions that involve risk, due to potential exposure to personal monetary liability for business decisions that in hindsight may be questioned.</w:t>
      </w:r>
    </w:p>
    <w:p>
      <w:pPr>
        <w:spacing w:after="0" w:line="135"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Officers of large publicly -traded corporations, including our Company, are required to make difficult decisions in response to time-sensitive opportunities and challenges. These decisions can create risk of claims or proceedings seeking to impose liability on the basis of hindsight. The Board of Directors believes that it is appropriate to limit our officers’ concern about personal risk and empower them to exercise their business judgment in furtherance of stockholder interests. The Board of Directors believes this will help limit litigation that names officers as defendants, when directors cannot be named because of their exculpatory protection, as a litigation strategy to compel settlement offers.</w:t>
      </w:r>
    </w:p>
    <w:p>
      <w:pPr>
        <w:spacing w:after="0" w:line="6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Consistent with the recent amendment to the DGCL, the Proposed Amendment only permits exculpation of officers for direct claims for breaches of the duty of care brought by stockholders (as opposed to claims brought by the Company or derivative claims made by stockholders on behalf of the Company). Further, as with the director exculpation provision currently contained in our Certificate of Incorporation, the Proposed Amendment does not apply to breach of the duty of loyalty, acts or omissions not in good faith or that involve intentional misconduct, a knowing violation of law, or claims related to any transaction in which the officer derived an improper personal benefit.</w:t>
      </w:r>
    </w:p>
    <w:p>
      <w:pPr>
        <w:spacing w:after="0" w:line="8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After weighing these considerations, upon the recommendation of the Nominating and Governance Committee, the Board of Directors approved, declared advisable and recommended that our stockholders approve and adopt the Proposed Amendment. The Proposed Amendment is not being proposed in response to any specific resignation, threat of resignation, or refusal to serve by any officer or as a result of any pending litigation.</w:t>
      </w:r>
    </w:p>
    <w:p>
      <w:pPr>
        <w:spacing w:after="0" w:line="34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Additional Information</w:t>
      </w:r>
    </w:p>
    <w:p>
      <w:pPr>
        <w:spacing w:after="0" w:line="11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If our stockholders approve the Proposed Amendment, it will become effective upon the filing of the Certificate of Amendment setting forth the Proposed Amendment with the Delaware Secretary of State, which we anticipate doing promptly following the Annual Meeting. Other than the replacement of the existing Article Seventh through the Proposed Amendment, the remainder of our Certificate of Incorporation will remain unchanged. In addition, we intend to file a new Restated Certificate of Incorporation to integrate the Proposed Amendment (if approved) into a single document. If our stockholders do not approve the Proposed Amendment, the Company’s current Certificate of Incorporation will remain in place.</w:t>
      </w:r>
    </w:p>
    <w:p>
      <w:pPr>
        <w:spacing w:after="0" w:line="341"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Approval of the Proposed Amendment to the Certificate of Incorporation to provide for officer exculpation requires the affirmative vote of the holders of a majority of the outstanding shares of Common Stock entitled to vote on the matter. Abstentions and broker non- votes will have the same effect as a vote against this proposal. Our Board of Directors reserves the right to elect to abandon the Proposed Amendment at any time before it becomes effective even if it is approved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189865</wp:posOffset>
            </wp:positionV>
            <wp:extent cx="5340350" cy="514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APPENDIX A</w:t>
      </w:r>
    </w:p>
    <w:p>
      <w:pPr>
        <w:spacing w:after="0" w:line="118" w:lineRule="exact"/>
        <w:rPr>
          <w:sz w:val="20"/>
          <w:szCs w:val="20"/>
          <w:color w:val="auto"/>
        </w:rPr>
      </w:pPr>
    </w:p>
    <w:p>
      <w:pPr>
        <w:jc w:val="both"/>
        <w:ind w:left="820" w:right="680"/>
        <w:spacing w:after="0" w:line="259" w:lineRule="auto"/>
        <w:rPr>
          <w:sz w:val="20"/>
          <w:szCs w:val="20"/>
          <w:color w:val="auto"/>
        </w:rPr>
      </w:pPr>
      <w:r>
        <w:rPr>
          <w:rFonts w:ascii="Arial" w:cs="Arial" w:eastAsia="Arial" w:hAnsi="Arial"/>
          <w:sz w:val="18"/>
          <w:szCs w:val="18"/>
          <w:color w:val="auto"/>
        </w:rPr>
        <w:t>Incentive compensation measures presented in this proxy statement are defined differently than corresponding measures reported in the Company’s quarterly earnings press release. See below for reconciliations of Operating EBITDA, Income from Operations Margin and Cash Flow Generation to the most comparable GAAP measures. Non- GAAP measures should not be considered a substitute for financial measures presented in accordance with GAAP.</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8"/>
                <w:szCs w:val="18"/>
                <w:color w:val="auto"/>
              </w:rPr>
            </w:pPr>
          </w:p>
        </w:tc>
        <w:tc>
          <w:tcPr>
            <w:tcW w:w="10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bottom w:val="single" w:sz="8" w:color="457157"/>
            </w:tcBorders>
          </w:tcPr>
          <w:p>
            <w:pPr>
              <w:spacing w:after="0"/>
              <w:rPr>
                <w:sz w:val="18"/>
                <w:szCs w:val="18"/>
                <w:color w:val="auto"/>
              </w:rPr>
            </w:pPr>
          </w:p>
        </w:tc>
        <w:tc>
          <w:tcPr>
            <w:tcW w:w="3200" w:type="dxa"/>
            <w:vAlign w:val="bottom"/>
            <w:tcBorders>
              <w:bottom w:val="single" w:sz="8" w:color="457157"/>
            </w:tcBorders>
            <w:gridSpan w:val="13"/>
          </w:tcPr>
          <w:p>
            <w:pPr>
              <w:ind w:left="100"/>
              <w:spacing w:after="0"/>
              <w:rPr>
                <w:sz w:val="20"/>
                <w:szCs w:val="20"/>
                <w:color w:val="auto"/>
              </w:rPr>
            </w:pPr>
            <w:r>
              <w:rPr>
                <w:rFonts w:ascii="Arial" w:cs="Arial" w:eastAsia="Arial" w:hAnsi="Arial"/>
                <w:sz w:val="14"/>
                <w:szCs w:val="14"/>
                <w:b w:val="1"/>
                <w:bCs w:val="1"/>
                <w:color w:val="457157"/>
              </w:rPr>
              <w:t>Twelve Months Ended December 31, 2023</w:t>
            </w:r>
          </w:p>
        </w:tc>
        <w:tc>
          <w:tcPr>
            <w:tcW w:w="3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9"/>
          </w:tcPr>
          <w:p>
            <w:pPr>
              <w:jc w:val="center"/>
              <w:ind w:right="73"/>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12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70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$20,426</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$ 3,575</w:t>
            </w:r>
          </w:p>
        </w:tc>
        <w:tc>
          <w:tcPr>
            <w:tcW w:w="280" w:type="dxa"/>
            <w:vAlign w:val="bottom"/>
            <w:tcBorders>
              <w:top w:val="single" w:sz="8" w:color="457157"/>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$ 2,071</w:t>
            </w:r>
          </w:p>
        </w:tc>
        <w:tc>
          <w:tcPr>
            <w:tcW w:w="200" w:type="dxa"/>
            <w:vAlign w:val="bottom"/>
            <w:tcBorders>
              <w:top w:val="single" w:sz="8" w:color="457157"/>
            </w:tcBorders>
            <w:shd w:val="clear" w:color="auto" w:fill="CCEEFF"/>
          </w:tcPr>
          <w:p>
            <w:pPr>
              <w:spacing w:after="0"/>
              <w:rPr>
                <w:sz w:val="17"/>
                <w:szCs w:val="17"/>
                <w:color w:val="auto"/>
              </w:rPr>
            </w:pPr>
          </w:p>
        </w:tc>
        <w:tc>
          <w:tcPr>
            <w:tcW w:w="8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$ 5,646</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tcBorders>
              <w:top w:val="single" w:sz="8" w:color="457157"/>
              <w:bottom w:val="single" w:sz="8" w:color="457157"/>
            </w:tcBorders>
            <w:gridSpan w:val="2"/>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457157"/>
              <w:bottom w:val="single" w:sz="8" w:color="457157"/>
            </w:tcBorders>
            <w:shd w:val="clear" w:color="auto" w:fill="CCEEFF"/>
          </w:tcPr>
          <w:p>
            <w:pPr>
              <w:spacing w:after="0"/>
              <w:rPr>
                <w:sz w:val="22"/>
                <w:szCs w:val="22"/>
                <w:color w:val="auto"/>
              </w:rPr>
            </w:pPr>
          </w:p>
        </w:tc>
        <w:tc>
          <w:tcPr>
            <w:tcW w:w="16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457157"/>
              <w:bottom w:val="single" w:sz="8" w:color="457157"/>
            </w:tcBorders>
            <w:shd w:val="clear" w:color="auto" w:fill="CCEEFF"/>
          </w:tcPr>
          <w:p>
            <w:pPr>
              <w:spacing w:after="0"/>
              <w:rPr>
                <w:sz w:val="22"/>
                <w:szCs w:val="22"/>
                <w:color w:val="auto"/>
              </w:rPr>
            </w:pPr>
          </w:p>
        </w:tc>
        <w:tc>
          <w:tcPr>
            <w:tcW w:w="580" w:type="dxa"/>
            <w:vAlign w:val="bottom"/>
            <w:tcBorders>
              <w:top w:val="single" w:sz="8" w:color="457157"/>
              <w:bottom w:val="single" w:sz="8" w:color="457157"/>
            </w:tcBorders>
            <w:gridSpan w:val="2"/>
            <w:shd w:val="clear" w:color="auto" w:fill="CCEEFF"/>
          </w:tcPr>
          <w:p>
            <w:pPr>
              <w:ind w:left="1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3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457157"/>
              <w:bottom w:val="single" w:sz="8" w:color="457157"/>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8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247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$19,804</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$ 3,822</w:t>
            </w:r>
          </w:p>
        </w:tc>
        <w:tc>
          <w:tcPr>
            <w:tcW w:w="280" w:type="dxa"/>
            <w:vAlign w:val="bottom"/>
            <w:tcBorders>
              <w:top w:val="single" w:sz="8" w:color="457157"/>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$ 2,070</w:t>
            </w:r>
          </w:p>
        </w:tc>
        <w:tc>
          <w:tcPr>
            <w:tcW w:w="200" w:type="dxa"/>
            <w:vAlign w:val="bottom"/>
            <w:tcBorders>
              <w:top w:val="single" w:sz="8" w:color="457157"/>
            </w:tcBorders>
            <w:shd w:val="clear" w:color="auto" w:fill="CCEEFF"/>
          </w:tcPr>
          <w:p>
            <w:pPr>
              <w:spacing w:after="0"/>
              <w:rPr>
                <w:sz w:val="17"/>
                <w:szCs w:val="17"/>
                <w:color w:val="auto"/>
              </w:rPr>
            </w:pPr>
          </w:p>
        </w:tc>
        <w:tc>
          <w:tcPr>
            <w:tcW w:w="8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$ 5,892</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Income from Operations Margin Performance Measure</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13"/>
              <w:spacing w:after="0" w:line="196"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28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jc w:val="right"/>
              <w:ind w:right="53"/>
              <w:spacing w:after="0" w:line="68" w:lineRule="exact"/>
              <w:rPr>
                <w:sz w:val="20"/>
                <w:szCs w:val="20"/>
                <w:color w:val="auto"/>
              </w:rPr>
            </w:pPr>
            <w:r>
              <w:rPr>
                <w:rFonts w:ascii="Arial" w:cs="Arial" w:eastAsia="Arial" w:hAnsi="Arial"/>
                <w:sz w:val="7"/>
                <w:szCs w:val="7"/>
                <w:color w:val="auto"/>
              </w:rPr>
              <w:t>​​</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Borders>
              <w:top w:val="single" w:sz="8" w:color="457157"/>
            </w:tcBorders>
          </w:tcPr>
          <w:p>
            <w:pPr>
              <w:spacing w:after="0"/>
              <w:rPr>
                <w:sz w:val="24"/>
                <w:szCs w:val="24"/>
                <w:color w:val="auto"/>
              </w:rPr>
            </w:pPr>
          </w:p>
        </w:tc>
        <w:tc>
          <w:tcPr>
            <w:tcW w:w="10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top w:val="single" w:sz="8" w:color="457157"/>
              <w:bottom w:val="single" w:sz="8" w:color="457157"/>
            </w:tcBorders>
          </w:tcPr>
          <w:p>
            <w:pPr>
              <w:spacing w:after="0"/>
              <w:rPr>
                <w:sz w:val="24"/>
                <w:szCs w:val="24"/>
                <w:color w:val="auto"/>
              </w:rPr>
            </w:pPr>
          </w:p>
        </w:tc>
        <w:tc>
          <w:tcPr>
            <w:tcW w:w="3200" w:type="dxa"/>
            <w:vAlign w:val="bottom"/>
            <w:tcBorders>
              <w:top w:val="single" w:sz="8" w:color="457157"/>
              <w:bottom w:val="single" w:sz="8" w:color="457157"/>
            </w:tcBorders>
            <w:gridSpan w:val="13"/>
          </w:tcPr>
          <w:p>
            <w:pPr>
              <w:ind w:left="100"/>
              <w:spacing w:after="0"/>
              <w:rPr>
                <w:sz w:val="20"/>
                <w:szCs w:val="20"/>
                <w:color w:val="auto"/>
              </w:rPr>
            </w:pPr>
            <w:r>
              <w:rPr>
                <w:rFonts w:ascii="Arial" w:cs="Arial" w:eastAsia="Arial" w:hAnsi="Arial"/>
                <w:sz w:val="14"/>
                <w:szCs w:val="14"/>
                <w:b w:val="1"/>
                <w:bCs w:val="1"/>
                <w:color w:val="457157"/>
              </w:rPr>
              <w:t>Twelve Months Ended December 31, 2022</w:t>
            </w:r>
          </w:p>
        </w:tc>
        <w:tc>
          <w:tcPr>
            <w:tcW w:w="300" w:type="dxa"/>
            <w:vAlign w:val="bottom"/>
            <w:tcBorders>
              <w:top w:val="single" w:sz="8" w:color="457157"/>
              <w:bottom w:val="single" w:sz="8" w:color="457157"/>
            </w:tcBorders>
          </w:tcPr>
          <w:p>
            <w:pPr>
              <w:spacing w:after="0"/>
              <w:rPr>
                <w:sz w:val="24"/>
                <w:szCs w:val="24"/>
                <w:color w:val="auto"/>
              </w:rPr>
            </w:pPr>
          </w:p>
        </w:tc>
        <w:tc>
          <w:tcPr>
            <w:tcW w:w="80" w:type="dxa"/>
            <w:vAlign w:val="bottom"/>
            <w:tcBorders>
              <w:top w:val="single" w:sz="8" w:color="457157"/>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9"/>
          </w:tcPr>
          <w:p>
            <w:pPr>
              <w:jc w:val="center"/>
              <w:ind w:right="73"/>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12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70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$19,698</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$ 3,365</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$ 2,038</w:t>
            </w:r>
          </w:p>
        </w:tc>
        <w:tc>
          <w:tcPr>
            <w:tcW w:w="20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$ 5,403</w:t>
            </w: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80" w:type="dxa"/>
            <w:vAlign w:val="bottom"/>
            <w:tcBorders>
              <w:right w:val="single" w:sz="8" w:color="457157"/>
            </w:tcBorders>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gridSpan w:val="2"/>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57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5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32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52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(a)</w:t>
            </w:r>
          </w:p>
        </w:tc>
        <w:tc>
          <w:tcPr>
            <w:tcW w:w="280" w:type="dxa"/>
            <w:vAlign w:val="bottom"/>
            <w:gridSpan w:val="2"/>
          </w:tcPr>
          <w:p>
            <w:pPr>
              <w:spacing w:after="0" w:line="290" w:lineRule="exact"/>
              <w:rPr>
                <w:sz w:val="20"/>
                <w:szCs w:val="20"/>
                <w:color w:val="auto"/>
              </w:rPr>
            </w:pPr>
            <w:r>
              <w:rPr>
                <w:rFonts w:ascii="Arial" w:cs="Arial" w:eastAsia="Arial" w:hAnsi="Arial"/>
                <w:sz w:val="17"/>
                <w:szCs w:val="17"/>
                <w:color w:val="auto"/>
              </w:rPr>
              <w:t xml:space="preserve">​​ </w:t>
            </w:r>
            <w:r>
              <w:rPr>
                <w:rFonts w:ascii="Arial" w:cs="Arial" w:eastAsia="Arial" w:hAnsi="Arial"/>
                <w:sz w:val="33"/>
                <w:szCs w:val="33"/>
                <w:color w:val="auto"/>
                <w:vertAlign w:val="superscript"/>
              </w:rPr>
              <w:t>​</w:t>
            </w:r>
          </w:p>
        </w:tc>
        <w:tc>
          <w:tcPr>
            <w:tcW w:w="520" w:type="dxa"/>
            <w:vAlign w:val="bottom"/>
            <w:gridSpan w:val="2"/>
          </w:tcPr>
          <w:p>
            <w:pPr>
              <w:jc w:val="right"/>
              <w:spacing w:after="0" w:line="290"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$18,919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$ 3,439</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$ 2,036</w:t>
            </w:r>
          </w:p>
        </w:tc>
        <w:tc>
          <w:tcPr>
            <w:tcW w:w="20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$ 5,475</w:t>
            </w: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Borders>
              <w:top w:val="single" w:sz="8" w:color="457157"/>
            </w:tcBorders>
          </w:tcPr>
          <w:p>
            <w:pPr>
              <w:spacing w:after="0"/>
              <w:rPr>
                <w:sz w:val="24"/>
                <w:szCs w:val="24"/>
                <w:color w:val="auto"/>
              </w:rPr>
            </w:pPr>
          </w:p>
        </w:tc>
        <w:tc>
          <w:tcPr>
            <w:tcW w:w="10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top w:val="single" w:sz="8" w:color="457157"/>
              <w:bottom w:val="single" w:sz="8" w:color="457157"/>
            </w:tcBorders>
          </w:tcPr>
          <w:p>
            <w:pPr>
              <w:spacing w:after="0"/>
              <w:rPr>
                <w:sz w:val="24"/>
                <w:szCs w:val="24"/>
                <w:color w:val="auto"/>
              </w:rPr>
            </w:pPr>
          </w:p>
        </w:tc>
        <w:tc>
          <w:tcPr>
            <w:tcW w:w="3200" w:type="dxa"/>
            <w:vAlign w:val="bottom"/>
            <w:tcBorders>
              <w:top w:val="single" w:sz="8" w:color="457157"/>
              <w:bottom w:val="single" w:sz="8" w:color="457157"/>
            </w:tcBorders>
            <w:gridSpan w:val="13"/>
          </w:tcPr>
          <w:p>
            <w:pPr>
              <w:ind w:left="100"/>
              <w:spacing w:after="0"/>
              <w:rPr>
                <w:sz w:val="20"/>
                <w:szCs w:val="20"/>
                <w:color w:val="auto"/>
              </w:rPr>
            </w:pPr>
            <w:r>
              <w:rPr>
                <w:rFonts w:ascii="Arial" w:cs="Arial" w:eastAsia="Arial" w:hAnsi="Arial"/>
                <w:sz w:val="14"/>
                <w:szCs w:val="14"/>
                <w:b w:val="1"/>
                <w:bCs w:val="1"/>
                <w:color w:val="457157"/>
              </w:rPr>
              <w:t>Twelve Months Ended December 31, 2021</w:t>
            </w:r>
          </w:p>
        </w:tc>
        <w:tc>
          <w:tcPr>
            <w:tcW w:w="300" w:type="dxa"/>
            <w:vAlign w:val="bottom"/>
            <w:tcBorders>
              <w:top w:val="single" w:sz="8" w:color="457157"/>
              <w:bottom w:val="single" w:sz="8" w:color="457157"/>
            </w:tcBorders>
          </w:tcPr>
          <w:p>
            <w:pPr>
              <w:spacing w:after="0"/>
              <w:rPr>
                <w:sz w:val="24"/>
                <w:szCs w:val="24"/>
                <w:color w:val="auto"/>
              </w:rPr>
            </w:pPr>
          </w:p>
        </w:tc>
        <w:tc>
          <w:tcPr>
            <w:tcW w:w="80" w:type="dxa"/>
            <w:vAlign w:val="bottom"/>
            <w:tcBorders>
              <w:top w:val="single" w:sz="8" w:color="457157"/>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9"/>
          </w:tcPr>
          <w:p>
            <w:pPr>
              <w:jc w:val="center"/>
              <w:ind w:right="73"/>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12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70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$17,931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$ 2,965</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$ 1,999</w:t>
            </w:r>
          </w:p>
        </w:tc>
        <w:tc>
          <w:tcPr>
            <w:tcW w:w="20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$ 4,964</w:t>
            </w: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57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5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32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52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(a)</w:t>
            </w:r>
          </w:p>
        </w:tc>
        <w:tc>
          <w:tcPr>
            <w:tcW w:w="280" w:type="dxa"/>
            <w:vAlign w:val="bottom"/>
            <w:gridSpan w:val="2"/>
          </w:tcPr>
          <w:p>
            <w:pPr>
              <w:spacing w:after="0" w:line="290" w:lineRule="exact"/>
              <w:rPr>
                <w:sz w:val="20"/>
                <w:szCs w:val="20"/>
                <w:color w:val="auto"/>
              </w:rPr>
            </w:pPr>
            <w:r>
              <w:rPr>
                <w:rFonts w:ascii="Arial" w:cs="Arial" w:eastAsia="Arial" w:hAnsi="Arial"/>
                <w:sz w:val="17"/>
                <w:szCs w:val="17"/>
                <w:color w:val="auto"/>
              </w:rPr>
              <w:t xml:space="preserve">​​ </w:t>
            </w:r>
            <w:r>
              <w:rPr>
                <w:rFonts w:ascii="Arial" w:cs="Arial" w:eastAsia="Arial" w:hAnsi="Arial"/>
                <w:sz w:val="33"/>
                <w:szCs w:val="33"/>
                <w:color w:val="auto"/>
                <w:vertAlign w:val="superscript"/>
              </w:rPr>
              <w:t>​</w:t>
            </w:r>
          </w:p>
        </w:tc>
        <w:tc>
          <w:tcPr>
            <w:tcW w:w="520" w:type="dxa"/>
            <w:vAlign w:val="bottom"/>
            <w:gridSpan w:val="2"/>
          </w:tcPr>
          <w:p>
            <w:pPr>
              <w:jc w:val="right"/>
              <w:spacing w:after="0" w:line="290" w:lineRule="exact"/>
              <w:rPr>
                <w:sz w:val="20"/>
                <w:szCs w:val="20"/>
                <w:color w:val="auto"/>
              </w:rPr>
            </w:pPr>
            <w:r>
              <w:rPr>
                <w:rFonts w:ascii="Arial" w:cs="Arial" w:eastAsia="Arial" w:hAnsi="Arial"/>
                <w:sz w:val="17"/>
                <w:szCs w:val="17"/>
                <w:color w:val="auto"/>
              </w:rPr>
              <w:t xml:space="preserve">— </w:t>
            </w:r>
            <w:r>
              <w:rPr>
                <w:rFonts w:ascii="Arial" w:cs="Arial" w:eastAsia="Arial" w:hAnsi="Arial"/>
                <w:sz w:val="33"/>
                <w:szCs w:val="33"/>
                <w:color w:val="auto"/>
                <w:vertAlign w:val="subscript"/>
              </w:rPr>
              <w:t>​</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$17,931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$ 2,962</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$ 1,999</w:t>
            </w:r>
          </w:p>
        </w:tc>
        <w:tc>
          <w:tcPr>
            <w:tcW w:w="20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$ 4,961</w:t>
            </w: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-2862580</wp:posOffset>
            </wp:positionV>
            <wp:extent cx="6155055"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-2502535</wp:posOffset>
            </wp:positionV>
            <wp:extent cx="6155055" cy="1803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55055"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-2005330</wp:posOffset>
            </wp:positionV>
            <wp:extent cx="6155055" cy="1974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55055" cy="19748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-1062355</wp:posOffset>
            </wp:positionV>
            <wp:extent cx="6155055"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-702310</wp:posOffset>
            </wp:positionV>
            <wp:extent cx="6155055" cy="3175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55055"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6155055"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15505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Accrual adjustment to true-up recorded accrual amounts against reported financial results.</w:t>
      </w:r>
    </w:p>
    <w:p>
      <w:pPr>
        <w:spacing w:after="0" w:line="200" w:lineRule="exact"/>
        <w:rPr>
          <w:sz w:val="20"/>
          <w:szCs w:val="20"/>
          <w:color w:val="auto"/>
        </w:rPr>
      </w:pPr>
    </w:p>
    <w:p>
      <w:pPr>
        <w:spacing w:after="0" w:line="297" w:lineRule="exact"/>
        <w:rPr>
          <w:sz w:val="20"/>
          <w:szCs w:val="20"/>
          <w:color w:val="auto"/>
        </w:rPr>
      </w:pPr>
    </w:p>
    <w:p>
      <w:pPr>
        <w:ind w:left="7180"/>
        <w:spacing w:after="0"/>
        <w:tabs>
          <w:tab w:leader="none" w:pos="928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-162560</wp:posOffset>
            </wp:positionV>
            <wp:extent cx="471805"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560"/>
          </w:cols>
          <w:pgMar w:left="580" w:top="97" w:right="75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280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46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60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38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46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3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26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260" w:type="dxa"/>
            <w:vAlign w:val="bottom"/>
            <w:tcBorders>
              <w:top w:val="single" w:sz="8" w:color="457157"/>
            </w:tcBorders>
          </w:tcPr>
          <w:p>
            <w:pPr>
              <w:spacing w:after="0"/>
              <w:rPr>
                <w:sz w:val="14"/>
                <w:szCs w:val="14"/>
                <w:color w:val="auto"/>
              </w:rPr>
            </w:pPr>
          </w:p>
        </w:tc>
        <w:tc>
          <w:tcPr>
            <w:tcW w:w="46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300" w:type="dxa"/>
            <w:vAlign w:val="bottom"/>
          </w:tcPr>
          <w:p>
            <w:pPr>
              <w:jc w:val="right"/>
              <w:ind w:right="95"/>
              <w:spacing w:after="0" w:line="162"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0"/>
                <w:szCs w:val="20"/>
                <w:color w:val="auto"/>
              </w:rPr>
            </w:pPr>
            <w:r>
              <w:rPr>
                <w:rFonts w:ascii="Arial" w:cs="Arial" w:eastAsia="Arial" w:hAnsi="Arial"/>
                <w:sz w:val="20"/>
                <w:szCs w:val="20"/>
                <w:b w:val="1"/>
                <w:bCs w:val="1"/>
                <w:color w:val="auto"/>
              </w:rPr>
              <w:t> </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3240" w:type="dxa"/>
            <w:vAlign w:val="bottom"/>
            <w:tcBorders>
              <w:bottom w:val="single" w:sz="8" w:color="457157"/>
            </w:tcBorders>
            <w:gridSpan w:val="11"/>
          </w:tcPr>
          <w:p>
            <w:pPr>
              <w:jc w:val="right"/>
              <w:spacing w:after="0"/>
              <w:rPr>
                <w:sz w:val="20"/>
                <w:szCs w:val="20"/>
                <w:color w:val="auto"/>
              </w:rPr>
            </w:pPr>
            <w:r>
              <w:rPr>
                <w:rFonts w:ascii="Arial" w:cs="Arial" w:eastAsia="Arial" w:hAnsi="Arial"/>
                <w:sz w:val="14"/>
                <w:szCs w:val="14"/>
                <w:b w:val="1"/>
                <w:bCs w:val="1"/>
                <w:color w:val="457157"/>
              </w:rPr>
              <w:t>Twelve Months Ended December 31, 2020</w:t>
            </w:r>
          </w:p>
        </w:tc>
        <w:tc>
          <w:tcPr>
            <w:tcW w:w="3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gridSpan w:val="13"/>
          </w:tcPr>
          <w:p>
            <w:pPr>
              <w:jc w:val="center"/>
              <w:ind w:right="14"/>
              <w:spacing w:after="0"/>
              <w:rPr>
                <w:sz w:val="20"/>
                <w:szCs w:val="20"/>
                <w:color w:val="auto"/>
              </w:rPr>
            </w:pPr>
            <w:r>
              <w:rPr>
                <w:rFonts w:ascii="Arial" w:cs="Arial" w:eastAsia="Arial" w:hAnsi="Arial"/>
                <w:sz w:val="14"/>
                <w:szCs w:val="14"/>
                <w:b w:val="1"/>
                <w:bCs w:val="1"/>
                <w:color w:val="457157"/>
              </w:rPr>
              <w:t>Income from Depreciation and Operating</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7"/>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080" w:type="dxa"/>
            <w:vAlign w:val="bottom"/>
            <w:gridSpan w:val="3"/>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74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29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180" w:type="dxa"/>
            <w:vAlign w:val="bottom"/>
            <w:tcBorders>
              <w:top w:val="single" w:sz="8" w:color="457157"/>
            </w:tcBorders>
            <w:shd w:val="clear" w:color="auto" w:fill="CCEEFF"/>
          </w:tcPr>
          <w:p>
            <w:pPr>
              <w:spacing w:after="0"/>
              <w:rPr>
                <w:sz w:val="17"/>
                <w:szCs w:val="17"/>
                <w:color w:val="auto"/>
              </w:rPr>
            </w:pPr>
          </w:p>
        </w:tc>
        <w:tc>
          <w:tcPr>
            <w:tcW w:w="220" w:type="dxa"/>
            <w:vAlign w:val="bottom"/>
            <w:tcBorders>
              <w:top w:val="single" w:sz="8" w:color="457157"/>
            </w:tcBorders>
            <w:shd w:val="clear" w:color="auto" w:fill="CCEEFF"/>
          </w:tcPr>
          <w:p>
            <w:pPr>
              <w:spacing w:after="0"/>
              <w:rPr>
                <w:sz w:val="17"/>
                <w:szCs w:val="17"/>
                <w:color w:val="auto"/>
              </w:rPr>
            </w:pPr>
          </w:p>
        </w:tc>
        <w:tc>
          <w:tcPr>
            <w:tcW w:w="460" w:type="dxa"/>
            <w:vAlign w:val="bottom"/>
            <w:tcBorders>
              <w:top w:val="single" w:sz="8" w:color="457157"/>
            </w:tcBorders>
            <w:shd w:val="clear" w:color="auto" w:fill="CCEEFF"/>
          </w:tcPr>
          <w:p>
            <w:pPr>
              <w:spacing w:after="0"/>
              <w:rPr>
                <w:sz w:val="17"/>
                <w:szCs w:val="17"/>
                <w:color w:val="auto"/>
              </w:rPr>
            </w:pPr>
          </w:p>
        </w:tc>
        <w:tc>
          <w:tcPr>
            <w:tcW w:w="80" w:type="dxa"/>
            <w:vAlign w:val="bottom"/>
            <w:tcBorders>
              <w:top w:val="single" w:sz="8" w:color="457157"/>
            </w:tcBorders>
            <w:shd w:val="clear" w:color="auto" w:fill="CCEEFF"/>
          </w:tcPr>
          <w:p>
            <w:pPr>
              <w:spacing w:after="0"/>
              <w:rPr>
                <w:sz w:val="17"/>
                <w:szCs w:val="17"/>
                <w:color w:val="auto"/>
              </w:rPr>
            </w:pPr>
          </w:p>
        </w:tc>
        <w:tc>
          <w:tcPr>
            <w:tcW w:w="700" w:type="dxa"/>
            <w:vAlign w:val="bottom"/>
            <w:tcBorders>
              <w:top w:val="single" w:sz="8" w:color="457157"/>
            </w:tcBorders>
            <w:shd w:val="clear" w:color="auto" w:fill="CCEEFF"/>
          </w:tcPr>
          <w:p>
            <w:pPr>
              <w:spacing w:after="0"/>
              <w:rPr>
                <w:sz w:val="17"/>
                <w:szCs w:val="17"/>
                <w:color w:val="auto"/>
              </w:rPr>
            </w:pPr>
          </w:p>
        </w:tc>
        <w:tc>
          <w:tcPr>
            <w:tcW w:w="600" w:type="dxa"/>
            <w:vAlign w:val="bottom"/>
            <w:tcBorders>
              <w:top w:val="single" w:sz="8" w:color="457157"/>
            </w:tcBorders>
            <w:shd w:val="clear" w:color="auto" w:fill="CCEEFF"/>
          </w:tcPr>
          <w:p>
            <w:pPr>
              <w:spacing w:after="0"/>
              <w:rPr>
                <w:sz w:val="17"/>
                <w:szCs w:val="17"/>
                <w:color w:val="auto"/>
              </w:rPr>
            </w:pPr>
          </w:p>
        </w:tc>
        <w:tc>
          <w:tcPr>
            <w:tcW w:w="280" w:type="dxa"/>
            <w:vAlign w:val="bottom"/>
            <w:tcBorders>
              <w:top w:val="single" w:sz="8" w:color="457157"/>
            </w:tcBorders>
            <w:shd w:val="clear" w:color="auto" w:fill="CCEEFF"/>
          </w:tcPr>
          <w:p>
            <w:pPr>
              <w:spacing w:after="0"/>
              <w:rPr>
                <w:sz w:val="17"/>
                <w:szCs w:val="17"/>
                <w:color w:val="auto"/>
              </w:rPr>
            </w:pPr>
          </w:p>
        </w:tc>
        <w:tc>
          <w:tcPr>
            <w:tcW w:w="10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$15,218</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$ 2,434</w:t>
            </w:r>
          </w:p>
        </w:tc>
        <w:tc>
          <w:tcPr>
            <w:tcW w:w="2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457157"/>
            </w:tcBorders>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$ 1,671</w:t>
            </w:r>
          </w:p>
        </w:tc>
        <w:tc>
          <w:tcPr>
            <w:tcW w:w="96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$ 4,105</w:t>
            </w:r>
          </w:p>
        </w:tc>
        <w:tc>
          <w:tcPr>
            <w:tcW w:w="80" w:type="dxa"/>
            <w:vAlign w:val="bottom"/>
            <w:tcBorders>
              <w:top w:val="single" w:sz="8" w:color="457157"/>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80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700" w:type="dxa"/>
            <w:vAlign w:val="bottom"/>
            <w:tcBorders>
              <w:bottom w:val="single" w:sz="8" w:color="457157"/>
            </w:tcBorders>
            <w:shd w:val="clear" w:color="auto" w:fill="CCEEFF"/>
          </w:tcPr>
          <w:p>
            <w:pPr>
              <w:spacing w:after="0"/>
              <w:rPr>
                <w:sz w:val="5"/>
                <w:szCs w:val="5"/>
                <w:color w:val="auto"/>
              </w:rPr>
            </w:pPr>
          </w:p>
        </w:tc>
        <w:tc>
          <w:tcPr>
            <w:tcW w:w="6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6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w:t>
            </w:r>
          </w:p>
        </w:tc>
        <w:tc>
          <w:tcPr>
            <w:tcW w:w="300" w:type="dxa"/>
            <w:vAlign w:val="bottom"/>
            <w:tcBorders>
              <w:left w:val="single" w:sz="8" w:color="CCEEFF"/>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line="195" w:lineRule="exact"/>
              <w:rPr>
                <w:sz w:val="20"/>
                <w:szCs w:val="20"/>
                <w:color w:val="auto"/>
              </w:rPr>
            </w:pPr>
            <w:r>
              <w:rPr>
                <w:rFonts w:ascii="Arial" w:cs="Arial" w:eastAsia="Arial" w:hAnsi="Arial"/>
                <w:sz w:val="17"/>
                <w:szCs w:val="17"/>
                <w:color w:val="auto"/>
              </w:rPr>
              <w:t>Adjustments:</w:t>
            </w:r>
            <w:r>
              <w:rPr>
                <w:rFonts w:ascii="Arial" w:cs="Arial" w:eastAsia="Arial" w:hAnsi="Arial"/>
                <w:sz w:val="22"/>
                <w:szCs w:val="22"/>
                <w:color w:val="auto"/>
                <w:vertAlign w:val="superscript"/>
              </w:rPr>
              <w:t>(b)</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center"/>
              <w:ind w:left="193"/>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2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2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shd w:val="clear" w:color="auto" w:fill="CCEEFF"/>
          </w:tcPr>
          <w:p>
            <w:pPr>
              <w:spacing w:after="0"/>
              <w:rPr>
                <w:sz w:val="18"/>
                <w:szCs w:val="18"/>
                <w:color w:val="auto"/>
              </w:rPr>
            </w:pPr>
          </w:p>
        </w:tc>
        <w:tc>
          <w:tcPr>
            <w:tcW w:w="5940" w:type="dxa"/>
            <w:vAlign w:val="bottom"/>
            <w:tcBorders>
              <w:top w:val="single" w:sz="8" w:color="457157"/>
            </w:tcBorders>
            <w:gridSpan w:val="10"/>
            <w:shd w:val="clear" w:color="auto" w:fill="CCEEFF"/>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46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160" w:type="dxa"/>
            <w:vAlign w:val="bottom"/>
            <w:tcBorders>
              <w:top w:val="single" w:sz="8" w:color="457157"/>
            </w:tcBorders>
            <w:shd w:val="clear" w:color="auto" w:fill="CCEEFF"/>
          </w:tcPr>
          <w:p>
            <w:pPr>
              <w:spacing w:after="0"/>
              <w:rPr>
                <w:sz w:val="18"/>
                <w:szCs w:val="18"/>
                <w:color w:val="auto"/>
              </w:rPr>
            </w:pPr>
          </w:p>
        </w:tc>
        <w:tc>
          <w:tcPr>
            <w:tcW w:w="360" w:type="dxa"/>
            <w:vAlign w:val="bottom"/>
            <w:tcBorders>
              <w:top w:val="single" w:sz="8" w:color="457157"/>
            </w:tcBorders>
            <w:shd w:val="clear" w:color="auto" w:fill="CCEEFF"/>
          </w:tcPr>
          <w:p>
            <w:pPr>
              <w:spacing w:after="0"/>
              <w:rPr>
                <w:sz w:val="18"/>
                <w:szCs w:val="18"/>
                <w:color w:val="auto"/>
              </w:rPr>
            </w:pPr>
          </w:p>
        </w:tc>
        <w:tc>
          <w:tcPr>
            <w:tcW w:w="26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26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36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left w:val="single" w:sz="8" w:color="CCEEFF"/>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457157"/>
            </w:tcBorders>
            <w:gridSpan w:val="4"/>
            <w:shd w:val="clear" w:color="auto" w:fill="CCEEFF"/>
          </w:tcPr>
          <w:p>
            <w:pPr>
              <w:ind w:left="240"/>
              <w:spacing w:after="0"/>
              <w:rPr>
                <w:sz w:val="20"/>
                <w:szCs w:val="20"/>
                <w:color w:val="auto"/>
              </w:rPr>
            </w:pPr>
            <w:r>
              <w:rPr>
                <w:rFonts w:ascii="Arial" w:cs="Arial" w:eastAsia="Arial" w:hAnsi="Arial"/>
                <w:sz w:val="18"/>
                <w:szCs w:val="18"/>
                <w:color w:val="auto"/>
              </w:rPr>
              <w:t>Impairments and Unusual Items, Net”</w:t>
            </w:r>
          </w:p>
        </w:tc>
        <w:tc>
          <w:tcPr>
            <w:tcW w:w="80" w:type="dxa"/>
            <w:vAlign w:val="bottom"/>
            <w:tcBorders>
              <w:bottom w:val="single" w:sz="8" w:color="457157"/>
            </w:tcBorders>
            <w:shd w:val="clear" w:color="auto" w:fill="CCEEFF"/>
          </w:tcPr>
          <w:p>
            <w:pPr>
              <w:spacing w:after="0"/>
              <w:rPr>
                <w:sz w:val="22"/>
                <w:szCs w:val="22"/>
                <w:color w:val="auto"/>
              </w:rPr>
            </w:pPr>
          </w:p>
        </w:tc>
        <w:tc>
          <w:tcPr>
            <w:tcW w:w="700" w:type="dxa"/>
            <w:vAlign w:val="bottom"/>
            <w:tcBorders>
              <w:bottom w:val="single" w:sz="8" w:color="457157"/>
            </w:tcBorders>
            <w:shd w:val="clear" w:color="auto" w:fill="CCEEFF"/>
          </w:tcPr>
          <w:p>
            <w:pPr>
              <w:spacing w:after="0"/>
              <w:rPr>
                <w:sz w:val="22"/>
                <w:szCs w:val="22"/>
                <w:color w:val="auto"/>
              </w:rPr>
            </w:pPr>
          </w:p>
        </w:tc>
        <w:tc>
          <w:tcPr>
            <w:tcW w:w="600" w:type="dxa"/>
            <w:vAlign w:val="bottom"/>
            <w:tcBorders>
              <w:bottom w:val="single" w:sz="8" w:color="457157"/>
            </w:tcBorders>
            <w:shd w:val="clear" w:color="auto" w:fill="CCEEFF"/>
          </w:tcPr>
          <w:p>
            <w:pPr>
              <w:spacing w:after="0"/>
              <w:rPr>
                <w:sz w:val="22"/>
                <w:szCs w:val="22"/>
                <w:color w:val="auto"/>
              </w:rPr>
            </w:pPr>
          </w:p>
        </w:tc>
        <w:tc>
          <w:tcPr>
            <w:tcW w:w="280" w:type="dxa"/>
            <w:vAlign w:val="bottom"/>
            <w:tcBorders>
              <w:bottom w:val="single" w:sz="8" w:color="457157"/>
            </w:tcBorders>
            <w:shd w:val="clear" w:color="auto" w:fill="CCEEFF"/>
          </w:tcPr>
          <w:p>
            <w:pPr>
              <w:spacing w:after="0"/>
              <w:rPr>
                <w:sz w:val="22"/>
                <w:szCs w:val="22"/>
                <w:color w:val="auto"/>
              </w:rPr>
            </w:pPr>
          </w:p>
        </w:tc>
        <w:tc>
          <w:tcPr>
            <w:tcW w:w="380" w:type="dxa"/>
            <w:vAlign w:val="bottom"/>
            <w:tcBorders>
              <w:bottom w:val="single" w:sz="8" w:color="457157"/>
            </w:tcBorders>
            <w:shd w:val="clear" w:color="auto" w:fill="CCEEFF"/>
          </w:tcPr>
          <w:p>
            <w:pPr>
              <w:spacing w:after="0"/>
              <w:rPr>
                <w:sz w:val="22"/>
                <w:szCs w:val="22"/>
                <w:color w:val="auto"/>
              </w:rPr>
            </w:pPr>
          </w:p>
        </w:tc>
        <w:tc>
          <w:tcPr>
            <w:tcW w:w="2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57157"/>
            </w:tcBorders>
            <w:shd w:val="clear" w:color="auto" w:fill="CCEEFF"/>
          </w:tcPr>
          <w:p>
            <w:pPr>
              <w:spacing w:after="0"/>
              <w:rPr>
                <w:sz w:val="22"/>
                <w:szCs w:val="22"/>
                <w:color w:val="auto"/>
              </w:rPr>
            </w:pPr>
          </w:p>
        </w:tc>
        <w:tc>
          <w:tcPr>
            <w:tcW w:w="360" w:type="dxa"/>
            <w:vAlign w:val="bottom"/>
            <w:tcBorders>
              <w:bottom w:val="single" w:sz="8" w:color="457157"/>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57157"/>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gridSpan w:val="6"/>
          </w:tcPr>
          <w:p>
            <w:pPr>
              <w:ind w:left="60"/>
              <w:spacing w:after="0"/>
              <w:rPr>
                <w:sz w:val="20"/>
                <w:szCs w:val="20"/>
                <w:color w:val="auto"/>
              </w:rPr>
            </w:pPr>
            <w:r>
              <w:rPr>
                <w:rFonts w:ascii="Arial" w:cs="Arial" w:eastAsia="Arial" w:hAnsi="Arial"/>
                <w:sz w:val="18"/>
                <w:szCs w:val="18"/>
                <w:color w:val="auto"/>
              </w:rPr>
              <w:t>ADD: ADS acquistion and integration costs</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300" w:type="dxa"/>
            <w:vAlign w:val="bottom"/>
          </w:tcPr>
          <w:p>
            <w:pPr>
              <w:ind w:left="6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149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ADD: COVID-19 related costs</w:t>
            </w:r>
          </w:p>
        </w:tc>
        <w:tc>
          <w:tcPr>
            <w:tcW w:w="180" w:type="dxa"/>
            <w:vAlign w:val="bottom"/>
            <w:tcBorders>
              <w:top w:val="single" w:sz="8" w:color="457157"/>
              <w:bottom w:val="single" w:sz="8" w:color="457157"/>
            </w:tcBorders>
            <w:shd w:val="clear" w:color="auto" w:fill="CCEEFF"/>
          </w:tcPr>
          <w:p>
            <w:pPr>
              <w:spacing w:after="0"/>
              <w:rPr>
                <w:sz w:val="22"/>
                <w:szCs w:val="22"/>
                <w:color w:val="auto"/>
              </w:rPr>
            </w:pPr>
          </w:p>
        </w:tc>
        <w:tc>
          <w:tcPr>
            <w:tcW w:w="220" w:type="dxa"/>
            <w:vAlign w:val="bottom"/>
            <w:tcBorders>
              <w:top w:val="single" w:sz="8" w:color="457157"/>
              <w:bottom w:val="single" w:sz="8" w:color="457157"/>
            </w:tcBorders>
            <w:shd w:val="clear" w:color="auto" w:fill="CCEEFF"/>
          </w:tcPr>
          <w:p>
            <w:pPr>
              <w:spacing w:after="0"/>
              <w:rPr>
                <w:sz w:val="22"/>
                <w:szCs w:val="22"/>
                <w:color w:val="auto"/>
              </w:rPr>
            </w:pPr>
          </w:p>
        </w:tc>
        <w:tc>
          <w:tcPr>
            <w:tcW w:w="460" w:type="dxa"/>
            <w:vAlign w:val="bottom"/>
            <w:tcBorders>
              <w:top w:val="single" w:sz="8" w:color="457157"/>
              <w:bottom w:val="single" w:sz="8" w:color="457157"/>
            </w:tcBorders>
            <w:shd w:val="clear" w:color="auto" w:fill="CCEEFF"/>
          </w:tcPr>
          <w:p>
            <w:pPr>
              <w:spacing w:after="0"/>
              <w:rPr>
                <w:sz w:val="22"/>
                <w:szCs w:val="22"/>
                <w:color w:val="auto"/>
              </w:rPr>
            </w:pPr>
          </w:p>
        </w:tc>
        <w:tc>
          <w:tcPr>
            <w:tcW w:w="80" w:type="dxa"/>
            <w:vAlign w:val="bottom"/>
            <w:tcBorders>
              <w:top w:val="single" w:sz="8" w:color="457157"/>
              <w:bottom w:val="single" w:sz="8" w:color="457157"/>
            </w:tcBorders>
            <w:shd w:val="clear" w:color="auto" w:fill="CCEEFF"/>
          </w:tcPr>
          <w:p>
            <w:pPr>
              <w:spacing w:after="0"/>
              <w:rPr>
                <w:sz w:val="22"/>
                <w:szCs w:val="22"/>
                <w:color w:val="auto"/>
              </w:rPr>
            </w:pPr>
          </w:p>
        </w:tc>
        <w:tc>
          <w:tcPr>
            <w:tcW w:w="700" w:type="dxa"/>
            <w:vAlign w:val="bottom"/>
            <w:tcBorders>
              <w:top w:val="single" w:sz="8" w:color="457157"/>
              <w:bottom w:val="single" w:sz="8" w:color="457157"/>
            </w:tcBorders>
            <w:shd w:val="clear" w:color="auto" w:fill="CCEEFF"/>
          </w:tcPr>
          <w:p>
            <w:pPr>
              <w:spacing w:after="0"/>
              <w:rPr>
                <w:sz w:val="22"/>
                <w:szCs w:val="22"/>
                <w:color w:val="auto"/>
              </w:rPr>
            </w:pPr>
          </w:p>
        </w:tc>
        <w:tc>
          <w:tcPr>
            <w:tcW w:w="600" w:type="dxa"/>
            <w:vAlign w:val="bottom"/>
            <w:tcBorders>
              <w:top w:val="single" w:sz="8" w:color="457157"/>
              <w:bottom w:val="single" w:sz="8" w:color="457157"/>
            </w:tcBorders>
            <w:shd w:val="clear" w:color="auto" w:fill="CCEEFF"/>
          </w:tcPr>
          <w:p>
            <w:pPr>
              <w:spacing w:after="0"/>
              <w:rPr>
                <w:sz w:val="22"/>
                <w:szCs w:val="22"/>
                <w:color w:val="auto"/>
              </w:rPr>
            </w:pPr>
          </w:p>
        </w:tc>
        <w:tc>
          <w:tcPr>
            <w:tcW w:w="280" w:type="dxa"/>
            <w:vAlign w:val="bottom"/>
            <w:tcBorders>
              <w:top w:val="single" w:sz="8" w:color="457157"/>
              <w:bottom w:val="single" w:sz="8" w:color="457157"/>
            </w:tcBorders>
            <w:shd w:val="clear" w:color="auto" w:fill="CCEEFF"/>
          </w:tcPr>
          <w:p>
            <w:pPr>
              <w:spacing w:after="0"/>
              <w:rPr>
                <w:sz w:val="22"/>
                <w:szCs w:val="22"/>
                <w:color w:val="auto"/>
              </w:rPr>
            </w:pPr>
          </w:p>
        </w:tc>
        <w:tc>
          <w:tcPr>
            <w:tcW w:w="380" w:type="dxa"/>
            <w:vAlign w:val="bottom"/>
            <w:tcBorders>
              <w:top w:val="single" w:sz="8" w:color="457157"/>
              <w:bottom w:val="single" w:sz="8" w:color="457157"/>
            </w:tcBorders>
            <w:shd w:val="clear" w:color="auto" w:fill="CCEEFF"/>
          </w:tcPr>
          <w:p>
            <w:pPr>
              <w:spacing w:after="0"/>
              <w:rPr>
                <w:sz w:val="22"/>
                <w:szCs w:val="22"/>
                <w:color w:val="auto"/>
              </w:rPr>
            </w:pPr>
          </w:p>
        </w:tc>
        <w:tc>
          <w:tcPr>
            <w:tcW w:w="240" w:type="dxa"/>
            <w:vAlign w:val="bottom"/>
            <w:tcBorders>
              <w:top w:val="single" w:sz="8" w:color="457157"/>
              <w:bottom w:val="single" w:sz="8" w:color="457157"/>
            </w:tcBorders>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80" w:type="dxa"/>
            <w:vAlign w:val="bottom"/>
            <w:tcBorders>
              <w:top w:val="single" w:sz="8" w:color="457157"/>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300" w:type="dxa"/>
            <w:vAlign w:val="bottom"/>
            <w:tcBorders>
              <w:top w:val="single" w:sz="8" w:color="457157"/>
              <w:bottom w:val="single" w:sz="8" w:color="457157"/>
            </w:tcBorders>
            <w:shd w:val="clear" w:color="auto" w:fill="CCEEFF"/>
          </w:tcPr>
          <w:p>
            <w:pPr>
              <w:ind w:left="6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60" w:type="dxa"/>
            <w:vAlign w:val="bottom"/>
            <w:tcBorders>
              <w:top w:val="single" w:sz="8" w:color="457157"/>
              <w:bottom w:val="single" w:sz="8" w:color="457157"/>
            </w:tcBorders>
            <w:shd w:val="clear" w:color="auto" w:fill="CCEEFF"/>
          </w:tcPr>
          <w:p>
            <w:pPr>
              <w:spacing w:after="0"/>
              <w:rPr>
                <w:sz w:val="22"/>
                <w:szCs w:val="22"/>
                <w:color w:val="auto"/>
              </w:rPr>
            </w:pPr>
          </w:p>
        </w:tc>
        <w:tc>
          <w:tcPr>
            <w:tcW w:w="360" w:type="dxa"/>
            <w:vAlign w:val="bottom"/>
            <w:tcBorders>
              <w:top w:val="single" w:sz="8" w:color="457157"/>
              <w:bottom w:val="single" w:sz="8" w:color="457157"/>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457157"/>
              <w:bottom w:val="single" w:sz="8" w:color="457157"/>
            </w:tcBorders>
            <w:gridSpan w:val="2"/>
            <w:shd w:val="clear" w:color="auto" w:fill="CCEEFF"/>
          </w:tcPr>
          <w:p>
            <w:pPr>
              <w:ind w:left="2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38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ADD: Strategic initiative costs</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30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spacing w:after="0"/>
              <w:rPr>
                <w:sz w:val="22"/>
                <w:szCs w:val="22"/>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27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196"/>
        </w:trPr>
        <w:tc>
          <w:tcPr>
            <w:tcW w:w="3320" w:type="dxa"/>
            <w:vAlign w:val="bottom"/>
            <w:tcBorders>
              <w:top w:val="single" w:sz="8" w:color="457157"/>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460" w:type="dxa"/>
            <w:vAlign w:val="bottom"/>
            <w:tcBorders>
              <w:top w:val="single" w:sz="8" w:color="457157"/>
            </w:tcBorders>
            <w:shd w:val="clear" w:color="auto" w:fill="CCEEFF"/>
          </w:tcPr>
          <w:p>
            <w:pPr>
              <w:spacing w:after="0"/>
              <w:rPr>
                <w:sz w:val="17"/>
                <w:szCs w:val="17"/>
                <w:color w:val="auto"/>
              </w:rPr>
            </w:pPr>
          </w:p>
        </w:tc>
        <w:tc>
          <w:tcPr>
            <w:tcW w:w="80" w:type="dxa"/>
            <w:vAlign w:val="bottom"/>
            <w:tcBorders>
              <w:top w:val="single" w:sz="8" w:color="457157"/>
            </w:tcBorders>
            <w:shd w:val="clear" w:color="auto" w:fill="CCEEFF"/>
          </w:tcPr>
          <w:p>
            <w:pPr>
              <w:spacing w:after="0"/>
              <w:rPr>
                <w:sz w:val="17"/>
                <w:szCs w:val="17"/>
                <w:color w:val="auto"/>
              </w:rPr>
            </w:pPr>
          </w:p>
        </w:tc>
        <w:tc>
          <w:tcPr>
            <w:tcW w:w="700" w:type="dxa"/>
            <w:vAlign w:val="bottom"/>
            <w:tcBorders>
              <w:top w:val="single" w:sz="8" w:color="457157"/>
            </w:tcBorders>
            <w:shd w:val="clear" w:color="auto" w:fill="CCEEFF"/>
          </w:tcPr>
          <w:p>
            <w:pPr>
              <w:spacing w:after="0"/>
              <w:rPr>
                <w:sz w:val="17"/>
                <w:szCs w:val="17"/>
                <w:color w:val="auto"/>
              </w:rPr>
            </w:pPr>
          </w:p>
        </w:tc>
        <w:tc>
          <w:tcPr>
            <w:tcW w:w="600" w:type="dxa"/>
            <w:vAlign w:val="bottom"/>
            <w:tcBorders>
              <w:top w:val="single" w:sz="8" w:color="457157"/>
            </w:tcBorders>
            <w:shd w:val="clear" w:color="auto" w:fill="CCEEFF"/>
          </w:tcPr>
          <w:p>
            <w:pPr>
              <w:spacing w:after="0"/>
              <w:rPr>
                <w:sz w:val="17"/>
                <w:szCs w:val="17"/>
                <w:color w:val="auto"/>
              </w:rPr>
            </w:pPr>
          </w:p>
        </w:tc>
        <w:tc>
          <w:tcPr>
            <w:tcW w:w="280" w:type="dxa"/>
            <w:vAlign w:val="bottom"/>
            <w:tcBorders>
              <w:top w:val="single" w:sz="8" w:color="457157"/>
            </w:tcBorders>
            <w:shd w:val="clear" w:color="auto" w:fill="CCEEFF"/>
          </w:tcPr>
          <w:p>
            <w:pPr>
              <w:spacing w:after="0"/>
              <w:rPr>
                <w:sz w:val="17"/>
                <w:szCs w:val="17"/>
                <w:color w:val="auto"/>
              </w:rPr>
            </w:pPr>
          </w:p>
        </w:tc>
        <w:tc>
          <w:tcPr>
            <w:tcW w:w="10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$15,218</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$ 2,700</w:t>
            </w:r>
          </w:p>
        </w:tc>
        <w:tc>
          <w:tcPr>
            <w:tcW w:w="2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457157"/>
            </w:tcBorders>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$ 1,671</w:t>
            </w:r>
          </w:p>
        </w:tc>
        <w:tc>
          <w:tcPr>
            <w:tcW w:w="96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$ 4,371</w:t>
            </w:r>
          </w:p>
        </w:tc>
        <w:tc>
          <w:tcPr>
            <w:tcW w:w="80" w:type="dxa"/>
            <w:vAlign w:val="bottom"/>
            <w:tcBorders>
              <w:top w:val="single" w:sz="8" w:color="457157"/>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80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700" w:type="dxa"/>
            <w:vAlign w:val="bottom"/>
            <w:tcBorders>
              <w:bottom w:val="single" w:sz="8" w:color="457157"/>
            </w:tcBorders>
            <w:shd w:val="clear" w:color="auto" w:fill="CCEEFF"/>
          </w:tcPr>
          <w:p>
            <w:pPr>
              <w:spacing w:after="0"/>
              <w:rPr>
                <w:sz w:val="5"/>
                <w:szCs w:val="5"/>
                <w:color w:val="auto"/>
              </w:rPr>
            </w:pPr>
          </w:p>
        </w:tc>
        <w:tc>
          <w:tcPr>
            <w:tcW w:w="6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6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w:t>
            </w:r>
          </w:p>
        </w:tc>
        <w:tc>
          <w:tcPr>
            <w:tcW w:w="300" w:type="dxa"/>
            <w:vAlign w:val="bottom"/>
            <w:tcBorders>
              <w:left w:val="single" w:sz="8" w:color="CCEEFF"/>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b w:val="1"/>
                <w:bCs w:val="1"/>
                <w:color w:val="457157"/>
              </w:rPr>
              <w:t>​ ​</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gridSpan w:val="10"/>
          </w:tcPr>
          <w:p>
            <w:pPr>
              <w:jc w:val="center"/>
              <w:spacing w:after="0"/>
              <w:rPr>
                <w:sz w:val="20"/>
                <w:szCs w:val="20"/>
                <w:color w:val="auto"/>
              </w:rPr>
            </w:pPr>
            <w:r>
              <w:rPr>
                <w:rFonts w:ascii="Arial" w:cs="Arial" w:eastAsia="Arial" w:hAnsi="Arial"/>
                <w:sz w:val="14"/>
                <w:szCs w:val="14"/>
                <w:b w:val="1"/>
                <w:bCs w:val="1"/>
                <w:color w:val="457157"/>
              </w:rPr>
              <w:t>Three Years Ended December 31, 2023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jc w:val="right"/>
              <w:ind w:right="155"/>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1840" w:type="dxa"/>
            <w:vAlign w:val="bottom"/>
            <w:tcBorders>
              <w:top w:val="single" w:sz="8" w:color="457157"/>
            </w:tcBorders>
            <w:gridSpan w:val="4"/>
          </w:tcPr>
          <w:p>
            <w:pPr>
              <w:jc w:val="right"/>
              <w:ind w:right="212"/>
              <w:spacing w:after="0"/>
              <w:rPr>
                <w:sz w:val="20"/>
                <w:szCs w:val="20"/>
                <w:color w:val="auto"/>
              </w:rPr>
            </w:pPr>
            <w:r>
              <w:rPr>
                <w:rFonts w:ascii="Arial" w:cs="Arial" w:eastAsia="Arial" w:hAnsi="Arial"/>
                <w:sz w:val="14"/>
                <w:szCs w:val="14"/>
                <w:b w:val="1"/>
                <w:bCs w:val="1"/>
                <w:color w:val="457157"/>
              </w:rPr>
              <w:t>Net Cash Provided</w:t>
            </w:r>
          </w:p>
        </w:tc>
        <w:tc>
          <w:tcPr>
            <w:tcW w:w="280" w:type="dxa"/>
            <w:vAlign w:val="bottom"/>
            <w:tcBorders>
              <w:top w:val="single" w:sz="8" w:color="457157"/>
            </w:tcBorders>
          </w:tcPr>
          <w:p>
            <w:pPr>
              <w:spacing w:after="0"/>
              <w:rPr>
                <w:sz w:val="15"/>
                <w:szCs w:val="15"/>
                <w:color w:val="auto"/>
              </w:rPr>
            </w:pPr>
          </w:p>
        </w:tc>
        <w:tc>
          <w:tcPr>
            <w:tcW w:w="62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Capital</w:t>
            </w:r>
          </w:p>
        </w:tc>
        <w:tc>
          <w:tcPr>
            <w:tcW w:w="2120" w:type="dxa"/>
            <w:vAlign w:val="bottom"/>
            <w:tcBorders>
              <w:top w:val="single" w:sz="8" w:color="457157"/>
            </w:tcBorders>
            <w:gridSpan w:val="8"/>
          </w:tcPr>
          <w:p>
            <w:pPr>
              <w:ind w:left="220"/>
              <w:spacing w:after="0"/>
              <w:rPr>
                <w:sz w:val="20"/>
                <w:szCs w:val="20"/>
                <w:color w:val="auto"/>
              </w:rPr>
            </w:pPr>
            <w:r>
              <w:rPr>
                <w:rFonts w:ascii="Arial" w:cs="Arial" w:eastAsia="Arial" w:hAnsi="Arial"/>
                <w:sz w:val="14"/>
                <w:szCs w:val="14"/>
                <w:b w:val="1"/>
                <w:bCs w:val="1"/>
                <w:color w:val="457157"/>
              </w:rPr>
              <w:t>Proceeds from Normal</w:t>
            </w:r>
          </w:p>
        </w:tc>
        <w:tc>
          <w:tcPr>
            <w:tcW w:w="820" w:type="dxa"/>
            <w:vAlign w:val="bottom"/>
            <w:tcBorders>
              <w:top w:val="single" w:sz="8" w:color="457157"/>
            </w:tcBorders>
            <w:gridSpan w:val="2"/>
          </w:tcPr>
          <w:p>
            <w:pPr>
              <w:jc w:val="center"/>
              <w:spacing w:after="0"/>
              <w:rPr>
                <w:sz w:val="20"/>
                <w:szCs w:val="20"/>
                <w:color w:val="auto"/>
              </w:rPr>
            </w:pPr>
            <w:r>
              <w:rPr>
                <w:rFonts w:ascii="Arial" w:cs="Arial" w:eastAsia="Arial" w:hAnsi="Arial"/>
                <w:sz w:val="14"/>
                <w:szCs w:val="14"/>
                <w:b w:val="1"/>
                <w:bCs w:val="1"/>
                <w:color w:val="457157"/>
              </w:rPr>
              <w:t>Cash Flow</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0" w:type="dxa"/>
            <w:vAlign w:val="bottom"/>
            <w:gridSpan w:val="19"/>
          </w:tcPr>
          <w:p>
            <w:pPr>
              <w:jc w:val="center"/>
              <w:ind w:right="115"/>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by Operating Activities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Expenditures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Course Divestitures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Generation </w:t>
            </w:r>
            <w:r>
              <w:rPr>
                <w:rFonts w:ascii="Arial" w:cs="Arial" w:eastAsia="Arial" w:hAnsi="Arial"/>
                <w:sz w:val="22"/>
                <w:szCs w:val="22"/>
                <w:b w:val="1"/>
                <w:bCs w:val="1"/>
                <w:color w:val="457157"/>
                <w:vertAlign w:val="subscript"/>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20" w:type="dxa"/>
            <w:vAlign w:val="bottom"/>
            <w:gridSpan w:val="2"/>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20" w:type="dxa"/>
            <w:vAlign w:val="bottom"/>
            <w:gridSpan w:val="3"/>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92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As reported amounts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13,593</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20" w:type="dxa"/>
            <w:vAlign w:val="bottom"/>
            <w:gridSpan w:val="2"/>
          </w:tcPr>
          <w:p>
            <w:pPr>
              <w:jc w:val="right"/>
              <w:ind w:right="69"/>
              <w:spacing w:after="0"/>
              <w:rPr>
                <w:sz w:val="20"/>
                <w:szCs w:val="20"/>
                <w:color w:val="auto"/>
              </w:rPr>
            </w:pPr>
            <w:r>
              <w:rPr>
                <w:rFonts w:ascii="Arial" w:cs="Arial" w:eastAsia="Arial" w:hAnsi="Arial"/>
                <w:sz w:val="18"/>
                <w:szCs w:val="18"/>
                <w:color w:val="auto"/>
              </w:rPr>
              <w:t>7,386</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820" w:type="dxa"/>
            <w:vAlign w:val="bottom"/>
            <w:gridSpan w:val="3"/>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$ 201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820" w:type="dxa"/>
            <w:vAlign w:val="bottom"/>
            <w:gridSpan w:val="2"/>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$ 6,408</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2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Adjustments: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ind w:left="8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460" w:type="dxa"/>
            <w:vAlign w:val="bottom"/>
          </w:tcPr>
          <w:p>
            <w:pPr>
              <w:ind w:left="1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115"/>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28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20" w:type="dxa"/>
            <w:vAlign w:val="bottom"/>
            <w:gridSpan w:val="2"/>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Restructuring</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ind w:left="6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2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460" w:type="dxa"/>
            <w:vAlign w:val="bottom"/>
          </w:tcPr>
          <w:p>
            <w:pPr>
              <w:ind w:left="1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360" w:type="dxa"/>
            <w:vAlign w:val="bottom"/>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280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Costs associated with labor</w:t>
            </w:r>
          </w:p>
        </w:tc>
        <w:tc>
          <w:tcPr>
            <w:tcW w:w="1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700" w:type="dxa"/>
            <w:vAlign w:val="bottom"/>
            <w:tcBorders>
              <w:top w:val="single" w:sz="8" w:color="457157"/>
            </w:tcBorders>
          </w:tcPr>
          <w:p>
            <w:pPr>
              <w:spacing w:after="0"/>
              <w:rPr>
                <w:sz w:val="18"/>
                <w:szCs w:val="18"/>
                <w:color w:val="auto"/>
              </w:rPr>
            </w:pPr>
          </w:p>
        </w:tc>
        <w:tc>
          <w:tcPr>
            <w:tcW w:w="6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disruptions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multiemployer plan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260"/>
              <w:spacing w:after="0"/>
              <w:rPr>
                <w:sz w:val="20"/>
                <w:szCs w:val="20"/>
                <w:color w:val="auto"/>
              </w:rPr>
            </w:pPr>
            <w:r>
              <w:rPr>
                <w:rFonts w:ascii="Arial" w:cs="Arial" w:eastAsia="Arial" w:hAnsi="Arial"/>
                <w:sz w:val="18"/>
                <w:szCs w:val="18"/>
                <w:color w:val="auto"/>
              </w:rPr>
              <w:t>withdrawal</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460" w:type="dxa"/>
            <w:vAlign w:val="bottom"/>
          </w:tcPr>
          <w:p>
            <w:pPr>
              <w:ind w:left="100"/>
              <w:spacing w:after="0"/>
              <w:rPr>
                <w:sz w:val="20"/>
                <w:szCs w:val="20"/>
                <w:color w:val="auto"/>
              </w:rPr>
            </w:pPr>
            <w:r>
              <w:rPr>
                <w:rFonts w:ascii="Arial" w:cs="Arial" w:eastAsia="Arial" w:hAnsi="Arial"/>
                <w:sz w:val="18"/>
                <w:szCs w:val="18"/>
                <w:color w:val="auto"/>
              </w:rPr>
              <w:t>​ ​</w:t>
            </w:r>
          </w:p>
        </w:tc>
        <w:tc>
          <w:tcPr>
            <w:tcW w:w="360" w:type="dxa"/>
            <w:vAlign w:val="bottom"/>
          </w:tcPr>
          <w:p>
            <w:pPr>
              <w:jc w:val="right"/>
              <w:ind w:right="21"/>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280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Costs incurred in support of</w:t>
            </w:r>
          </w:p>
        </w:tc>
        <w:tc>
          <w:tcPr>
            <w:tcW w:w="1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700" w:type="dxa"/>
            <w:vAlign w:val="bottom"/>
            <w:tcBorders>
              <w:top w:val="single" w:sz="8" w:color="457157"/>
            </w:tcBorders>
          </w:tcPr>
          <w:p>
            <w:pPr>
              <w:spacing w:after="0"/>
              <w:rPr>
                <w:sz w:val="18"/>
                <w:szCs w:val="18"/>
                <w:color w:val="auto"/>
              </w:rPr>
            </w:pPr>
          </w:p>
        </w:tc>
        <w:tc>
          <w:tcPr>
            <w:tcW w:w="6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260"/>
              <w:spacing w:after="0"/>
              <w:rPr>
                <w:sz w:val="20"/>
                <w:szCs w:val="20"/>
                <w:color w:val="auto"/>
              </w:rPr>
            </w:pPr>
            <w:r>
              <w:rPr>
                <w:rFonts w:ascii="Arial" w:cs="Arial" w:eastAsia="Arial" w:hAnsi="Arial"/>
                <w:sz w:val="18"/>
                <w:szCs w:val="18"/>
                <w:color w:val="auto"/>
              </w:rPr>
              <w:t>strategic acquisitions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460" w:type="dxa"/>
            <w:vAlign w:val="bottom"/>
          </w:tcPr>
          <w:p>
            <w:pPr>
              <w:ind w:left="100"/>
              <w:spacing w:after="0"/>
              <w:rPr>
                <w:sz w:val="20"/>
                <w:szCs w:val="20"/>
                <w:color w:val="auto"/>
              </w:rPr>
            </w:pPr>
            <w:r>
              <w:rPr>
                <w:rFonts w:ascii="Arial" w:cs="Arial" w:eastAsia="Arial" w:hAnsi="Arial"/>
                <w:sz w:val="18"/>
                <w:szCs w:val="18"/>
                <w:color w:val="auto"/>
              </w:rPr>
              <w:t>​ ​</w:t>
            </w:r>
          </w:p>
        </w:tc>
        <w:tc>
          <w:tcPr>
            <w:tcW w:w="360" w:type="dxa"/>
            <w:vAlign w:val="bottom"/>
          </w:tcPr>
          <w:p>
            <w:pPr>
              <w:jc w:val="right"/>
              <w:ind w:right="21"/>
              <w:spacing w:after="0"/>
              <w:rPr>
                <w:sz w:val="20"/>
                <w:szCs w:val="20"/>
                <w:color w:val="auto"/>
              </w:rPr>
            </w:pPr>
            <w:r>
              <w:rPr>
                <w:rFonts w:ascii="Arial" w:cs="Arial" w:eastAsia="Arial" w:hAnsi="Arial"/>
                <w:sz w:val="18"/>
                <w:szCs w:val="18"/>
                <w:color w:val="auto"/>
              </w:rPr>
              <w:t>39</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280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Sustainability growth capital</w:t>
            </w:r>
          </w:p>
        </w:tc>
        <w:tc>
          <w:tcPr>
            <w:tcW w:w="1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700" w:type="dxa"/>
            <w:vAlign w:val="bottom"/>
            <w:tcBorders>
              <w:top w:val="single" w:sz="8" w:color="457157"/>
            </w:tcBorders>
          </w:tcPr>
          <w:p>
            <w:pPr>
              <w:spacing w:after="0"/>
              <w:rPr>
                <w:sz w:val="18"/>
                <w:szCs w:val="18"/>
                <w:color w:val="auto"/>
              </w:rPr>
            </w:pPr>
          </w:p>
        </w:tc>
        <w:tc>
          <w:tcPr>
            <w:tcW w:w="6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investments in 2022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260"/>
              <w:spacing w:after="0"/>
              <w:rPr>
                <w:sz w:val="20"/>
                <w:szCs w:val="20"/>
                <w:color w:val="auto"/>
              </w:rPr>
            </w:pPr>
            <w:r>
              <w:rPr>
                <w:rFonts w:ascii="Arial" w:cs="Arial" w:eastAsia="Arial" w:hAnsi="Arial"/>
                <w:sz w:val="18"/>
                <w:szCs w:val="18"/>
                <w:color w:val="auto"/>
              </w:rPr>
              <w:t>2023</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 ​(1,325)</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 ​1,325</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20" w:type="dxa"/>
            <w:vAlign w:val="bottom"/>
            <w:tcBorders>
              <w:top w:val="single" w:sz="8" w:color="457157"/>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Calculated Performance</w:t>
            </w:r>
          </w:p>
        </w:tc>
        <w:tc>
          <w:tcPr>
            <w:tcW w:w="1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46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700" w:type="dxa"/>
            <w:vAlign w:val="bottom"/>
            <w:tcBorders>
              <w:top w:val="single" w:sz="8" w:color="457157"/>
            </w:tcBorders>
          </w:tcPr>
          <w:p>
            <w:pPr>
              <w:spacing w:after="0"/>
              <w:rPr>
                <w:sz w:val="17"/>
                <w:szCs w:val="17"/>
                <w:color w:val="auto"/>
              </w:rPr>
            </w:pPr>
          </w:p>
        </w:tc>
        <w:tc>
          <w:tcPr>
            <w:tcW w:w="600" w:type="dxa"/>
            <w:vAlign w:val="bottom"/>
            <w:tcBorders>
              <w:top w:val="single" w:sz="8" w:color="457157"/>
            </w:tcBorders>
          </w:tcPr>
          <w:p>
            <w:pPr>
              <w:spacing w:after="0"/>
              <w:rPr>
                <w:sz w:val="17"/>
                <w:szCs w:val="17"/>
                <w:color w:val="auto"/>
              </w:rPr>
            </w:pPr>
          </w:p>
        </w:tc>
        <w:tc>
          <w:tcPr>
            <w:tcW w:w="280" w:type="dxa"/>
            <w:vAlign w:val="bottom"/>
            <w:tcBorders>
              <w:top w:val="single" w:sz="8" w:color="457157"/>
            </w:tcBorders>
          </w:tcPr>
          <w:p>
            <w:pPr>
              <w:spacing w:after="0"/>
              <w:rPr>
                <w:sz w:val="17"/>
                <w:szCs w:val="17"/>
                <w:color w:val="auto"/>
              </w:rPr>
            </w:pPr>
          </w:p>
        </w:tc>
        <w:tc>
          <w:tcPr>
            <w:tcW w:w="38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46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160" w:type="dxa"/>
            <w:vAlign w:val="bottom"/>
            <w:tcBorders>
              <w:top w:val="single" w:sz="8" w:color="457157"/>
            </w:tcBorders>
          </w:tcPr>
          <w:p>
            <w:pPr>
              <w:spacing w:after="0"/>
              <w:rPr>
                <w:sz w:val="17"/>
                <w:szCs w:val="17"/>
                <w:color w:val="auto"/>
              </w:rPr>
            </w:pPr>
          </w:p>
        </w:tc>
        <w:tc>
          <w:tcPr>
            <w:tcW w:w="360" w:type="dxa"/>
            <w:vAlign w:val="bottom"/>
            <w:tcBorders>
              <w:top w:val="single" w:sz="8" w:color="457157"/>
            </w:tcBorders>
          </w:tcPr>
          <w:p>
            <w:pPr>
              <w:spacing w:after="0"/>
              <w:rPr>
                <w:sz w:val="17"/>
                <w:szCs w:val="17"/>
                <w:color w:val="auto"/>
              </w:rPr>
            </w:pPr>
          </w:p>
        </w:tc>
        <w:tc>
          <w:tcPr>
            <w:tcW w:w="260" w:type="dxa"/>
            <w:vAlign w:val="bottom"/>
            <w:tcBorders>
              <w:top w:val="single" w:sz="8" w:color="457157"/>
            </w:tcBorders>
          </w:tcPr>
          <w:p>
            <w:pPr>
              <w:spacing w:after="0"/>
              <w:rPr>
                <w:sz w:val="17"/>
                <w:szCs w:val="17"/>
                <w:color w:val="auto"/>
              </w:rPr>
            </w:pPr>
          </w:p>
        </w:tc>
        <w:tc>
          <w:tcPr>
            <w:tcW w:w="200" w:type="dxa"/>
            <w:vAlign w:val="bottom"/>
            <w:tcBorders>
              <w:top w:val="single" w:sz="8" w:color="457157"/>
            </w:tcBorders>
          </w:tcPr>
          <w:p>
            <w:pPr>
              <w:spacing w:after="0"/>
              <w:rPr>
                <w:sz w:val="17"/>
                <w:szCs w:val="17"/>
                <w:color w:val="auto"/>
              </w:rPr>
            </w:pPr>
          </w:p>
        </w:tc>
        <w:tc>
          <w:tcPr>
            <w:tcW w:w="260" w:type="dxa"/>
            <w:vAlign w:val="bottom"/>
            <w:tcBorders>
              <w:top w:val="single" w:sz="8" w:color="457157"/>
            </w:tcBorders>
          </w:tcPr>
          <w:p>
            <w:pPr>
              <w:spacing w:after="0"/>
              <w:rPr>
                <w:sz w:val="17"/>
                <w:szCs w:val="17"/>
                <w:color w:val="auto"/>
              </w:rPr>
            </w:pPr>
          </w:p>
        </w:tc>
        <w:tc>
          <w:tcPr>
            <w:tcW w:w="460" w:type="dxa"/>
            <w:vAlign w:val="bottom"/>
            <w:tcBorders>
              <w:top w:val="single" w:sz="8" w:color="457157"/>
            </w:tcBorders>
          </w:tcPr>
          <w:p>
            <w:pPr>
              <w:spacing w:after="0"/>
              <w:rPr>
                <w:sz w:val="17"/>
                <w:szCs w:val="17"/>
                <w:color w:val="auto"/>
              </w:rPr>
            </w:pPr>
          </w:p>
        </w:tc>
        <w:tc>
          <w:tcPr>
            <w:tcW w:w="360" w:type="dxa"/>
            <w:vAlign w:val="bottom"/>
            <w:tcBorders>
              <w:top w:val="single" w:sz="8" w:color="457157"/>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Amounts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13,649</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9"/>
              <w:spacing w:after="0"/>
              <w:rPr>
                <w:sz w:val="20"/>
                <w:szCs w:val="20"/>
                <w:color w:val="auto"/>
              </w:rPr>
            </w:pPr>
            <w:r>
              <w:rPr>
                <w:rFonts w:ascii="Arial" w:cs="Arial" w:eastAsia="Arial" w:hAnsi="Arial"/>
                <w:sz w:val="18"/>
                <w:szCs w:val="18"/>
                <w:color w:val="auto"/>
              </w:rPr>
              <w:t>6,061</w:t>
            </w:r>
          </w:p>
        </w:tc>
        <w:tc>
          <w:tcPr>
            <w:tcW w:w="46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rPr>
              <w:t>​$ 201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 ​ ​</w:t>
            </w: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​$ 7,789</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28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-2202180</wp:posOffset>
            </wp:positionV>
            <wp:extent cx="576072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-1842135</wp:posOffset>
            </wp:positionV>
            <wp:extent cx="576072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-1070610</wp:posOffset>
            </wp:positionV>
            <wp:extent cx="5760720" cy="3168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60720" cy="3168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-299085</wp:posOffset>
            </wp:positionV>
            <wp:extent cx="5760720" cy="291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607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180" w:right="680" w:hanging="364"/>
        <w:spacing w:after="0" w:line="261"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Adjustments in 2020 were consistent with reporting of 2020 financial results, excluding $155 million of costs related to the acquisition and integration of Advanced Disposal Services, Inc. (“ADS”) (of which $149 million was incurred at the Corporate level); $46 million in costs in connection with COVID-19 and $27 million in costs related to strategic initiatives launched in 2020 after the performance measure had been established.</w:t>
      </w:r>
    </w:p>
    <w:p>
      <w:pPr>
        <w:spacing w:after="0" w:line="200" w:lineRule="exact"/>
        <w:rPr>
          <w:sz w:val="20"/>
          <w:szCs w:val="20"/>
          <w:color w:val="auto"/>
        </w:rPr>
      </w:pPr>
    </w:p>
    <w:p>
      <w:pPr>
        <w:spacing w:after="0" w:line="265"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60"/>
          </w:cols>
          <w:pgMar w:left="580" w:top="97" w:right="75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2284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16115" cy="92284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2284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16115" cy="92284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Letter"/>
      <w:start w:val="4"/>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Q"/>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7"/>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2"/>
    </w:lvl>
  </w:abstractNum>
  <w:abstractNum w:abstractNumId="34">
    <w:nsid w:val="1D4ED43B"/>
    <w:multiLevelType w:val="hybridMultilevel"/>
    <w:lvl w:ilvl="0">
      <w:lvlJc w:val="left"/>
      <w:lvlText w:val="%1"/>
      <w:numFmt w:val="decimal"/>
      <w:start w:val="1"/>
    </w:lvl>
    <w:lvl w:ilvl="1">
      <w:lvlJc w:val="left"/>
      <w:lvlText w:val="(%2)"/>
      <w:numFmt w:val="lowerLetter"/>
      <w:start w:val="1"/>
    </w:lvl>
  </w:abstractNum>
  <w:abstractNum w:abstractNumId="35">
    <w:nsid w:val="725A06FB"/>
    <w:multiLevelType w:val="hybridMultilevel"/>
    <w:lvl w:ilvl="0">
      <w:lvlJc w:val="left"/>
      <w:lvlText w:val="(%1)"/>
      <w:numFmt w:val="decimal"/>
      <w:start w:val="5"/>
    </w:lvl>
    <w:lvl w:ilvl="1">
      <w:lvlJc w:val="left"/>
      <w:lvlText w:val="%2"/>
      <w:numFmt w:val="lowerLetter"/>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5"/>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2"/>
    </w:lvl>
  </w:abstractNum>
  <w:abstractNum w:abstractNumId="49">
    <w:nsid w:val="1BA026FA"/>
    <w:multiLevelType w:val="hybridMultilevel"/>
    <w:lvl w:ilvl="0">
      <w:lvlJc w:val="left"/>
      <w:lvlText w:val="(%1)"/>
      <w:numFmt w:val="decimal"/>
      <w:start w:val="3"/>
    </w:lvl>
    <w:lvl w:ilvl="1">
      <w:lvlJc w:val="left"/>
      <w:lvlText w:val="%2"/>
      <w:numFmt w:val="low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2024-04-02T10:27:30Z</dcterms:created>
  <dcterms:modified xsi:type="dcterms:W3CDTF">2024-04-02T10:27:30Z</dcterms:modified>
</cp:coreProperties>
</file>