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April 26,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358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2560" w:type="dxa"/>
            <w:vAlign w:val="bottom"/>
          </w:tcPr>
          <w:p>
            <w:pPr>
              <w:jc w:val="center"/>
              <w:ind w:right="286"/>
              <w:spacing w:after="0"/>
              <w:rPr>
                <w:sz w:val="20"/>
                <w:szCs w:val="20"/>
                <w:color w:val="auto"/>
              </w:rPr>
            </w:pPr>
            <w:r>
              <w:rPr>
                <w:rFonts w:ascii="Arial" w:cs="Arial" w:eastAsia="Arial" w:hAnsi="Arial"/>
                <w:sz w:val="18"/>
                <w:szCs w:val="18"/>
                <w:b w:val="1"/>
                <w:bCs w:val="1"/>
                <w:color w:val="auto"/>
                <w:w w:val="90"/>
              </w:rPr>
              <w:t>1-12154</w:t>
            </w:r>
          </w:p>
        </w:tc>
        <w:tc>
          <w:tcPr>
            <w:tcW w:w="2820" w:type="dxa"/>
            <w:vAlign w:val="bottom"/>
          </w:tcPr>
          <w:p>
            <w:pPr>
              <w:jc w:val="center"/>
              <w:ind w:left="1704"/>
              <w:spacing w:after="0"/>
              <w:rPr>
                <w:sz w:val="20"/>
                <w:szCs w:val="20"/>
                <w:color w:val="auto"/>
              </w:rPr>
            </w:pPr>
            <w:r>
              <w:rPr>
                <w:rFonts w:ascii="Arial" w:cs="Arial" w:eastAsia="Arial" w:hAnsi="Arial"/>
                <w:sz w:val="18"/>
                <w:szCs w:val="18"/>
                <w:b w:val="1"/>
                <w:bCs w:val="1"/>
                <w:color w:val="auto"/>
                <w:w w:val="87"/>
              </w:rPr>
              <w:t>73-1309529</w:t>
            </w:r>
          </w:p>
        </w:tc>
      </w:tr>
      <w:tr>
        <w:trPr>
          <w:trHeight w:val="149"/>
        </w:trPr>
        <w:tc>
          <w:tcPr>
            <w:tcW w:w="3580" w:type="dxa"/>
            <w:vAlign w:val="bottom"/>
          </w:tcPr>
          <w:p>
            <w:pPr>
              <w:jc w:val="center"/>
              <w:ind w:right="190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560" w:type="dxa"/>
            <w:vAlign w:val="bottom"/>
          </w:tcPr>
          <w:p>
            <w:pPr>
              <w:jc w:val="center"/>
              <w:ind w:right="2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820" w:type="dxa"/>
            <w:vAlign w:val="bottom"/>
          </w:tcPr>
          <w:p>
            <w:pPr>
              <w:jc w:val="center"/>
              <w:ind w:left="17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580" w:type="dxa"/>
            <w:vAlign w:val="bottom"/>
          </w:tcPr>
          <w:p>
            <w:pPr>
              <w:jc w:val="center"/>
              <w:ind w:right="1902"/>
              <w:spacing w:after="0"/>
              <w:rPr>
                <w:sz w:val="20"/>
                <w:szCs w:val="20"/>
                <w:color w:val="auto"/>
              </w:rPr>
            </w:pPr>
            <w:r>
              <w:rPr>
                <w:rFonts w:ascii="Arial" w:cs="Arial" w:eastAsia="Arial" w:hAnsi="Arial"/>
                <w:sz w:val="14"/>
                <w:szCs w:val="14"/>
                <w:b w:val="1"/>
                <w:bCs w:val="1"/>
                <w:color w:val="auto"/>
                <w:w w:val="89"/>
              </w:rPr>
              <w:t>of Incorporation)</w:t>
            </w:r>
          </w:p>
        </w:tc>
        <w:tc>
          <w:tcPr>
            <w:tcW w:w="2560" w:type="dxa"/>
            <w:vAlign w:val="bottom"/>
          </w:tcPr>
          <w:p>
            <w:pPr>
              <w:jc w:val="center"/>
              <w:ind w:right="266"/>
              <w:spacing w:after="0"/>
              <w:rPr>
                <w:sz w:val="20"/>
                <w:szCs w:val="20"/>
                <w:color w:val="auto"/>
              </w:rPr>
            </w:pPr>
            <w:r>
              <w:rPr>
                <w:rFonts w:ascii="Arial" w:cs="Arial" w:eastAsia="Arial" w:hAnsi="Arial"/>
                <w:sz w:val="14"/>
                <w:szCs w:val="14"/>
                <w:b w:val="1"/>
                <w:bCs w:val="1"/>
                <w:color w:val="auto"/>
                <w:w w:val="91"/>
              </w:rPr>
              <w:t>File Number)</w:t>
            </w:r>
          </w:p>
        </w:tc>
        <w:tc>
          <w:tcPr>
            <w:tcW w:w="2820" w:type="dxa"/>
            <w:vAlign w:val="bottom"/>
          </w:tcPr>
          <w:p>
            <w:pPr>
              <w:jc w:val="center"/>
              <w:ind w:left="16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580" w:type="dxa"/>
            <w:vAlign w:val="bottom"/>
          </w:tcPr>
          <w:p>
            <w:pPr>
              <w:jc w:val="center"/>
              <w:ind w:right="102"/>
              <w:spacing w:after="0"/>
              <w:rPr>
                <w:sz w:val="20"/>
                <w:szCs w:val="20"/>
                <w:color w:val="auto"/>
              </w:rPr>
            </w:pPr>
            <w:r>
              <w:rPr>
                <w:rFonts w:ascii="Arial" w:cs="Arial" w:eastAsia="Arial" w:hAnsi="Arial"/>
                <w:sz w:val="18"/>
                <w:szCs w:val="18"/>
                <w:b w:val="1"/>
                <w:bCs w:val="1"/>
                <w:color w:val="auto"/>
                <w:w w:val="88"/>
              </w:rPr>
              <w:t>1001 Fannin, Suite 4000</w:t>
            </w:r>
          </w:p>
        </w:tc>
        <w:tc>
          <w:tcPr>
            <w:tcW w:w="25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1"/>
        </w:trPr>
        <w:tc>
          <w:tcPr>
            <w:tcW w:w="3580" w:type="dxa"/>
            <w:vAlign w:val="bottom"/>
          </w:tcPr>
          <w:p>
            <w:pPr>
              <w:jc w:val="center"/>
              <w:ind w:right="82"/>
              <w:spacing w:after="0"/>
              <w:rPr>
                <w:sz w:val="20"/>
                <w:szCs w:val="20"/>
                <w:color w:val="auto"/>
              </w:rPr>
            </w:pPr>
            <w:r>
              <w:rPr>
                <w:rFonts w:ascii="Arial" w:cs="Arial" w:eastAsia="Arial" w:hAnsi="Arial"/>
                <w:sz w:val="18"/>
                <w:szCs w:val="18"/>
                <w:b w:val="1"/>
                <w:bCs w:val="1"/>
                <w:color w:val="auto"/>
                <w:w w:val="85"/>
              </w:rPr>
              <w:t>Houston, Texas</w:t>
            </w:r>
          </w:p>
        </w:tc>
        <w:tc>
          <w:tcPr>
            <w:tcW w:w="2560" w:type="dxa"/>
            <w:vAlign w:val="bottom"/>
          </w:tcPr>
          <w:p>
            <w:pPr>
              <w:spacing w:after="0"/>
              <w:rPr>
                <w:sz w:val="20"/>
                <w:szCs w:val="20"/>
                <w:color w:val="auto"/>
              </w:rPr>
            </w:pPr>
          </w:p>
        </w:tc>
        <w:tc>
          <w:tcPr>
            <w:tcW w:w="2820" w:type="dxa"/>
            <w:vAlign w:val="bottom"/>
          </w:tcPr>
          <w:p>
            <w:pPr>
              <w:jc w:val="right"/>
              <w:ind w:right="1144"/>
              <w:spacing w:after="0"/>
              <w:rPr>
                <w:sz w:val="20"/>
                <w:szCs w:val="20"/>
                <w:color w:val="auto"/>
              </w:rPr>
            </w:pPr>
            <w:r>
              <w:rPr>
                <w:rFonts w:ascii="Arial" w:cs="Arial" w:eastAsia="Arial" w:hAnsi="Arial"/>
                <w:sz w:val="18"/>
                <w:szCs w:val="18"/>
                <w:b w:val="1"/>
                <w:bCs w:val="1"/>
                <w:color w:val="auto"/>
              </w:rPr>
              <w:t>77002</w:t>
            </w:r>
          </w:p>
        </w:tc>
      </w:tr>
      <w:tr>
        <w:trPr>
          <w:trHeight w:val="174"/>
        </w:trPr>
        <w:tc>
          <w:tcPr>
            <w:tcW w:w="3580" w:type="dxa"/>
            <w:vAlign w:val="bottom"/>
          </w:tcPr>
          <w:p>
            <w:pPr>
              <w:jc w:val="center"/>
              <w:ind w:right="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56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quarter ended March 31, 2012, a copy of which is attached hereto as Exhibit 99.1. The Company is holding a conference call to discuss these results beginning at 9:00 a.m. Central Time this morning. The call will be webcast live and may be heard by accessing the Company’s website at www.wm.com. The call may also be heard by dialing (877) 710-6139 and entering access code 61793696.</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the non-GAAP measures contained in its press release and reconciliations of such measures to their most comparable GAAP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April 26, 2012</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WASTE MANAGEMENT, INC.</w:t>
            </w:r>
          </w:p>
        </w:tc>
      </w:tr>
      <w:tr>
        <w:trPr>
          <w:trHeight w:val="433"/>
        </w:trPr>
        <w:tc>
          <w:tcPr>
            <w:tcW w:w="3700" w:type="dxa"/>
            <w:vAlign w:val="bottom"/>
          </w:tcPr>
          <w:p>
            <w:pPr>
              <w:spacing w:after="0"/>
              <w:rPr>
                <w:sz w:val="20"/>
                <w:szCs w:val="20"/>
                <w:color w:val="auto"/>
              </w:rPr>
            </w:pPr>
            <w:r>
              <w:rPr>
                <w:rFonts w:ascii="Arial" w:cs="Arial" w:eastAsia="Arial" w:hAnsi="Arial"/>
                <w:sz w:val="18"/>
                <w:szCs w:val="18"/>
                <w:color w:val="auto"/>
              </w:rPr>
              <w:t>Date: April 26, 2012</w:t>
            </w: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By: /s/ Rick L Wittenbraker</w:t>
            </w:r>
          </w:p>
        </w:tc>
      </w:tr>
      <w:tr>
        <w:trPr>
          <w:trHeight w:val="202"/>
        </w:trPr>
        <w:tc>
          <w:tcPr>
            <w:tcW w:w="37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Rick L Wittenbraker</w:t>
            </w:r>
          </w:p>
        </w:tc>
      </w:tr>
      <w:tr>
        <w:trPr>
          <w:trHeight w:val="222"/>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ANNOUNCES FIRST QUARTER EARNINGS</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Volumes Positive for First Time Since 2006</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HOUSTON – April 26, 2012 </w:t>
      </w:r>
      <w:r>
        <w:rPr>
          <w:rFonts w:ascii="Arial" w:cs="Arial" w:eastAsia="Arial" w:hAnsi="Arial"/>
          <w:sz w:val="18"/>
          <w:szCs w:val="18"/>
          <w:color w:val="auto"/>
        </w:rPr>
        <w:t>– Waste Management, Inc. (NYSE: WM) today announced financial results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quarter ended March 31, 2012. Revenues for the first quarter of 2012 were $3.29 billion compared with $3.10 billion for the same 2011 period. Net income </w:t>
      </w:r>
      <w:r>
        <w:rPr>
          <w:rFonts w:ascii="Arial" w:cs="Arial" w:eastAsia="Arial" w:hAnsi="Arial"/>
          <w:sz w:val="11"/>
          <w:szCs w:val="11"/>
          <w:color w:val="auto"/>
        </w:rPr>
        <w:t>(a)</w:t>
      </w:r>
      <w:r>
        <w:rPr>
          <w:rFonts w:ascii="Arial" w:cs="Arial" w:eastAsia="Arial" w:hAnsi="Arial"/>
          <w:sz w:val="18"/>
          <w:szCs w:val="18"/>
          <w:color w:val="auto"/>
        </w:rPr>
        <w:t xml:space="preserve"> for the quarter was $171 million, or $0.37 per diluted share, compared with $186 million, or $0.39 per diluted share, for the first quarter of 2011. Results in the first quarter of 2012 included approximately $3 million of after-tax costs from a combination of restructuring charges and integration costs associated with the acquired Oakleaf operations. Excluding these items, net income would have been $174 million, or $0.38 per diluted share.</w:t>
      </w:r>
      <w:r>
        <w:rPr>
          <w:rFonts w:ascii="Arial" w:cs="Arial" w:eastAsia="Arial" w:hAnsi="Arial"/>
          <w:sz w:val="11"/>
          <w:szCs w:val="11"/>
          <w:color w:val="auto"/>
        </w:rPr>
        <w:t>(b)</w:t>
      </w:r>
    </w:p>
    <w:p>
      <w:pPr>
        <w:spacing w:after="0" w:line="18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David P. Steiner, President and Chief Executive Officer of Waste Management, commented, “Our revenue grew for the ninth consecutive quarter. We achieved positive internal revenue growth from volume for the first time since 2006, and we also saw continued benefits from our cost reduction initiatives.</w:t>
      </w:r>
    </w:p>
    <w:p>
      <w:pPr>
        <w:spacing w:after="0" w:line="14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achieved solid performance in the first quarter of 2012 despite the expected impact of the headwinds we discussed in our fourth quarter 2011 earnings release. We had a $0.03 per diluted share headwind from lower commodity prices at our recycling operations as well as a $0.02 per diluted share headwind from waste-to-energy operations. We also had a negative $0.01 per diluted share effect from higher fuel prices. With our core solid waste business growing revenue and earnings, we overcame those headwinds to produce a solid start to our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FIRST QUARTER 2012</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pacing w:after="0" w:line="1218" w:lineRule="exact"/>
        <w:rPr>
          <w:sz w:val="20"/>
          <w:szCs w:val="20"/>
          <w:color w:val="auto"/>
        </w:rPr>
      </w:pPr>
    </w:p>
    <w:p>
      <w:pPr>
        <w:sectPr>
          <w:pgSz w:w="11900" w:h="16838" w:orient="portrait"/>
          <w:cols w:equalWidth="0" w:num="2">
            <w:col w:w="8420" w:space="240"/>
            <w:col w:w="2760"/>
          </w:cols>
          <w:pgMar w:left="240" w:top="125" w:right="239" w:bottom="1440" w:gutter="0" w:footer="0" w:header="0"/>
          <w:type w:val="continuous"/>
        </w:sect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increased by 6.2%, or $192 million, with $131 million of the growth coming from acquired Oakleaf operations.</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Internal revenue growth from yield for collection and disposal operations was 0.9%. Adjusting for contract changes related to the Company’s South Florida waste-to-energy plants, internal revenue growth from yield for collection and disposal operations was 1.2%.</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revenue growth from volume was 1.3%, or 0.4% after adjusting for extra workdays.</w:t>
      </w:r>
    </w:p>
    <w:p>
      <w:pPr>
        <w:spacing w:after="0" w:line="90" w:lineRule="exact"/>
        <w:rPr>
          <w:rFonts w:ascii="Arial" w:cs="Arial" w:eastAsia="Arial" w:hAnsi="Arial"/>
          <w:sz w:val="18"/>
          <w:szCs w:val="18"/>
          <w:color w:val="auto"/>
        </w:rPr>
      </w:pPr>
    </w:p>
    <w:p>
      <w:pPr>
        <w:ind w:left="900" w:right="82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Average recycling commodity prices were approximately 20% lower in the first quarter of 2012 compared with the prior year period. This unfavorable year-over-year change negatively impacted earnings per diluted share by $0.03 in the first quarter of 2012.</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Electricity prices, which affect the Company’s waste-to-energy plants, were 8% lower in the quarter compared with the prior year period.</w:t>
      </w:r>
    </w:p>
    <w:p>
      <w:pPr>
        <w:spacing w:after="0" w:line="113"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increased by $171 million. The majority of the increase relates to subcontractor costs associated with the Company’s Oakleaf operations, and increased labor costs.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fuel costs negatively impacted the quarter by $0.01 due to 9.5% higher diesel prices compared to prior year quarter.</w:t>
      </w:r>
    </w:p>
    <w:p>
      <w:pPr>
        <w:sectPr>
          <w:pgSz w:w="11900" w:h="16838" w:orient="portrait"/>
          <w:cols w:equalWidth="0" w:num="1">
            <w:col w:w="11420"/>
          </w:cols>
          <w:pgMar w:left="240" w:top="125" w:right="239" w:bottom="1440" w:gutter="0" w:footer="0" w:header="0"/>
          <w:type w:val="continuous"/>
        </w:sectPr>
      </w:pPr>
    </w:p>
    <w:bookmarkStart w:id="4" w:name="page5"/>
    <w:bookmarkEnd w:id="4"/>
    <w:p>
      <w:pPr>
        <w:ind w:left="900" w:right="4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SG&amp;A expenses increased by $25 million compared with the first quarter of 2011. Most of the increase related to the Company’s acquisition of Oakleaf and implementation of cost saving and sales and marketing initiatives.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cash provided by operating activities was $475 million; capital expenditures were $379 million; and free cash flow was $102 million.</w:t>
      </w:r>
      <w:r>
        <w:rPr>
          <w:rFonts w:ascii="Arial" w:cs="Arial" w:eastAsia="Arial" w:hAnsi="Arial"/>
          <w:sz w:val="10"/>
          <w:szCs w:val="10"/>
          <w:color w:val="auto"/>
        </w:rPr>
        <w:t>(b)</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returned $164 million to shareholders in the form of dividends.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 tax rate was approximately 32.8%.</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Steiner concluded, “We are on plan through the first quarter and encouraged by the pick-up in our overall internal growth in our core solid waste business. Recycling and waste-to-energy commodity prices will continue to affect the second quarter, but in the second half of the year the effect of commodity prices should moderate. We anticipate seeing benefits from improved pricing, a seasonal pick-up in volumes, procurement and other savings, and the full integration of our acquired Oakleaf operations. Accordingly, we expect to achieve full-year adjusted earnings per diluted share of between $2.22 and $2.30. With effective capital management, our free cash flow will accelerate during the year and we expect to generate between $1.1 billion and $1.2 billion of free cash flow for the year.” </w:t>
      </w:r>
      <w:r>
        <w:rPr>
          <w:rFonts w:ascii="Arial" w:cs="Arial" w:eastAsia="Arial" w:hAnsi="Arial"/>
          <w:sz w:val="11"/>
          <w:szCs w:val="11"/>
          <w:color w:val="auto"/>
        </w:rPr>
        <w:t>(b)</w:t>
      </w:r>
    </w:p>
    <w:p>
      <w:pPr>
        <w:spacing w:after="0" w:line="63" w:lineRule="exact"/>
        <w:rPr>
          <w:sz w:val="20"/>
          <w:szCs w:val="20"/>
          <w:color w:val="auto"/>
        </w:rPr>
      </w:pPr>
    </w:p>
    <w:p>
      <w:pPr>
        <w:ind w:left="900" w:right="660" w:hanging="446"/>
        <w:spacing w:after="0" w:line="25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 to the financial statement line item “Net income attributable to Waste Management, Inc.”</w:t>
      </w:r>
    </w:p>
    <w:p>
      <w:pPr>
        <w:ind w:left="900" w:right="40" w:hanging="446"/>
        <w:spacing w:after="0" w:line="300"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900" w:right="40"/>
        <w:spacing w:after="0" w:line="254" w:lineRule="auto"/>
        <w:rPr>
          <w:rFonts w:ascii="Arial" w:cs="Arial" w:eastAsia="Arial" w:hAnsi="Arial"/>
          <w:sz w:val="15"/>
          <w:szCs w:val="15"/>
          <w:color w:val="auto"/>
        </w:rPr>
      </w:pPr>
      <w:r>
        <w:rPr>
          <w:rFonts w:ascii="Arial" w:cs="Arial" w:eastAsia="Arial" w:hAnsi="Arial"/>
          <w:sz w:val="18"/>
          <w:szCs w:val="18"/>
          <w:color w:val="auto"/>
        </w:rPr>
        <w:t>(i) additional, meaningful comparisons of current results to prior periods</w:t>
      </w:r>
      <w:r>
        <w:rPr>
          <w:rFonts w:ascii="Arial" w:cs="Arial" w:eastAsia="Arial" w:hAnsi="Arial"/>
          <w:sz w:val="11"/>
          <w:szCs w:val="11"/>
          <w:color w:val="auto"/>
        </w:rPr>
        <w:t>’</w:t>
      </w:r>
      <w:r>
        <w:rPr>
          <w:rFonts w:ascii="Arial" w:cs="Arial" w:eastAsia="Arial" w:hAnsi="Arial"/>
          <w:sz w:val="18"/>
          <w:szCs w:val="18"/>
          <w:color w:val="auto"/>
        </w:rPr>
        <w:t xml:space="preserve"> results by excluding items that the Company does not believe reflect its fundamental business performance and are not representative or indicative of our results of operations and (ii) financial measures the Company uses in the management of its business. Accordingly, net income and earnings per diluted share have been presented in certain instances excluding special items noted in this press releases</w:t>
      </w:r>
      <w:r>
        <w:rPr>
          <w:rFonts w:ascii="Arial" w:cs="Arial" w:eastAsia="Arial" w:hAnsi="Arial"/>
          <w:sz w:val="11"/>
          <w:szCs w:val="11"/>
          <w:color w:val="auto"/>
        </w:rPr>
        <w:t>.</w:t>
      </w:r>
    </w:p>
    <w:p>
      <w:pPr>
        <w:spacing w:after="0" w:line="63"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color w:val="auto"/>
        </w:rPr>
        <w:t>The Company’s projected full year 2012 earnings of $2.22 to $2.30 per diluted share are not GAAP net earnings per diluted share and are anticipated to be adjusted to exclude the effects of events or circumstances in 2012 that are not representative or indicative of the Company’s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pacing w:after="0" w:line="66" w:lineRule="exact"/>
        <w:rPr>
          <w:sz w:val="20"/>
          <w:szCs w:val="20"/>
          <w:color w:val="auto"/>
        </w:rPr>
      </w:pPr>
    </w:p>
    <w:p>
      <w:pPr>
        <w:ind w:left="920" w:right="60"/>
        <w:spacing w:after="0" w:line="253" w:lineRule="auto"/>
        <w:rPr>
          <w:sz w:val="20"/>
          <w:szCs w:val="20"/>
          <w:color w:val="auto"/>
        </w:rPr>
      </w:pPr>
      <w:r>
        <w:rPr>
          <w:rFonts w:ascii="Arial" w:cs="Arial" w:eastAsia="Arial" w:hAnsi="Arial"/>
          <w:sz w:val="18"/>
          <w:szCs w:val="18"/>
          <w:color w:val="auto"/>
        </w:rPr>
        <w:t xml:space="preserve">The Company also discusses free cash flow, which is a non-GAAP measure, and provides a projection of free cash flow, because it believes that it is indicative of our ability to pay our quarterly dividends, repurchase common stock, fund acquisitions and other investments and, in the absence of refinancings, to repay our debt obligations. Free cash flow is not intended to replace </w:t>
      </w:r>
      <w:r>
        <w:rPr>
          <w:rFonts w:ascii="Arial" w:cs="Arial" w:eastAsia="Arial" w:hAnsi="Arial"/>
          <w:sz w:val="11"/>
          <w:szCs w:val="11"/>
          <w:color w:val="auto"/>
        </w:rPr>
        <w:t>“</w:t>
      </w:r>
      <w:r>
        <w:rPr>
          <w:rFonts w:ascii="Arial" w:cs="Arial" w:eastAsia="Arial" w:hAnsi="Arial"/>
          <w:sz w:val="18"/>
          <w:szCs w:val="18"/>
          <w:color w:val="auto"/>
        </w:rPr>
        <w:t>Net cash provided by operating activities,” which is the most comparable U.S. GAAP measure. However, the Company believes free cash flow gives investors useful insight into how the Company views its liquidity. Nonetheless,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66" w:lineRule="exact"/>
        <w:rPr>
          <w:sz w:val="20"/>
          <w:szCs w:val="20"/>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90" w:lineRule="exact"/>
        <w:rPr>
          <w:sz w:val="20"/>
          <w:szCs w:val="20"/>
          <w:color w:val="auto"/>
        </w:rPr>
      </w:pPr>
    </w:p>
    <w:p>
      <w:pPr>
        <w:ind w:left="920" w:right="180"/>
        <w:spacing w:after="0" w:line="323" w:lineRule="auto"/>
        <w:rPr>
          <w:sz w:val="20"/>
          <w:szCs w:val="20"/>
          <w:color w:val="auto"/>
        </w:rPr>
      </w:pPr>
      <w:r>
        <w:rPr>
          <w:rFonts w:ascii="Arial" w:cs="Arial" w:eastAsia="Arial" w:hAnsi="Arial"/>
          <w:sz w:val="15"/>
          <w:szCs w:val="15"/>
          <w:color w:val="auto"/>
        </w:rPr>
        <w:t>The Company’s definition of free cash flow may not be comparable to similarly titled measures presented by other companies, and therefore is not subject to comparison. The quantitative reconciliation of non-GAAP measures used herein to the most comparable GAAP measures is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ectPr>
          <w:pgSz w:w="11900" w:h="16838" w:orient="portrait"/>
          <w:cols w:equalWidth="0" w:num="1">
            <w:col w:w="11400"/>
          </w:cols>
          <w:pgMar w:left="240" w:top="280" w:right="259" w:bottom="1440" w:gutter="0" w:footer="0" w:header="0"/>
        </w:sectPr>
      </w:pPr>
    </w:p>
    <w:bookmarkStart w:id="5" w:name="page6"/>
    <w:bookmarkEnd w:id="5"/>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host a conference call at 10:00 AM (Eastern) today to discuss the first quarter 2012 results. Information contained within this press release will be referenced and should be considered in conjunction with the call.</w:t>
      </w:r>
    </w:p>
    <w:p>
      <w:pPr>
        <w:spacing w:after="0" w:line="132"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 xml:space="preserve">The conference call will be webcast live from the Investor Relations section of Waste Management’s website </w:t>
      </w:r>
      <w:r>
        <w:rPr>
          <w:rFonts w:ascii="Arial" w:cs="Arial" w:eastAsia="Arial" w:hAnsi="Arial"/>
          <w:sz w:val="16"/>
          <w:szCs w:val="16"/>
          <w:u w:val="single" w:color="auto"/>
          <w:color w:val="auto"/>
        </w:rPr>
        <w:t>www.wm.com</w:t>
      </w:r>
      <w:r>
        <w:rPr>
          <w:rFonts w:ascii="Arial" w:cs="Arial" w:eastAsia="Arial" w:hAnsi="Arial"/>
          <w:sz w:val="16"/>
          <w:szCs w:val="16"/>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61793696 when prompted by the conference call operator.</w:t>
      </w:r>
    </w:p>
    <w:p>
      <w:pPr>
        <w:spacing w:after="0" w:line="10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Thursday, April 26, 2012 through 5:00 PM (Eastern) on Thursday, May 10, 2012. To access the replay telephonically, please dial (855) 859-2056, or from outside of the United States or Canada dial (404) 537-3406, and use the replay conference ID number 61793696.</w:t>
      </w:r>
    </w:p>
    <w:p>
      <w:pPr>
        <w:spacing w:after="0" w:line="140" w:lineRule="exact"/>
        <w:rPr>
          <w:sz w:val="20"/>
          <w:szCs w:val="20"/>
          <w:color w:val="auto"/>
        </w:rPr>
      </w:pPr>
    </w:p>
    <w:p>
      <w:pPr>
        <w:ind w:right="360"/>
        <w:spacing w:after="0" w:line="305" w:lineRule="auto"/>
        <w:rPr>
          <w:sz w:val="20"/>
          <w:szCs w:val="20"/>
          <w:color w:val="auto"/>
        </w:rPr>
      </w:pPr>
      <w:r>
        <w:rPr>
          <w:rFonts w:ascii="Arial" w:cs="Arial" w:eastAsia="Arial" w:hAnsi="Arial"/>
          <w:sz w:val="15"/>
          <w:szCs w:val="15"/>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w:t>
      </w:r>
    </w:p>
    <w:p>
      <w:pPr>
        <w:spacing w:after="0" w:line="285" w:lineRule="auto"/>
        <w:rPr>
          <w:sz w:val="20"/>
          <w:szCs w:val="20"/>
          <w:color w:val="auto"/>
        </w:rPr>
      </w:pPr>
      <w:r>
        <w:rPr>
          <w:rFonts w:ascii="Arial" w:cs="Arial" w:eastAsia="Arial" w:hAnsi="Arial"/>
          <w:sz w:val="16"/>
          <w:szCs w:val="16"/>
          <w:i w:val="1"/>
          <w:iCs w:val="1"/>
          <w:color w:val="auto"/>
        </w:rPr>
        <w:t>2012 earnings per diluted share, 2012 free cash flow, and statements regarding future changes in working capital; future capital expenditures; future internal revenue growth from yield and volume; results from recycling and waste-to-energy operations and related commodity prices; future pricing, volumes, and cost savings; integration of our Oakleaf operations; overall results of operations and business prospects; and general market and industry conditions.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and growth initiatives and overall business strategy;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www.thinkgreen.com</w:t>
      </w:r>
      <w:r>
        <w:rPr>
          <w:rFonts w:ascii="Arial" w:cs="Arial" w:eastAsia="Arial" w:hAnsi="Arial"/>
          <w:sz w:val="16"/>
          <w:szCs w:val="16"/>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3"/>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0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4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Equity in net losses of unconsolidated entities</w:t>
            </w: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Less : Net income attributable to noncontrolling interests</w:t>
            </w:r>
          </w:p>
        </w:tc>
        <w:tc>
          <w:tcPr>
            <w:tcW w:w="4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4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Basic common shares outstanding</w:t>
            </w:r>
          </w:p>
        </w:tc>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462.1</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4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20" w:type="dxa"/>
            <w:vAlign w:val="bottom"/>
            <w:gridSpan w:val="2"/>
            <w:vMerge w:val="continue"/>
          </w:tcPr>
          <w:p>
            <w:pPr>
              <w:spacing w:after="0"/>
              <w:rPr>
                <w:sz w:val="18"/>
                <w:szCs w:val="18"/>
                <w:color w:val="auto"/>
              </w:rPr>
            </w:pP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560" w:type="dxa"/>
            <w:vAlign w:val="bottom"/>
            <w:vMerge w:val="restart"/>
          </w:tcPr>
          <w:p>
            <w:pPr>
              <w:jc w:val="right"/>
              <w:ind w:right="3672"/>
              <w:spacing w:after="0"/>
              <w:rPr>
                <w:sz w:val="20"/>
                <w:szCs w:val="20"/>
                <w:color w:val="auto"/>
              </w:rPr>
            </w:pPr>
            <w:r>
              <w:rPr>
                <w:rFonts w:ascii="Arial" w:cs="Arial" w:eastAsia="Arial" w:hAnsi="Arial"/>
                <w:sz w:val="18"/>
                <w:szCs w:val="18"/>
                <w:b w:val="1"/>
                <w:bCs w:val="1"/>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ind w:left="20"/>
              <w:spacing w:after="0"/>
              <w:rPr>
                <w:sz w:val="20"/>
                <w:szCs w:val="20"/>
                <w:color w:val="auto"/>
              </w:rPr>
            </w:pPr>
            <w:r>
              <w:rPr>
                <w:rFonts w:ascii="Arial" w:cs="Arial" w:eastAsia="Arial" w:hAnsi="Arial"/>
                <w:sz w:val="14"/>
                <w:szCs w:val="14"/>
                <w:b w:val="1"/>
                <w:bCs w:val="1"/>
                <w:color w:val="auto"/>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818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gridSpan w:val="2"/>
            <w:vMerge w:val="continue"/>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0.37</w:t>
            </w: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jc w:val="right"/>
              <w:ind w:right="2272"/>
              <w:spacing w:after="0"/>
              <w:rPr>
                <w:sz w:val="20"/>
                <w:szCs w:val="20"/>
                <w:color w:val="auto"/>
              </w:rPr>
            </w:pPr>
            <w:r>
              <w:rPr>
                <w:rFonts w:ascii="Arial" w:cs="Arial" w:eastAsia="Arial" w:hAnsi="Arial"/>
                <w:sz w:val="18"/>
                <w:szCs w:val="18"/>
                <w:b w:val="1"/>
                <w:bCs w:val="1"/>
                <w:color w:val="auto"/>
              </w:rPr>
              <w:t>(2)</w:t>
            </w: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1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32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1,720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2,285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12,299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Goodwill</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6,234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assets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1,267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32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22,535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4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gridSpan w:val="2"/>
            <w:vMerge w:val="continue"/>
          </w:tcPr>
          <w:p>
            <w:pPr>
              <w:spacing w:after="0"/>
              <w:rPr>
                <w:sz w:val="18"/>
                <w:szCs w:val="18"/>
                <w:color w:val="auto"/>
              </w:rPr>
            </w:pP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w w:val="97"/>
              </w:rPr>
              <w:t>Accounts payable, accrued liabilities, and deferred revenues</w:t>
            </w:r>
          </w:p>
        </w:tc>
        <w:tc>
          <w:tcPr>
            <w:tcW w:w="4320" w:type="dxa"/>
            <w:vAlign w:val="bottom"/>
            <w:gridSpan w:val="2"/>
          </w:tcPr>
          <w:p>
            <w:pPr>
              <w:ind w:left="4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2,187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3,047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liabilities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4,018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16,054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Waste Management, Inc. stockholders’ equity</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equity</w:t>
            </w:r>
          </w:p>
        </w:tc>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4320" w:type="dxa"/>
            <w:vAlign w:val="bottom"/>
            <w:gridSpan w:val="2"/>
          </w:tcPr>
          <w:p>
            <w:pPr>
              <w:ind w:left="4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22,535</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16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183</w:t>
            </w:r>
          </w:p>
        </w:tc>
        <w:tc>
          <w:tcPr>
            <w:tcW w:w="6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317</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4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(503)</w:t>
            </w:r>
          </w:p>
        </w:tc>
        <w:tc>
          <w:tcPr>
            <w:tcW w:w="1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New borrowings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287</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repayments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Common stock repurchases</w:t>
            </w:r>
          </w:p>
        </w:tc>
        <w:tc>
          <w:tcPr>
            <w:tcW w:w="140" w:type="dxa"/>
            <w:vAlign w:val="bottom"/>
          </w:tcPr>
          <w:p>
            <w:pPr>
              <w:spacing w:after="0"/>
              <w:rPr>
                <w:sz w:val="18"/>
                <w:szCs w:val="18"/>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Exercise of common stock options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c>
          <w:tcPr>
            <w:tcW w:w="6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ind w:left="5620"/>
              <w:spacing w:after="0"/>
              <w:rPr>
                <w:sz w:val="20"/>
                <w:szCs w:val="20"/>
                <w:color w:val="auto"/>
              </w:rPr>
            </w:pPr>
            <w:r>
              <w:rPr>
                <w:rFonts w:ascii="Arial" w:cs="Arial" w:eastAsia="Arial" w:hAnsi="Arial"/>
                <w:sz w:val="18"/>
                <w:szCs w:val="18"/>
                <w:b w:val="1"/>
                <w:bCs w:val="1"/>
                <w:color w:val="auto"/>
              </w:rPr>
              <w:t>(4)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ind w:right="-2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ind w:right="-251"/>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251"/>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251"/>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Quarters Ended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1"/>
                <w:szCs w:val="11"/>
                <w:color w:val="auto"/>
              </w:rPr>
            </w:pPr>
          </w:p>
        </w:tc>
        <w:tc>
          <w:tcPr>
            <w:tcW w:w="11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6"/>
              </w:rPr>
              <w:t>2012</w:t>
            </w: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Operating Revenues by Lines of Business</w:t>
            </w:r>
          </w:p>
        </w:tc>
        <w:tc>
          <w:tcPr>
            <w:tcW w:w="260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left w:val="single" w:sz="8" w:color="CCEEFF"/>
              <w:bottom w:val="single" w:sz="8" w:color="CCEEFF"/>
            </w:tcBorders>
            <w:shd w:val="clear" w:color="auto" w:fill="CCEEFF"/>
          </w:tcPr>
          <w:p>
            <w:pPr>
              <w:spacing w:after="0"/>
              <w:rPr>
                <w:sz w:val="15"/>
                <w:szCs w:val="15"/>
                <w:color w:val="auto"/>
              </w:rPr>
            </w:pPr>
          </w:p>
        </w:tc>
        <w:tc>
          <w:tcPr>
            <w:tcW w:w="34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Collection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ind w:left="8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2,073</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2,119</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Landfill</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615</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left="34"/>
              <w:spacing w:after="0"/>
              <w:rPr>
                <w:sz w:val="20"/>
                <w:szCs w:val="20"/>
                <w:color w:val="auto"/>
              </w:rPr>
            </w:pPr>
            <w:r>
              <w:rPr>
                <w:rFonts w:ascii="Arial" w:cs="Arial" w:eastAsia="Arial" w:hAnsi="Arial"/>
                <w:sz w:val="18"/>
                <w:szCs w:val="18"/>
                <w:color w:val="auto"/>
                <w:w w:val="93"/>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Transfer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298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center"/>
              <w:ind w:left="34"/>
              <w:spacing w:after="0"/>
              <w:rPr>
                <w:sz w:val="20"/>
                <w:szCs w:val="20"/>
                <w:color w:val="auto"/>
              </w:rPr>
            </w:pPr>
            <w:r>
              <w:rPr>
                <w:rFonts w:ascii="Arial" w:cs="Arial" w:eastAsia="Arial" w:hAnsi="Arial"/>
                <w:sz w:val="18"/>
                <w:szCs w:val="18"/>
                <w:color w:val="auto"/>
                <w:w w:val="93"/>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Wheelabrator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left="34"/>
              <w:spacing w:after="0"/>
              <w:rPr>
                <w:sz w:val="20"/>
                <w:szCs w:val="20"/>
                <w:color w:val="auto"/>
              </w:rPr>
            </w:pPr>
            <w:r>
              <w:rPr>
                <w:rFonts w:ascii="Arial" w:cs="Arial" w:eastAsia="Arial" w:hAnsi="Arial"/>
                <w:sz w:val="18"/>
                <w:szCs w:val="18"/>
                <w:color w:val="auto"/>
                <w:w w:val="93"/>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Recycling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center"/>
              <w:ind w:left="34"/>
              <w:spacing w:after="0"/>
              <w:rPr>
                <w:sz w:val="20"/>
                <w:szCs w:val="20"/>
                <w:color w:val="auto"/>
              </w:rPr>
            </w:pPr>
            <w:r>
              <w:rPr>
                <w:rFonts w:ascii="Arial" w:cs="Arial" w:eastAsia="Arial" w:hAnsi="Arial"/>
                <w:sz w:val="18"/>
                <w:szCs w:val="18"/>
                <w:color w:val="auto"/>
                <w:w w:val="93"/>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center"/>
              <w:ind w:left="54"/>
              <w:spacing w:after="0"/>
              <w:rPr>
                <w:sz w:val="20"/>
                <w:szCs w:val="20"/>
                <w:color w:val="auto"/>
              </w:rPr>
            </w:pPr>
            <w:r>
              <w:rPr>
                <w:rFonts w:ascii="Arial" w:cs="Arial" w:eastAsia="Arial" w:hAnsi="Arial"/>
                <w:sz w:val="18"/>
                <w:szCs w:val="18"/>
                <w:color w:val="auto"/>
                <w:w w:val="90"/>
              </w:rPr>
              <w:t>(460)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4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3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1"/>
              </w:rPr>
              <w:t>Quarters Ended</w:t>
            </w: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6"/>
              </w:rPr>
              <w:t>March 31, 2012</w:t>
            </w:r>
          </w:p>
        </w:tc>
        <w:tc>
          <w:tcPr>
            <w:tcW w:w="4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6"/>
          </w:tcPr>
          <w:p>
            <w:pPr>
              <w:ind w:left="60"/>
              <w:spacing w:after="0" w:line="142" w:lineRule="exact"/>
              <w:rPr>
                <w:sz w:val="20"/>
                <w:szCs w:val="20"/>
                <w:color w:val="auto"/>
              </w:rPr>
            </w:pPr>
            <w:r>
              <w:rPr>
                <w:rFonts w:ascii="Arial" w:cs="Arial" w:eastAsia="Arial" w:hAnsi="Arial"/>
                <w:sz w:val="14"/>
                <w:szCs w:val="14"/>
                <w:b w:val="1"/>
                <w:bCs w:val="1"/>
                <w:color w:val="auto"/>
              </w:rPr>
              <w:t>March 31, 2011</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90"/>
              </w:rPr>
              <w:t>As a % of</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4"/>
          </w:tcPr>
          <w:p>
            <w:pPr>
              <w:jc w:val="center"/>
              <w:spacing w:after="0" w:line="131" w:lineRule="exact"/>
              <w:rPr>
                <w:sz w:val="20"/>
                <w:szCs w:val="20"/>
                <w:color w:val="auto"/>
              </w:rPr>
            </w:pPr>
            <w:r>
              <w:rPr>
                <w:rFonts w:ascii="Arial" w:cs="Arial" w:eastAsia="Arial" w:hAnsi="Arial"/>
                <w:sz w:val="14"/>
                <w:szCs w:val="14"/>
                <w:color w:val="auto"/>
                <w:w w:val="86"/>
              </w:rPr>
              <w:t>As a % of</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500" w:type="dxa"/>
            <w:vAlign w:val="bottom"/>
            <w:gridSpan w:val="3"/>
          </w:tcPr>
          <w:p>
            <w:pPr>
              <w:spacing w:after="0" w:line="159" w:lineRule="exact"/>
              <w:rPr>
                <w:sz w:val="20"/>
                <w:szCs w:val="20"/>
                <w:color w:val="auto"/>
              </w:rPr>
            </w:pPr>
            <w:r>
              <w:rPr>
                <w:rFonts w:ascii="Arial" w:cs="Arial" w:eastAsia="Arial" w:hAnsi="Arial"/>
                <w:sz w:val="14"/>
                <w:szCs w:val="14"/>
                <w:color w:val="auto"/>
                <w:w w:val="99"/>
              </w:rPr>
              <w:t>Amount</w:t>
            </w:r>
          </w:p>
        </w:tc>
        <w:tc>
          <w:tcPr>
            <w:tcW w:w="580" w:type="dxa"/>
            <w:vAlign w:val="bottom"/>
          </w:tcPr>
          <w:p>
            <w:pPr>
              <w:spacing w:after="0"/>
              <w:rPr>
                <w:sz w:val="13"/>
                <w:szCs w:val="13"/>
                <w:color w:val="auto"/>
              </w:rPr>
            </w:pPr>
          </w:p>
        </w:tc>
        <w:tc>
          <w:tcPr>
            <w:tcW w:w="1240" w:type="dxa"/>
            <w:vAlign w:val="bottom"/>
            <w:gridSpan w:val="4"/>
          </w:tcPr>
          <w:p>
            <w:pPr>
              <w:jc w:val="center"/>
              <w:ind w:right="400"/>
              <w:spacing w:after="0" w:line="159" w:lineRule="exact"/>
              <w:rPr>
                <w:sz w:val="20"/>
                <w:szCs w:val="20"/>
                <w:color w:val="auto"/>
              </w:rPr>
            </w:pPr>
            <w:r>
              <w:rPr>
                <w:rFonts w:ascii="Arial" w:cs="Arial" w:eastAsia="Arial" w:hAnsi="Arial"/>
                <w:sz w:val="14"/>
                <w:szCs w:val="14"/>
                <w:color w:val="auto"/>
                <w:w w:val="88"/>
              </w:rPr>
              <w:t>Total Company</w:t>
            </w:r>
          </w:p>
        </w:tc>
        <w:tc>
          <w:tcPr>
            <w:tcW w:w="340" w:type="dxa"/>
            <w:vAlign w:val="bottom"/>
          </w:tcPr>
          <w:p>
            <w:pPr>
              <w:spacing w:after="0"/>
              <w:rPr>
                <w:sz w:val="13"/>
                <w:szCs w:val="13"/>
                <w:color w:val="auto"/>
              </w:rPr>
            </w:pPr>
          </w:p>
        </w:tc>
        <w:tc>
          <w:tcPr>
            <w:tcW w:w="1100" w:type="dxa"/>
            <w:vAlign w:val="bottom"/>
            <w:gridSpan w:val="5"/>
          </w:tcPr>
          <w:p>
            <w:pPr>
              <w:jc w:val="right"/>
              <w:ind w:right="640"/>
              <w:spacing w:after="0" w:line="159" w:lineRule="exact"/>
              <w:rPr>
                <w:sz w:val="20"/>
                <w:szCs w:val="20"/>
                <w:color w:val="auto"/>
              </w:rPr>
            </w:pPr>
            <w:r>
              <w:rPr>
                <w:rFonts w:ascii="Arial" w:cs="Arial" w:eastAsia="Arial" w:hAnsi="Arial"/>
                <w:sz w:val="14"/>
                <w:szCs w:val="14"/>
                <w:color w:val="auto"/>
                <w:w w:val="91"/>
              </w:rPr>
              <w:t>Amount</w:t>
            </w:r>
          </w:p>
        </w:tc>
        <w:tc>
          <w:tcPr>
            <w:tcW w:w="1040" w:type="dxa"/>
            <w:vAlign w:val="bottom"/>
            <w:gridSpan w:val="6"/>
          </w:tcPr>
          <w:p>
            <w:pPr>
              <w:jc w:val="center"/>
              <w:ind w:right="200"/>
              <w:spacing w:after="0" w:line="159" w:lineRule="exact"/>
              <w:rPr>
                <w:sz w:val="20"/>
                <w:szCs w:val="20"/>
                <w:color w:val="auto"/>
              </w:rPr>
            </w:pPr>
            <w:r>
              <w:rPr>
                <w:rFonts w:ascii="Arial" w:cs="Arial" w:eastAsia="Arial" w:hAnsi="Arial"/>
                <w:sz w:val="14"/>
                <w:szCs w:val="14"/>
                <w:color w:val="auto"/>
                <w:w w:val="88"/>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Analysis of Change in Year Over Year Revenues</w:t>
            </w:r>
          </w:p>
        </w:tc>
        <w:tc>
          <w:tcPr>
            <w:tcW w:w="20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center"/>
              <w:ind w:left="34"/>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Volume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700" w:type="dxa"/>
            <w:vAlign w:val="bottom"/>
            <w:gridSpan w:val="5"/>
            <w:vMerge w:val="restart"/>
          </w:tcPr>
          <w:p>
            <w:pPr>
              <w:spacing w:after="0"/>
              <w:rPr>
                <w:sz w:val="20"/>
                <w:szCs w:val="20"/>
                <w:color w:val="auto"/>
              </w:rPr>
            </w:pPr>
            <w:r>
              <w:rPr>
                <w:rFonts w:ascii="Arial" w:cs="Arial" w:eastAsia="Arial" w:hAnsi="Arial"/>
                <w:sz w:val="18"/>
                <w:szCs w:val="18"/>
                <w:color w:val="auto"/>
              </w:rPr>
              <w:t>Internal revenue growth</w:t>
            </w: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center"/>
              <w:ind w:left="34"/>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Acquisition</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196</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left="34"/>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Divestitures</w:t>
            </w:r>
          </w:p>
        </w:tc>
        <w:tc>
          <w:tcPr>
            <w:tcW w:w="1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4"/>
          </w:tcPr>
          <w:p>
            <w:pPr>
              <w:jc w:val="center"/>
              <w:ind w:right="7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left="34"/>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$ 192</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$ 168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center"/>
              <w:ind w:left="34"/>
              <w:spacing w:after="0"/>
              <w:rPr>
                <w:sz w:val="20"/>
                <w:szCs w:val="20"/>
                <w:color w:val="auto"/>
              </w:rPr>
            </w:pPr>
            <w:r>
              <w:rPr>
                <w:rFonts w:ascii="Arial" w:cs="Arial" w:eastAsia="Arial" w:hAnsi="Arial"/>
                <w:sz w:val="18"/>
                <w:szCs w:val="18"/>
                <w:color w:val="auto"/>
                <w:w w:val="87"/>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gridSpan w:val="4"/>
          </w:tcPr>
          <w:p>
            <w:pPr>
              <w:jc w:val="center"/>
              <w:ind w:right="380"/>
              <w:spacing w:after="0"/>
              <w:rPr>
                <w:sz w:val="20"/>
                <w:szCs w:val="20"/>
                <w:color w:val="auto"/>
              </w:rPr>
            </w:pPr>
            <w:r>
              <w:rPr>
                <w:rFonts w:ascii="Arial" w:cs="Arial" w:eastAsia="Arial" w:hAnsi="Arial"/>
                <w:sz w:val="14"/>
                <w:szCs w:val="14"/>
                <w:color w:val="auto"/>
                <w:w w:val="90"/>
              </w:rPr>
              <w:t>As a % of</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6"/>
          </w:tcPr>
          <w:p>
            <w:pPr>
              <w:jc w:val="center"/>
              <w:ind w:right="200"/>
              <w:spacing w:after="0"/>
              <w:rPr>
                <w:sz w:val="20"/>
                <w:szCs w:val="20"/>
                <w:color w:val="auto"/>
              </w:rPr>
            </w:pPr>
            <w:r>
              <w:rPr>
                <w:rFonts w:ascii="Arial" w:cs="Arial" w:eastAsia="Arial" w:hAnsi="Arial"/>
                <w:sz w:val="14"/>
                <w:szCs w:val="14"/>
                <w:color w:val="auto"/>
                <w:w w:val="86"/>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4"/>
          </w:tcPr>
          <w:p>
            <w:pPr>
              <w:jc w:val="center"/>
              <w:ind w:right="380"/>
              <w:spacing w:after="0" w:line="149" w:lineRule="exact"/>
              <w:rPr>
                <w:sz w:val="20"/>
                <w:szCs w:val="20"/>
                <w:color w:val="auto"/>
              </w:rPr>
            </w:pPr>
            <w:r>
              <w:rPr>
                <w:rFonts w:ascii="Arial" w:cs="Arial" w:eastAsia="Arial" w:hAnsi="Arial"/>
                <w:sz w:val="14"/>
                <w:szCs w:val="14"/>
                <w:color w:val="auto"/>
                <w:w w:val="86"/>
              </w:rPr>
              <w:t>Related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6"/>
          </w:tcPr>
          <w:p>
            <w:pPr>
              <w:jc w:val="center"/>
              <w:ind w:right="200"/>
              <w:spacing w:after="0" w:line="149" w:lineRule="exact"/>
              <w:rPr>
                <w:sz w:val="20"/>
                <w:szCs w:val="20"/>
                <w:color w:val="auto"/>
              </w:rPr>
            </w:pPr>
            <w:r>
              <w:rPr>
                <w:rFonts w:ascii="Arial" w:cs="Arial" w:eastAsia="Arial" w:hAnsi="Arial"/>
                <w:sz w:val="14"/>
                <w:szCs w:val="14"/>
                <w:color w:val="auto"/>
                <w:w w:val="82"/>
              </w:rPr>
              <w:t>Related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500" w:type="dxa"/>
            <w:vAlign w:val="bottom"/>
            <w:gridSpan w:val="3"/>
          </w:tcPr>
          <w:p>
            <w:pPr>
              <w:spacing w:after="0" w:line="159" w:lineRule="exact"/>
              <w:rPr>
                <w:sz w:val="20"/>
                <w:szCs w:val="20"/>
                <w:color w:val="auto"/>
              </w:rPr>
            </w:pPr>
            <w:r>
              <w:rPr>
                <w:rFonts w:ascii="Arial" w:cs="Arial" w:eastAsia="Arial" w:hAnsi="Arial"/>
                <w:sz w:val="14"/>
                <w:szCs w:val="14"/>
                <w:color w:val="auto"/>
                <w:w w:val="99"/>
              </w:rPr>
              <w:t>Amount</w:t>
            </w:r>
          </w:p>
        </w:tc>
        <w:tc>
          <w:tcPr>
            <w:tcW w:w="580" w:type="dxa"/>
            <w:vAlign w:val="bottom"/>
          </w:tcPr>
          <w:p>
            <w:pPr>
              <w:spacing w:after="0"/>
              <w:rPr>
                <w:sz w:val="13"/>
                <w:szCs w:val="13"/>
                <w:color w:val="auto"/>
              </w:rPr>
            </w:pPr>
          </w:p>
        </w:tc>
        <w:tc>
          <w:tcPr>
            <w:tcW w:w="1240" w:type="dxa"/>
            <w:vAlign w:val="bottom"/>
            <w:gridSpan w:val="4"/>
          </w:tcPr>
          <w:p>
            <w:pPr>
              <w:jc w:val="center"/>
              <w:ind w:right="400"/>
              <w:spacing w:after="0" w:line="159" w:lineRule="exact"/>
              <w:rPr>
                <w:sz w:val="20"/>
                <w:szCs w:val="20"/>
                <w:color w:val="auto"/>
              </w:rPr>
            </w:pPr>
            <w:r>
              <w:rPr>
                <w:rFonts w:ascii="Arial" w:cs="Arial" w:eastAsia="Arial" w:hAnsi="Arial"/>
                <w:sz w:val="14"/>
                <w:szCs w:val="14"/>
                <w:color w:val="auto"/>
                <w:w w:val="84"/>
              </w:rPr>
              <w:t>Business</w:t>
            </w:r>
          </w:p>
        </w:tc>
        <w:tc>
          <w:tcPr>
            <w:tcW w:w="340" w:type="dxa"/>
            <w:vAlign w:val="bottom"/>
          </w:tcPr>
          <w:p>
            <w:pPr>
              <w:spacing w:after="0"/>
              <w:rPr>
                <w:sz w:val="13"/>
                <w:szCs w:val="13"/>
                <w:color w:val="auto"/>
              </w:rPr>
            </w:pPr>
          </w:p>
        </w:tc>
        <w:tc>
          <w:tcPr>
            <w:tcW w:w="1100" w:type="dxa"/>
            <w:vAlign w:val="bottom"/>
            <w:gridSpan w:val="5"/>
          </w:tcPr>
          <w:p>
            <w:pPr>
              <w:jc w:val="right"/>
              <w:ind w:right="640"/>
              <w:spacing w:after="0" w:line="159" w:lineRule="exact"/>
              <w:rPr>
                <w:sz w:val="20"/>
                <w:szCs w:val="20"/>
                <w:color w:val="auto"/>
              </w:rPr>
            </w:pPr>
            <w:r>
              <w:rPr>
                <w:rFonts w:ascii="Arial" w:cs="Arial" w:eastAsia="Arial" w:hAnsi="Arial"/>
                <w:sz w:val="14"/>
                <w:szCs w:val="14"/>
                <w:color w:val="auto"/>
                <w:w w:val="91"/>
              </w:rPr>
              <w:t>Amount</w:t>
            </w:r>
          </w:p>
        </w:tc>
        <w:tc>
          <w:tcPr>
            <w:tcW w:w="1040" w:type="dxa"/>
            <w:vAlign w:val="bottom"/>
            <w:gridSpan w:val="6"/>
          </w:tcPr>
          <w:p>
            <w:pPr>
              <w:jc w:val="center"/>
              <w:ind w:right="200"/>
              <w:spacing w:after="0" w:line="159" w:lineRule="exact"/>
              <w:rPr>
                <w:sz w:val="20"/>
                <w:szCs w:val="20"/>
                <w:color w:val="auto"/>
              </w:rPr>
            </w:pPr>
            <w:r>
              <w:rPr>
                <w:rFonts w:ascii="Arial" w:cs="Arial" w:eastAsia="Arial" w:hAnsi="Arial"/>
                <w:sz w:val="14"/>
                <w:szCs w:val="14"/>
                <w:color w:val="auto"/>
                <w:w w:val="84"/>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ind w:left="420"/>
              <w:spacing w:after="0"/>
              <w:rPr>
                <w:sz w:val="20"/>
                <w:szCs w:val="20"/>
                <w:color w:val="auto"/>
              </w:rPr>
            </w:pPr>
            <w:r>
              <w:rPr>
                <w:rFonts w:ascii="Arial" w:cs="Arial" w:eastAsia="Arial" w:hAnsi="Arial"/>
                <w:sz w:val="18"/>
                <w:szCs w:val="18"/>
                <w:color w:val="auto"/>
              </w:rPr>
              <w:t>Collection, landfill and transfer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center"/>
              <w:ind w:left="34"/>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Waste-to-energy disposal</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center"/>
              <w:ind w:right="7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left="34"/>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4"/>
          </w:tcPr>
          <w:p>
            <w:pPr>
              <w:ind w:left="420"/>
              <w:spacing w:after="0"/>
              <w:rPr>
                <w:sz w:val="20"/>
                <w:szCs w:val="20"/>
                <w:color w:val="auto"/>
              </w:rPr>
            </w:pPr>
            <w:r>
              <w:rPr>
                <w:rFonts w:ascii="Arial" w:cs="Arial" w:eastAsia="Arial" w:hAnsi="Arial"/>
                <w:sz w:val="18"/>
                <w:szCs w:val="18"/>
                <w:color w:val="auto"/>
              </w:rPr>
              <w:t>Collection and disposal</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center"/>
              <w:ind w:left="34"/>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Recycling commodities</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-19.6%</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ind w:left="420"/>
              <w:spacing w:after="0"/>
              <w:rPr>
                <w:sz w:val="20"/>
                <w:szCs w:val="20"/>
                <w:color w:val="auto"/>
              </w:rPr>
            </w:pPr>
            <w:r>
              <w:rPr>
                <w:rFonts w:ascii="Arial" w:cs="Arial" w:eastAsia="Arial" w:hAnsi="Arial"/>
                <w:sz w:val="18"/>
                <w:szCs w:val="18"/>
                <w:color w:val="auto"/>
              </w:rPr>
              <w:t>Electricity</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4"/>
          </w:tcPr>
          <w:p>
            <w:pPr>
              <w:jc w:val="center"/>
              <w:ind w:right="7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center"/>
              <w:ind w:left="34"/>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Fuel surcharges and mandated fees</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2"/>
        </w:trPr>
        <w:tc>
          <w:tcPr>
            <w:tcW w:w="5700" w:type="dxa"/>
            <w:vAlign w:val="bottom"/>
            <w:gridSpan w:val="5"/>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center"/>
              <w:ind w:left="34"/>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w w:val="93"/>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Free Cash Flow Analysis (b)</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475</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3"/>
          </w:tcPr>
          <w:p>
            <w:pPr>
              <w:jc w:val="center"/>
              <w:ind w:left="34"/>
              <w:spacing w:after="0"/>
              <w:rPr>
                <w:sz w:val="20"/>
                <w:szCs w:val="20"/>
                <w:color w:val="auto"/>
              </w:rPr>
            </w:pPr>
            <w:r>
              <w:rPr>
                <w:rFonts w:ascii="Arial" w:cs="Arial" w:eastAsia="Arial" w:hAnsi="Arial"/>
                <w:sz w:val="18"/>
                <w:szCs w:val="18"/>
                <w:color w:val="auto"/>
                <w:w w:val="93"/>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90"/>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7"/>
          </w:tcPr>
          <w:p>
            <w:pPr>
              <w:spacing w:after="0"/>
              <w:rPr>
                <w:sz w:val="20"/>
                <w:szCs w:val="20"/>
                <w:color w:val="auto"/>
              </w:rPr>
            </w:pPr>
            <w:r>
              <w:rPr>
                <w:rFonts w:ascii="Arial" w:cs="Arial" w:eastAsia="Arial" w:hAnsi="Arial"/>
                <w:sz w:val="18"/>
                <w:szCs w:val="18"/>
                <w:color w:val="auto"/>
                <w:w w:val="86"/>
              </w:rPr>
              <w:t>Proceeds from divestitures of businesses (net of cash divested) and other sales of assets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left="34"/>
              <w:spacing w:after="0"/>
              <w:rPr>
                <w:sz w:val="20"/>
                <w:szCs w:val="20"/>
                <w:color w:val="auto"/>
              </w:rPr>
            </w:pPr>
            <w:r>
              <w:rPr>
                <w:rFonts w:ascii="Arial" w:cs="Arial" w:eastAsia="Arial" w:hAnsi="Arial"/>
                <w:sz w:val="18"/>
                <w:szCs w:val="18"/>
                <w:color w:val="auto"/>
                <w:w w:val="93"/>
              </w:rPr>
              <w:t>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38" w:lineRule="exact"/>
        <w:rPr>
          <w:rFonts w:ascii="Arial" w:cs="Arial" w:eastAsia="Arial" w:hAnsi="Arial"/>
          <w:sz w:val="16"/>
          <w:szCs w:val="16"/>
          <w:color w:val="auto"/>
        </w:rPr>
      </w:pPr>
    </w:p>
    <w:p>
      <w:pPr>
        <w:ind w:left="452" w:hanging="452"/>
        <w:spacing w:after="0" w:line="255"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25" w:lineRule="exact"/>
        <w:rPr>
          <w:sz w:val="20"/>
          <w:szCs w:val="20"/>
          <w:color w:val="auto"/>
        </w:rPr>
      </w:pPr>
    </w:p>
    <w:p>
      <w:pPr>
        <w:jc w:val="center"/>
        <w:ind w:right="-251"/>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152"/>
          </w:cols>
          <w:pgMar w:left="248" w:top="274" w:right="4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89"/>
              </w:rPr>
              <w:t>Quarters Ended</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2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ind w:left="420"/>
              <w:spacing w:after="0"/>
              <w:rPr>
                <w:sz w:val="20"/>
                <w:szCs w:val="20"/>
                <w:color w:val="auto"/>
              </w:rPr>
            </w:pPr>
            <w:r>
              <w:rPr>
                <w:rFonts w:ascii="Arial" w:cs="Arial" w:eastAsia="Arial" w:hAnsi="Arial"/>
                <w:sz w:val="18"/>
                <w:szCs w:val="18"/>
                <w:color w:val="auto"/>
              </w:rPr>
              <w:t>Long-term indebtedness, including current portion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9,849</w:t>
            </w:r>
          </w:p>
        </w:tc>
        <w:tc>
          <w:tcPr>
            <w:tcW w:w="34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9,756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gridSpan w:val="5"/>
            <w:vMerge w:val="restart"/>
          </w:tcPr>
          <w:p>
            <w:pPr>
              <w:ind w:left="860"/>
              <w:spacing w:after="0"/>
              <w:rPr>
                <w:sz w:val="20"/>
                <w:szCs w:val="20"/>
                <w:color w:val="auto"/>
              </w:rPr>
            </w:pPr>
            <w:r>
              <w:rPr>
                <w:rFonts w:ascii="Arial" w:cs="Arial" w:eastAsia="Arial" w:hAnsi="Arial"/>
                <w:sz w:val="18"/>
                <w:szCs w:val="18"/>
                <w:color w:val="auto"/>
              </w:rPr>
              <w:t>Total capital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5"/>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16,330</w:t>
            </w:r>
          </w:p>
        </w:tc>
        <w:tc>
          <w:tcPr>
            <w:tcW w:w="340" w:type="dxa"/>
            <w:vAlign w:val="bottom"/>
          </w:tcPr>
          <w:p>
            <w:pPr>
              <w:spacing w:after="0"/>
              <w:rPr>
                <w:sz w:val="19"/>
                <w:szCs w:val="19"/>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16,146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Debt-to-total capital</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
        </w:trPr>
        <w:tc>
          <w:tcPr>
            <w:tcW w:w="8040" w:type="dxa"/>
            <w:vAlign w:val="bottom"/>
            <w:gridSpan w:val="6"/>
            <w:vMerge w:val="restart"/>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6"/>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8020" w:type="dxa"/>
            <w:vAlign w:val="bottom"/>
            <w:gridSpan w:val="5"/>
          </w:tcPr>
          <w:p>
            <w:pPr>
              <w:ind w:left="420"/>
              <w:spacing w:after="0"/>
              <w:rPr>
                <w:sz w:val="20"/>
                <w:szCs w:val="20"/>
                <w:color w:val="auto"/>
              </w:rPr>
            </w:pPr>
            <w:r>
              <w:rPr>
                <w:rFonts w:ascii="Arial" w:cs="Arial" w:eastAsia="Arial" w:hAnsi="Arial"/>
                <w:sz w:val="18"/>
                <w:szCs w:val="18"/>
                <w:color w:val="auto"/>
              </w:rPr>
              <w:t>Gross annualized revenue acquired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consideration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gridSpan w:val="5"/>
            <w:vMerge w:val="restart"/>
          </w:tcPr>
          <w:p>
            <w:pPr>
              <w:ind w:left="420"/>
              <w:spacing w:after="0"/>
              <w:rPr>
                <w:sz w:val="20"/>
                <w:szCs w:val="20"/>
                <w:color w:val="auto"/>
              </w:rPr>
            </w:pPr>
            <w:r>
              <w:rPr>
                <w:rFonts w:ascii="Arial" w:cs="Arial" w:eastAsia="Arial" w:hAnsi="Arial"/>
                <w:sz w:val="18"/>
                <w:szCs w:val="18"/>
                <w:color w:val="auto"/>
              </w:rPr>
              <w:t>Cash paid for acquisitions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gridSpan w:val="5"/>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8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0"/>
              </w:rPr>
              <w:t>Other Operational Data</w:t>
            </w:r>
          </w:p>
        </w:tc>
        <w:tc>
          <w:tcPr>
            <w:tcW w:w="6220" w:type="dxa"/>
            <w:vAlign w:val="bottom"/>
            <w:tcBorders>
              <w:bottom w:val="single" w:sz="8" w:color="CCEEFF"/>
            </w:tcBorders>
            <w:gridSpan w:val="3"/>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8040" w:type="dxa"/>
            <w:vAlign w:val="bottom"/>
            <w:gridSpan w:val="6"/>
          </w:tcPr>
          <w:p>
            <w:pPr>
              <w:spacing w:after="0"/>
              <w:rPr>
                <w:sz w:val="20"/>
                <w:szCs w:val="20"/>
                <w:color w:val="auto"/>
              </w:rPr>
            </w:pPr>
            <w:r>
              <w:rPr>
                <w:rFonts w:ascii="Arial" w:cs="Arial" w:eastAsia="Arial" w:hAnsi="Arial"/>
                <w:sz w:val="18"/>
                <w:szCs w:val="18"/>
                <w:color w:val="auto"/>
              </w:rPr>
              <w:t>Internalization of waste, based on disposal costs</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disposal volumes (tons in millions)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8040" w:type="dxa"/>
            <w:vAlign w:val="bottom"/>
            <w:gridSpan w:val="6"/>
            <w:vMerge w:val="restart"/>
          </w:tcPr>
          <w:p>
            <w:pPr>
              <w:spacing w:after="0"/>
              <w:rPr>
                <w:sz w:val="20"/>
                <w:szCs w:val="20"/>
                <w:color w:val="auto"/>
              </w:rPr>
            </w:pPr>
            <w:r>
              <w:rPr>
                <w:rFonts w:ascii="Arial" w:cs="Arial" w:eastAsia="Arial" w:hAnsi="Arial"/>
                <w:sz w:val="18"/>
                <w:szCs w:val="18"/>
                <w:color w:val="auto"/>
              </w:rPr>
              <w:t>Active landfills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80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 Groups: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84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ind w:left="420"/>
              <w:spacing w:after="0"/>
              <w:rPr>
                <w:sz w:val="20"/>
                <w:szCs w:val="20"/>
                <w:color w:val="auto"/>
              </w:rPr>
            </w:pPr>
            <w:r>
              <w:rPr>
                <w:rFonts w:ascii="Arial" w:cs="Arial" w:eastAsia="Arial" w:hAnsi="Arial"/>
                <w:sz w:val="18"/>
                <w:szCs w:val="18"/>
                <w:color w:val="auto"/>
              </w:rPr>
              <w:t>Cost basis of landfill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76.3</w:t>
            </w:r>
          </w:p>
        </w:tc>
        <w:tc>
          <w:tcPr>
            <w:tcW w:w="34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Asset retirement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gridSpan w:val="5"/>
            <w:vMerge w:val="restart"/>
          </w:tcPr>
          <w:p>
            <w:pPr>
              <w:ind w:left="860"/>
              <w:spacing w:after="0"/>
              <w:rPr>
                <w:sz w:val="20"/>
                <w:szCs w:val="20"/>
                <w:color w:val="auto"/>
              </w:rPr>
            </w:pPr>
            <w:r>
              <w:rPr>
                <w:rFonts w:ascii="Arial" w:cs="Arial" w:eastAsia="Arial" w:hAnsi="Arial"/>
                <w:sz w:val="18"/>
                <w:szCs w:val="18"/>
                <w:color w:val="auto"/>
              </w:rPr>
              <w:t>Total landfill amortization expense (b)</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02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gridSpan w:val="5"/>
            <w:vMerge w:val="restart"/>
          </w:tcPr>
          <w:p>
            <w:pPr>
              <w:ind w:left="420"/>
              <w:spacing w:after="0"/>
              <w:rPr>
                <w:sz w:val="20"/>
                <w:szCs w:val="20"/>
                <w:color w:val="auto"/>
              </w:rPr>
            </w:pPr>
            <w:r>
              <w:rPr>
                <w:rFonts w:ascii="Arial" w:cs="Arial" w:eastAsia="Arial" w:hAnsi="Arial"/>
                <w:sz w:val="18"/>
                <w:szCs w:val="18"/>
                <w:color w:val="auto"/>
              </w:rPr>
              <w:t>Landfill amortization, accretion and other related expense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5"/>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106.5</w:t>
            </w:r>
          </w:p>
        </w:tc>
        <w:tc>
          <w:tcPr>
            <w:tcW w:w="340" w:type="dxa"/>
            <w:vAlign w:val="bottom"/>
          </w:tcPr>
          <w:p>
            <w:pPr>
              <w:spacing w:after="0"/>
              <w:rPr>
                <w:sz w:val="19"/>
                <w:szCs w:val="19"/>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Note that cash paid for acquisitions may include cash payments for business acquisitions consummated in prior quarters.</w:t>
      </w:r>
    </w:p>
    <w:p>
      <w:pPr>
        <w:ind w:left="460" w:right="26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 ended March 31, 2012 as compared to the quarter ended December 31, 2011 reflects an increase in amortization expense of $17.9 million of which $27.4 million is primarily attributable to year-end adjustments of landfill capping construction and closure/post closure obligations. This was partially offset by $9.8 million attributable to seasonal decline in landfill volumes.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1420"/>
          </w:cols>
          <w:pgMar w:left="240" w:top="274" w:right="2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80"/>
          </w:cols>
          <w:pgMar w:left="240" w:top="27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380"/>
        <w:spacing w:after="0" w:line="370" w:lineRule="auto"/>
        <w:rPr>
          <w:sz w:val="20"/>
          <w:szCs w:val="20"/>
          <w:color w:val="auto"/>
        </w:rPr>
      </w:pPr>
      <w:r>
        <w:rPr>
          <w:rFonts w:ascii="Arial" w:cs="Arial" w:eastAsia="Arial" w:hAnsi="Arial"/>
          <w:sz w:val="15"/>
          <w:szCs w:val="15"/>
          <w:b w:val="1"/>
          <w:bCs w:val="1"/>
          <w:i w:val="1"/>
          <w:iCs w:val="1"/>
          <w:color w:val="auto"/>
        </w:rPr>
        <w:t xml:space="preserve">Adjusted Net Income and Earnings Per Diluted Share </w:t>
      </w:r>
      <w:r>
        <w:rPr>
          <w:rFonts w:ascii="Arial" w:cs="Arial" w:eastAsia="Arial" w:hAnsi="Arial"/>
          <w:sz w:val="15"/>
          <w:szCs w:val="15"/>
          <w:b w:val="1"/>
          <w:bCs w:val="1"/>
          <w:color w:val="auto"/>
        </w:rPr>
        <w:t>Net Income and Earnings Per Diluted Share,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Adjustments to Net Income and Earnings Per Diluted Share: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Integration costs associated with the acquired Oakleaf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Adjusted Net Income and Earnings Per Diluted Share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Full Year 2012 Free Cash Flow Reconciliation </w:t>
      </w:r>
      <w:r>
        <w:rPr>
          <w:rFonts w:ascii="Arial" w:cs="Arial" w:eastAsia="Arial" w:hAnsi="Arial"/>
          <w:sz w:val="18"/>
          <w:szCs w:val="18"/>
          <w:b w:val="1"/>
          <w:bCs w:val="1"/>
          <w:color w:val="auto"/>
        </w:rPr>
        <w: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Capital expenditures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Proceeds from divestitures of businesses (net of cash divested) and other sales of assets </w:t>
      </w:r>
      <w:r>
        <w:rPr>
          <w:rFonts w:ascii="Arial" w:cs="Arial" w:eastAsia="Arial" w:hAnsi="Arial"/>
          <w:sz w:val="15"/>
          <w:szCs w:val="15"/>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Quarter Ended</w:t>
      </w:r>
    </w:p>
    <w:p>
      <w:pPr>
        <w:ind w:left="1040"/>
        <w:spacing w:after="0" w:line="221" w:lineRule="auto"/>
        <w:rPr>
          <w:sz w:val="20"/>
          <w:szCs w:val="20"/>
          <w:color w:val="auto"/>
        </w:rPr>
      </w:pPr>
      <w:r>
        <w:rPr>
          <w:rFonts w:ascii="Arial" w:cs="Arial" w:eastAsia="Arial" w:hAnsi="Arial"/>
          <w:sz w:val="14"/>
          <w:szCs w:val="14"/>
          <w:b w:val="1"/>
          <w:bCs w:val="1"/>
          <w:color w:val="auto"/>
        </w:rPr>
        <w:t>March 31, 2012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0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4"/>
                <w:szCs w:val="14"/>
                <w:b w:val="1"/>
                <w:bCs w:val="1"/>
                <w:color w:val="auto"/>
              </w:rPr>
              <w:t>After-</w:t>
            </w: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120" w:type="dxa"/>
            <w:vAlign w:val="bottom"/>
          </w:tcPr>
          <w:p>
            <w:pPr>
              <w:spacing w:after="0"/>
              <w:rPr>
                <w:sz w:val="12"/>
                <w:szCs w:val="12"/>
                <w:color w:val="auto"/>
              </w:rPr>
            </w:pPr>
          </w:p>
        </w:tc>
        <w:tc>
          <w:tcPr>
            <w:tcW w:w="3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8"/>
              </w:rPr>
              <w:t>tax</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Per Share</w:t>
            </w:r>
          </w:p>
        </w:tc>
      </w:tr>
      <w:tr>
        <w:trPr>
          <w:trHeight w:val="161"/>
        </w:trPr>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spacing w:after="0"/>
              <w:rPr>
                <w:sz w:val="14"/>
                <w:szCs w:val="14"/>
                <w:color w:val="auto"/>
              </w:rPr>
            </w:pPr>
          </w:p>
        </w:tc>
        <w:tc>
          <w:tcPr>
            <w:tcW w:w="12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81"/>
              </w:rPr>
              <w:t>Tax Expense</w:t>
            </w:r>
          </w:p>
        </w:tc>
        <w:tc>
          <w:tcPr>
            <w:tcW w:w="40" w:type="dxa"/>
            <w:vAlign w:val="bottom"/>
          </w:tcPr>
          <w:p>
            <w:pPr>
              <w:spacing w:after="0"/>
              <w:rPr>
                <w:sz w:val="14"/>
                <w:szCs w:val="14"/>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8"/>
              </w:rPr>
              <w:t>Amount</w:t>
            </w:r>
          </w:p>
        </w:tc>
      </w:tr>
      <w:tr>
        <w:trPr>
          <w:trHeight w:val="222"/>
        </w:trPr>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0.37</w:t>
            </w:r>
          </w:p>
        </w:tc>
        <w:tc>
          <w:tcPr>
            <w:tcW w:w="40" w:type="dxa"/>
            <w:vAlign w:val="bottom"/>
          </w:tcPr>
          <w:p>
            <w:pPr>
              <w:spacing w:after="0"/>
              <w:rPr>
                <w:sz w:val="19"/>
                <w:szCs w:val="19"/>
                <w:color w:val="auto"/>
              </w:rPr>
            </w:pPr>
          </w:p>
        </w:tc>
      </w:tr>
      <w:tr>
        <w:trPr>
          <w:trHeight w:val="519"/>
        </w:trPr>
        <w:tc>
          <w:tcPr>
            <w:tcW w:w="1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4"/>
        </w:trPr>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0.01</w:t>
            </w:r>
          </w:p>
        </w:tc>
        <w:tc>
          <w:tcPr>
            <w:tcW w:w="40" w:type="dxa"/>
            <w:vAlign w:val="bottom"/>
          </w:tcPr>
          <w:p>
            <w:pPr>
              <w:spacing w:after="0"/>
              <w:rPr>
                <w:sz w:val="19"/>
                <w:szCs w:val="19"/>
                <w:color w:val="auto"/>
              </w:rPr>
            </w:pPr>
          </w:p>
        </w:tc>
      </w:tr>
      <w:tr>
        <w:trPr>
          <w:trHeight w:val="223"/>
        </w:trPr>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0.38</w:t>
            </w:r>
          </w:p>
        </w:tc>
        <w:tc>
          <w:tcPr>
            <w:tcW w:w="40" w:type="dxa"/>
            <w:vAlign w:val="bottom"/>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Scenario 1</w:t>
            </w:r>
          </w:p>
        </w:tc>
        <w:tc>
          <w:tcPr>
            <w:tcW w:w="680" w:type="dxa"/>
            <w:vAlign w:val="bottom"/>
            <w:gridSpan w:val="5"/>
          </w:tcPr>
          <w:p>
            <w:pPr>
              <w:spacing w:after="0"/>
              <w:rPr>
                <w:sz w:val="20"/>
                <w:szCs w:val="20"/>
                <w:color w:val="auto"/>
              </w:rPr>
            </w:pPr>
            <w:r>
              <w:rPr>
                <w:rFonts w:ascii="Arial" w:cs="Arial" w:eastAsia="Arial" w:hAnsi="Arial"/>
                <w:sz w:val="14"/>
                <w:szCs w:val="14"/>
                <w:b w:val="1"/>
                <w:bCs w:val="1"/>
                <w:color w:val="auto"/>
                <w:w w:val="93"/>
              </w:rPr>
              <w:t>Scenario 2</w:t>
            </w:r>
          </w:p>
        </w:tc>
      </w:tr>
      <w:tr>
        <w:trPr>
          <w:trHeight w:val="201"/>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2,400</w:t>
            </w:r>
          </w:p>
        </w:tc>
        <w:tc>
          <w:tcPr>
            <w:tcW w:w="420" w:type="dxa"/>
            <w:vAlign w:val="bottom"/>
          </w:tcPr>
          <w:p>
            <w:pPr>
              <w:spacing w:after="0"/>
              <w:rPr>
                <w:sz w:val="17"/>
                <w:szCs w:val="17"/>
                <w:color w:val="auto"/>
              </w:rPr>
            </w:pPr>
          </w:p>
        </w:tc>
        <w:tc>
          <w:tcPr>
            <w:tcW w:w="1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w w:val="94"/>
              </w:rPr>
              <w:t>(1,400)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1"/>
              </w:rPr>
              <w:t>(1,500)</w:t>
            </w:r>
          </w:p>
        </w:tc>
      </w:tr>
      <w:tr>
        <w:trPr>
          <w:trHeight w:val="223"/>
        </w:trPr>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9"/>
                <w:szCs w:val="19"/>
                <w:color w:val="auto"/>
              </w:rPr>
            </w:pPr>
          </w:p>
        </w:tc>
      </w:tr>
      <w:tr>
        <w:trPr>
          <w:trHeight w:val="224"/>
        </w:trPr>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1,100</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40"/>
          </w:cols>
          <w:pgMar w:left="240" w:top="274" w:right="279" w:bottom="1440" w:gutter="0" w:footer="0" w:header="0"/>
          <w:type w:val="continuous"/>
        </w:sectPr>
      </w:pPr>
    </w:p>
    <w:p>
      <w:pPr>
        <w:spacing w:after="0" w:line="8" w:lineRule="exact"/>
        <w:rPr>
          <w:sz w:val="20"/>
          <w:szCs w:val="20"/>
          <w:color w:val="auto"/>
        </w:rPr>
      </w:pPr>
    </w:p>
    <w:p>
      <w:pPr>
        <w:ind w:left="460" w:right="300" w:hanging="452"/>
        <w:spacing w:after="0" w:line="254"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reconciliation illustrates two scenarios that show our projected free cash flow for 2012. The amounts used in the reconciliation are subject to many variables, some of which are not under our control and, therefore, are not necessarily indicative of actual results.</w:t>
      </w: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higher proceeds scenario assumes up to $125 million from core solid waste assets and the remainder from non-core/alternative investments.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(7)</w:t>
      </w:r>
    </w:p>
    <w:sectPr>
      <w:pgSz w:w="11900" w:h="16838" w:orient="portrait"/>
      <w:cols w:equalWidth="0" w:num="1">
        <w:col w:w="11380"/>
      </w:cols>
      <w:pgMar w:left="240" w:top="27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2019-12-09T09:34:29Z</dcterms:created>
  <dcterms:modified xsi:type="dcterms:W3CDTF">2019-12-09T09:34:29Z</dcterms:modified>
</cp:coreProperties>
</file>