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February 16,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1-12154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73-1309529</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ind w:left="1780"/>
        <w:spacing w:after="0"/>
        <w:rPr>
          <w:sz w:val="20"/>
          <w:szCs w:val="20"/>
          <w:color w:val="auto"/>
        </w:rPr>
      </w:pPr>
      <w:r>
        <w:rPr>
          <w:rFonts w:ascii="Arial" w:cs="Arial" w:eastAsia="Arial" w:hAnsi="Arial"/>
          <w:sz w:val="16"/>
          <w:szCs w:val="16"/>
          <w:b w:val="1"/>
          <w:bCs w:val="1"/>
          <w:color w:val="auto"/>
        </w:rPr>
        <w:t>1001 Fannin, Houston, Texas</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Waste Management, Inc. (the “Company”) issued a press release this morning announcing its financial results for the fourth quarter and full year ended December 31, 2016, a copy of which is attached hereto as Exhibit 99.1. The Company is holding a conference call to discuss these results beginning at 9:00 a.m. Central Time this morning. The call will be webcast live and may be heard by accessing the Investor Relations section of the Company’s website at www.wm.com. The call may also be heard by dialing (877) 710-6139 and entering access code 55317607. A replay of the call will be available on the Company’s website and by telephone until March 2, 2017. To access a replay telephonically, please dial (855) 859-2056 and use the replay conference ID number 55317607.</w:t>
      </w:r>
    </w:p>
    <w:p>
      <w:pPr>
        <w:spacing w:after="0" w:line="193"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On the call, management of the Company is expected to discuss certain non-GAAP financial measures that are included in the Company’s press release. The Company has provided information regarding its use of non-GAAP measures and reconciliations of such measures to their most comparable GAAP measures in the footnotes and tables that accompany the press release.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9"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February 16, 2017</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0" w:right="29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560" w:val="left"/>
          <w:tab w:leader="none" w:pos="5880" w:val="left"/>
        </w:tabs>
        <w:rPr>
          <w:sz w:val="20"/>
          <w:szCs w:val="20"/>
          <w:color w:val="auto"/>
        </w:rPr>
      </w:pPr>
      <w:r>
        <w:rPr>
          <w:rFonts w:ascii="Arial" w:cs="Arial" w:eastAsia="Arial" w:hAnsi="Arial"/>
          <w:sz w:val="18"/>
          <w:szCs w:val="18"/>
          <w:color w:val="auto"/>
        </w:rPr>
        <w:t>Date:</w:t>
        <w:tab/>
        <w:t>February 16, 2017</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Charles C. Boettcher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Charles C. Boettcher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 Chief Legal Officer</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0" w:right="31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80" w:lineRule="auto"/>
        <w:tabs>
          <w:tab w:leader="none" w:pos="1060" w:val="left"/>
        </w:tabs>
        <w:rPr>
          <w:sz w:val="20"/>
          <w:szCs w:val="20"/>
          <w:color w:val="auto"/>
        </w:rPr>
      </w:pPr>
      <w:r>
        <w:rPr>
          <w:rFonts w:ascii="Arial" w:cs="Arial" w:eastAsia="Arial" w:hAnsi="Arial"/>
          <w:sz w:val="22"/>
          <w:szCs w:val="22"/>
          <w:b w:val="1"/>
          <w:bCs w:val="1"/>
          <w:u w:val="single" w:color="auto"/>
          <w:color w:val="auto"/>
          <w:vertAlign w:val="superscript"/>
        </w:rPr>
        <w:t>Number</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6350</wp:posOffset>
            </wp:positionV>
            <wp:extent cx="65690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69075" cy="8890"/>
                    </a:xfrm>
                    <a:prstGeom prst="rect">
                      <a:avLst/>
                    </a:prstGeom>
                    <a:noFill/>
                  </pic:spPr>
                </pic:pic>
              </a:graphicData>
            </a:graphic>
          </wp:anchor>
        </w:drawing>
      </w:r>
    </w:p>
    <w:p>
      <w:pPr>
        <w:spacing w:after="0" w:line="9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16, 2017</w:t>
      </w:r>
    </w:p>
    <w:p>
      <w:pPr>
        <w:spacing w:after="0" w:line="14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0" w:right="1440" w:bottom="1440" w:gutter="0" w:footer="0" w:header="0"/>
        </w:sectPr>
      </w:pPr>
    </w:p>
    <w:bookmarkStart w:id="4" w:name="page5"/>
    <w:bookmarkEnd w:id="4"/>
    <w:p>
      <w:pPr>
        <w:spacing w:after="0"/>
        <w:tabs>
          <w:tab w:leader="none" w:pos="10260" w:val="left"/>
        </w:tabs>
        <w:rPr>
          <w:sz w:val="20"/>
          <w:szCs w:val="20"/>
          <w:color w:val="auto"/>
        </w:rPr>
      </w:pPr>
      <w:r>
        <w:rPr>
          <w:rFonts w:ascii="Arial" w:cs="Arial" w:eastAsia="Arial" w:hAnsi="Arial"/>
          <w:sz w:val="18"/>
          <w:szCs w:val="18"/>
          <w:b w:val="1"/>
          <w:bCs w:val="1"/>
          <w:color w:val="auto"/>
        </w:rPr>
        <w:t>FOR IMMEDIATE RELEASE</w:t>
      </w:r>
      <w:r>
        <w:rPr>
          <w:sz w:val="20"/>
          <w:szCs w:val="20"/>
          <w:color w:val="auto"/>
        </w:rPr>
        <w:tab/>
      </w:r>
      <w:r>
        <w:rPr>
          <w:rFonts w:ascii="Arial" w:cs="Arial" w:eastAsia="Arial" w:hAnsi="Arial"/>
          <w:sz w:val="18"/>
          <w:szCs w:val="18"/>
          <w:b w:val="1"/>
          <w:bCs w:val="1"/>
          <w:color w:val="auto"/>
        </w:rPr>
        <w:t>EXHIBIT 99.1</w:t>
      </w:r>
    </w:p>
    <w:p>
      <w:pPr>
        <w:spacing w:after="0" w:line="238"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auto"/>
        </w:rPr>
        <w:t>Waste Management Announces Fourth</w:t>
      </w:r>
    </w:p>
    <w:p>
      <w:pPr>
        <w:spacing w:after="0" w:line="36" w:lineRule="exact"/>
        <w:rPr>
          <w:sz w:val="20"/>
          <w:szCs w:val="20"/>
          <w:color w:val="auto"/>
        </w:rPr>
      </w:pPr>
    </w:p>
    <w:p>
      <w:pPr>
        <w:ind w:left="2160"/>
        <w:spacing w:after="0"/>
        <w:rPr>
          <w:sz w:val="20"/>
          <w:szCs w:val="20"/>
          <w:color w:val="auto"/>
        </w:rPr>
      </w:pPr>
      <w:r>
        <w:rPr>
          <w:rFonts w:ascii="Arial" w:cs="Arial" w:eastAsia="Arial" w:hAnsi="Arial"/>
          <w:sz w:val="29"/>
          <w:szCs w:val="29"/>
          <w:b w:val="1"/>
          <w:bCs w:val="1"/>
          <w:color w:val="auto"/>
        </w:rPr>
        <w:t>Quarter and Full Year 2016 Earnings</w:t>
      </w:r>
    </w:p>
    <w:p>
      <w:pPr>
        <w:sectPr>
          <w:pgSz w:w="11900" w:h="16838" w:orient="portrait"/>
          <w:cols w:equalWidth="0" w:num="1">
            <w:col w:w="11420"/>
          </w:cols>
          <w:pgMar w:left="240" w:top="121" w:right="239" w:bottom="1440" w:gutter="0" w:footer="0" w:header="0"/>
        </w:sectPr>
      </w:pPr>
    </w:p>
    <w:p>
      <w:pPr>
        <w:spacing w:after="0" w:line="24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Full year Net Cash Provided by Operations grew more than 18%</w:t>
      </w:r>
    </w:p>
    <w:p>
      <w:pPr>
        <w:spacing w:after="0" w:line="23"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The Company expects continued strong earnings and operational performance in 2017</w:t>
      </w:r>
    </w:p>
    <w:p>
      <w:pPr>
        <w:spacing w:after="0" w:line="247"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HOUSTON — February 16, 2017</w:t>
      </w:r>
      <w:r>
        <w:rPr>
          <w:rFonts w:ascii="Arial" w:cs="Arial" w:eastAsia="Arial" w:hAnsi="Arial"/>
          <w:sz w:val="17"/>
          <w:szCs w:val="17"/>
          <w:color w:val="auto"/>
        </w:rPr>
        <w:t>— Waste Management, Inc. (NYSE: WM) today announced financial results for its</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ended December 31, 2016. Revenues for the fourth quarter of 2016 were $3.46 billion, compared with $3.25 billion for the same 2015 period. Net income for the quarter was $335 million, or $0.75 per diluted share, compared with net income of $273 million, or $0.61 per diluted share, for the fourth quarter of 2015.</w:t>
      </w:r>
      <w:r>
        <w:rPr>
          <w:rFonts w:ascii="Arial" w:cs="Arial" w:eastAsia="Arial" w:hAnsi="Arial"/>
          <w:sz w:val="14"/>
          <w:szCs w:val="14"/>
          <w:color w:val="auto"/>
        </w:rPr>
        <w:t>(a)</w:t>
      </w:r>
      <w:r>
        <w:rPr>
          <w:rFonts w:ascii="Arial" w:cs="Arial" w:eastAsia="Arial" w:hAnsi="Arial"/>
          <w:sz w:val="17"/>
          <w:szCs w:val="17"/>
          <w:color w:val="auto"/>
        </w:rPr>
        <w:t xml:space="preserve"> On an as-adjusted basis, net income was $320 million, or $0.71 per diluted share, in the fourth quarter of 2015.</w:t>
      </w:r>
      <w:r>
        <w:rPr>
          <w:rFonts w:ascii="Arial" w:cs="Arial" w:eastAsia="Arial" w:hAnsi="Arial"/>
          <w:sz w:val="14"/>
          <w:szCs w:val="14"/>
          <w:color w:val="auto"/>
        </w:rPr>
        <w:t>(b)</w:t>
      </w:r>
    </w:p>
    <w:p>
      <w:pPr>
        <w:spacing w:after="0" w:line="199"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Income from operations in the fourth quarter of 2016 was $617 million compared to $502 million, or $575 million on an as-adjusted basis, for the same 2015 period. Operating EBITDA was $930 million in the fourth quarter of 2016 compared to $803 million, or $876 million on an as-adjusted basis, in the fourth quarter of 2015.</w:t>
      </w:r>
      <w:r>
        <w:rPr>
          <w:rFonts w:ascii="Arial" w:cs="Arial" w:eastAsia="Arial" w:hAnsi="Arial"/>
          <w:sz w:val="14"/>
          <w:szCs w:val="14"/>
          <w:color w:val="auto"/>
        </w:rPr>
        <w:t>(b)</w:t>
      </w:r>
    </w:p>
    <w:p>
      <w:pPr>
        <w:spacing w:after="0" w:line="19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the full year 2016, the Company reported revenues of $13.6 billion, compared with $13.0 billion for 2015. Earnings per diluted share were $2.65 for the full year 2016 compared with $1.65 for the full year 2015. On an as-adjusted basis, earnings per diluted share were $2.91 for the full year 2016 versus $2.61 for the full year 2015.</w:t>
      </w:r>
      <w:r>
        <w:rPr>
          <w:rFonts w:ascii="Arial" w:cs="Arial" w:eastAsia="Arial" w:hAnsi="Arial"/>
          <w:sz w:val="14"/>
          <w:szCs w:val="14"/>
          <w:color w:val="auto"/>
        </w:rPr>
        <w:t>(b)</w:t>
      </w:r>
    </w:p>
    <w:p>
      <w:pPr>
        <w:spacing w:after="0" w:line="19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For the full year 2016, income from operations was $2.30 billion, or $2.41 billion on an as-adjusted basis, compared to $2.05 billion, or $2.19 billion on an as-adjusted basis, for 2015. For the full year of 2016, operating EBITDA was $3.60 billion, or $3.71 billion on an as-adjusted basis, compared to $3.29 billion in 2015, or $3.43 billion on an as-adjusted basis.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(b)</w:t>
      </w:r>
    </w:p>
    <w:p>
      <w:pPr>
        <w:spacing w:after="0" w:line="22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Jim Fish, President and Chief Executive Officer of Waste Management, commented, “In 2016 we continued our focus on core price, disciplined volume growth, and cost control.</w:t>
      </w:r>
      <w:r>
        <w:rPr>
          <w:rFonts w:ascii="Arial" w:cs="Arial" w:eastAsia="Arial" w:hAnsi="Arial"/>
          <w:sz w:val="15"/>
          <w:szCs w:val="15"/>
          <w:color w:val="auto"/>
        </w:rPr>
        <w:t>(c)</w:t>
      </w:r>
      <w:r>
        <w:rPr>
          <w:rFonts w:ascii="Arial" w:cs="Arial" w:eastAsia="Arial" w:hAnsi="Arial"/>
          <w:sz w:val="18"/>
          <w:szCs w:val="18"/>
          <w:color w:val="auto"/>
        </w:rPr>
        <w:t xml:space="preserve"> Our results in each of these areas exceeded our expectations, which led to operating EBITDA growth of 8.1% on an as-adjusted basis.</w:t>
      </w:r>
      <w:r>
        <w:rPr>
          <w:rFonts w:ascii="Arial" w:cs="Arial" w:eastAsia="Arial" w:hAnsi="Arial"/>
          <w:sz w:val="15"/>
          <w:szCs w:val="15"/>
          <w:color w:val="auto"/>
        </w:rPr>
        <w:t>(b)</w:t>
      </w:r>
    </w:p>
    <w:p>
      <w:pPr>
        <w:spacing w:after="0" w:line="20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fourth quarter saw internal revenue growth from each of yield and total Company volume achieve 2.0% or greater. This is the first time we have achieved this result in over a decade. This revenue growth drove significant increases in net cash provided by operating activities and free cash flow.</w:t>
      </w:r>
      <w:r>
        <w:rPr>
          <w:rFonts w:ascii="Arial" w:cs="Arial" w:eastAsia="Arial" w:hAnsi="Arial"/>
          <w:sz w:val="13"/>
          <w:szCs w:val="13"/>
          <w:color w:val="auto"/>
        </w:rPr>
        <w:t>(b)</w:t>
      </w:r>
      <w:r>
        <w:rPr>
          <w:rFonts w:ascii="Arial" w:cs="Arial" w:eastAsia="Arial" w:hAnsi="Arial"/>
          <w:sz w:val="16"/>
          <w:szCs w:val="16"/>
          <w:color w:val="auto"/>
        </w:rPr>
        <w:t xml:space="preserve"> We will maintain our focus on driving core price, growing high margin volumes, and controlling costs, positioning us for strong earnings and cash generation in 2017.”</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FOURTH QUARTER AND THE FULL YEAR 2016</w:t>
      </w:r>
    </w:p>
    <w:p>
      <w:pPr>
        <w:spacing w:after="0" w:line="135" w:lineRule="exact"/>
        <w:rPr>
          <w:sz w:val="20"/>
          <w:szCs w:val="20"/>
          <w:color w:val="auto"/>
        </w:rPr>
      </w:pPr>
    </w:p>
    <w:p>
      <w:pPr>
        <w:jc w:val="both"/>
        <w:ind w:left="720" w:right="20" w:hanging="262"/>
        <w:spacing w:after="0" w:line="279" w:lineRule="auto"/>
        <w:tabs>
          <w:tab w:leader="none" w:pos="738" w:val="left"/>
        </w:tabs>
        <w:numPr>
          <w:ilvl w:val="0"/>
          <w:numId w:val="2"/>
        </w:numPr>
        <w:rPr>
          <w:rFonts w:ascii="Arial" w:cs="Arial" w:eastAsia="Arial" w:hAnsi="Arial"/>
          <w:sz w:val="17"/>
          <w:szCs w:val="17"/>
          <w:color w:val="auto"/>
        </w:rPr>
      </w:pPr>
      <w:r>
        <w:rPr>
          <w:rFonts w:ascii="Arial" w:cs="Arial" w:eastAsia="Arial" w:hAnsi="Arial"/>
          <w:sz w:val="17"/>
          <w:szCs w:val="17"/>
          <w:color w:val="auto"/>
        </w:rPr>
        <w:t>In the fourth quarter, overall revenue increased by 6.6%, or $214 million, from the same period in the prior year. The revenue increase was driven by positive yield and volume in the Company’s collection and disposal business of $118 million. Acquisitions, net of divestitures, contributed $45 million of revenue growth to the fourth quarter. Recycling yield and volume also increased $51 million. For the full</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right="960"/>
        <w:spacing w:after="0" w:line="282" w:lineRule="auto"/>
        <w:rPr>
          <w:sz w:val="20"/>
          <w:szCs w:val="20"/>
          <w:color w:val="auto"/>
        </w:rPr>
      </w:pPr>
      <w:r>
        <w:rPr>
          <w:rFonts w:ascii="Arial" w:cs="Arial" w:eastAsia="Arial" w:hAnsi="Arial"/>
          <w:sz w:val="18"/>
          <w:szCs w:val="18"/>
          <w:b w:val="1"/>
          <w:bCs w:val="1"/>
          <w:color w:val="auto"/>
        </w:rPr>
        <w:t>FOR MORE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Waste Management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www.wm.com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713.265.1656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eegl@wm.com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Toni Beck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713.394.5093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tbeck3@wm.com</w:t>
      </w:r>
    </w:p>
    <w:p>
      <w:pPr>
        <w:sectPr>
          <w:pgSz w:w="11900" w:h="16838" w:orient="portrait"/>
          <w:cols w:equalWidth="0" w:num="2">
            <w:col w:w="8920" w:space="220"/>
            <w:col w:w="2280"/>
          </w:cols>
          <w:pgMar w:left="240" w:top="121" w:right="239" w:bottom="1440" w:gutter="0" w:footer="0" w:header="0"/>
          <w:type w:val="continuous"/>
        </w:sectPr>
      </w:pPr>
    </w:p>
    <w:bookmarkStart w:id="5" w:name="page6"/>
    <w:bookmarkEnd w:id="5"/>
    <w:p>
      <w:pPr>
        <w:jc w:val="both"/>
        <w:ind w:left="262" w:right="1299"/>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year 2016, overall revenue increased by 5.0%, or $648 million. The revenue increase was driven by positive yield and volume in the Company’s collection and disposal business of $445 million. Acquisitions, net of divestitures, contributed $238 million of revenue growth to the year. Recycling yield and volume also increased $60 million.</w:t>
      </w:r>
    </w:p>
    <w:p>
      <w:pPr>
        <w:spacing w:after="0" w:line="52" w:lineRule="exact"/>
        <w:rPr>
          <w:sz w:val="20"/>
          <w:szCs w:val="20"/>
          <w:color w:val="auto"/>
        </w:rPr>
      </w:pPr>
    </w:p>
    <w:p>
      <w:pPr>
        <w:ind w:left="262" w:right="1399" w:hanging="262"/>
        <w:spacing w:after="0" w:line="264"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Core price, which consists of price increases net of rollbacks and fees, other than the Company’s fuel surcharge, was 5.1%, up from 4.3% in the fourth quarter of 2015. For the full year, core price was 5.0%, up from 4.2% for the full year of 2015.</w:t>
      </w:r>
      <w:r>
        <w:rPr>
          <w:rFonts w:ascii="Arial" w:cs="Arial" w:eastAsia="Arial" w:hAnsi="Arial"/>
          <w:sz w:val="15"/>
          <w:szCs w:val="15"/>
          <w:color w:val="auto"/>
        </w:rPr>
        <w:t>(c)</w:t>
      </w:r>
    </w:p>
    <w:p>
      <w:pPr>
        <w:spacing w:after="0" w:line="86" w:lineRule="exact"/>
        <w:rPr>
          <w:rFonts w:ascii="Arial" w:cs="Arial" w:eastAsia="Arial" w:hAnsi="Arial"/>
          <w:sz w:val="18"/>
          <w:szCs w:val="18"/>
          <w:color w:val="auto"/>
        </w:rPr>
      </w:pPr>
    </w:p>
    <w:p>
      <w:pPr>
        <w:ind w:left="262" w:right="1659" w:hanging="262"/>
        <w:spacing w:after="0" w:line="277"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Internal revenue growth from yield for collection and disposal operations was 2.1% in the fourth quarter and 2.4% for the full year.</w:t>
      </w:r>
    </w:p>
    <w:p>
      <w:pPr>
        <w:spacing w:after="0" w:line="75" w:lineRule="exact"/>
        <w:rPr>
          <w:rFonts w:ascii="Arial" w:cs="Arial" w:eastAsia="Arial" w:hAnsi="Arial"/>
          <w:sz w:val="18"/>
          <w:szCs w:val="18"/>
          <w:color w:val="auto"/>
        </w:rPr>
      </w:pPr>
    </w:p>
    <w:p>
      <w:pPr>
        <w:ind w:left="262" w:right="1299" w:hanging="262"/>
        <w:spacing w:after="0" w:line="293" w:lineRule="auto"/>
        <w:tabs>
          <w:tab w:leader="none" w:pos="277" w:val="left"/>
        </w:tabs>
        <w:numPr>
          <w:ilvl w:val="0"/>
          <w:numId w:val="3"/>
        </w:numPr>
        <w:rPr>
          <w:rFonts w:ascii="Arial" w:cs="Arial" w:eastAsia="Arial" w:hAnsi="Arial"/>
          <w:sz w:val="16"/>
          <w:szCs w:val="16"/>
          <w:color w:val="auto"/>
        </w:rPr>
      </w:pPr>
      <w:r>
        <w:rPr>
          <w:rFonts w:ascii="Arial" w:cs="Arial" w:eastAsia="Arial" w:hAnsi="Arial"/>
          <w:sz w:val="16"/>
          <w:szCs w:val="16"/>
          <w:color w:val="auto"/>
        </w:rPr>
        <w:t>Traditional solid waste internal revenue growth from volume was 1.7% in the fourth quarter of 2016, an improvement of 170 basis points versus the fourth quarter of 2015. For the full year 2016, traditional solid waste internal revenue growth from volume was 1.6%, an improvement of 210 basis points versus the full year of 2015. Total Company internal revenue growth from volume, which includes recycling and renewable energy, was 2.0% in the fourth quarter, an improvement of 290 basis points from the fourth quarter of 2015. Total Company volume was 1.4% for the full year 2016, an improvement of 300 basis points compared to the full year 2015.</w:t>
      </w:r>
    </w:p>
    <w:p>
      <w:pPr>
        <w:spacing w:after="0" w:line="70" w:lineRule="exact"/>
        <w:rPr>
          <w:rFonts w:ascii="Arial" w:cs="Arial" w:eastAsia="Arial" w:hAnsi="Arial"/>
          <w:sz w:val="16"/>
          <w:szCs w:val="16"/>
          <w:color w:val="auto"/>
        </w:rPr>
      </w:pPr>
    </w:p>
    <w:p>
      <w:pPr>
        <w:ind w:left="262" w:right="1299" w:hanging="262"/>
        <w:spacing w:after="0" w:line="272" w:lineRule="auto"/>
        <w:tabs>
          <w:tab w:leader="none" w:pos="270" w:val="left"/>
        </w:tabs>
        <w:numPr>
          <w:ilvl w:val="0"/>
          <w:numId w:val="3"/>
        </w:numPr>
        <w:rPr>
          <w:rFonts w:ascii="Arial" w:cs="Arial" w:eastAsia="Arial" w:hAnsi="Arial"/>
          <w:sz w:val="17"/>
          <w:szCs w:val="17"/>
          <w:color w:val="auto"/>
        </w:rPr>
      </w:pPr>
      <w:r>
        <w:rPr>
          <w:rFonts w:ascii="Arial" w:cs="Arial" w:eastAsia="Arial" w:hAnsi="Arial"/>
          <w:sz w:val="17"/>
          <w:szCs w:val="17"/>
          <w:color w:val="auto"/>
        </w:rPr>
        <w:t>Average recycling commodity prices at the Company’s recycling facilities were approximately 31.6% higher in the fourth quarter of 2016 compared with the prior year period. Recycling volumes improved 2.4% in the fourth quarter. Results in the Company’s recycling line of business improved by almost $0.03 per diluted share when compared to the fourth quarter of 2015. For the full year, average recycling commodity prices at the Company’s recycling facilities were approximately 8.6% higher and volumes increased 0.8%. These revenue increases, combined with reduced operating costs at the Company’s recycling facilities, drove almost a $0.09 increase in the Company’s earnings per diluted share.</w:t>
      </w:r>
    </w:p>
    <w:p>
      <w:pPr>
        <w:spacing w:after="0" w:line="83" w:lineRule="exact"/>
        <w:rPr>
          <w:rFonts w:ascii="Arial" w:cs="Arial" w:eastAsia="Arial" w:hAnsi="Arial"/>
          <w:sz w:val="17"/>
          <w:szCs w:val="17"/>
          <w:color w:val="auto"/>
        </w:rPr>
      </w:pPr>
    </w:p>
    <w:p>
      <w:pPr>
        <w:ind w:left="262" w:right="1439" w:hanging="262"/>
        <w:spacing w:after="0" w:line="259"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percent of revenue, operating expenses were 62.1% in the fourth quarter of 2016, as compared to 62.4% in the fourth quarter of 2015. Operating expenses improved despite a 130 basis point negative impact from commodity based costs. For the full year, as a percent of revenue, operating expenses were 62.4% in 2016, as compared to 63.5% for the full year 2015.</w:t>
      </w:r>
    </w:p>
    <w:p>
      <w:pPr>
        <w:spacing w:after="0" w:line="92" w:lineRule="exact"/>
        <w:rPr>
          <w:rFonts w:ascii="Arial" w:cs="Arial" w:eastAsia="Arial" w:hAnsi="Arial"/>
          <w:sz w:val="18"/>
          <w:szCs w:val="18"/>
          <w:color w:val="auto"/>
        </w:rPr>
      </w:pPr>
    </w:p>
    <w:p>
      <w:pPr>
        <w:ind w:left="262" w:right="1339" w:hanging="262"/>
        <w:spacing w:after="0" w:line="259"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percent of revenue, SG&amp;A expenses were 10.9% in the fourth quarter of 2016, compared to 10.6% in the fourth quarter of 2015. The increase related to additional incentive compensation expense and executive severance in the quarter. For the full year, as a percent of revenue, SG&amp;A expenses were 10.4% in both 2016 and 2015.</w:t>
      </w:r>
    </w:p>
    <w:p>
      <w:pPr>
        <w:spacing w:after="0" w:line="92" w:lineRule="exact"/>
        <w:rPr>
          <w:rFonts w:ascii="Arial" w:cs="Arial" w:eastAsia="Arial" w:hAnsi="Arial"/>
          <w:sz w:val="18"/>
          <w:szCs w:val="18"/>
          <w:color w:val="auto"/>
        </w:rPr>
      </w:pPr>
    </w:p>
    <w:p>
      <w:pPr>
        <w:ind w:left="262" w:right="1659" w:hanging="262"/>
        <w:spacing w:after="0" w:line="308" w:lineRule="auto"/>
        <w:tabs>
          <w:tab w:leader="none" w:pos="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cash provided by operating activities was $753 million in the fourth quarter and $2.96 billion for the full year. Capital expenditures were $377 million in the fourth quarter and $1.34 billion for the full year.</w:t>
      </w:r>
    </w:p>
    <w:p>
      <w:pPr>
        <w:spacing w:after="0" w:line="51" w:lineRule="exact"/>
        <w:rPr>
          <w:rFonts w:ascii="Arial" w:cs="Arial" w:eastAsia="Arial" w:hAnsi="Arial"/>
          <w:sz w:val="17"/>
          <w:szCs w:val="17"/>
          <w:color w:val="auto"/>
        </w:rPr>
      </w:pPr>
    </w:p>
    <w:p>
      <w:pPr>
        <w:ind w:left="262" w:right="1319" w:hanging="262"/>
        <w:spacing w:after="0" w:line="297" w:lineRule="auto"/>
        <w:tabs>
          <w:tab w:leader="none" w:pos="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Free cash flow was $387 million in the fourth quarter of 2016 compared to $188 million in the fourth quarter of 2015.</w:t>
      </w:r>
      <w:r>
        <w:rPr>
          <w:rFonts w:ascii="Arial" w:cs="Arial" w:eastAsia="Arial" w:hAnsi="Arial"/>
          <w:sz w:val="13"/>
          <w:szCs w:val="13"/>
          <w:color w:val="auto"/>
        </w:rPr>
        <w:t>(b)</w:t>
      </w:r>
      <w:r>
        <w:rPr>
          <w:rFonts w:ascii="Arial" w:cs="Arial" w:eastAsia="Arial" w:hAnsi="Arial"/>
          <w:sz w:val="16"/>
          <w:szCs w:val="16"/>
          <w:color w:val="auto"/>
        </w:rPr>
        <w:t xml:space="preserve"> In the fourth quarter, the Company prepaid $150 million of expected 2017 cash taxes. The Company had $11 million of divestiture proceeds in the quarter compared to $31 million in the fourth quarter of 2015. Free cash flow for the full year was $1.66 billion compared to $1.41 billion in 2015, an increase of 18%.</w:t>
      </w:r>
      <w:r>
        <w:rPr>
          <w:rFonts w:ascii="Arial" w:cs="Arial" w:eastAsia="Arial" w:hAnsi="Arial"/>
          <w:sz w:val="13"/>
          <w:szCs w:val="13"/>
          <w:color w:val="auto"/>
        </w:rPr>
        <w:t>(b)</w:t>
      </w:r>
      <w:r>
        <w:rPr>
          <w:rFonts w:ascii="Arial" w:cs="Arial" w:eastAsia="Arial" w:hAnsi="Arial"/>
          <w:sz w:val="16"/>
          <w:szCs w:val="16"/>
          <w:color w:val="auto"/>
        </w:rPr>
        <w:t xml:space="preserve"> The Company had $43 million of divestiture proceeds in 2016, compared to $145 million for the full year of 2015.</w:t>
      </w:r>
    </w:p>
    <w:p>
      <w:pPr>
        <w:spacing w:after="0" w:line="63" w:lineRule="exact"/>
        <w:rPr>
          <w:rFonts w:ascii="Arial" w:cs="Arial" w:eastAsia="Arial" w:hAnsi="Arial"/>
          <w:sz w:val="16"/>
          <w:szCs w:val="16"/>
          <w:color w:val="auto"/>
        </w:rPr>
      </w:pPr>
    </w:p>
    <w:p>
      <w:pPr>
        <w:ind w:left="262" w:right="1399" w:hanging="262"/>
        <w:spacing w:after="0" w:line="264" w:lineRule="auto"/>
        <w:tabs>
          <w:tab w:leader="none" w:pos="27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paid dividends of $180 million to shareholders in the fourth quarter and paid $225 million for share repurchases. For the full year, the Company returned $1.45 billion to shareholders through $726 million in dividends and $725 million in share repurchases.</w:t>
      </w:r>
    </w:p>
    <w:p>
      <w:pPr>
        <w:spacing w:after="0" w:line="86" w:lineRule="exact"/>
        <w:rPr>
          <w:rFonts w:ascii="Arial" w:cs="Arial" w:eastAsia="Arial" w:hAnsi="Arial"/>
          <w:sz w:val="18"/>
          <w:szCs w:val="18"/>
          <w:color w:val="auto"/>
        </w:rPr>
      </w:pPr>
    </w:p>
    <w:p>
      <w:pPr>
        <w:ind w:left="262" w:right="1419" w:hanging="262"/>
        <w:spacing w:after="0" w:line="277"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fourth quarter the recorded effective tax rate was 34.4%. For the full year 2016, the recorded effective tax rate was approximately 35.2%, or 34.4% on an as-adjusted basis.</w:t>
      </w:r>
      <w:r>
        <w:rPr>
          <w:rFonts w:ascii="Arial" w:cs="Arial" w:eastAsia="Arial" w:hAnsi="Arial"/>
          <w:sz w:val="15"/>
          <w:szCs w:val="15"/>
          <w:color w:val="auto"/>
        </w:rPr>
        <w:t>(b)</w:t>
      </w:r>
    </w:p>
    <w:p>
      <w:pPr>
        <w:sectPr>
          <w:pgSz w:w="11900" w:h="16838" w:orient="portrait"/>
          <w:cols w:equalWidth="0" w:num="1">
            <w:col w:w="9761"/>
          </w:cols>
          <w:pgMar w:left="698" w:top="274"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2017 OUTLOOK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Company announced the following regarding its financial outlook for 2017:</w:t>
      </w:r>
    </w:p>
    <w:p>
      <w:pPr>
        <w:spacing w:after="0" w:line="131" w:lineRule="exact"/>
        <w:rPr>
          <w:sz w:val="20"/>
          <w:szCs w:val="20"/>
          <w:color w:val="auto"/>
        </w:rPr>
      </w:pPr>
    </w:p>
    <w:p>
      <w:pPr>
        <w:ind w:left="740" w:hanging="28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earnings per diluted share for 2017 are expected to be between $3.14 and $3.18.</w:t>
      </w:r>
      <w:r>
        <w:rPr>
          <w:rFonts w:ascii="Arial" w:cs="Arial" w:eastAsia="Arial" w:hAnsi="Arial"/>
          <w:sz w:val="15"/>
          <w:szCs w:val="15"/>
          <w:color w:val="auto"/>
        </w:rPr>
        <w:t>(b)</w:t>
      </w:r>
    </w:p>
    <w:p>
      <w:pPr>
        <w:spacing w:after="0" w:line="130" w:lineRule="exact"/>
        <w:rPr>
          <w:rFonts w:ascii="Arial" w:cs="Arial" w:eastAsia="Arial" w:hAnsi="Arial"/>
          <w:sz w:val="18"/>
          <w:szCs w:val="18"/>
          <w:color w:val="auto"/>
        </w:rPr>
      </w:pPr>
    </w:p>
    <w:p>
      <w:pPr>
        <w:ind w:left="720" w:right="1319" w:hanging="262"/>
        <w:spacing w:after="0" w:line="277" w:lineRule="auto"/>
        <w:tabs>
          <w:tab w:leader="none" w:pos="738"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Core price is expected to be 4.0% or greater for 2017.</w:t>
      </w:r>
      <w:r>
        <w:rPr>
          <w:rFonts w:ascii="Arial" w:cs="Arial" w:eastAsia="Arial" w:hAnsi="Arial"/>
          <w:sz w:val="15"/>
          <w:szCs w:val="15"/>
          <w:color w:val="auto"/>
        </w:rPr>
        <w:t>(c)</w:t>
      </w:r>
      <w:r>
        <w:rPr>
          <w:rFonts w:ascii="Arial" w:cs="Arial" w:eastAsia="Arial" w:hAnsi="Arial"/>
          <w:sz w:val="18"/>
          <w:szCs w:val="18"/>
          <w:color w:val="auto"/>
        </w:rPr>
        <w:t xml:space="preserve"> Internal revenue growth from yield on the collection and disposal business is expected to be approximately 2.0%.</w:t>
      </w:r>
    </w:p>
    <w:p>
      <w:pPr>
        <w:spacing w:after="0" w:line="75" w:lineRule="exact"/>
        <w:rPr>
          <w:rFonts w:ascii="Arial" w:cs="Arial" w:eastAsia="Arial" w:hAnsi="Arial"/>
          <w:sz w:val="18"/>
          <w:szCs w:val="18"/>
          <w:color w:val="auto"/>
        </w:rPr>
      </w:pPr>
    </w:p>
    <w:p>
      <w:pPr>
        <w:ind w:left="740" w:hanging="28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Internal revenue growth from volume is expected to be between 1.2% and 1.6%.</w:t>
      </w:r>
    </w:p>
    <w:p>
      <w:pPr>
        <w:spacing w:after="0" w:line="130" w:lineRule="exact"/>
        <w:rPr>
          <w:rFonts w:ascii="Arial" w:cs="Arial" w:eastAsia="Arial" w:hAnsi="Arial"/>
          <w:sz w:val="18"/>
          <w:szCs w:val="18"/>
          <w:color w:val="auto"/>
        </w:rPr>
      </w:pPr>
    </w:p>
    <w:p>
      <w:pPr>
        <w:ind w:left="720" w:right="1139" w:hanging="262"/>
        <w:spacing w:after="0" w:line="277" w:lineRule="auto"/>
        <w:tabs>
          <w:tab w:leader="none" w:pos="738"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Recycling operations are expected to have a positive $0.03 impact on earnings per diluted share in 2017, with much of it occurring in the first quarter.</w:t>
      </w:r>
    </w:p>
    <w:p>
      <w:pPr>
        <w:spacing w:after="0" w:line="75" w:lineRule="exact"/>
        <w:rPr>
          <w:rFonts w:ascii="Arial" w:cs="Arial" w:eastAsia="Arial" w:hAnsi="Arial"/>
          <w:sz w:val="18"/>
          <w:szCs w:val="18"/>
          <w:color w:val="auto"/>
        </w:rPr>
      </w:pPr>
    </w:p>
    <w:p>
      <w:pPr>
        <w:ind w:left="720" w:right="1159" w:hanging="262"/>
        <w:spacing w:after="0" w:line="277" w:lineRule="auto"/>
        <w:tabs>
          <w:tab w:leader="none" w:pos="738" w:val="left"/>
        </w:tabs>
        <w:numPr>
          <w:ilvl w:val="0"/>
          <w:numId w:val="4"/>
        </w:numPr>
        <w:rPr>
          <w:rFonts w:ascii="Arial" w:cs="Arial" w:eastAsia="Arial" w:hAnsi="Arial"/>
          <w:sz w:val="18"/>
          <w:szCs w:val="18"/>
          <w:color w:val="auto"/>
        </w:rPr>
      </w:pPr>
      <w:r>
        <w:rPr>
          <w:rFonts w:ascii="Arial" w:cs="Arial" w:eastAsia="Arial" w:hAnsi="Arial"/>
          <w:sz w:val="18"/>
          <w:szCs w:val="18"/>
          <w:color w:val="auto"/>
        </w:rPr>
        <w:t>SG&amp;A expenses are expected to be flat with 2016 for the full year, and SG&amp;A expenses as a percent of revenue are expected to improve by about 40 basis points.</w:t>
      </w:r>
    </w:p>
    <w:p>
      <w:pPr>
        <w:spacing w:after="0" w:line="75" w:lineRule="exact"/>
        <w:rPr>
          <w:rFonts w:ascii="Arial" w:cs="Arial" w:eastAsia="Arial" w:hAnsi="Arial"/>
          <w:sz w:val="18"/>
          <w:szCs w:val="18"/>
          <w:color w:val="auto"/>
        </w:rPr>
      </w:pPr>
    </w:p>
    <w:p>
      <w:pPr>
        <w:ind w:left="740" w:hanging="28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EBITDA is expected to be between $3.95 billion and $4.0 billion for the full year.</w:t>
      </w:r>
      <w:r>
        <w:rPr>
          <w:rFonts w:ascii="Arial" w:cs="Arial" w:eastAsia="Arial" w:hAnsi="Arial"/>
          <w:sz w:val="15"/>
          <w:szCs w:val="15"/>
          <w:color w:val="auto"/>
        </w:rPr>
        <w:t>(b)</w:t>
      </w:r>
    </w:p>
    <w:p>
      <w:pPr>
        <w:spacing w:after="0" w:line="130" w:lineRule="exact"/>
        <w:rPr>
          <w:rFonts w:ascii="Arial" w:cs="Arial" w:eastAsia="Arial" w:hAnsi="Arial"/>
          <w:sz w:val="18"/>
          <w:szCs w:val="18"/>
          <w:color w:val="auto"/>
        </w:rPr>
      </w:pPr>
    </w:p>
    <w:p>
      <w:pPr>
        <w:ind w:left="740" w:hanging="28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expenditures are expected to be in the range of $1.4 to $1.5 billion.</w:t>
      </w:r>
    </w:p>
    <w:p>
      <w:pPr>
        <w:spacing w:after="0" w:line="130" w:lineRule="exact"/>
        <w:rPr>
          <w:rFonts w:ascii="Arial" w:cs="Arial" w:eastAsia="Arial" w:hAnsi="Arial"/>
          <w:sz w:val="18"/>
          <w:szCs w:val="18"/>
          <w:color w:val="auto"/>
        </w:rPr>
      </w:pPr>
    </w:p>
    <w:p>
      <w:pPr>
        <w:ind w:left="740" w:hanging="28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expects to spend between $100 and $200 million for tuck-in acquisitions during 2017.</w:t>
      </w:r>
    </w:p>
    <w:p>
      <w:pPr>
        <w:spacing w:after="0" w:line="130" w:lineRule="exact"/>
        <w:rPr>
          <w:rFonts w:ascii="Arial" w:cs="Arial" w:eastAsia="Arial" w:hAnsi="Arial"/>
          <w:sz w:val="18"/>
          <w:szCs w:val="18"/>
          <w:color w:val="auto"/>
        </w:rPr>
      </w:pPr>
    </w:p>
    <w:p>
      <w:pPr>
        <w:ind w:left="740" w:hanging="28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Free cash flow for 2017 is projected to be between $1.5 and $1.6 billion.</w:t>
      </w:r>
      <w:r>
        <w:rPr>
          <w:rFonts w:ascii="Arial" w:cs="Arial" w:eastAsia="Arial" w:hAnsi="Arial"/>
          <w:sz w:val="15"/>
          <w:szCs w:val="15"/>
          <w:color w:val="auto"/>
        </w:rPr>
        <w:t>(b)</w:t>
      </w:r>
    </w:p>
    <w:p>
      <w:pPr>
        <w:spacing w:after="0" w:line="130" w:lineRule="exact"/>
        <w:rPr>
          <w:rFonts w:ascii="Arial" w:cs="Arial" w:eastAsia="Arial" w:hAnsi="Arial"/>
          <w:sz w:val="18"/>
          <w:szCs w:val="18"/>
          <w:color w:val="auto"/>
        </w:rPr>
      </w:pPr>
    </w:p>
    <w:p>
      <w:pPr>
        <w:jc w:val="both"/>
        <w:ind w:left="720" w:right="1219" w:hanging="262"/>
        <w:spacing w:after="0" w:line="342" w:lineRule="auto"/>
        <w:tabs>
          <w:tab w:leader="none" w:pos="73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Board of Directors has indicated its intention to increase the dividend by $0.06, or 3.7%, to $1.70 per share on an annual basis, for an approximate annual cost of $750 million. The Board must separately declare each dividend.</w:t>
      </w:r>
    </w:p>
    <w:p>
      <w:pPr>
        <w:spacing w:after="0" w:line="29" w:lineRule="exact"/>
        <w:rPr>
          <w:rFonts w:ascii="Arial" w:cs="Arial" w:eastAsia="Arial" w:hAnsi="Arial"/>
          <w:sz w:val="16"/>
          <w:szCs w:val="16"/>
          <w:color w:val="auto"/>
        </w:rPr>
      </w:pPr>
    </w:p>
    <w:p>
      <w:pPr>
        <w:ind w:left="740" w:hanging="28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has authorization to repurchase up to $750 million of its common stock.</w:t>
      </w:r>
    </w:p>
    <w:p>
      <w:pPr>
        <w:spacing w:after="0" w:line="130" w:lineRule="exact"/>
        <w:rPr>
          <w:rFonts w:ascii="Arial" w:cs="Arial" w:eastAsia="Arial" w:hAnsi="Arial"/>
          <w:sz w:val="18"/>
          <w:szCs w:val="18"/>
          <w:color w:val="auto"/>
        </w:rPr>
      </w:pPr>
    </w:p>
    <w:p>
      <w:pPr>
        <w:ind w:left="740" w:hanging="282"/>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Under current tax law, the tax rate is expected to be about 36.5%.</w:t>
      </w:r>
    </w:p>
    <w:p>
      <w:pPr>
        <w:spacing w:after="0" w:line="252" w:lineRule="exact"/>
        <w:rPr>
          <w:sz w:val="20"/>
          <w:szCs w:val="20"/>
          <w:color w:val="auto"/>
        </w:rPr>
      </w:pPr>
    </w:p>
    <w:p>
      <w:pPr>
        <w:ind w:right="1119"/>
        <w:spacing w:after="0" w:line="279" w:lineRule="auto"/>
        <w:rPr>
          <w:sz w:val="20"/>
          <w:szCs w:val="20"/>
          <w:color w:val="auto"/>
        </w:rPr>
      </w:pPr>
      <w:r>
        <w:rPr>
          <w:rFonts w:ascii="Arial" w:cs="Arial" w:eastAsia="Arial" w:hAnsi="Arial"/>
          <w:sz w:val="17"/>
          <w:szCs w:val="17"/>
          <w:color w:val="auto"/>
        </w:rPr>
        <w:t>Fish concluded, “2016 was a very successful year for Waste Management as we exceeded the goals that we established for the year, delivering financial results above our original full year guidance for adjusted earnings per share, free cash flow, and operating EBITDA. Our employees are already building on the revenue growth and operating efficiency gains we made in 2016, which should position us to grow our operating EBITDA between 6.5% and 8.0% in 2017.</w:t>
      </w:r>
      <w:r>
        <w:rPr>
          <w:rFonts w:ascii="Arial" w:cs="Arial" w:eastAsia="Arial" w:hAnsi="Arial"/>
          <w:sz w:val="14"/>
          <w:szCs w:val="14"/>
          <w:color w:val="auto"/>
        </w:rPr>
        <w:t>(b)</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360" w:right="1779" w:hanging="352"/>
        <w:spacing w:after="0" w:line="258"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purposes of this press release, all references to “Net income” refer to the financial statement line items “Net income attributable to Waste Management, Inc.”</w:t>
      </w:r>
    </w:p>
    <w:p>
      <w:pPr>
        <w:spacing w:after="0" w:line="1" w:lineRule="exact"/>
        <w:rPr>
          <w:rFonts w:ascii="Arial" w:cs="Arial" w:eastAsia="Arial" w:hAnsi="Arial"/>
          <w:sz w:val="18"/>
          <w:szCs w:val="18"/>
          <w:color w:val="auto"/>
        </w:rPr>
      </w:pPr>
    </w:p>
    <w:p>
      <w:pPr>
        <w:ind w:left="360" w:right="1339" w:hanging="352"/>
        <w:spacing w:after="0" w:line="268" w:lineRule="auto"/>
        <w:tabs>
          <w:tab w:leader="none" w:pos="387"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press release contains a discussion of non-GAAP measures, as defined in Regulation G of the Securities Exchange Act of 1934, as amended. The Company reports its financial results in compliance with GAAP, but believes that also discussing non-GAAP measures provides investors with (i) additional, meaningful comparisons of current results to prior periods’ results by excluding items that the Company does not believe reflect its fundamental business performance and are not representative or indicative of its results of operations and (ii) financial measures the Company uses in the management of its business. Accordingly, net income, earnings per diluted share, income from operations, operating EBITDA, and effective tax rate have been presented in certain instances excluding items identified in the reconciliations provided. The Company defines operating EBITDA as income from operations before depreciation and amortization; this measure may not be comparable to similarly titled measures reported by other companies.</w:t>
      </w:r>
    </w:p>
    <w:p>
      <w:pPr>
        <w:spacing w:after="0" w:line="85" w:lineRule="exact"/>
        <w:rPr>
          <w:sz w:val="20"/>
          <w:szCs w:val="20"/>
          <w:color w:val="auto"/>
        </w:rPr>
      </w:pPr>
    </w:p>
    <w:p>
      <w:pPr>
        <w:ind w:left="360" w:right="1419"/>
        <w:spacing w:after="0" w:line="259" w:lineRule="auto"/>
        <w:rPr>
          <w:sz w:val="20"/>
          <w:szCs w:val="20"/>
          <w:color w:val="auto"/>
        </w:rPr>
      </w:pPr>
      <w:r>
        <w:rPr>
          <w:rFonts w:ascii="Arial" w:cs="Arial" w:eastAsia="Arial" w:hAnsi="Arial"/>
          <w:sz w:val="18"/>
          <w:szCs w:val="18"/>
          <w:color w:val="auto"/>
        </w:rPr>
        <w:t>The Company’s projected full year 2017 earnings per diluted share and operating EBITDA are anticipated to be adjusted to exclude the effects of events or circumstances in 2017 that are not representative or indicative of the Company’s results of operations. Projected GAAP earnings per diluted share and operating EBITDA for the full year would require information about</w:t>
      </w:r>
    </w:p>
    <w:p>
      <w:pPr>
        <w:sectPr>
          <w:pgSz w:w="11900" w:h="16838" w:orient="portrait"/>
          <w:cols w:equalWidth="0" w:num="1">
            <w:col w:w="10219"/>
          </w:cols>
          <w:pgMar w:left="240" w:top="270" w:right="1440" w:bottom="1440" w:gutter="0" w:footer="0" w:header="0"/>
        </w:sectPr>
      </w:pPr>
    </w:p>
    <w:bookmarkStart w:id="7" w:name="page8"/>
    <w:bookmarkEnd w:id="7"/>
    <w:p>
      <w:pPr>
        <w:ind w:left="360" w:right="1399"/>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projected impact of future excluded items, including items that are not currently determinable, but may be significant, such as asset impairments and one-time items, charges, gains or losses from divestitures or litigation, or other items. Due to the uncertainty of the likelihood, amount and timing of any such items, the Company does not have information available to provide a quantitative reconciliation of adjusted projected full year earnings per diluted share, projected earnings growth, adjusted projected operating EBITDA, or projected operating EBITDA growth to the comparable GAAP measure.</w:t>
      </w:r>
    </w:p>
    <w:p>
      <w:pPr>
        <w:spacing w:after="0" w:line="99" w:lineRule="exact"/>
        <w:rPr>
          <w:sz w:val="20"/>
          <w:szCs w:val="20"/>
          <w:color w:val="auto"/>
        </w:rPr>
      </w:pPr>
    </w:p>
    <w:p>
      <w:pPr>
        <w:ind w:left="360" w:right="1299"/>
        <w:spacing w:after="0" w:line="269" w:lineRule="auto"/>
        <w:rPr>
          <w:sz w:val="20"/>
          <w:szCs w:val="20"/>
          <w:color w:val="auto"/>
        </w:rPr>
      </w:pPr>
      <w:r>
        <w:rPr>
          <w:rFonts w:ascii="Arial" w:cs="Arial" w:eastAsia="Arial" w:hAnsi="Arial"/>
          <w:sz w:val="17"/>
          <w:szCs w:val="17"/>
          <w:color w:val="auto"/>
        </w:rPr>
        <w:t>The Company also discusses free cash flow and provides a projection of free cash flow. Free cash flow is a non-GAAP measure. The company discusses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U.S. GAAP measure. However, the Company believes free cash flow gives investors useful insight into how the Company views its liquidity. Nevertheless,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 titled measures reported by other companies.</w:t>
      </w:r>
    </w:p>
    <w:p>
      <w:pPr>
        <w:spacing w:after="0" w:line="88" w:lineRule="exact"/>
        <w:rPr>
          <w:sz w:val="20"/>
          <w:szCs w:val="20"/>
          <w:color w:val="auto"/>
        </w:rPr>
      </w:pPr>
    </w:p>
    <w:p>
      <w:pPr>
        <w:ind w:left="360" w:right="1359"/>
        <w:spacing w:after="0" w:line="257" w:lineRule="auto"/>
        <w:rPr>
          <w:sz w:val="20"/>
          <w:szCs w:val="20"/>
          <w:color w:val="auto"/>
        </w:rPr>
      </w:pPr>
      <w:r>
        <w:rPr>
          <w:rFonts w:ascii="Arial" w:cs="Arial" w:eastAsia="Arial" w:hAnsi="Arial"/>
          <w:sz w:val="18"/>
          <w:szCs w:val="18"/>
          <w:color w:val="auto"/>
        </w:rPr>
        <w:t>The quantitative reconciliations of non-GAAP measures used herein to the most comparable GAAP measures are included in the accompanying schedules, with the exception of projected earnings per diluted share and projected operating EBITDA. Non-GAAP measures should not be considered a substitute for financial measures presented in accordance with GAAP, and investors are urged to take into account GAAP measures as well as non-GAAP measures in evaluating the Company.</w:t>
      </w:r>
    </w:p>
    <w:p>
      <w:pPr>
        <w:spacing w:after="0" w:line="94" w:lineRule="exact"/>
        <w:rPr>
          <w:sz w:val="20"/>
          <w:szCs w:val="20"/>
          <w:color w:val="auto"/>
        </w:rPr>
      </w:pPr>
    </w:p>
    <w:p>
      <w:pPr>
        <w:ind w:left="360" w:right="1319" w:hanging="352"/>
        <w:spacing w:after="0" w:line="279"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p>
      <w:pPr>
        <w:spacing w:after="0" w:line="198" w:lineRule="exact"/>
        <w:rPr>
          <w:sz w:val="20"/>
          <w:szCs w:val="20"/>
          <w:color w:val="auto"/>
        </w:rPr>
      </w:pPr>
    </w:p>
    <w:p>
      <w:pPr>
        <w:ind w:right="1359"/>
        <w:spacing w:after="0" w:line="264" w:lineRule="auto"/>
        <w:rPr>
          <w:sz w:val="20"/>
          <w:szCs w:val="20"/>
          <w:color w:val="auto"/>
        </w:rPr>
      </w:pPr>
      <w:r>
        <w:rPr>
          <w:rFonts w:ascii="Arial" w:cs="Arial" w:eastAsia="Arial" w:hAnsi="Arial"/>
          <w:sz w:val="18"/>
          <w:szCs w:val="18"/>
          <w:color w:val="auto"/>
        </w:rPr>
        <w:t>The Company will host a conference call at 10:00 AM (Eastern) today to discuss the fourth quarter and full year 2016 results. Information contained within this press release will be referenced and should be considered in conjunction with the call.</w:t>
      </w:r>
    </w:p>
    <w:p>
      <w:pPr>
        <w:spacing w:after="0" w:line="208" w:lineRule="exact"/>
        <w:rPr>
          <w:sz w:val="20"/>
          <w:szCs w:val="20"/>
          <w:color w:val="auto"/>
        </w:rPr>
      </w:pPr>
    </w:p>
    <w:p>
      <w:pPr>
        <w:ind w:right="1479"/>
        <w:spacing w:after="0" w:line="279" w:lineRule="auto"/>
        <w:rPr>
          <w:sz w:val="20"/>
          <w:szCs w:val="20"/>
          <w:color w:val="auto"/>
        </w:rPr>
      </w:pPr>
      <w:r>
        <w:rPr>
          <w:rFonts w:ascii="Arial" w:cs="Arial" w:eastAsia="Arial" w:hAnsi="Arial"/>
          <w:sz w:val="17"/>
          <w:szCs w:val="17"/>
          <w:color w:val="auto"/>
        </w:rPr>
        <w:t xml:space="preserve">The conference call will be webcast live from the Investor Relations section of Waste Management’s website </w:t>
      </w:r>
      <w:r>
        <w:rPr>
          <w:rFonts w:ascii="Arial" w:cs="Arial" w:eastAsia="Arial" w:hAnsi="Arial"/>
          <w:sz w:val="17"/>
          <w:szCs w:val="17"/>
          <w:u w:val="single" w:color="auto"/>
          <w:color w:val="auto"/>
        </w:rPr>
        <w:t>www.wm.com</w:t>
      </w:r>
      <w:r>
        <w:rPr>
          <w:rFonts w:ascii="Arial" w:cs="Arial" w:eastAsia="Arial" w:hAnsi="Arial"/>
          <w:sz w:val="17"/>
          <w:szCs w:val="17"/>
          <w:color w:val="auto"/>
        </w:rPr>
        <w:t>. To access the conference call by telephone, please dial (877) 710-6139 approximately 10 minutes prior to the scheduled start of the call. If you are calling from outside of the United States or Canada, please dial (706) 643-7398. Please utilize conference ID number 55317607 when prompted by the conference call operator.</w:t>
      </w:r>
    </w:p>
    <w:p>
      <w:pPr>
        <w:spacing w:after="0" w:line="198" w:lineRule="exact"/>
        <w:rPr>
          <w:sz w:val="20"/>
          <w:szCs w:val="20"/>
          <w:color w:val="auto"/>
        </w:rPr>
      </w:pPr>
    </w:p>
    <w:p>
      <w:pPr>
        <w:ind w:right="1319"/>
        <w:spacing w:after="0" w:line="259" w:lineRule="auto"/>
        <w:rPr>
          <w:sz w:val="20"/>
          <w:szCs w:val="20"/>
          <w:color w:val="auto"/>
        </w:rPr>
      </w:pPr>
      <w:r>
        <w:rPr>
          <w:rFonts w:ascii="Arial" w:cs="Arial" w:eastAsia="Arial" w:hAnsi="Arial"/>
          <w:sz w:val="18"/>
          <w:szCs w:val="18"/>
          <w:color w:val="auto"/>
        </w:rPr>
        <w:t xml:space="preserve">A replay of the conference call will be available on the Company’s website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and by telephone from approximately 1:00 PM (Eastern) Thursday, February 16, 2017 through 5:00 PM (Eastern) on Thursday, March 2, 2017. To access the replay telephonically, please dial (855) 859-2056, or from outside of the United States or Canada dial (404) 537-3406, and use the replay conference ID number 55317607.</w:t>
      </w:r>
    </w:p>
    <w:p>
      <w:pPr>
        <w:spacing w:after="0" w:line="214" w:lineRule="exact"/>
        <w:rPr>
          <w:sz w:val="20"/>
          <w:szCs w:val="20"/>
          <w:color w:val="auto"/>
        </w:rPr>
      </w:pPr>
    </w:p>
    <w:p>
      <w:pPr>
        <w:ind w:right="1339"/>
        <w:spacing w:after="0" w:line="285" w:lineRule="auto"/>
        <w:rPr>
          <w:sz w:val="20"/>
          <w:szCs w:val="20"/>
          <w:color w:val="auto"/>
        </w:rPr>
      </w:pPr>
      <w:r>
        <w:rPr>
          <w:rFonts w:ascii="Arial" w:cs="Arial" w:eastAsia="Arial" w:hAnsi="Arial"/>
          <w:sz w:val="16"/>
          <w:szCs w:val="16"/>
          <w:i w:val="1"/>
          <w:iCs w:val="1"/>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all statements under the heading “2017 Outlook” and statements regarding 2017 earnings per diluted share and earnings growth / strength; 2017 free cash flow and growth; future operating EBITDA and growth; cash generation capabilities / strength; volume trends and margin; success and execution of pricing/core price, growth, efficiency, and cost control strategies; and future dividend rates and shares repurchases.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failure to identify acquisition targets and negotiate attractive terms; failure to consummate or integrate such acquisitions; failure to obtain the results anticipated from acquisitions; environmental and other regulations; commodity price fluctuations; disposal alternatives and waste diversion; declining waste volumes; failure to develop and protect new technology; significant environmental or other incidents resulting in liabilities and brand damage; weakness in economic conditions; failure to obtain and maintain necessary permits; labor disruptions; impairment charges; and negative outcomes of litigation or governmental proceedings. Please also see the Company’s filings with the SEC, including Part I, Item 1A of the Company’s most recently filed Annual Report on Form 10-K, for additional information regarding these and other risks and uncertainties applicable to our business. The Company assumes no obligation to update any forward-looking statement, including financial estimates and forecasts, whether as a result of future events, circumstances or developments or otherwise.</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135" w:lineRule="exact"/>
        <w:rPr>
          <w:sz w:val="20"/>
          <w:szCs w:val="20"/>
          <w:color w:val="auto"/>
        </w:rPr>
      </w:pPr>
    </w:p>
    <w:p>
      <w:pPr>
        <w:ind w:right="1359"/>
        <w:spacing w:after="0" w:line="297" w:lineRule="auto"/>
        <w:rPr>
          <w:sz w:val="20"/>
          <w:szCs w:val="20"/>
          <w:color w:val="auto"/>
        </w:rPr>
      </w:pPr>
      <w:r>
        <w:rPr>
          <w:rFonts w:ascii="Arial" w:cs="Arial" w:eastAsia="Arial" w:hAnsi="Arial"/>
          <w:sz w:val="16"/>
          <w:szCs w:val="16"/>
          <w:color w:val="auto"/>
        </w:rPr>
        <w:t xml:space="preserve">Waste Management,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6"/>
          <w:szCs w:val="16"/>
          <w:u w:val="single" w:color="auto"/>
          <w:color w:val="auto"/>
        </w:rPr>
        <w:t>www.wm.com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www.thinkgreen.com</w:t>
      </w:r>
      <w:r>
        <w:rPr>
          <w:rFonts w:ascii="Arial" w:cs="Arial" w:eastAsia="Arial" w:hAnsi="Arial"/>
          <w:sz w:val="16"/>
          <w:szCs w:val="16"/>
          <w:color w:val="auto"/>
        </w:rPr>
        <w:t>.</w:t>
      </w:r>
    </w:p>
    <w:p>
      <w:pPr>
        <w:spacing w:after="0" w:line="64"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4" w:right="1440" w:bottom="221"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7"/>
              </w:rPr>
              <w:t>Quarters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378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2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Loss on early extinguishment of debt</w:t>
            </w:r>
          </w:p>
        </w:tc>
        <w:tc>
          <w:tcPr>
            <w:tcW w:w="2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net losses of unconsolidated entities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income (loss) attributable to noncontrolling interests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0.76</w:t>
            </w:r>
          </w:p>
        </w:tc>
        <w:tc>
          <w:tcPr>
            <w:tcW w:w="4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gridSpan w:val="2"/>
            <w:vMerge w:val="continue"/>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441.1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Diluted common shares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0.41</w:t>
            </w:r>
          </w:p>
        </w:tc>
        <w:tc>
          <w:tcPr>
            <w:tcW w:w="4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0.385</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ind w:left="5600"/>
              <w:spacing w:after="0"/>
              <w:rPr>
                <w:sz w:val="20"/>
                <w:szCs w:val="20"/>
                <w:color w:val="auto"/>
              </w:rPr>
            </w:pPr>
            <w:r>
              <w:rPr>
                <w:rFonts w:ascii="Arial" w:cs="Arial" w:eastAsia="Arial" w:hAnsi="Arial"/>
                <w:sz w:val="18"/>
                <w:szCs w:val="18"/>
                <w:b w:val="1"/>
                <w:bCs w:val="1"/>
                <w:color w:val="auto"/>
              </w:rPr>
              <w:t>(1)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Quarters Ended 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EPS Calculation:</w:t>
            </w:r>
          </w:p>
        </w:tc>
        <w:tc>
          <w:tcPr>
            <w:tcW w:w="8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1580" w:type="dxa"/>
            <w:vAlign w:val="bottom"/>
            <w:gridSpan w:val="2"/>
          </w:tcPr>
          <w:p>
            <w:pPr>
              <w:jc w:val="right"/>
              <w:ind w:right="58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335</w:t>
            </w:r>
          </w:p>
        </w:tc>
        <w:tc>
          <w:tcPr>
            <w:tcW w:w="940" w:type="dxa"/>
            <w:vAlign w:val="bottom"/>
            <w:gridSpan w:val="2"/>
          </w:tcPr>
          <w:p>
            <w:pPr>
              <w:jc w:val="right"/>
              <w:ind w:right="585"/>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439.3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Effect of using weighted average common shares outstanding</w:t>
            </w:r>
          </w:p>
        </w:tc>
        <w:tc>
          <w:tcPr>
            <w:tcW w:w="8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441.1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8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8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444.2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5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8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580" w:type="dxa"/>
            <w:vAlign w:val="bottom"/>
            <w:gridSpan w:val="2"/>
            <w:shd w:val="clear" w:color="auto" w:fill="CCEEFF"/>
          </w:tcPr>
          <w:p>
            <w:pPr>
              <w:jc w:val="right"/>
              <w:ind w:right="58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0.75</w:t>
            </w:r>
          </w:p>
        </w:tc>
        <w:tc>
          <w:tcPr>
            <w:tcW w:w="940" w:type="dxa"/>
            <w:vAlign w:val="bottom"/>
            <w:gridSpan w:val="2"/>
            <w:shd w:val="clear" w:color="auto" w:fill="CCEEFF"/>
          </w:tcPr>
          <w:p>
            <w:pPr>
              <w:jc w:val="right"/>
              <w:ind w:right="585"/>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jc w:val="right"/>
              <w:ind w:right="1850"/>
              <w:spacing w:after="0"/>
              <w:rPr>
                <w:sz w:val="20"/>
                <w:szCs w:val="20"/>
                <w:color w:val="auto"/>
              </w:rPr>
            </w:pPr>
            <w:r>
              <w:rPr>
                <w:rFonts w:ascii="Arial" w:cs="Arial" w:eastAsia="Arial" w:hAnsi="Arial"/>
                <w:sz w:val="18"/>
                <w:szCs w:val="18"/>
                <w:b w:val="1"/>
                <w:bCs w:val="1"/>
                <w:color w:val="auto"/>
              </w:rPr>
              <w:t>(2)</w:t>
            </w:r>
          </w:p>
        </w:tc>
        <w:tc>
          <w:tcPr>
            <w:tcW w:w="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7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2"/>
              </w:rPr>
              <w:t>Twelve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13,609</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8,486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1,410</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1,301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11,313</w:t>
            </w:r>
          </w:p>
        </w:tc>
        <w:tc>
          <w:tcPr>
            <w:tcW w:w="4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2,296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rPr>
              <w:t>Loss on early extinguishment of debt</w:t>
            </w: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net losses of unconsolidated entities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(474)</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4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4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income (loss) attributable to noncontrolling interests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4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gridSpan w:val="2"/>
            <w:vMerge w:val="continue"/>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4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Diluted common shares outstanding</w:t>
            </w:r>
          </w:p>
        </w:tc>
        <w:tc>
          <w:tcPr>
            <w:tcW w:w="1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gridSpan w:val="2"/>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446.5</w:t>
            </w:r>
          </w:p>
        </w:tc>
        <w:tc>
          <w:tcPr>
            <w:tcW w:w="4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ind w:left="5600"/>
              <w:spacing w:after="0"/>
              <w:rPr>
                <w:sz w:val="20"/>
                <w:szCs w:val="20"/>
                <w:color w:val="auto"/>
              </w:rPr>
            </w:pPr>
            <w:r>
              <w:rPr>
                <w:rFonts w:ascii="Arial" w:cs="Arial" w:eastAsia="Arial" w:hAnsi="Arial"/>
                <w:sz w:val="18"/>
                <w:szCs w:val="18"/>
                <w:b w:val="1"/>
                <w:bCs w:val="1"/>
                <w:color w:val="auto"/>
              </w:rPr>
              <w:t>(3)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5"/>
              </w:rPr>
              <w:t>Twelve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EPS Calculation:</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1,182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439.3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Effect of using weighted average common shares outstanding</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443.5</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5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gridSpan w:val="2"/>
            <w:vMerge w:val="continue"/>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5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jc w:val="right"/>
              <w:ind w:right="2750"/>
              <w:spacing w:after="0"/>
              <w:rPr>
                <w:sz w:val="20"/>
                <w:szCs w:val="20"/>
                <w:color w:val="auto"/>
              </w:rPr>
            </w:pPr>
            <w:r>
              <w:rPr>
                <w:rFonts w:ascii="Arial" w:cs="Arial" w:eastAsia="Arial" w:hAnsi="Arial"/>
                <w:sz w:val="18"/>
                <w:szCs w:val="18"/>
                <w:b w:val="1"/>
                <w:bCs w:val="1"/>
                <w:color w:val="auto"/>
              </w:rPr>
              <w:t>(4)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6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14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(Unaudited)</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2,132</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3"/>
        </w:trPr>
        <w:tc>
          <w:tcPr>
            <w:tcW w:w="91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10,950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10,665</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6,215</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591</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727</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20,367</w:t>
            </w: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Arial" w:cs="Arial" w:eastAsia="Arial" w:hAnsi="Arial"/>
                <w:sz w:val="18"/>
                <w:szCs w:val="18"/>
                <w:color w:val="auto"/>
              </w:rPr>
              <w:t>Accounts payable, accrued liabilities, and deferred revenues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2,377</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3"/>
        </w:trPr>
        <w:tc>
          <w:tcPr>
            <w:tcW w:w="91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2,794</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8,893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3,852</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15,539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Arial" w:cs="Arial" w:eastAsia="Arial" w:hAnsi="Arial"/>
                <w:sz w:val="18"/>
                <w:szCs w:val="18"/>
                <w:color w:val="auto"/>
              </w:rPr>
              <w:t>Equity:</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Waste Management, Inc. stockholders’ equity</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4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4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20,859</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reclassified to conform to 2016 presentation.</w:t>
      </w:r>
    </w:p>
    <w:p>
      <w:pPr>
        <w:spacing w:after="0" w:line="154"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(5)</w:t>
      </w:r>
    </w:p>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4"/>
              </w:rPr>
              <w:t>Twelve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2016</w:t>
            </w:r>
          </w:p>
        </w:tc>
        <w:tc>
          <w:tcPr>
            <w:tcW w:w="6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Consolidated net income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1,180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1,301</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early extinguishment of debt</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398</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0"/>
        </w:trPr>
        <w:tc>
          <w:tcPr>
            <w:tcW w:w="79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7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2,960</w:t>
            </w:r>
          </w:p>
        </w:tc>
        <w:tc>
          <w:tcPr>
            <w:tcW w:w="6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Acquisitions of businesses, net of cash acquired</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(611)</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(1,339)</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 in unconsolidated entities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Net receipts from restricted trust and escrow accounts, and other</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(1,932)</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23"/>
        </w:trPr>
        <w:tc>
          <w:tcPr>
            <w:tcW w:w="79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7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New borrowings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3,057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Debt repayments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(2,682)</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Premiums paid on early extinguishment of debt</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Common stock repurchases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(725)</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dividends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(726)</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Exercise of common stock options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792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7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6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2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(1,268)</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23"/>
        </w:trPr>
        <w:tc>
          <w:tcPr>
            <w:tcW w:w="79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7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ind w:left="5600"/>
              <w:spacing w:after="0"/>
              <w:rPr>
                <w:sz w:val="20"/>
                <w:szCs w:val="20"/>
                <w:color w:val="auto"/>
              </w:rPr>
            </w:pPr>
            <w:r>
              <w:rPr>
                <w:rFonts w:ascii="Arial" w:cs="Arial" w:eastAsia="Arial" w:hAnsi="Arial"/>
                <w:sz w:val="18"/>
                <w:szCs w:val="18"/>
                <w:b w:val="1"/>
                <w:bCs w:val="1"/>
                <w:color w:val="auto"/>
              </w:rPr>
              <w:t>(6)</w:t>
            </w: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92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w w:val="95"/>
              </w:rPr>
              <w:t>Quarters Ended</w:t>
            </w: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380" w:type="dxa"/>
            <w:vAlign w:val="bottom"/>
            <w:gridSpan w:val="4"/>
          </w:tcPr>
          <w:p>
            <w:pPr>
              <w:jc w:val="center"/>
              <w:ind w:right="488"/>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1220" w:type="dxa"/>
            <w:vAlign w:val="bottom"/>
            <w:gridSpan w:val="6"/>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0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82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3"/>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4"/>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180" w:type="dxa"/>
            <w:vAlign w:val="bottom"/>
            <w:tcBorders>
              <w:top w:val="single" w:sz="8" w:color="CCEEFF"/>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Operating Revenues by Lines of Business</w:t>
            </w:r>
          </w:p>
        </w:tc>
        <w:tc>
          <w:tcPr>
            <w:tcW w:w="13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500" w:type="dxa"/>
            <w:vAlign w:val="bottom"/>
            <w:gridSpan w:val="4"/>
          </w:tcPr>
          <w:p>
            <w:pPr>
              <w:ind w:left="360"/>
              <w:spacing w:after="0"/>
              <w:rPr>
                <w:sz w:val="20"/>
                <w:szCs w:val="20"/>
                <w:color w:val="auto"/>
              </w:rPr>
            </w:pPr>
            <w:r>
              <w:rPr>
                <w:rFonts w:ascii="Arial" w:cs="Arial" w:eastAsia="Arial" w:hAnsi="Arial"/>
                <w:sz w:val="18"/>
                <w:szCs w:val="18"/>
                <w:color w:val="auto"/>
              </w:rPr>
              <w:t>Collection</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50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414"/>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888</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881</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500" w:type="dxa"/>
            <w:vAlign w:val="bottom"/>
            <w:gridSpan w:val="4"/>
          </w:tcPr>
          <w:p>
            <w:pPr>
              <w:ind w:left="720"/>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630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626</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50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Industrial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633</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500" w:type="dxa"/>
            <w:vAlign w:val="bottom"/>
            <w:gridSpan w:val="4"/>
          </w:tcPr>
          <w:p>
            <w:pPr>
              <w:ind w:left="7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110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5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Total Collection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2,254</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2,124</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500" w:type="dxa"/>
            <w:vAlign w:val="bottom"/>
            <w:gridSpan w:val="4"/>
          </w:tcPr>
          <w:p>
            <w:pPr>
              <w:ind w:left="360"/>
              <w:spacing w:after="0"/>
              <w:rPr>
                <w:sz w:val="20"/>
                <w:szCs w:val="20"/>
                <w:color w:val="auto"/>
              </w:rPr>
            </w:pPr>
            <w:r>
              <w:rPr>
                <w:rFonts w:ascii="Arial" w:cs="Arial" w:eastAsia="Arial" w:hAnsi="Arial"/>
                <w:sz w:val="18"/>
                <w:szCs w:val="18"/>
                <w:color w:val="auto"/>
              </w:rPr>
              <w:t>Landfill</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780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831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745</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5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Transfer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397</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500" w:type="dxa"/>
            <w:vAlign w:val="bottom"/>
            <w:gridSpan w:val="4"/>
          </w:tcPr>
          <w:p>
            <w:pPr>
              <w:ind w:left="360"/>
              <w:spacing w:after="0"/>
              <w:rPr>
                <w:sz w:val="20"/>
                <w:szCs w:val="20"/>
                <w:color w:val="auto"/>
              </w:rPr>
            </w:pPr>
            <w:r>
              <w:rPr>
                <w:rFonts w:ascii="Arial" w:cs="Arial" w:eastAsia="Arial" w:hAnsi="Arial"/>
                <w:sz w:val="18"/>
                <w:szCs w:val="18"/>
                <w:color w:val="auto"/>
              </w:rPr>
              <w:t>Recycling</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325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5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432</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500" w:type="dxa"/>
            <w:vAlign w:val="bottom"/>
            <w:gridSpan w:val="4"/>
          </w:tcPr>
          <w:p>
            <w:pPr>
              <w:ind w:left="36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(691)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(614)</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50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3,460</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3,548</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3,246</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8"/>
          </w:tcPr>
          <w:p>
            <w:pPr>
              <w:jc w:val="right"/>
              <w:ind w:right="360"/>
              <w:spacing w:after="0"/>
              <w:rPr>
                <w:sz w:val="20"/>
                <w:szCs w:val="20"/>
                <w:color w:val="auto"/>
              </w:rPr>
            </w:pPr>
            <w:r>
              <w:rPr>
                <w:rFonts w:ascii="Arial" w:cs="Arial" w:eastAsia="Arial" w:hAnsi="Arial"/>
                <w:sz w:val="14"/>
                <w:szCs w:val="14"/>
                <w:b w:val="1"/>
                <w:bCs w:val="1"/>
                <w:color w:val="auto"/>
                <w:w w:val="98"/>
              </w:rPr>
              <w:t>Quarters Ended</w:t>
            </w: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5"/>
          </w:tcPr>
          <w:p>
            <w:pPr>
              <w:jc w:val="center"/>
              <w:ind w:right="708"/>
              <w:spacing w:after="0" w:line="142" w:lineRule="exact"/>
              <w:rPr>
                <w:sz w:val="20"/>
                <w:szCs w:val="20"/>
                <w:color w:val="auto"/>
              </w:rPr>
            </w:pPr>
            <w:r>
              <w:rPr>
                <w:rFonts w:ascii="Arial" w:cs="Arial" w:eastAsia="Arial" w:hAnsi="Arial"/>
                <w:sz w:val="14"/>
                <w:szCs w:val="14"/>
                <w:b w:val="1"/>
                <w:bCs w:val="1"/>
                <w:color w:val="auto"/>
                <w:w w:val="91"/>
              </w:rPr>
              <w:t>December 31, 2016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60" w:type="dxa"/>
            <w:vAlign w:val="bottom"/>
            <w:gridSpan w:val="6"/>
          </w:tcPr>
          <w:p>
            <w:pPr>
              <w:jc w:val="right"/>
              <w:ind w:right="780"/>
              <w:spacing w:after="0" w:line="142" w:lineRule="exact"/>
              <w:rPr>
                <w:sz w:val="20"/>
                <w:szCs w:val="20"/>
                <w:color w:val="auto"/>
              </w:rPr>
            </w:pPr>
            <w:r>
              <w:rPr>
                <w:rFonts w:ascii="Arial" w:cs="Arial" w:eastAsia="Arial" w:hAnsi="Arial"/>
                <w:sz w:val="14"/>
                <w:szCs w:val="14"/>
                <w:b w:val="1"/>
                <w:bCs w:val="1"/>
                <w:color w:val="auto"/>
                <w:w w:val="91"/>
              </w:rPr>
              <w:t>December 31, 2015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120"/>
              <w:spacing w:after="0" w:line="123" w:lineRule="exact"/>
              <w:rPr>
                <w:sz w:val="20"/>
                <w:szCs w:val="20"/>
                <w:color w:val="auto"/>
              </w:rPr>
            </w:pPr>
            <w:r>
              <w:rPr>
                <w:rFonts w:ascii="Arial" w:cs="Arial" w:eastAsia="Arial" w:hAnsi="Arial"/>
                <w:sz w:val="14"/>
                <w:szCs w:val="14"/>
                <w:color w:val="auto"/>
                <w:w w:val="93"/>
              </w:rPr>
              <w:t>As a % of</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3"/>
          </w:tcPr>
          <w:p>
            <w:pPr>
              <w:jc w:val="center"/>
              <w:ind w:right="120"/>
              <w:spacing w:after="0" w:line="123" w:lineRule="exact"/>
              <w:rPr>
                <w:sz w:val="20"/>
                <w:szCs w:val="20"/>
                <w:color w:val="auto"/>
              </w:rPr>
            </w:pPr>
            <w:r>
              <w:rPr>
                <w:rFonts w:ascii="Arial" w:cs="Arial" w:eastAsia="Arial" w:hAnsi="Arial"/>
                <w:sz w:val="14"/>
                <w:szCs w:val="14"/>
                <w:color w:val="auto"/>
                <w:w w:val="93"/>
              </w:rPr>
              <w:t>As a %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color w:val="auto"/>
              </w:rPr>
              <w:t>Amount</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228"/>
              <w:spacing w:after="0"/>
              <w:rPr>
                <w:sz w:val="20"/>
                <w:szCs w:val="20"/>
                <w:color w:val="auto"/>
              </w:rPr>
            </w:pPr>
            <w:r>
              <w:rPr>
                <w:rFonts w:ascii="Arial" w:cs="Arial" w:eastAsia="Arial" w:hAnsi="Arial"/>
                <w:sz w:val="14"/>
                <w:szCs w:val="14"/>
                <w:color w:val="auto"/>
                <w:w w:val="92"/>
              </w:rPr>
              <w:t>Total Company</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4"/>
                <w:szCs w:val="14"/>
                <w:color w:val="auto"/>
                <w:w w:val="99"/>
              </w:rPr>
              <w:t>Amount</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center"/>
              <w:ind w:right="320"/>
              <w:spacing w:after="0"/>
              <w:rPr>
                <w:sz w:val="20"/>
                <w:szCs w:val="20"/>
                <w:color w:val="auto"/>
              </w:rPr>
            </w:pPr>
            <w:r>
              <w:rPr>
                <w:rFonts w:ascii="Arial" w:cs="Arial" w:eastAsia="Arial" w:hAnsi="Arial"/>
                <w:sz w:val="14"/>
                <w:szCs w:val="14"/>
                <w:color w:val="auto"/>
                <w:w w:val="92"/>
              </w:rPr>
              <w:t>Total Company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0" w:type="dxa"/>
            <w:vAlign w:val="bottom"/>
            <w:tcBorders>
              <w:top w:val="single" w:sz="8" w:color="CCEEFF"/>
            </w:tcBorders>
            <w:gridSpan w:val="5"/>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Analysis of Change in Year Over Year Revenues</w:t>
            </w: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gridSpan w:val="3"/>
          </w:tcPr>
          <w:p>
            <w:pPr>
              <w:ind w:left="340"/>
              <w:spacing w:after="0"/>
              <w:rPr>
                <w:sz w:val="20"/>
                <w:szCs w:val="20"/>
                <w:color w:val="auto"/>
              </w:rPr>
            </w:pPr>
            <w:r>
              <w:rPr>
                <w:rFonts w:ascii="Arial" w:cs="Arial" w:eastAsia="Arial" w:hAnsi="Arial"/>
                <w:sz w:val="18"/>
                <w:szCs w:val="18"/>
                <w:color w:val="auto"/>
              </w:rPr>
              <w:t xml:space="preserve">Average yield </w:t>
            </w:r>
            <w:r>
              <w:rPr>
                <w:rFonts w:ascii="Arial" w:cs="Arial" w:eastAsia="Arial" w:hAnsi="Arial"/>
                <w:sz w:val="18"/>
                <w:szCs w:val="18"/>
                <w:b w:val="1"/>
                <w:bCs w:val="1"/>
                <w:color w:val="auto"/>
              </w:rPr>
              <w:t>(i)</w:t>
            </w:r>
          </w:p>
        </w:tc>
        <w:tc>
          <w:tcPr>
            <w:tcW w:w="172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105</w:t>
            </w: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(24)</w:t>
            </w: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gridSpan w:val="4"/>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Volume</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gridSpan w:val="5"/>
            <w:vMerge w:val="restart"/>
          </w:tcPr>
          <w:p>
            <w:pPr>
              <w:ind w:left="340"/>
              <w:spacing w:after="0"/>
              <w:rPr>
                <w:sz w:val="20"/>
                <w:szCs w:val="20"/>
                <w:color w:val="auto"/>
              </w:rPr>
            </w:pPr>
            <w:r>
              <w:rPr>
                <w:rFonts w:ascii="Arial" w:cs="Arial" w:eastAsia="Arial" w:hAnsi="Arial"/>
                <w:sz w:val="18"/>
                <w:szCs w:val="18"/>
                <w:color w:val="auto"/>
              </w:rPr>
              <w:t>Internal revenue growth</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169</w:t>
            </w:r>
          </w:p>
        </w:tc>
        <w:tc>
          <w:tcPr>
            <w:tcW w:w="8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4"/>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Acquisition</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340"/>
              <w:spacing w:after="0"/>
              <w:rPr>
                <w:sz w:val="20"/>
                <w:szCs w:val="20"/>
                <w:color w:val="auto"/>
              </w:rPr>
            </w:pPr>
            <w:r>
              <w:rPr>
                <w:rFonts w:ascii="Arial" w:cs="Arial" w:eastAsia="Arial" w:hAnsi="Arial"/>
                <w:sz w:val="18"/>
                <w:szCs w:val="18"/>
                <w:color w:val="auto"/>
              </w:rPr>
              <w:t>Divestitures</w:t>
            </w: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214</w:t>
            </w:r>
          </w:p>
        </w:tc>
        <w:tc>
          <w:tcPr>
            <w:tcW w:w="8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4"/>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gridSpan w:val="4"/>
          </w:tcPr>
          <w:p>
            <w:pPr>
              <w:jc w:val="center"/>
              <w:ind w:right="108"/>
              <w:spacing w:after="0"/>
              <w:rPr>
                <w:sz w:val="20"/>
                <w:szCs w:val="20"/>
                <w:color w:val="auto"/>
              </w:rPr>
            </w:pPr>
            <w:r>
              <w:rPr>
                <w:rFonts w:ascii="Arial" w:cs="Arial" w:eastAsia="Arial" w:hAnsi="Arial"/>
                <w:sz w:val="14"/>
                <w:szCs w:val="14"/>
                <w:color w:val="auto"/>
                <w:w w:val="92"/>
              </w:rPr>
              <w:t>As a % of Related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4"/>
          </w:tcPr>
          <w:p>
            <w:pPr>
              <w:jc w:val="center"/>
              <w:ind w:right="320"/>
              <w:spacing w:after="0"/>
              <w:rPr>
                <w:sz w:val="20"/>
                <w:szCs w:val="20"/>
                <w:color w:val="auto"/>
              </w:rPr>
            </w:pPr>
            <w:r>
              <w:rPr>
                <w:rFonts w:ascii="Arial" w:cs="Arial" w:eastAsia="Arial" w:hAnsi="Arial"/>
                <w:sz w:val="14"/>
                <w:szCs w:val="14"/>
                <w:color w:val="auto"/>
                <w:w w:val="92"/>
              </w:rPr>
              <w:t>As a % of Related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color w:val="auto"/>
              </w:rPr>
              <w:t>Amount</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228"/>
              <w:spacing w:after="0"/>
              <w:rPr>
                <w:sz w:val="20"/>
                <w:szCs w:val="20"/>
                <w:color w:val="auto"/>
              </w:rPr>
            </w:pPr>
            <w:r>
              <w:rPr>
                <w:rFonts w:ascii="Arial" w:cs="Arial" w:eastAsia="Arial" w:hAnsi="Arial"/>
                <w:sz w:val="14"/>
                <w:szCs w:val="14"/>
                <w:color w:val="auto"/>
                <w:w w:val="91"/>
              </w:rPr>
              <w:t>Business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4"/>
                <w:szCs w:val="14"/>
                <w:color w:val="auto"/>
                <w:w w:val="99"/>
              </w:rPr>
              <w:t>Amount</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center"/>
              <w:ind w:right="320"/>
              <w:spacing w:after="0"/>
              <w:rPr>
                <w:sz w:val="20"/>
                <w:szCs w:val="20"/>
                <w:color w:val="auto"/>
              </w:rPr>
            </w:pPr>
            <w:r>
              <w:rPr>
                <w:rFonts w:ascii="Arial" w:cs="Arial" w:eastAsia="Arial" w:hAnsi="Arial"/>
                <w:sz w:val="14"/>
                <w:szCs w:val="14"/>
                <w:color w:val="auto"/>
                <w:w w:val="91"/>
              </w:rPr>
              <w:t>Business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0" w:type="dxa"/>
            <w:vAlign w:val="bottom"/>
            <w:tcBorders>
              <w:top w:val="single" w:sz="8" w:color="CCEEFF"/>
            </w:tcBorders>
            <w:gridSpan w:val="5"/>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Average yield</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340"/>
              <w:spacing w:after="0"/>
              <w:rPr>
                <w:sz w:val="20"/>
                <w:szCs w:val="20"/>
                <w:color w:val="auto"/>
              </w:rPr>
            </w:pPr>
            <w:r>
              <w:rPr>
                <w:rFonts w:ascii="Arial" w:cs="Arial" w:eastAsia="Arial" w:hAnsi="Arial"/>
                <w:sz w:val="18"/>
                <w:szCs w:val="18"/>
                <w:color w:val="auto"/>
              </w:rPr>
              <w:t>Collection and disposal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4"/>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Recycling commodities</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ind w:left="340"/>
              <w:spacing w:after="0"/>
              <w:rPr>
                <w:sz w:val="20"/>
                <w:szCs w:val="20"/>
                <w:color w:val="auto"/>
              </w:rPr>
            </w:pPr>
            <w:r>
              <w:rPr>
                <w:rFonts w:ascii="Arial" w:cs="Arial" w:eastAsia="Arial" w:hAnsi="Arial"/>
                <w:sz w:val="18"/>
                <w:szCs w:val="18"/>
                <w:color w:val="auto"/>
              </w:rPr>
              <w:t>Fuel surcharges and mandated fees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4"/>
          </w:tcPr>
          <w:p>
            <w:pPr>
              <w:jc w:val="right"/>
              <w:ind w:right="6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2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7"/>
          </w:tcPr>
          <w:p>
            <w:pPr>
              <w:jc w:val="center"/>
              <w:ind w:right="208"/>
              <w:spacing w:after="0"/>
              <w:rPr>
                <w:sz w:val="20"/>
                <w:szCs w:val="20"/>
                <w:color w:val="auto"/>
              </w:rPr>
            </w:pPr>
            <w:r>
              <w:rPr>
                <w:rFonts w:ascii="Arial" w:cs="Arial" w:eastAsia="Arial" w:hAnsi="Arial"/>
                <w:sz w:val="14"/>
                <w:szCs w:val="14"/>
                <w:b w:val="1"/>
                <w:bCs w:val="1"/>
                <w:color w:val="auto"/>
                <w:w w:val="92"/>
              </w:rPr>
              <w:t>Quarters Ended December 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10"/>
          </w:tcPr>
          <w:p>
            <w:pPr>
              <w:jc w:val="right"/>
              <w:ind w:right="440"/>
              <w:spacing w:after="0"/>
              <w:rPr>
                <w:sz w:val="20"/>
                <w:szCs w:val="20"/>
                <w:color w:val="auto"/>
              </w:rPr>
            </w:pPr>
            <w:r>
              <w:rPr>
                <w:rFonts w:ascii="Arial" w:cs="Arial" w:eastAsia="Arial" w:hAnsi="Arial"/>
                <w:sz w:val="14"/>
                <w:szCs w:val="14"/>
                <w:b w:val="1"/>
                <w:bCs w:val="1"/>
                <w:color w:val="auto"/>
                <w:w w:val="98"/>
              </w:rPr>
              <w:t>Twelve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left="173"/>
              <w:spacing w:after="0" w:line="142" w:lineRule="exact"/>
              <w:rPr>
                <w:sz w:val="20"/>
                <w:szCs w:val="20"/>
                <w:color w:val="auto"/>
              </w:rPr>
            </w:pPr>
            <w:r>
              <w:rPr>
                <w:rFonts w:ascii="Arial" w:cs="Arial" w:eastAsia="Arial" w:hAnsi="Arial"/>
                <w:sz w:val="14"/>
                <w:szCs w:val="14"/>
                <w:b w:val="1"/>
                <w:bCs w:val="1"/>
                <w:color w:val="auto"/>
                <w:w w:val="89"/>
              </w:rPr>
              <w:t>2015</w:t>
            </w:r>
          </w:p>
        </w:tc>
        <w:tc>
          <w:tcPr>
            <w:tcW w:w="38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Free Cash Flow Analysis (b)</w:t>
            </w:r>
          </w:p>
        </w:tc>
        <w:tc>
          <w:tcPr>
            <w:tcW w:w="3240" w:type="dxa"/>
            <w:vAlign w:val="bottom"/>
            <w:tcBorders>
              <w:bottom w:val="single" w:sz="8" w:color="CCEEFF"/>
            </w:tcBorders>
            <w:gridSpan w:val="3"/>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right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753</w:t>
            </w:r>
          </w:p>
        </w:tc>
        <w:tc>
          <w:tcPr>
            <w:tcW w:w="680" w:type="dxa"/>
            <w:vAlign w:val="bottom"/>
            <w:gridSpan w:val="2"/>
          </w:tcPr>
          <w:p>
            <w:pPr>
              <w:jc w:val="center"/>
              <w:ind w:left="434"/>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108"/>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2,960</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4"/>
          </w:tcPr>
          <w:p>
            <w:pPr>
              <w:jc w:val="right"/>
              <w:ind w:right="200"/>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w:t>
            </w: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00" w:type="dxa"/>
            <w:vAlign w:val="bottom"/>
            <w:gridSpan w:val="5"/>
          </w:tcPr>
          <w:p>
            <w:pPr>
              <w:spacing w:after="0" w:line="201" w:lineRule="exact"/>
              <w:rPr>
                <w:sz w:val="20"/>
                <w:szCs w:val="20"/>
                <w:color w:val="auto"/>
              </w:rPr>
            </w:pPr>
            <w:r>
              <w:rPr>
                <w:rFonts w:ascii="Arial" w:cs="Arial" w:eastAsia="Arial" w:hAnsi="Arial"/>
                <w:sz w:val="18"/>
                <w:szCs w:val="18"/>
                <w:color w:val="auto"/>
              </w:rPr>
              <w:t>Proceeds from divestitures of businesses and other assets (net of</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gridSpan w:val="5"/>
          </w:tcPr>
          <w:p>
            <w:pPr>
              <w:ind w:left="160"/>
              <w:spacing w:after="0"/>
              <w:rPr>
                <w:sz w:val="20"/>
                <w:szCs w:val="20"/>
                <w:color w:val="auto"/>
              </w:rPr>
            </w:pPr>
            <w:r>
              <w:rPr>
                <w:rFonts w:ascii="Arial" w:cs="Arial" w:eastAsia="Arial" w:hAnsi="Arial"/>
                <w:sz w:val="18"/>
                <w:szCs w:val="18"/>
                <w:color w:val="auto"/>
              </w:rPr>
              <w:t>cash divested)</w:t>
            </w:r>
          </w:p>
        </w:tc>
        <w:tc>
          <w:tcPr>
            <w:tcW w:w="10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4"/>
          </w:tcPr>
          <w:p>
            <w:pPr>
              <w:jc w:val="right"/>
              <w:ind w:right="2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387</w:t>
            </w:r>
          </w:p>
        </w:tc>
        <w:tc>
          <w:tcPr>
            <w:tcW w:w="68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Percentage change does not provide a meaningful comparison.</w:t>
      </w:r>
    </w:p>
    <w:p>
      <w:pPr>
        <w:spacing w:after="0" w:line="2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20" w:lineRule="exact"/>
        <w:rPr>
          <w:rFonts w:ascii="Arial" w:cs="Arial" w:eastAsia="Arial" w:hAnsi="Arial"/>
          <w:sz w:val="17"/>
          <w:szCs w:val="17"/>
          <w:color w:val="auto"/>
        </w:rPr>
      </w:pPr>
    </w:p>
    <w:p>
      <w:pPr>
        <w:ind w:left="460" w:right="80" w:hanging="452"/>
        <w:spacing w:after="0" w:line="255"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w:t>
      </w:r>
    </w:p>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Quarters Ended</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12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6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3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Balance Sheet Data</w:t>
            </w:r>
          </w:p>
        </w:tc>
        <w:tc>
          <w:tcPr>
            <w:tcW w:w="5840" w:type="dxa"/>
            <w:vAlign w:val="bottom"/>
            <w:tcBorders>
              <w:bottom w:val="single" w:sz="8" w:color="CCEEFF"/>
            </w:tcBorders>
            <w:gridSpan w:val="4"/>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7"/>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30</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60" w:type="dxa"/>
            <w:vAlign w:val="bottom"/>
            <w:gridSpan w:val="6"/>
          </w:tcPr>
          <w:p>
            <w:pPr>
              <w:ind w:left="180"/>
              <w:spacing w:after="0"/>
              <w:rPr>
                <w:sz w:val="20"/>
                <w:szCs w:val="20"/>
                <w:color w:val="auto"/>
              </w:rPr>
            </w:pPr>
            <w:r>
              <w:rPr>
                <w:rFonts w:ascii="Arial" w:cs="Arial" w:eastAsia="Arial" w:hAnsi="Arial"/>
                <w:sz w:val="18"/>
                <w:szCs w:val="18"/>
                <w:color w:val="auto"/>
              </w:rPr>
              <w:t>Long-term indebtedness, including current portion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9,310</w:t>
            </w:r>
          </w:p>
        </w:tc>
        <w:tc>
          <w:tcPr>
            <w:tcW w:w="36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9,261</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16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Total equity</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5,383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160" w:type="dxa"/>
            <w:vAlign w:val="bottom"/>
            <w:gridSpan w:val="6"/>
          </w:tcPr>
          <w:p>
            <w:pPr>
              <w:ind w:left="540"/>
              <w:spacing w:after="0"/>
              <w:rPr>
                <w:sz w:val="20"/>
                <w:szCs w:val="20"/>
                <w:color w:val="auto"/>
              </w:rPr>
            </w:pPr>
            <w:r>
              <w:rPr>
                <w:rFonts w:ascii="Arial" w:cs="Arial" w:eastAsia="Arial" w:hAnsi="Arial"/>
                <w:sz w:val="18"/>
                <w:szCs w:val="18"/>
                <w:color w:val="auto"/>
              </w:rPr>
              <w:t>Total capital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14,630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14,644</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14,296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16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Debt-to-total capital</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63.6%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0"/>
        </w:trPr>
        <w:tc>
          <w:tcPr>
            <w:tcW w:w="7340" w:type="dxa"/>
            <w:vAlign w:val="bottom"/>
            <w:gridSpan w:val="8"/>
            <w:vMerge w:val="restart"/>
          </w:tcPr>
          <w:p>
            <w:pPr>
              <w:spacing w:after="0"/>
              <w:rPr>
                <w:sz w:val="20"/>
                <w:szCs w:val="20"/>
                <w:color w:val="auto"/>
              </w:rPr>
            </w:pPr>
            <w:r>
              <w:rPr>
                <w:rFonts w:ascii="Arial" w:cs="Arial" w:eastAsia="Arial" w:hAnsi="Arial"/>
                <w:sz w:val="18"/>
                <w:szCs w:val="18"/>
                <w:color w:val="auto"/>
              </w:rPr>
              <w:t>Capitalized interest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gridSpan w:val="8"/>
            <w:vMerge w:val="continue"/>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320" w:type="dxa"/>
            <w:vAlign w:val="bottom"/>
            <w:gridSpan w:val="7"/>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Acquisition Summary (a)</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3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60" w:type="dxa"/>
            <w:vAlign w:val="bottom"/>
            <w:gridSpan w:val="6"/>
          </w:tcPr>
          <w:p>
            <w:pPr>
              <w:ind w:left="180"/>
              <w:spacing w:after="0"/>
              <w:rPr>
                <w:sz w:val="20"/>
                <w:szCs w:val="20"/>
                <w:color w:val="auto"/>
              </w:rPr>
            </w:pPr>
            <w:r>
              <w:rPr>
                <w:rFonts w:ascii="Arial" w:cs="Arial" w:eastAsia="Arial" w:hAnsi="Arial"/>
                <w:sz w:val="18"/>
                <w:szCs w:val="18"/>
                <w:color w:val="auto"/>
              </w:rPr>
              <w:t>Gross annualized revenue acquired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23</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16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Total consideration</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160" w:type="dxa"/>
            <w:vAlign w:val="bottom"/>
            <w:gridSpan w:val="6"/>
            <w:vMerge w:val="restart"/>
          </w:tcPr>
          <w:p>
            <w:pPr>
              <w:ind w:left="180"/>
              <w:spacing w:after="0"/>
              <w:rPr>
                <w:sz w:val="20"/>
                <w:szCs w:val="20"/>
                <w:color w:val="auto"/>
              </w:rPr>
            </w:pPr>
            <w:r>
              <w:rPr>
                <w:rFonts w:ascii="Arial" w:cs="Arial" w:eastAsia="Arial" w:hAnsi="Arial"/>
                <w:sz w:val="18"/>
                <w:szCs w:val="18"/>
                <w:color w:val="auto"/>
              </w:rPr>
              <w:t>Cash paid for acquisitions</w:t>
            </w: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60" w:type="dxa"/>
            <w:vAlign w:val="bottom"/>
            <w:gridSpan w:val="6"/>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840" w:type="dxa"/>
            <w:vAlign w:val="bottom"/>
            <w:tcBorders>
              <w:bottom w:val="single" w:sz="8" w:color="auto"/>
            </w:tcBorders>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2"/>
              </w:rPr>
              <w:t>Other Operational Data</w:t>
            </w:r>
          </w:p>
        </w:tc>
        <w:tc>
          <w:tcPr>
            <w:tcW w:w="5480" w:type="dxa"/>
            <w:vAlign w:val="bottom"/>
            <w:tcBorders>
              <w:bottom w:val="single" w:sz="8" w:color="CCEEFF"/>
            </w:tcBorders>
            <w:gridSpan w:val="3"/>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7"/>
          </w:tcPr>
          <w:p>
            <w:pPr>
              <w:spacing w:after="0"/>
              <w:rPr>
                <w:sz w:val="20"/>
                <w:szCs w:val="20"/>
                <w:color w:val="auto"/>
              </w:rPr>
            </w:pPr>
            <w:r>
              <w:rPr>
                <w:rFonts w:ascii="Arial" w:cs="Arial" w:eastAsia="Arial" w:hAnsi="Arial"/>
                <w:sz w:val="18"/>
                <w:szCs w:val="18"/>
                <w:color w:val="auto"/>
              </w:rPr>
              <w:t>Internalization of waste, based on disposal costs</w:t>
            </w:r>
          </w:p>
        </w:tc>
        <w:tc>
          <w:tcPr>
            <w:tcW w:w="18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66.1%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65.8%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gridSpan w:val="8"/>
            <w:vMerge w:val="restart"/>
          </w:tcPr>
          <w:p>
            <w:pPr>
              <w:spacing w:after="0"/>
              <w:rPr>
                <w:sz w:val="20"/>
                <w:szCs w:val="20"/>
                <w:color w:val="auto"/>
              </w:rPr>
            </w:pPr>
            <w:r>
              <w:rPr>
                <w:rFonts w:ascii="Arial" w:cs="Arial" w:eastAsia="Arial" w:hAnsi="Arial"/>
                <w:sz w:val="18"/>
                <w:szCs w:val="18"/>
                <w:color w:val="auto"/>
              </w:rPr>
              <w:t>Active landfills</w:t>
            </w: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gridSpan w:val="8"/>
            <w:vMerge w:val="continue"/>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Sites accepting waste at the end of each period presented</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734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Amortization, Accretion and Other Expenses for Landfills Included in Operating</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340" w:type="dxa"/>
            <w:vAlign w:val="bottom"/>
            <w:gridSpan w:val="8"/>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tcBorders>
              <w:top w:val="single" w:sz="8" w:color="auto"/>
            </w:tcBorders>
            <w:gridSpan w:val="6"/>
          </w:tcPr>
          <w:p>
            <w:pPr>
              <w:ind w:left="160"/>
              <w:spacing w:after="0" w:line="196" w:lineRule="exact"/>
              <w:rPr>
                <w:sz w:val="20"/>
                <w:szCs w:val="20"/>
                <w:color w:val="auto"/>
              </w:rPr>
            </w:pPr>
            <w:r>
              <w:rPr>
                <w:rFonts w:ascii="Arial" w:cs="Arial" w:eastAsia="Arial" w:hAnsi="Arial"/>
                <w:sz w:val="18"/>
                <w:szCs w:val="18"/>
                <w:b w:val="1"/>
                <w:bCs w:val="1"/>
                <w:color w:val="auto"/>
              </w:rPr>
              <w:t>Groups:</w:t>
            </w: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Landfill amortization expense—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60" w:type="dxa"/>
            <w:vAlign w:val="bottom"/>
            <w:gridSpan w:val="6"/>
          </w:tcPr>
          <w:p>
            <w:pPr>
              <w:ind w:left="180"/>
              <w:spacing w:after="0"/>
              <w:rPr>
                <w:sz w:val="20"/>
                <w:szCs w:val="20"/>
                <w:color w:val="auto"/>
              </w:rPr>
            </w:pPr>
            <w:r>
              <w:rPr>
                <w:rFonts w:ascii="Arial" w:cs="Arial" w:eastAsia="Arial" w:hAnsi="Arial"/>
                <w:sz w:val="18"/>
                <w:szCs w:val="18"/>
                <w:color w:val="auto"/>
              </w:rPr>
              <w:t>Cost basis of landfill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93.5</w:t>
            </w:r>
          </w:p>
        </w:tc>
        <w:tc>
          <w:tcPr>
            <w:tcW w:w="36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98.3</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16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Asset retirement costs</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160" w:type="dxa"/>
            <w:vAlign w:val="bottom"/>
            <w:gridSpan w:val="6"/>
          </w:tcPr>
          <w:p>
            <w:pPr>
              <w:ind w:left="540"/>
              <w:spacing w:after="0"/>
              <w:rPr>
                <w:sz w:val="20"/>
                <w:szCs w:val="20"/>
                <w:color w:val="auto"/>
              </w:rPr>
            </w:pPr>
            <w:r>
              <w:rPr>
                <w:rFonts w:ascii="Arial" w:cs="Arial" w:eastAsia="Arial" w:hAnsi="Arial"/>
                <w:sz w:val="18"/>
                <w:szCs w:val="18"/>
                <w:color w:val="auto"/>
              </w:rPr>
              <w:t>Total landfill amortization expense (b) (c)</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160" w:type="dxa"/>
            <w:vAlign w:val="bottom"/>
            <w:gridSpan w:val="6"/>
          </w:tcPr>
          <w:p>
            <w:pPr>
              <w:ind w:left="180"/>
              <w:spacing w:after="0"/>
              <w:rPr>
                <w:sz w:val="20"/>
                <w:szCs w:val="20"/>
                <w:color w:val="auto"/>
              </w:rPr>
            </w:pPr>
            <w:r>
              <w:rPr>
                <w:rFonts w:ascii="Arial" w:cs="Arial" w:eastAsia="Arial" w:hAnsi="Arial"/>
                <w:sz w:val="18"/>
                <w:szCs w:val="18"/>
                <w:color w:val="auto"/>
              </w:rPr>
              <w:t>Landfill amortization, accretion and other related expense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140" w:hanging="452"/>
        <w:spacing w:after="0" w:line="25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 except for Cash paid for acquisitions, which may include cash payments for business acquisitions consummated in prior quarters.</w:t>
      </w:r>
    </w:p>
    <w:p>
      <w:pPr>
        <w:spacing w:after="0" w:line="1" w:lineRule="exact"/>
        <w:rPr>
          <w:rFonts w:ascii="Arial" w:cs="Arial" w:eastAsia="Arial" w:hAnsi="Arial"/>
          <w:sz w:val="18"/>
          <w:szCs w:val="18"/>
          <w:color w:val="auto"/>
        </w:rPr>
      </w:pPr>
    </w:p>
    <w:p>
      <w:pPr>
        <w:ind w:left="460" w:right="960" w:hanging="452"/>
        <w:spacing w:after="0" w:line="265"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quarter ended December 31, 2016 as compared to the quarter ended September 30, 2016 reflects a decrease in amortization expense of approximately $25.2 million, primarily due to changes in landfill estimates identified in the current quarter.</w:t>
      </w:r>
    </w:p>
    <w:p>
      <w:pPr>
        <w:ind w:left="460" w:right="92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quarter ended December 31, 2016 as compared to the quarter ended December 31, 2015 reflects an increase in amortization expense of approximately $3.4 million primarily due to increased volumes.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w:t>
      </w:r>
    </w:p>
    <w:p>
      <w:pPr>
        <w:sectPr>
          <w:pgSz w:w="11900" w:h="16838" w:orient="portrait"/>
          <w:cols w:equalWidth="0" w:num="1">
            <w:col w:w="11420"/>
          </w:cols>
          <w:pgMar w:left="240" w:top="270" w:right="239" w:bottom="1440" w:gutter="0" w:footer="0" w:header="0"/>
        </w:sectPr>
      </w:pPr>
    </w:p>
    <w:bookmarkStart w:id="16" w:name="page17"/>
    <w:bookmarkEnd w:id="16"/>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ind w:right="-71"/>
        <w:spacing w:after="0"/>
        <w:rPr>
          <w:sz w:val="20"/>
          <w:szCs w:val="20"/>
          <w:color w:val="auto"/>
        </w:rPr>
      </w:pPr>
      <w:r>
        <w:rPr>
          <w:rFonts w:ascii="Arial" w:cs="Arial" w:eastAsia="Arial" w:hAnsi="Arial"/>
          <w:sz w:val="16"/>
          <w:szCs w:val="16"/>
          <w:b w:val="1"/>
          <w:bCs w:val="1"/>
          <w:color w:val="auto"/>
        </w:rPr>
        <w:t>Reconciliation of Certain Non-GAAP Measures</w:t>
      </w:r>
    </w:p>
    <w:p>
      <w:pPr>
        <w:spacing w:after="0" w:line="32" w:lineRule="exact"/>
        <w:rPr>
          <w:sz w:val="20"/>
          <w:szCs w:val="20"/>
          <w:color w:val="auto"/>
        </w:rPr>
      </w:pPr>
    </w:p>
    <w:p>
      <w:pPr>
        <w:jc w:val="center"/>
        <w:ind w:right="-71"/>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32"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332"/>
          </w:cols>
          <w:pgMar w:left="248" w:top="27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372"/>
        <w:spacing w:after="0"/>
        <w:rPr>
          <w:sz w:val="20"/>
          <w:szCs w:val="20"/>
          <w:color w:val="auto"/>
        </w:rPr>
      </w:pPr>
      <w:r>
        <w:rPr>
          <w:rFonts w:ascii="Arial" w:cs="Arial" w:eastAsia="Arial" w:hAnsi="Arial"/>
          <w:sz w:val="18"/>
          <w:szCs w:val="18"/>
          <w:b w:val="1"/>
          <w:bCs w:val="1"/>
          <w:i w:val="1"/>
          <w:iCs w:val="1"/>
          <w:color w:val="auto"/>
        </w:rPr>
        <w:t>Adjusted Net Income and Diluted Earnings Per Share</w:t>
      </w:r>
    </w:p>
    <w:p>
      <w:pPr>
        <w:spacing w:after="0" w:line="23" w:lineRule="exact"/>
        <w:rPr>
          <w:sz w:val="20"/>
          <w:szCs w:val="20"/>
          <w:color w:val="auto"/>
        </w:rPr>
      </w:pPr>
    </w:p>
    <w:p>
      <w:pPr>
        <w:ind w:left="1372"/>
        <w:spacing w:after="0"/>
        <w:rPr>
          <w:sz w:val="20"/>
          <w:szCs w:val="20"/>
          <w:color w:val="auto"/>
        </w:rPr>
      </w:pPr>
      <w:r>
        <w:rPr>
          <w:rFonts w:ascii="Arial" w:cs="Arial" w:eastAsia="Arial" w:hAnsi="Arial"/>
          <w:sz w:val="18"/>
          <w:szCs w:val="18"/>
          <w:b w:val="1"/>
          <w:bCs w:val="1"/>
          <w:color w:val="auto"/>
        </w:rPr>
        <w:t>Net Income and Diluted EPS,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875030</wp:posOffset>
            </wp:positionH>
            <wp:positionV relativeFrom="paragraph">
              <wp:posOffset>-130810</wp:posOffset>
            </wp:positionV>
            <wp:extent cx="550545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ind w:left="1372"/>
        <w:spacing w:after="0"/>
        <w:rPr>
          <w:sz w:val="20"/>
          <w:szCs w:val="20"/>
          <w:color w:val="auto"/>
        </w:rPr>
      </w:pPr>
      <w:r>
        <w:rPr>
          <w:rFonts w:ascii="Arial" w:cs="Arial" w:eastAsia="Arial" w:hAnsi="Arial"/>
          <w:sz w:val="18"/>
          <w:szCs w:val="18"/>
          <w:b w:val="1"/>
          <w:bCs w:val="1"/>
          <w:color w:val="auto"/>
        </w:rPr>
        <w:t>Adjustment:</w:t>
      </w:r>
    </w:p>
    <w:p>
      <w:pPr>
        <w:spacing w:after="0" w:line="23" w:lineRule="exact"/>
        <w:rPr>
          <w:sz w:val="20"/>
          <w:szCs w:val="20"/>
          <w:color w:val="auto"/>
        </w:rPr>
      </w:pPr>
    </w:p>
    <w:p>
      <w:pPr>
        <w:ind w:left="1912" w:right="420" w:hanging="179"/>
        <w:spacing w:after="0" w:line="255" w:lineRule="auto"/>
        <w:rPr>
          <w:sz w:val="20"/>
          <w:szCs w:val="20"/>
          <w:color w:val="auto"/>
        </w:rPr>
      </w:pPr>
      <w:r>
        <w:rPr>
          <w:rFonts w:ascii="Arial" w:cs="Arial" w:eastAsia="Arial" w:hAnsi="Arial"/>
          <w:sz w:val="18"/>
          <w:szCs w:val="18"/>
          <w:color w:val="auto"/>
        </w:rPr>
        <w:t xml:space="preserve">Expense from divestitures, asset impairments and unusual items and restructuring </w:t>
      </w: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875030</wp:posOffset>
            </wp:positionH>
            <wp:positionV relativeFrom="paragraph">
              <wp:posOffset>-278765</wp:posOffset>
            </wp:positionV>
            <wp:extent cx="5505450" cy="274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05450" cy="274320"/>
                    </a:xfrm>
                    <a:prstGeom prst="rect">
                      <a:avLst/>
                    </a:prstGeom>
                    <a:noFill/>
                  </pic:spPr>
                </pic:pic>
              </a:graphicData>
            </a:graphic>
          </wp:anchor>
        </w:drawing>
      </w:r>
    </w:p>
    <w:p>
      <w:pPr>
        <w:ind w:left="1372"/>
        <w:spacing w:after="0"/>
        <w:rPr>
          <w:sz w:val="20"/>
          <w:szCs w:val="20"/>
          <w:color w:val="auto"/>
        </w:rPr>
      </w:pPr>
      <w:r>
        <w:rPr>
          <w:rFonts w:ascii="Arial" w:cs="Arial" w:eastAsia="Arial" w:hAnsi="Arial"/>
          <w:sz w:val="18"/>
          <w:szCs w:val="18"/>
          <w:b w:val="1"/>
          <w:bCs w:val="1"/>
          <w:color w:val="auto"/>
        </w:rPr>
        <w:t>Adjusted Net Income and Diluted EPS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Quarter Ended</w:t>
      </w:r>
    </w:p>
    <w:p>
      <w:pPr>
        <w:ind w:left="500"/>
        <w:spacing w:after="0" w:line="236" w:lineRule="auto"/>
        <w:rPr>
          <w:sz w:val="20"/>
          <w:szCs w:val="20"/>
          <w:color w:val="auto"/>
        </w:rPr>
      </w:pPr>
      <w:r>
        <w:rPr>
          <w:rFonts w:ascii="Arial" w:cs="Arial" w:eastAsia="Arial" w:hAnsi="Arial"/>
          <w:sz w:val="14"/>
          <w:szCs w:val="14"/>
          <w:b w:val="1"/>
          <w:bCs w:val="1"/>
          <w:color w:val="auto"/>
        </w:rPr>
        <w:t>December 31, 2015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220" w:type="dxa"/>
            <w:vAlign w:val="bottom"/>
            <w:tcBorders>
              <w:top w:val="single" w:sz="8" w:color="auto"/>
            </w:tcBorders>
            <w:gridSpan w:val="3"/>
          </w:tcPr>
          <w:p>
            <w:pPr>
              <w:ind w:left="60"/>
              <w:spacing w:after="0" w:line="119" w:lineRule="exact"/>
              <w:rPr>
                <w:sz w:val="20"/>
                <w:szCs w:val="20"/>
                <w:color w:val="auto"/>
              </w:rPr>
            </w:pPr>
            <w:r>
              <w:rPr>
                <w:rFonts w:ascii="Arial" w:cs="Arial" w:eastAsia="Arial" w:hAnsi="Arial"/>
                <w:sz w:val="13"/>
                <w:szCs w:val="13"/>
                <w:b w:val="1"/>
                <w:bCs w:val="1"/>
                <w:color w:val="auto"/>
              </w:rPr>
              <w:t>After-tax</w:t>
            </w:r>
          </w:p>
        </w:tc>
        <w:tc>
          <w:tcPr>
            <w:tcW w:w="92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rPr>
              <w:t>Per Share</w:t>
            </w:r>
          </w:p>
        </w:tc>
      </w:tr>
      <w:tr>
        <w:trPr>
          <w:trHeight w:val="171"/>
        </w:trPr>
        <w:tc>
          <w:tcPr>
            <w:tcW w:w="12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4"/>
              </w:rPr>
              <w:t>Amount (a)</w:t>
            </w:r>
          </w:p>
        </w:tc>
        <w:tc>
          <w:tcPr>
            <w:tcW w:w="3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r>
      <w:tr>
        <w:trPr>
          <w:trHeight w:val="228"/>
        </w:trPr>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273</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0.61</w:t>
            </w:r>
          </w:p>
        </w:tc>
      </w:tr>
      <w:tr>
        <w:trPr>
          <w:trHeight w:val="630"/>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47</w:t>
            </w:r>
            <w:r>
              <w:rPr>
                <w:rFonts w:ascii="Arial" w:cs="Arial" w:eastAsia="Arial" w:hAnsi="Arial"/>
                <w:sz w:val="18"/>
                <w:szCs w:val="18"/>
                <w:b w:val="1"/>
                <w:bCs w:val="1"/>
                <w:color w:val="auto"/>
              </w:rPr>
              <w:t>(c)</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23"/>
        </w:trPr>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0.71</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72" w:space="720"/>
            <w:col w:w="3540"/>
          </w:cols>
          <w:pgMar w:left="248" w:top="270" w:right="31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ind w:left="452"/>
        <w:spacing w:after="0"/>
        <w:rPr>
          <w:sz w:val="20"/>
          <w:szCs w:val="20"/>
          <w:color w:val="auto"/>
        </w:rPr>
      </w:pPr>
      <w:r>
        <w:rPr>
          <w:rFonts w:ascii="Arial" w:cs="Arial" w:eastAsia="Arial" w:hAnsi="Arial"/>
          <w:sz w:val="18"/>
          <w:szCs w:val="18"/>
          <w:b w:val="1"/>
          <w:bCs w:val="1"/>
          <w:i w:val="1"/>
          <w:iCs w:val="1"/>
          <w:color w:val="auto"/>
        </w:rPr>
        <w:t>Adjusted Net Income and Diluted Earnings Per Share</w:t>
      </w:r>
    </w:p>
    <w:p>
      <w:pPr>
        <w:spacing w:after="0" w:line="23"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Net Income and Diluted EPS,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-130810</wp:posOffset>
            </wp:positionV>
            <wp:extent cx="666369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ind w:left="452"/>
        <w:spacing w:after="0"/>
        <w:rPr>
          <w:sz w:val="20"/>
          <w:szCs w:val="20"/>
          <w:color w:val="auto"/>
        </w:rPr>
      </w:pPr>
      <w:r>
        <w:rPr>
          <w:rFonts w:ascii="Arial" w:cs="Arial" w:eastAsia="Arial" w:hAnsi="Arial"/>
          <w:sz w:val="18"/>
          <w:szCs w:val="18"/>
          <w:b w:val="1"/>
          <w:bCs w:val="1"/>
          <w:color w:val="auto"/>
        </w:rPr>
        <w:t>Adjustments:</w:t>
      </w:r>
    </w:p>
    <w:p>
      <w:pPr>
        <w:spacing w:after="0" w:line="23" w:lineRule="exact"/>
        <w:rPr>
          <w:sz w:val="20"/>
          <w:szCs w:val="20"/>
          <w:color w:val="auto"/>
        </w:rPr>
      </w:pPr>
    </w:p>
    <w:p>
      <w:pPr>
        <w:ind w:left="992" w:hanging="179"/>
        <w:spacing w:after="0" w:line="250" w:lineRule="auto"/>
        <w:rPr>
          <w:sz w:val="20"/>
          <w:szCs w:val="20"/>
          <w:color w:val="auto"/>
        </w:rPr>
      </w:pPr>
      <w:r>
        <w:rPr>
          <w:rFonts w:ascii="Arial" w:cs="Arial" w:eastAsia="Arial" w:hAnsi="Arial"/>
          <w:sz w:val="18"/>
          <w:szCs w:val="18"/>
          <w:color w:val="auto"/>
        </w:rPr>
        <w:t xml:space="preserve">Expense from divestitures, asset impairments and unusual items and restructuring </w:t>
      </w: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-273050</wp:posOffset>
            </wp:positionV>
            <wp:extent cx="6663690"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63690" cy="274320"/>
                    </a:xfrm>
                    <a:prstGeom prst="rect">
                      <a:avLst/>
                    </a:prstGeom>
                    <a:noFill/>
                  </pic:spPr>
                </pic:pic>
              </a:graphicData>
            </a:graphic>
          </wp:anchor>
        </w:drawing>
      </w:r>
    </w:p>
    <w:p>
      <w:pPr>
        <w:ind w:left="812"/>
        <w:spacing w:after="0"/>
        <w:rPr>
          <w:sz w:val="20"/>
          <w:szCs w:val="20"/>
          <w:color w:val="auto"/>
        </w:rPr>
      </w:pPr>
      <w:r>
        <w:rPr>
          <w:rFonts w:ascii="Arial" w:cs="Arial" w:eastAsia="Arial" w:hAnsi="Arial"/>
          <w:sz w:val="18"/>
          <w:szCs w:val="18"/>
          <w:color w:val="auto"/>
        </w:rPr>
        <w:t>Loss on early extinguishment of debt</w:t>
      </w:r>
    </w:p>
    <w:p>
      <w:pPr>
        <w:spacing w:after="0" w:line="9" w:lineRule="exact"/>
        <w:rPr>
          <w:sz w:val="20"/>
          <w:szCs w:val="20"/>
          <w:color w:val="auto"/>
        </w:rPr>
      </w:pPr>
    </w:p>
    <w:p>
      <w:pPr>
        <w:ind w:left="812"/>
        <w:spacing w:after="0"/>
        <w:rPr>
          <w:sz w:val="20"/>
          <w:szCs w:val="20"/>
          <w:color w:val="auto"/>
        </w:rPr>
      </w:pPr>
      <w:r>
        <w:rPr>
          <w:rFonts w:ascii="Arial" w:cs="Arial" w:eastAsia="Arial" w:hAnsi="Arial"/>
          <w:sz w:val="18"/>
          <w:szCs w:val="18"/>
          <w:color w:val="auto"/>
        </w:rPr>
        <w:t>Partial withdrawal from multiemployer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-130810</wp:posOffset>
            </wp:positionV>
            <wp:extent cx="666369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6"/>
              </w:rPr>
              <w:t>Year Ended</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20" w:type="dxa"/>
            <w:vAlign w:val="bottom"/>
          </w:tcPr>
          <w:p>
            <w:pPr>
              <w:spacing w:after="0"/>
              <w:rPr>
                <w:sz w:val="14"/>
                <w:szCs w:val="14"/>
                <w:color w:val="auto"/>
              </w:rPr>
            </w:pPr>
          </w:p>
        </w:tc>
        <w:tc>
          <w:tcPr>
            <w:tcW w:w="21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December 31, 2016</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December 31, 2015</w:t>
            </w:r>
          </w:p>
        </w:tc>
      </w:tr>
      <w:tr>
        <w:trPr>
          <w:trHeight w:val="119"/>
        </w:trPr>
        <w:tc>
          <w:tcPr>
            <w:tcW w:w="20" w:type="dxa"/>
            <w:vAlign w:val="bottom"/>
          </w:tcPr>
          <w:p>
            <w:pPr>
              <w:spacing w:after="0"/>
              <w:rPr>
                <w:sz w:val="10"/>
                <w:szCs w:val="10"/>
                <w:color w:val="auto"/>
              </w:rPr>
            </w:pPr>
          </w:p>
        </w:tc>
        <w:tc>
          <w:tcPr>
            <w:tcW w:w="1200" w:type="dxa"/>
            <w:vAlign w:val="bottom"/>
            <w:tcBorders>
              <w:top w:val="single" w:sz="8" w:color="auto"/>
            </w:tcBorders>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After-tax</w:t>
            </w: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Per Share</w:t>
            </w: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After-tax</w:t>
            </w: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Per Share</w:t>
            </w:r>
          </w:p>
        </w:tc>
        <w:tc>
          <w:tcPr>
            <w:tcW w:w="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Amount (a)</w:t>
            </w: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(a)</w:t>
            </w:r>
          </w:p>
        </w:tc>
        <w:tc>
          <w:tcPr>
            <w:tcW w:w="6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Amount</w:t>
            </w:r>
          </w:p>
        </w:tc>
      </w:tr>
      <w:tr>
        <w:trPr>
          <w:trHeight w:val="228"/>
        </w:trPr>
        <w:tc>
          <w:tcPr>
            <w:tcW w:w="20" w:type="dxa"/>
            <w:vAlign w:val="bottom"/>
          </w:tcPr>
          <w:p>
            <w:pPr>
              <w:spacing w:after="0"/>
              <w:rPr>
                <w:sz w:val="19"/>
                <w:szCs w:val="19"/>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  1,182</w:t>
            </w:r>
          </w:p>
        </w:tc>
        <w:tc>
          <w:tcPr>
            <w:tcW w:w="500" w:type="dxa"/>
            <w:vAlign w:val="bottom"/>
          </w:tcPr>
          <w:p>
            <w:pPr>
              <w:spacing w:after="0"/>
              <w:rPr>
                <w:sz w:val="19"/>
                <w:szCs w:val="19"/>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  2.65</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753</w:t>
            </w:r>
          </w:p>
        </w:tc>
        <w:tc>
          <w:tcPr>
            <w:tcW w:w="500" w:type="dxa"/>
            <w:vAlign w:val="bottom"/>
          </w:tcPr>
          <w:p>
            <w:pPr>
              <w:spacing w:after="0"/>
              <w:rPr>
                <w:sz w:val="19"/>
                <w:szCs w:val="19"/>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  1.65</w:t>
            </w:r>
          </w:p>
        </w:tc>
        <w:tc>
          <w:tcPr>
            <w:tcW w:w="20" w:type="dxa"/>
            <w:vAlign w:val="bottom"/>
          </w:tcPr>
          <w:p>
            <w:pPr>
              <w:spacing w:after="0"/>
              <w:rPr>
                <w:sz w:val="19"/>
                <w:szCs w:val="19"/>
                <w:color w:val="auto"/>
              </w:rPr>
            </w:pPr>
          </w:p>
        </w:tc>
      </w:tr>
      <w:tr>
        <w:trPr>
          <w:trHeight w:val="616"/>
        </w:trPr>
        <w:tc>
          <w:tcPr>
            <w:tcW w:w="1220" w:type="dxa"/>
            <w:vAlign w:val="bottom"/>
            <w:gridSpan w:val="3"/>
          </w:tcPr>
          <w:p>
            <w:pPr>
              <w:ind w:left="440"/>
              <w:spacing w:after="0"/>
              <w:rPr>
                <w:sz w:val="20"/>
                <w:szCs w:val="20"/>
                <w:color w:val="auto"/>
              </w:rPr>
            </w:pPr>
            <w:r>
              <w:rPr>
                <w:rFonts w:ascii="Arial" w:cs="Arial" w:eastAsia="Arial" w:hAnsi="Arial"/>
                <w:sz w:val="18"/>
                <w:szCs w:val="18"/>
                <w:color w:val="auto"/>
              </w:rPr>
              <w:t>114</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344</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sz w:val="20"/>
          <w:szCs w:val="20"/>
          <w:color w:val="auto"/>
        </w:rPr>
      </w:pPr>
    </w:p>
    <w:p>
      <w:pPr>
        <w:sectPr>
          <w:pgSz w:w="11900" w:h="16838" w:orient="portrait"/>
          <w:cols w:equalWidth="0" w:num="2">
            <w:col w:w="5732" w:space="660"/>
            <w:col w:w="4940"/>
          </w:cols>
          <w:pgMar w:left="248" w:top="270" w:right="319" w:bottom="1440" w:gutter="0" w:footer="0" w:header="0"/>
          <w:type w:val="continuous"/>
        </w:sectPr>
      </w:pPr>
    </w:p>
    <w:tbl>
      <w:tblPr>
        <w:tblLayout w:type="fixed"/>
        <w:tblInd w:w="452"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114</w:t>
            </w:r>
          </w:p>
        </w:tc>
        <w:tc>
          <w:tcPr>
            <w:tcW w:w="50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0.26</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500"/>
              <w:spacing w:after="0" w:line="203" w:lineRule="exact"/>
              <w:rPr>
                <w:sz w:val="20"/>
                <w:szCs w:val="20"/>
                <w:color w:val="auto"/>
              </w:rPr>
            </w:pPr>
            <w:r>
              <w:rPr>
                <w:rFonts w:ascii="Arial" w:cs="Arial" w:eastAsia="Arial" w:hAnsi="Arial"/>
                <w:sz w:val="18"/>
                <w:szCs w:val="18"/>
                <w:b w:val="1"/>
                <w:bCs w:val="1"/>
                <w:color w:val="auto"/>
              </w:rPr>
              <w:t>435</w:t>
            </w:r>
          </w:p>
        </w:tc>
        <w:tc>
          <w:tcPr>
            <w:tcW w:w="880" w:type="dxa"/>
            <w:vAlign w:val="bottom"/>
            <w:gridSpan w:val="2"/>
          </w:tcPr>
          <w:p>
            <w:pPr>
              <w:jc w:val="right"/>
              <w:ind w:right="260"/>
              <w:spacing w:after="0" w:line="203" w:lineRule="exact"/>
              <w:rPr>
                <w:sz w:val="20"/>
                <w:szCs w:val="20"/>
                <w:color w:val="auto"/>
              </w:rPr>
            </w:pPr>
            <w:r>
              <w:rPr>
                <w:rFonts w:ascii="Arial" w:cs="Arial" w:eastAsia="Arial" w:hAnsi="Arial"/>
                <w:sz w:val="18"/>
                <w:szCs w:val="18"/>
                <w:b w:val="1"/>
                <w:bCs w:val="1"/>
                <w:color w:val="auto"/>
              </w:rPr>
              <w:t>0.96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 and Diluted EPS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1,296</w:t>
            </w:r>
          </w:p>
        </w:tc>
        <w:tc>
          <w:tcPr>
            <w:tcW w:w="1540" w:type="dxa"/>
            <w:vAlign w:val="bottom"/>
            <w:gridSpan w:val="3"/>
            <w:shd w:val="clear" w:color="auto" w:fill="CCEEFF"/>
          </w:tcPr>
          <w:p>
            <w:pPr>
              <w:ind w:left="500"/>
              <w:spacing w:after="0"/>
              <w:rPr>
                <w:sz w:val="20"/>
                <w:szCs w:val="20"/>
                <w:color w:val="auto"/>
              </w:rPr>
            </w:pPr>
            <w:r>
              <w:rPr>
                <w:rFonts w:ascii="Arial" w:cs="Arial" w:eastAsia="Arial" w:hAnsi="Arial"/>
                <w:sz w:val="18"/>
                <w:szCs w:val="18"/>
                <w:b w:val="1"/>
                <w:bCs w:val="1"/>
                <w:color w:val="auto"/>
              </w:rPr>
              <w:t>$  2.91(d)</w:t>
            </w:r>
          </w:p>
        </w:tc>
        <w:tc>
          <w:tcPr>
            <w:tcW w:w="14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  1,188</w:t>
            </w:r>
          </w:p>
        </w:tc>
        <w:tc>
          <w:tcPr>
            <w:tcW w:w="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2.61(d)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52" w:hanging="452"/>
        <w:spacing w:after="0" w:line="258" w:lineRule="auto"/>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Please see the “Adjusted tax expense reconciliation” on page 12 for the tax expense associated with each of the after-tax adjustments to net income and diluted EPS in 2016 and 2015.</w:t>
      </w:r>
    </w:p>
    <w:p>
      <w:pPr>
        <w:spacing w:after="0" w:line="1" w:lineRule="exact"/>
        <w:rPr>
          <w:rFonts w:ascii="Arial" w:cs="Arial" w:eastAsia="Arial" w:hAnsi="Arial"/>
          <w:sz w:val="18"/>
          <w:szCs w:val="18"/>
          <w:b w:val="1"/>
          <w:bCs w:val="1"/>
          <w:color w:val="auto"/>
        </w:rPr>
      </w:pPr>
    </w:p>
    <w:p>
      <w:pPr>
        <w:ind w:left="452" w:right="100" w:hanging="452"/>
        <w:spacing w:after="0" w:line="250" w:lineRule="auto"/>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For the purpose of this table, adjustments in 2016 and 2015 include restructuring charges and impairment charges associated with assets in the “(Income)/expense from divestitures, asset impairments and unusual items” financial caption as well as impairment charges associated with certain of our investments in unconsolidated entities that are included in the “Other, net” financial caption.</w:t>
      </w:r>
    </w:p>
    <w:p>
      <w:pPr>
        <w:spacing w:after="0" w:line="1" w:lineRule="exact"/>
        <w:rPr>
          <w:rFonts w:ascii="Arial" w:cs="Arial" w:eastAsia="Arial" w:hAnsi="Arial"/>
          <w:sz w:val="18"/>
          <w:szCs w:val="18"/>
          <w:b w:val="1"/>
          <w:bCs w:val="1"/>
          <w:color w:val="auto"/>
        </w:rPr>
      </w:pPr>
    </w:p>
    <w:p>
      <w:pPr>
        <w:ind w:left="452" w:right="660" w:hanging="452"/>
        <w:spacing w:after="0" w:line="250" w:lineRule="auto"/>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Adjustments in the fourth quarter of 2015 consist primarily of an after-tax charge of $40 million to impair certain of our oil and gas producing properties resulting from the pronounced decrease in oil and gas prices in the fourth quarter of 2015.</w:t>
      </w: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Full year 2016 adjusted earnings per diluted share increased 11.5% as compared with 2015 adjusted earnings per diluted share.</w:t>
      </w:r>
    </w:p>
    <w:p>
      <w:pPr>
        <w:spacing w:after="0" w:line="139"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(9)</w:t>
      </w:r>
    </w:p>
    <w:p>
      <w:pPr>
        <w:sectPr>
          <w:pgSz w:w="11900" w:h="16838" w:orient="portrait"/>
          <w:cols w:equalWidth="0" w:num="1">
            <w:col w:w="11332"/>
          </w:cols>
          <w:pgMar w:left="248" w:top="270" w:right="319" w:bottom="1440" w:gutter="0" w:footer="0" w:header="0"/>
          <w:type w:val="continuous"/>
        </w:sectPr>
      </w:pPr>
    </w:p>
    <w:bookmarkStart w:id="17" w:name="page18"/>
    <w:bookmarkEnd w:id="17"/>
    <w:p>
      <w:pPr>
        <w:jc w:val="center"/>
        <w:ind w:right="8"/>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ind w:right="8"/>
        <w:spacing w:after="0"/>
        <w:rPr>
          <w:sz w:val="20"/>
          <w:szCs w:val="20"/>
          <w:color w:val="auto"/>
        </w:rPr>
      </w:pPr>
      <w:r>
        <w:rPr>
          <w:rFonts w:ascii="Arial" w:cs="Arial" w:eastAsia="Arial" w:hAnsi="Arial"/>
          <w:sz w:val="16"/>
          <w:szCs w:val="16"/>
          <w:b w:val="1"/>
          <w:bCs w:val="1"/>
          <w:color w:val="auto"/>
        </w:rPr>
        <w:t>Reconciliation of Certain Non-GAAP Measures</w:t>
      </w:r>
    </w:p>
    <w:p>
      <w:pPr>
        <w:spacing w:after="0" w:line="32" w:lineRule="exact"/>
        <w:rPr>
          <w:sz w:val="20"/>
          <w:szCs w:val="20"/>
          <w:color w:val="auto"/>
        </w:rPr>
      </w:pPr>
    </w:p>
    <w:p>
      <w:pPr>
        <w:jc w:val="center"/>
        <w:ind w:right="8"/>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32"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12"/>
          </w:cols>
          <w:pgMar w:left="248"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372"/>
        <w:spacing w:after="0"/>
        <w:rPr>
          <w:sz w:val="20"/>
          <w:szCs w:val="20"/>
          <w:color w:val="auto"/>
        </w:rPr>
      </w:pPr>
      <w:r>
        <w:rPr>
          <w:rFonts w:ascii="Arial" w:cs="Arial" w:eastAsia="Arial" w:hAnsi="Arial"/>
          <w:sz w:val="18"/>
          <w:szCs w:val="18"/>
          <w:b w:val="1"/>
          <w:bCs w:val="1"/>
          <w:i w:val="1"/>
          <w:iCs w:val="1"/>
          <w:color w:val="auto"/>
        </w:rPr>
        <w:t>Income from Operations and Operating EBITDA</w:t>
      </w:r>
    </w:p>
    <w:p>
      <w:pPr>
        <w:spacing w:after="0" w:line="23" w:lineRule="exact"/>
        <w:rPr>
          <w:sz w:val="20"/>
          <w:szCs w:val="20"/>
          <w:color w:val="auto"/>
        </w:rPr>
      </w:pPr>
    </w:p>
    <w:p>
      <w:pPr>
        <w:ind w:left="1372"/>
        <w:spacing w:after="0"/>
        <w:rPr>
          <w:sz w:val="20"/>
          <w:szCs w:val="20"/>
          <w:color w:val="auto"/>
        </w:rPr>
      </w:pPr>
      <w:r>
        <w:rPr>
          <w:rFonts w:ascii="Arial" w:cs="Arial" w:eastAsia="Arial" w:hAnsi="Arial"/>
          <w:sz w:val="18"/>
          <w:szCs w:val="18"/>
          <w:b w:val="1"/>
          <w:bCs w:val="1"/>
          <w:color w:val="auto"/>
        </w:rPr>
        <w:t>Operating Revenues,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875030</wp:posOffset>
            </wp:positionH>
            <wp:positionV relativeFrom="paragraph">
              <wp:posOffset>-130810</wp:posOffset>
            </wp:positionV>
            <wp:extent cx="550545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ind w:left="1372"/>
        <w:spacing w:after="0"/>
        <w:rPr>
          <w:sz w:val="20"/>
          <w:szCs w:val="20"/>
          <w:color w:val="auto"/>
        </w:rPr>
      </w:pPr>
      <w:r>
        <w:rPr>
          <w:rFonts w:ascii="Arial" w:cs="Arial" w:eastAsia="Arial" w:hAnsi="Arial"/>
          <w:sz w:val="18"/>
          <w:szCs w:val="18"/>
          <w:b w:val="1"/>
          <w:bCs w:val="1"/>
          <w:color w:val="auto"/>
        </w:rPr>
        <w:t>Income from Operations, as reported</w:t>
      </w:r>
    </w:p>
    <w:p>
      <w:pPr>
        <w:spacing w:after="0" w:line="23" w:lineRule="exact"/>
        <w:rPr>
          <w:sz w:val="20"/>
          <w:szCs w:val="20"/>
          <w:color w:val="auto"/>
        </w:rPr>
      </w:pPr>
    </w:p>
    <w:p>
      <w:pPr>
        <w:ind w:left="1732"/>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875030</wp:posOffset>
            </wp:positionH>
            <wp:positionV relativeFrom="paragraph">
              <wp:posOffset>-130810</wp:posOffset>
            </wp:positionV>
            <wp:extent cx="550545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72"/>
        <w:spacing w:after="0"/>
        <w:rPr>
          <w:sz w:val="20"/>
          <w:szCs w:val="20"/>
          <w:color w:val="auto"/>
        </w:rPr>
      </w:pPr>
      <w:r>
        <w:rPr>
          <w:rFonts w:ascii="Arial" w:cs="Arial" w:eastAsia="Arial" w:hAnsi="Arial"/>
          <w:sz w:val="18"/>
          <w:szCs w:val="18"/>
          <w:b w:val="1"/>
          <w:bCs w:val="1"/>
          <w:color w:val="auto"/>
        </w:rPr>
        <w:t>Operating EBITDA, as reported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72"/>
        <w:spacing w:after="0"/>
        <w:rPr>
          <w:sz w:val="20"/>
          <w:szCs w:val="20"/>
          <w:color w:val="auto"/>
        </w:rPr>
      </w:pPr>
      <w:r>
        <w:rPr>
          <w:rFonts w:ascii="Arial" w:cs="Arial" w:eastAsia="Arial" w:hAnsi="Arial"/>
          <w:sz w:val="18"/>
          <w:szCs w:val="18"/>
          <w:b w:val="1"/>
          <w:bCs w:val="1"/>
          <w:i w:val="1"/>
          <w:iCs w:val="1"/>
          <w:color w:val="auto"/>
        </w:rPr>
        <w:t>Adjusted Income from Operations</w:t>
      </w:r>
    </w:p>
    <w:p>
      <w:pPr>
        <w:spacing w:after="0" w:line="23" w:lineRule="exact"/>
        <w:rPr>
          <w:sz w:val="20"/>
          <w:szCs w:val="20"/>
          <w:color w:val="auto"/>
        </w:rPr>
      </w:pPr>
    </w:p>
    <w:p>
      <w:pPr>
        <w:ind w:left="1372"/>
        <w:spacing w:after="0"/>
        <w:rPr>
          <w:sz w:val="20"/>
          <w:szCs w:val="20"/>
          <w:color w:val="auto"/>
        </w:rPr>
      </w:pPr>
      <w:r>
        <w:rPr>
          <w:rFonts w:ascii="Arial" w:cs="Arial" w:eastAsia="Arial" w:hAnsi="Arial"/>
          <w:sz w:val="18"/>
          <w:szCs w:val="18"/>
          <w:b w:val="1"/>
          <w:bCs w:val="1"/>
          <w:color w:val="auto"/>
        </w:rPr>
        <w:t>Operating Revenues,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875030</wp:posOffset>
            </wp:positionH>
            <wp:positionV relativeFrom="paragraph">
              <wp:posOffset>-130810</wp:posOffset>
            </wp:positionV>
            <wp:extent cx="550545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ind w:left="1372"/>
        <w:spacing w:after="0"/>
        <w:rPr>
          <w:sz w:val="20"/>
          <w:szCs w:val="20"/>
          <w:color w:val="auto"/>
        </w:rPr>
      </w:pPr>
      <w:r>
        <w:rPr>
          <w:rFonts w:ascii="Arial" w:cs="Arial" w:eastAsia="Arial" w:hAnsi="Arial"/>
          <w:sz w:val="18"/>
          <w:szCs w:val="18"/>
          <w:b w:val="1"/>
          <w:bCs w:val="1"/>
          <w:color w:val="auto"/>
        </w:rPr>
        <w:t>Income from Operations, as reported</w:t>
      </w:r>
    </w:p>
    <w:p>
      <w:pPr>
        <w:spacing w:after="0" w:line="23" w:lineRule="exact"/>
        <w:rPr>
          <w:sz w:val="20"/>
          <w:szCs w:val="20"/>
          <w:color w:val="auto"/>
        </w:rPr>
      </w:pPr>
    </w:p>
    <w:p>
      <w:pPr>
        <w:ind w:left="1732"/>
        <w:spacing w:after="0"/>
        <w:rPr>
          <w:sz w:val="20"/>
          <w:szCs w:val="20"/>
          <w:color w:val="auto"/>
        </w:rPr>
      </w:pPr>
      <w:r>
        <w:rPr>
          <w:rFonts w:ascii="Arial" w:cs="Arial" w:eastAsia="Arial" w:hAnsi="Arial"/>
          <w:sz w:val="18"/>
          <w:szCs w:val="18"/>
          <w:b w:val="1"/>
          <w:bCs w:val="1"/>
          <w:color w:val="auto"/>
        </w:rPr>
        <w:t>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875030</wp:posOffset>
            </wp:positionH>
            <wp:positionV relativeFrom="paragraph">
              <wp:posOffset>-130810</wp:posOffset>
            </wp:positionV>
            <wp:extent cx="550545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2272" w:hanging="179"/>
        <w:spacing w:after="0" w:line="255" w:lineRule="auto"/>
        <w:rPr>
          <w:sz w:val="20"/>
          <w:szCs w:val="20"/>
          <w:color w:val="auto"/>
        </w:rPr>
      </w:pPr>
      <w:r>
        <w:rPr>
          <w:rFonts w:ascii="Arial" w:cs="Arial" w:eastAsia="Arial" w:hAnsi="Arial"/>
          <w:sz w:val="18"/>
          <w:szCs w:val="18"/>
          <w:color w:val="auto"/>
        </w:rPr>
        <w:t>Expense from divestitures, asset impairments and unusual items and restructuring</w:t>
      </w:r>
    </w:p>
    <w:p>
      <w:pPr>
        <w:spacing w:after="0" w:line="1" w:lineRule="exact"/>
        <w:rPr>
          <w:sz w:val="20"/>
          <w:szCs w:val="20"/>
          <w:color w:val="auto"/>
        </w:rPr>
      </w:pPr>
    </w:p>
    <w:p>
      <w:pPr>
        <w:ind w:left="1372"/>
        <w:spacing w:after="0"/>
        <w:rPr>
          <w:sz w:val="20"/>
          <w:szCs w:val="20"/>
          <w:color w:val="auto"/>
        </w:rPr>
      </w:pPr>
      <w:r>
        <w:rPr>
          <w:rFonts w:ascii="Arial" w:cs="Arial" w:eastAsia="Arial" w:hAnsi="Arial"/>
          <w:sz w:val="18"/>
          <w:szCs w:val="18"/>
          <w:b w:val="1"/>
          <w:bCs w:val="1"/>
          <w:color w:val="auto"/>
        </w:rPr>
        <w:t>Adjusted Income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875030</wp:posOffset>
            </wp:positionH>
            <wp:positionV relativeFrom="paragraph">
              <wp:posOffset>-119380</wp:posOffset>
            </wp:positionV>
            <wp:extent cx="550545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Quarter Ended</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-3175</wp:posOffset>
            </wp:positionV>
            <wp:extent cx="1191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ind w:left="1280"/>
        <w:spacing w:after="0" w:line="223" w:lineRule="auto"/>
        <w:rPr>
          <w:sz w:val="20"/>
          <w:szCs w:val="20"/>
          <w:color w:val="auto"/>
        </w:rPr>
      </w:pPr>
      <w:r>
        <w:rPr>
          <w:rFonts w:ascii="Arial" w:cs="Arial" w:eastAsia="Arial" w:hAnsi="Arial"/>
          <w:sz w:val="14"/>
          <w:szCs w:val="14"/>
          <w:b w:val="1"/>
          <w:bCs w:val="1"/>
          <w:color w:val="auto"/>
        </w:rPr>
        <w:t>As a % of</w:t>
      </w:r>
    </w:p>
    <w:p>
      <w:pPr>
        <w:ind w:left="20"/>
        <w:spacing w:after="0"/>
        <w:tabs>
          <w:tab w:leader="none" w:pos="1260" w:val="left"/>
        </w:tabs>
        <w:rPr>
          <w:sz w:val="20"/>
          <w:szCs w:val="20"/>
          <w:color w:val="auto"/>
        </w:rPr>
      </w:pPr>
      <w:r>
        <w:rPr>
          <w:rFonts w:ascii="Arial" w:cs="Arial" w:eastAsia="Arial" w:hAnsi="Arial"/>
          <w:sz w:val="14"/>
          <w:szCs w:val="14"/>
          <w:b w:val="1"/>
          <w:bCs w:val="1"/>
          <w:u w:val="single" w:color="auto"/>
          <w:color w:val="auto"/>
        </w:rPr>
        <w:t>Amount</w:t>
      </w:r>
      <w:r>
        <w:rPr>
          <w:sz w:val="20"/>
          <w:szCs w:val="20"/>
          <w:color w:val="auto"/>
        </w:rPr>
        <w:tab/>
      </w:r>
      <w:r>
        <w:rPr>
          <w:rFonts w:ascii="Arial" w:cs="Arial" w:eastAsia="Arial" w:hAnsi="Arial"/>
          <w:sz w:val="14"/>
          <w:szCs w:val="14"/>
          <w:b w:val="1"/>
          <w:bCs w:val="1"/>
          <w:u w:val="single" w:color="auto"/>
          <w:color w:val="auto"/>
        </w:rPr>
        <w:t>Revenues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$3,460</w:t>
      </w:r>
    </w:p>
    <w:p>
      <w:pPr>
        <w:spacing w:after="0" w:line="8" w:lineRule="exact"/>
        <w:rPr>
          <w:sz w:val="20"/>
          <w:szCs w:val="20"/>
          <w:color w:val="auto"/>
        </w:rPr>
      </w:pPr>
    </w:p>
    <w:p>
      <w:pPr>
        <w:spacing w:after="0"/>
        <w:tabs>
          <w:tab w:leader="none" w:pos="220" w:val="left"/>
          <w:tab w:leader="none" w:pos="1540" w:val="left"/>
        </w:tabs>
        <w:rPr>
          <w:sz w:val="20"/>
          <w:szCs w:val="20"/>
          <w:color w:val="auto"/>
        </w:rPr>
      </w:pPr>
      <w:r>
        <w:rPr>
          <w:rFonts w:ascii="Arial" w:cs="Arial" w:eastAsia="Arial" w:hAnsi="Arial"/>
          <w:sz w:val="18"/>
          <w:szCs w:val="18"/>
          <w:b w:val="1"/>
          <w:bCs w:val="1"/>
          <w:color w:val="auto"/>
        </w:rPr>
        <w:t>$</w:t>
        <w:tab/>
        <w:t>617(a)</w:t>
      </w:r>
      <w:r>
        <w:rPr>
          <w:sz w:val="20"/>
          <w:szCs w:val="20"/>
          <w:color w:val="auto"/>
        </w:rPr>
        <w:tab/>
      </w:r>
      <w:r>
        <w:rPr>
          <w:rFonts w:ascii="Arial" w:cs="Arial" w:eastAsia="Arial" w:hAnsi="Arial"/>
          <w:sz w:val="17"/>
          <w:szCs w:val="17"/>
          <w:b w:val="1"/>
          <w:bCs w:val="1"/>
          <w:color w:val="auto"/>
        </w:rPr>
        <w:t>17.8%(a)</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wp:posOffset>
            </wp:positionV>
            <wp:extent cx="3257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tabs>
          <w:tab w:leader="none" w:pos="220" w:val="left"/>
        </w:tabs>
        <w:rPr>
          <w:sz w:val="20"/>
          <w:szCs w:val="20"/>
          <w:color w:val="auto"/>
        </w:rPr>
      </w:pPr>
      <w:r>
        <w:rPr>
          <w:rFonts w:ascii="Arial" w:cs="Arial" w:eastAsia="Arial" w:hAnsi="Arial"/>
          <w:sz w:val="18"/>
          <w:szCs w:val="18"/>
          <w:b w:val="1"/>
          <w:bCs w:val="1"/>
          <w:u w:val="single" w:color="auto"/>
          <w:color w:val="auto"/>
        </w:rPr>
        <w:t>$</w:t>
      </w:r>
      <w:r>
        <w:rPr>
          <w:sz w:val="20"/>
          <w:szCs w:val="20"/>
          <w:color w:val="auto"/>
        </w:rPr>
        <w:tab/>
      </w:r>
      <w:r>
        <w:rPr>
          <w:rFonts w:ascii="Arial" w:cs="Arial" w:eastAsia="Arial" w:hAnsi="Arial"/>
          <w:sz w:val="16"/>
          <w:szCs w:val="16"/>
          <w:b w:val="1"/>
          <w:bCs w:val="1"/>
          <w:u w:val="single" w:color="auto"/>
          <w:color w:val="auto"/>
        </w:rPr>
        <w:t>930</w:t>
      </w:r>
      <w:r>
        <w:rPr>
          <w:rFonts w:ascii="Arial" w:cs="Arial" w:eastAsia="Arial" w:hAnsi="Arial"/>
          <w:sz w:val="16"/>
          <w:szCs w:val="16"/>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34290</wp:posOffset>
            </wp:positionV>
            <wp:extent cx="3257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Quarter Ended</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-3175</wp:posOffset>
            </wp:positionV>
            <wp:extent cx="1191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ind w:left="1280"/>
        <w:spacing w:after="0" w:line="223" w:lineRule="auto"/>
        <w:rPr>
          <w:sz w:val="20"/>
          <w:szCs w:val="20"/>
          <w:color w:val="auto"/>
        </w:rPr>
      </w:pPr>
      <w:r>
        <w:rPr>
          <w:rFonts w:ascii="Arial" w:cs="Arial" w:eastAsia="Arial" w:hAnsi="Arial"/>
          <w:sz w:val="14"/>
          <w:szCs w:val="14"/>
          <w:b w:val="1"/>
          <w:bCs w:val="1"/>
          <w:color w:val="auto"/>
        </w:rPr>
        <w:t>As a % of</w:t>
      </w:r>
    </w:p>
    <w:p>
      <w:pPr>
        <w:ind w:left="20"/>
        <w:spacing w:after="0"/>
        <w:tabs>
          <w:tab w:leader="none" w:pos="1260" w:val="left"/>
        </w:tabs>
        <w:rPr>
          <w:sz w:val="20"/>
          <w:szCs w:val="20"/>
          <w:color w:val="auto"/>
        </w:rPr>
      </w:pPr>
      <w:r>
        <w:rPr>
          <w:rFonts w:ascii="Arial" w:cs="Arial" w:eastAsia="Arial" w:hAnsi="Arial"/>
          <w:sz w:val="14"/>
          <w:szCs w:val="14"/>
          <w:b w:val="1"/>
          <w:bCs w:val="1"/>
          <w:u w:val="single" w:color="auto"/>
          <w:color w:val="auto"/>
        </w:rPr>
        <w:t>Amount</w:t>
      </w:r>
      <w:r>
        <w:rPr>
          <w:sz w:val="20"/>
          <w:szCs w:val="20"/>
          <w:color w:val="auto"/>
        </w:rPr>
        <w:tab/>
      </w:r>
      <w:r>
        <w:rPr>
          <w:rFonts w:ascii="Arial" w:cs="Arial" w:eastAsia="Arial" w:hAnsi="Arial"/>
          <w:sz w:val="14"/>
          <w:szCs w:val="14"/>
          <w:b w:val="1"/>
          <w:bCs w:val="1"/>
          <w:u w:val="single" w:color="auto"/>
          <w:color w:val="auto"/>
        </w:rPr>
        <w:t>Revenues</w:t>
      </w:r>
    </w:p>
    <w:p>
      <w:pPr>
        <w:spacing w:after="0" w:line="9" w:lineRule="exact"/>
        <w:rPr>
          <w:sz w:val="20"/>
          <w:szCs w:val="20"/>
          <w:color w:val="auto"/>
        </w:rPr>
      </w:pPr>
    </w:p>
    <w:p>
      <w:pPr>
        <w:ind w:left="120" w:hanging="114"/>
        <w:spacing w:after="0"/>
        <w:tabs>
          <w:tab w:leader="none" w:pos="1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3,246</w:t>
      </w:r>
    </w:p>
    <w:p>
      <w:pPr>
        <w:spacing w:after="0" w:line="7" w:lineRule="exact"/>
        <w:rPr>
          <w:rFonts w:ascii="Arial" w:cs="Arial" w:eastAsia="Arial" w:hAnsi="Arial"/>
          <w:sz w:val="18"/>
          <w:szCs w:val="18"/>
          <w:b w:val="1"/>
          <w:bCs w:val="1"/>
          <w:color w:val="auto"/>
        </w:rPr>
      </w:pPr>
    </w:p>
    <w:p>
      <w:pPr>
        <w:ind w:left="240" w:hanging="234"/>
        <w:spacing w:after="0"/>
        <w:tabs>
          <w:tab w:leader="none" w:pos="2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502</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3257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12" w:lineRule="exact"/>
        <w:rPr>
          <w:sz w:val="20"/>
          <w:szCs w:val="20"/>
          <w:color w:val="auto"/>
        </w:rPr>
      </w:pPr>
    </w:p>
    <w:p>
      <w:pPr>
        <w:spacing w:after="0"/>
        <w:tabs>
          <w:tab w:leader="none" w:pos="220" w:val="left"/>
          <w:tab w:leader="none" w:pos="1540" w:val="left"/>
        </w:tabs>
        <w:rPr>
          <w:sz w:val="20"/>
          <w:szCs w:val="20"/>
          <w:color w:val="auto"/>
        </w:rPr>
      </w:pPr>
      <w:r>
        <w:rPr>
          <w:rFonts w:ascii="Arial" w:cs="Arial" w:eastAsia="Arial" w:hAnsi="Arial"/>
          <w:sz w:val="18"/>
          <w:szCs w:val="18"/>
          <w:b w:val="1"/>
          <w:bCs w:val="1"/>
          <w:u w:val="single" w:color="auto"/>
          <w:color w:val="auto"/>
        </w:rPr>
        <w:t>$</w:t>
      </w:r>
      <w:r>
        <w:rPr>
          <w:sz w:val="20"/>
          <w:szCs w:val="20"/>
          <w:color w:val="auto"/>
        </w:rPr>
        <w:tab/>
      </w:r>
      <w:r>
        <w:rPr>
          <w:rFonts w:ascii="Arial" w:cs="Arial" w:eastAsia="Arial" w:hAnsi="Arial"/>
          <w:sz w:val="18"/>
          <w:szCs w:val="18"/>
          <w:b w:val="1"/>
          <w:bCs w:val="1"/>
          <w:u w:val="single" w:color="auto"/>
          <w:color w:val="auto"/>
        </w:rPr>
        <w:t>575</w:t>
      </w:r>
      <w:r>
        <w:rPr>
          <w:rFonts w:ascii="Arial" w:cs="Arial" w:eastAsia="Arial" w:hAnsi="Arial"/>
          <w:sz w:val="18"/>
          <w:szCs w:val="18"/>
          <w:b w:val="1"/>
          <w:bCs w:val="1"/>
          <w:color w:val="auto"/>
        </w:rPr>
        <w:t>(a)</w:t>
      </w:r>
      <w:r>
        <w:rPr>
          <w:sz w:val="20"/>
          <w:szCs w:val="20"/>
          <w:color w:val="auto"/>
        </w:rPr>
        <w:tab/>
      </w:r>
      <w:r>
        <w:rPr>
          <w:rFonts w:ascii="Arial" w:cs="Arial" w:eastAsia="Arial" w:hAnsi="Arial"/>
          <w:sz w:val="17"/>
          <w:szCs w:val="17"/>
          <w:b w:val="1"/>
          <w:bCs w:val="1"/>
          <w:color w:val="auto"/>
        </w:rPr>
        <w:t>17.7%(a)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34290</wp:posOffset>
            </wp:positionV>
            <wp:extent cx="3257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12" w:space="700"/>
            <w:col w:w="3700"/>
          </w:cols>
          <w:pgMar w:left="248" w:top="270" w:right="239" w:bottom="1440" w:gutter="0" w:footer="0" w:header="0"/>
          <w:type w:val="continuous"/>
        </w:sectPr>
      </w:pPr>
    </w:p>
    <w:p>
      <w:pPr>
        <w:spacing w:after="0" w:line="89"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Quarter Ended</w:t>
            </w:r>
          </w:p>
        </w:tc>
        <w:tc>
          <w:tcPr>
            <w:tcW w:w="0" w:type="dxa"/>
            <w:vAlign w:val="bottom"/>
          </w:tcPr>
          <w:p>
            <w:pPr>
              <w:spacing w:after="0"/>
              <w:rPr>
                <w:sz w:val="1"/>
                <w:szCs w:val="1"/>
                <w:color w:val="auto"/>
              </w:rPr>
            </w:pPr>
          </w:p>
        </w:tc>
      </w:tr>
      <w:tr>
        <w:trPr>
          <w:trHeight w:val="171"/>
        </w:trPr>
        <w:tc>
          <w:tcPr>
            <w:tcW w:w="63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Adjusted Operating EBITDA</w:t>
            </w: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96"/>
        </w:trPr>
        <w:tc>
          <w:tcPr>
            <w:tcW w:w="63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from Operations, as reported</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502</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EBITDA, as reported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b w:val="1"/>
                <w:bCs w:val="1"/>
                <w:color w:val="auto"/>
              </w:rPr>
              <w:t>Adjustment: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Expense from divestitures, asset impairments and unusual</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items and restructuring</w:t>
            </w: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Adjusted Operating EBITDA</w:t>
            </w:r>
          </w:p>
        </w:tc>
        <w:tc>
          <w:tcPr>
            <w:tcW w:w="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876(b)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52" w:hanging="452"/>
        <w:spacing w:after="0" w:line="258" w:lineRule="auto"/>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Fourth quarter 2016 as reported income from operations increased $42 million, or 10 basis points, as compared with adjusted income from operations in the fourth quarter of 2015.</w:t>
      </w:r>
    </w:p>
    <w:p>
      <w:pPr>
        <w:spacing w:after="0" w:line="1" w:lineRule="exact"/>
        <w:rPr>
          <w:rFonts w:ascii="Arial" w:cs="Arial" w:eastAsia="Arial" w:hAnsi="Arial"/>
          <w:sz w:val="18"/>
          <w:szCs w:val="18"/>
          <w:b w:val="1"/>
          <w:bCs w:val="1"/>
          <w:color w:val="auto"/>
        </w:rPr>
      </w:pPr>
    </w:p>
    <w:p>
      <w:pPr>
        <w:ind w:left="452" w:hanging="452"/>
        <w:spacing w:after="0"/>
        <w:tabs>
          <w:tab w:leader="none" w:pos="452"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Fourth quarter 2016 as reported operating EBITDA increased $54 million as compared with adjusted operating EBITDA in the fourth quarter of 2015.</w:t>
      </w:r>
    </w:p>
    <w:p>
      <w:pPr>
        <w:spacing w:after="0" w:line="16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(10)</w:t>
      </w:r>
    </w:p>
    <w:p>
      <w:pPr>
        <w:sectPr>
          <w:pgSz w:w="11900" w:h="16838" w:orient="portrait"/>
          <w:cols w:equalWidth="0" w:num="1">
            <w:col w:w="11412"/>
          </w:cols>
          <w:pgMar w:left="248" w:top="270" w:right="239" w:bottom="1440" w:gutter="0" w:footer="0" w:header="0"/>
          <w:type w:val="continuous"/>
        </w:sectPr>
      </w:pPr>
    </w:p>
    <w:bookmarkStart w:id="18" w:name="page19"/>
    <w:bookmarkEnd w:id="18"/>
    <w:p>
      <w:pPr>
        <w:jc w:val="center"/>
        <w:ind w:right="-1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156"/>
              <w:spacing w:after="0"/>
              <w:rPr>
                <w:sz w:val="20"/>
                <w:szCs w:val="20"/>
                <w:color w:val="auto"/>
              </w:rPr>
            </w:pPr>
            <w:r>
              <w:rPr>
                <w:rFonts w:ascii="Arial" w:cs="Arial" w:eastAsia="Arial" w:hAnsi="Arial"/>
                <w:sz w:val="14"/>
                <w:szCs w:val="14"/>
                <w:b w:val="1"/>
                <w:bCs w:val="1"/>
                <w:color w:val="auto"/>
                <w:w w:val="98"/>
              </w:rPr>
              <w:t>Year Ended</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47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Adjusted Income from Operations</w:t>
            </w:r>
          </w:p>
        </w:tc>
        <w:tc>
          <w:tcPr>
            <w:tcW w:w="1620" w:type="dxa"/>
            <w:vAlign w:val="bottom"/>
            <w:gridSpan w:val="3"/>
          </w:tcPr>
          <w:p>
            <w:pPr>
              <w:ind w:left="460"/>
              <w:spacing w:after="0"/>
              <w:rPr>
                <w:sz w:val="20"/>
                <w:szCs w:val="20"/>
                <w:color w:val="auto"/>
              </w:rPr>
            </w:pPr>
            <w:r>
              <w:rPr>
                <w:rFonts w:ascii="Arial" w:cs="Arial" w:eastAsia="Arial" w:hAnsi="Arial"/>
                <w:sz w:val="14"/>
                <w:szCs w:val="14"/>
                <w:b w:val="1"/>
                <w:bCs w:val="1"/>
                <w:color w:val="auto"/>
                <w:w w:val="90"/>
              </w:rPr>
              <w:t>December 31, 2016</w:t>
            </w:r>
          </w:p>
        </w:tc>
        <w:tc>
          <w:tcPr>
            <w:tcW w:w="2320" w:type="dxa"/>
            <w:vAlign w:val="bottom"/>
            <w:gridSpan w:val="4"/>
          </w:tcPr>
          <w:p>
            <w:pPr>
              <w:jc w:val="center"/>
              <w:ind w:left="559"/>
              <w:spacing w:after="0"/>
              <w:rPr>
                <w:sz w:val="20"/>
                <w:szCs w:val="20"/>
                <w:color w:val="auto"/>
              </w:rPr>
            </w:pPr>
            <w:r>
              <w:rPr>
                <w:rFonts w:ascii="Arial" w:cs="Arial" w:eastAsia="Arial" w:hAnsi="Arial"/>
                <w:sz w:val="14"/>
                <w:szCs w:val="14"/>
                <w:b w:val="1"/>
                <w:bCs w:val="1"/>
                <w:color w:val="auto"/>
                <w:w w:val="91"/>
              </w:rPr>
              <w:t>December 31, 2015</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vMerge w:val="continue"/>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Amount</w:t>
            </w:r>
          </w:p>
        </w:tc>
        <w:tc>
          <w:tcPr>
            <w:tcW w:w="9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Income from Operations, as reported</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2,296</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b w:val="1"/>
                <w:bCs w:val="1"/>
                <w:color w:val="auto"/>
              </w:rPr>
              <w:t>Adjustments: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Expense from divestitures, asset impairments and</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unusual items and restructuring</w:t>
            </w: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40" w:type="dxa"/>
            <w:vAlign w:val="bottom"/>
          </w:tcPr>
          <w:p>
            <w:pPr>
              <w:ind w:left="720"/>
              <w:spacing w:after="0" w:line="201" w:lineRule="exact"/>
              <w:rPr>
                <w:sz w:val="20"/>
                <w:szCs w:val="20"/>
                <w:color w:val="auto"/>
              </w:rPr>
            </w:pPr>
            <w:r>
              <w:rPr>
                <w:rFonts w:ascii="Arial" w:cs="Arial" w:eastAsia="Arial" w:hAnsi="Arial"/>
                <w:sz w:val="18"/>
                <w:szCs w:val="18"/>
                <w:color w:val="auto"/>
              </w:rPr>
              <w:t>Partial withdrawal from multiemployer pension</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900"/>
              <w:spacing w:after="0"/>
              <w:rPr>
                <w:sz w:val="20"/>
                <w:szCs w:val="20"/>
                <w:color w:val="auto"/>
              </w:rPr>
            </w:pPr>
            <w:r>
              <w:rPr>
                <w:rFonts w:ascii="Arial" w:cs="Arial" w:eastAsia="Arial" w:hAnsi="Arial"/>
                <w:sz w:val="18"/>
                <w:szCs w:val="18"/>
                <w:color w:val="auto"/>
              </w:rPr>
              <w:t>plans</w:t>
            </w:r>
          </w:p>
        </w:tc>
        <w:tc>
          <w:tcPr>
            <w:tcW w:w="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Adjusted Income from Operations</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2,406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92"/>
          </w:cols>
          <w:pgMar w:left="248" w:top="270" w:right="359" w:bottom="1440" w:gutter="0" w:footer="0" w:header="0"/>
        </w:sectPr>
      </w:pPr>
    </w:p>
    <w:p>
      <w:pPr>
        <w:spacing w:after="0" w:line="7" w:lineRule="exact"/>
        <w:rPr>
          <w:sz w:val="20"/>
          <w:szCs w:val="20"/>
          <w:color w:val="auto"/>
        </w:rPr>
      </w:pPr>
    </w:p>
    <w:p>
      <w:pPr>
        <w:ind w:left="6772"/>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ind w:left="6732"/>
        <w:spacing w:after="0"/>
        <w:rPr>
          <w:sz w:val="20"/>
          <w:szCs w:val="20"/>
          <w:color w:val="auto"/>
        </w:rPr>
      </w:pPr>
      <w:r>
        <w:rPr>
          <w:rFonts w:ascii="Arial" w:cs="Arial" w:eastAsia="Arial" w:hAnsi="Arial"/>
          <w:sz w:val="12"/>
          <w:szCs w:val="12"/>
          <w:b w:val="1"/>
          <w:bCs w:val="1"/>
          <w:color w:val="auto"/>
        </w:rPr>
        <w:t>December 31,</w:t>
      </w:r>
    </w:p>
    <w:p>
      <w:pPr>
        <w:spacing w:after="0" w:line="5" w:lineRule="exact"/>
        <w:rPr>
          <w:sz w:val="20"/>
          <w:szCs w:val="20"/>
          <w:color w:val="auto"/>
        </w:rPr>
      </w:pPr>
    </w:p>
    <w:p>
      <w:pPr>
        <w:ind w:left="7012"/>
        <w:spacing w:after="0"/>
        <w:rPr>
          <w:sz w:val="20"/>
          <w:szCs w:val="20"/>
          <w:color w:val="auto"/>
        </w:rPr>
      </w:pP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December 31,</w:t>
      </w:r>
    </w:p>
    <w:p>
      <w:pPr>
        <w:spacing w:after="0" w:line="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2015</w:t>
      </w:r>
    </w:p>
    <w:p>
      <w:pPr>
        <w:spacing w:after="0" w:line="1" w:lineRule="exact"/>
        <w:rPr>
          <w:sz w:val="20"/>
          <w:szCs w:val="20"/>
          <w:color w:val="auto"/>
        </w:rPr>
      </w:pPr>
    </w:p>
    <w:p>
      <w:pPr>
        <w:sectPr>
          <w:pgSz w:w="11900" w:h="16838" w:orient="portrait"/>
          <w:cols w:equalWidth="0" w:num="2">
            <w:col w:w="8072" w:space="720"/>
            <w:col w:w="2500"/>
          </w:cols>
          <w:pgMar w:left="248" w:top="270" w:right="359" w:bottom="1440" w:gutter="0" w:footer="0" w:header="0"/>
          <w:type w:val="continuous"/>
        </w:sectPr>
      </w:pPr>
    </w:p>
    <w:tbl>
      <w:tblPr>
        <w:tblLayout w:type="fixed"/>
        <w:tblInd w:w="1372" w:type="dxa"/>
        <w:tblCellMar>
          <w:top w:w="0" w:type="dxa"/>
          <w:left w:w="0" w:type="dxa"/>
          <w:bottom w:w="0" w:type="dxa"/>
          <w:right w:w="0" w:type="dxa"/>
        </w:tblCellMar>
      </w:tblPr>
      <w:tr>
        <w:trPr>
          <w:trHeight w:val="196"/>
        </w:trPr>
        <w:tc>
          <w:tcPr>
            <w:tcW w:w="520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b w:val="1"/>
                <w:bCs w:val="1"/>
                <w:i w:val="1"/>
                <w:iCs w:val="1"/>
                <w:color w:val="auto"/>
              </w:rPr>
              <w:t>Adjusted Operating EBITDA</w:t>
            </w:r>
          </w:p>
        </w:tc>
        <w:tc>
          <w:tcPr>
            <w:tcW w:w="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56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Income from Operations, as reported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2,296</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Operating EBITDA, as reported</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3,597</w:t>
            </w:r>
          </w:p>
        </w:tc>
        <w:tc>
          <w:tcPr>
            <w:tcW w:w="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3,290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Arial" w:cs="Arial" w:eastAsia="Arial" w:hAnsi="Arial"/>
                <w:sz w:val="18"/>
                <w:szCs w:val="18"/>
                <w:b w:val="1"/>
                <w:bCs w:val="1"/>
                <w:color w:val="auto"/>
              </w:rPr>
              <w:t>Adjustments: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Expense from divestitures, asset impairments and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unusual items and restructuring</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200" w:type="dxa"/>
            <w:vAlign w:val="bottom"/>
          </w:tcPr>
          <w:p>
            <w:pPr>
              <w:ind w:left="720"/>
              <w:spacing w:after="0" w:line="201" w:lineRule="exact"/>
              <w:rPr>
                <w:sz w:val="20"/>
                <w:szCs w:val="20"/>
                <w:color w:val="auto"/>
              </w:rPr>
            </w:pPr>
            <w:r>
              <w:rPr>
                <w:rFonts w:ascii="Arial" w:cs="Arial" w:eastAsia="Arial" w:hAnsi="Arial"/>
                <w:sz w:val="18"/>
                <w:szCs w:val="18"/>
                <w:color w:val="auto"/>
              </w:rPr>
              <w:t>Partial withdrawal from multiemployer pension</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900"/>
              <w:spacing w:after="0"/>
              <w:rPr>
                <w:sz w:val="20"/>
                <w:szCs w:val="20"/>
                <w:color w:val="auto"/>
              </w:rPr>
            </w:pPr>
            <w:r>
              <w:rPr>
                <w:rFonts w:ascii="Arial" w:cs="Arial" w:eastAsia="Arial" w:hAnsi="Arial"/>
                <w:sz w:val="18"/>
                <w:szCs w:val="18"/>
                <w:color w:val="auto"/>
              </w:rPr>
              <w:t>plans</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Adjusted Operating EBITDA</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b w:val="1"/>
                <w:bCs w:val="1"/>
                <w:color w:val="auto"/>
                <w:w w:val="71"/>
              </w:rPr>
              <w:t>$</w:t>
            </w: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3,707(a)</w:t>
            </w: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3,430(a)</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2017 Projected Free Cash Flow Reconciliation (b)</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8"/>
              </w:rPr>
              <w:t>Scenario 1</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Scenario 2</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5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720"/>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(1,450)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02"/>
        </w:trPr>
        <w:tc>
          <w:tcPr>
            <w:tcW w:w="52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Proceeds from divestitures of businesses and other</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assets (net of cash divested)</w:t>
            </w: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1,500</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52" w:hanging="452"/>
        <w:spacing w:after="0"/>
        <w:tabs>
          <w:tab w:leader="none" w:pos="452"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Full year 2016 adjusted operating EBITDA increased $277 million, or 8.1%, as compared with the same prior year period.</w:t>
      </w:r>
    </w:p>
    <w:p>
      <w:pPr>
        <w:spacing w:after="0" w:line="23" w:lineRule="exact"/>
        <w:rPr>
          <w:rFonts w:ascii="Arial" w:cs="Arial" w:eastAsia="Arial" w:hAnsi="Arial"/>
          <w:sz w:val="18"/>
          <w:szCs w:val="18"/>
          <w:b w:val="1"/>
          <w:bCs w:val="1"/>
          <w:color w:val="auto"/>
        </w:rPr>
      </w:pPr>
    </w:p>
    <w:p>
      <w:pPr>
        <w:ind w:left="452" w:hanging="452"/>
        <w:spacing w:after="0" w:line="290" w:lineRule="auto"/>
        <w:tabs>
          <w:tab w:leader="none" w:pos="452"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The reconciliation includes two scenarios that illustrate our projected free cash flow range for 2017. The amounts used in the reconciliation are subject to many variables, some of which are not under our control and, therefore, are not necessarily indicative of actual results.</w:t>
      </w:r>
    </w:p>
    <w:p>
      <w:pPr>
        <w:spacing w:after="0" w:line="200" w:lineRule="exact"/>
        <w:rPr>
          <w:sz w:val="20"/>
          <w:szCs w:val="20"/>
          <w:color w:val="auto"/>
        </w:rPr>
      </w:pPr>
    </w:p>
    <w:p>
      <w:pPr>
        <w:spacing w:after="0" w:line="255"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(11)</w:t>
      </w:r>
    </w:p>
    <w:p>
      <w:pPr>
        <w:sectPr>
          <w:pgSz w:w="11900" w:h="16838" w:orient="portrait"/>
          <w:cols w:equalWidth="0" w:num="1">
            <w:col w:w="11292"/>
          </w:cols>
          <w:pgMar w:left="248" w:top="270" w:right="359" w:bottom="1440" w:gutter="0" w:footer="0" w:header="0"/>
          <w:type w:val="continuous"/>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Reconciliation of Certain Non-GAAP Measures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380"/>
        <w:spacing w:after="0"/>
        <w:rPr>
          <w:sz w:val="20"/>
          <w:szCs w:val="20"/>
          <w:color w:val="auto"/>
        </w:rPr>
      </w:pPr>
      <w:r>
        <w:rPr>
          <w:rFonts w:ascii="Arial" w:cs="Arial" w:eastAsia="Arial" w:hAnsi="Arial"/>
          <w:sz w:val="18"/>
          <w:szCs w:val="18"/>
          <w:b w:val="1"/>
          <w:bCs w:val="1"/>
          <w:i w:val="1"/>
          <w:iCs w:val="1"/>
          <w:color w:val="auto"/>
        </w:rPr>
        <w:t>Adjusted Tax Expense Reconciliation</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As reported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-130810</wp:posOffset>
            </wp:positionV>
            <wp:extent cx="550545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b w:val="1"/>
          <w:bCs w:val="1"/>
          <w:color w:val="auto"/>
        </w:rPr>
        <w:t>Adjustment:</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 xml:space="preserve">Expense from divestitures, asset impairments and unusual items and restructuring </w:t>
      </w:r>
      <w:r>
        <w:rPr>
          <w:rFonts w:ascii="Arial" w:cs="Arial" w:eastAsia="Arial" w:hAnsi="Arial"/>
          <w:sz w:val="16"/>
          <w:szCs w:val="16"/>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-116205</wp:posOffset>
            </wp:positionV>
            <wp:extent cx="550545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1"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As adjusted amounts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1480"/>
        <w:spacing w:after="0"/>
        <w:rPr>
          <w:sz w:val="20"/>
          <w:szCs w:val="20"/>
          <w:color w:val="auto"/>
        </w:rPr>
      </w:pPr>
      <w:r>
        <w:rPr>
          <w:rFonts w:ascii="Arial" w:cs="Arial" w:eastAsia="Arial" w:hAnsi="Arial"/>
          <w:sz w:val="14"/>
          <w:szCs w:val="14"/>
          <w:b w:val="1"/>
          <w:bCs w:val="1"/>
          <w:color w:val="auto"/>
        </w:rPr>
        <w:t>Quarter Ended</w:t>
      </w:r>
    </w:p>
    <w:p>
      <w:pPr>
        <w:jc w:val="center"/>
        <w:ind w:right="1480"/>
        <w:spacing w:after="0" w:line="236" w:lineRule="auto"/>
        <w:rPr>
          <w:sz w:val="20"/>
          <w:szCs w:val="20"/>
          <w:color w:val="auto"/>
        </w:rPr>
      </w:pPr>
      <w:r>
        <w:rPr>
          <w:rFonts w:ascii="Arial" w:cs="Arial" w:eastAsia="Arial" w:hAnsi="Arial"/>
          <w:sz w:val="14"/>
          <w:szCs w:val="14"/>
          <w:b w:val="1"/>
          <w:bCs w:val="1"/>
          <w:color w:val="auto"/>
        </w:rPr>
        <w:t>December 31, 2015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4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w w:val="99"/>
              </w:rPr>
              <w:t>Pre-tax</w:t>
            </w:r>
          </w:p>
        </w:tc>
        <w:tc>
          <w:tcPr>
            <w:tcW w:w="5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ind w:right="56"/>
              <w:spacing w:after="0" w:line="119" w:lineRule="exact"/>
              <w:rPr>
                <w:sz w:val="20"/>
                <w:szCs w:val="20"/>
                <w:color w:val="auto"/>
              </w:rPr>
            </w:pPr>
            <w:r>
              <w:rPr>
                <w:rFonts w:ascii="Arial" w:cs="Arial" w:eastAsia="Arial" w:hAnsi="Arial"/>
                <w:sz w:val="13"/>
                <w:szCs w:val="13"/>
                <w:b w:val="1"/>
                <w:bCs w:val="1"/>
                <w:color w:val="auto"/>
              </w:rPr>
              <w:t>Tax</w:t>
            </w:r>
          </w:p>
        </w:tc>
      </w:tr>
      <w:tr>
        <w:trPr>
          <w:trHeight w:val="171"/>
        </w:trPr>
        <w:tc>
          <w:tcPr>
            <w:tcW w:w="460" w:type="dxa"/>
            <w:vAlign w:val="bottom"/>
            <w:gridSpan w:val="3"/>
          </w:tcPr>
          <w:p>
            <w:pPr>
              <w:spacing w:after="0"/>
              <w:rPr>
                <w:sz w:val="20"/>
                <w:szCs w:val="20"/>
                <w:color w:val="auto"/>
              </w:rPr>
            </w:pPr>
            <w:r>
              <w:rPr>
                <w:rFonts w:ascii="Arial" w:cs="Arial" w:eastAsia="Arial" w:hAnsi="Arial"/>
                <w:sz w:val="14"/>
                <w:szCs w:val="14"/>
                <w:b w:val="1"/>
                <w:bCs w:val="1"/>
                <w:color w:val="auto"/>
                <w:w w:val="89"/>
              </w:rPr>
              <w:t>Income</w:t>
            </w:r>
          </w:p>
        </w:tc>
        <w:tc>
          <w:tcPr>
            <w:tcW w:w="56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Arial" w:cs="Arial" w:eastAsia="Arial" w:hAnsi="Arial"/>
                <w:sz w:val="14"/>
                <w:szCs w:val="14"/>
                <w:b w:val="1"/>
                <w:bCs w:val="1"/>
                <w:color w:val="auto"/>
                <w:w w:val="86"/>
              </w:rPr>
              <w:t>Expense</w:t>
            </w:r>
          </w:p>
        </w:tc>
      </w:tr>
      <w:tr>
        <w:trPr>
          <w:trHeight w:val="228"/>
        </w:trPr>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397</w:t>
            </w:r>
          </w:p>
        </w:tc>
        <w:tc>
          <w:tcPr>
            <w:tcW w:w="560" w:type="dxa"/>
            <w:vAlign w:val="bottom"/>
          </w:tcPr>
          <w:p>
            <w:pPr>
              <w:spacing w:after="0"/>
              <w:rPr>
                <w:sz w:val="19"/>
                <w:szCs w:val="19"/>
                <w:color w:val="auto"/>
              </w:rPr>
            </w:pPr>
          </w:p>
        </w:tc>
        <w:tc>
          <w:tcPr>
            <w:tcW w:w="1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124</w:t>
            </w:r>
          </w:p>
        </w:tc>
      </w:tr>
      <w:tr>
        <w:trPr>
          <w:trHeight w:val="414"/>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473</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80" w:space="540"/>
            <w:col w:w="3000"/>
          </w:cols>
          <w:pgMar w:left="240" w:top="270" w:right="239" w:bottom="1440"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gridSpan w:val="6"/>
          </w:tcPr>
          <w:p>
            <w:pPr>
              <w:jc w:val="center"/>
              <w:ind w:right="840"/>
              <w:spacing w:after="0"/>
              <w:rPr>
                <w:sz w:val="20"/>
                <w:szCs w:val="20"/>
                <w:color w:val="auto"/>
              </w:rPr>
            </w:pPr>
            <w:r>
              <w:rPr>
                <w:rFonts w:ascii="Arial" w:cs="Arial" w:eastAsia="Arial" w:hAnsi="Arial"/>
                <w:sz w:val="14"/>
                <w:szCs w:val="14"/>
                <w:b w:val="1"/>
                <w:bCs w:val="1"/>
                <w:color w:val="auto"/>
                <w:w w:val="91"/>
              </w:rPr>
              <w:t>December 31, 2016</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jc w:val="center"/>
              <w:ind w:right="820"/>
              <w:spacing w:after="0"/>
              <w:rPr>
                <w:sz w:val="20"/>
                <w:szCs w:val="20"/>
                <w:color w:val="auto"/>
              </w:rPr>
            </w:pPr>
            <w:r>
              <w:rPr>
                <w:rFonts w:ascii="Arial" w:cs="Arial" w:eastAsia="Arial" w:hAnsi="Arial"/>
                <w:sz w:val="14"/>
                <w:szCs w:val="14"/>
                <w:b w:val="1"/>
                <w:bCs w:val="1"/>
                <w:color w:val="auto"/>
                <w:w w:val="91"/>
              </w:rPr>
              <w:t>December 31, 2015</w:t>
            </w:r>
          </w:p>
        </w:tc>
        <w:tc>
          <w:tcPr>
            <w:tcW w:w="0" w:type="dxa"/>
            <w:vAlign w:val="bottom"/>
          </w:tcPr>
          <w:p>
            <w:pPr>
              <w:spacing w:after="0"/>
              <w:rPr>
                <w:sz w:val="1"/>
                <w:szCs w:val="1"/>
                <w:color w:val="auto"/>
              </w:rPr>
            </w:pPr>
          </w:p>
        </w:tc>
      </w:tr>
      <w:tr>
        <w:trPr>
          <w:trHeight w:val="119"/>
        </w:trPr>
        <w:tc>
          <w:tcPr>
            <w:tcW w:w="56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Adjusted Tax Expense Reconciliation and Effective Tax Rate</w:t>
            </w:r>
          </w:p>
        </w:tc>
        <w:tc>
          <w:tcPr>
            <w:tcW w:w="20" w:type="dxa"/>
            <w:vAlign w:val="bottom"/>
          </w:tcPr>
          <w:p>
            <w:pPr>
              <w:spacing w:after="0"/>
              <w:rPr>
                <w:sz w:val="10"/>
                <w:szCs w:val="10"/>
                <w:color w:val="auto"/>
              </w:rPr>
            </w:pPr>
          </w:p>
        </w:tc>
        <w:tc>
          <w:tcPr>
            <w:tcW w:w="5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Pre-tax</w:t>
            </w:r>
          </w:p>
        </w:tc>
        <w:tc>
          <w:tcPr>
            <w:tcW w:w="3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Tax</w:t>
            </w: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Effective Tax</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Pre-tax</w:t>
            </w: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Tax</w:t>
            </w: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Effective Tax</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0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Income</w:t>
            </w: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Expense</w:t>
            </w:r>
          </w:p>
        </w:tc>
        <w:tc>
          <w:tcPr>
            <w:tcW w:w="3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Rate (a)</w:t>
            </w: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Expense</w:t>
            </w:r>
          </w:p>
        </w:tc>
        <w:tc>
          <w:tcPr>
            <w:tcW w:w="3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Rate (a)</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$1,822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86"/>
              </w:rPr>
              <w:t>642</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35.2%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308</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29.1%</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ind w:left="360"/>
              <w:spacing w:after="0" w:line="198" w:lineRule="exact"/>
              <w:rPr>
                <w:sz w:val="20"/>
                <w:szCs w:val="20"/>
                <w:color w:val="auto"/>
              </w:rPr>
            </w:pPr>
            <w:r>
              <w:rPr>
                <w:rFonts w:ascii="Arial" w:cs="Arial" w:eastAsia="Arial" w:hAnsi="Arial"/>
                <w:sz w:val="18"/>
                <w:szCs w:val="18"/>
                <w:color w:val="auto"/>
                <w:w w:val="95"/>
              </w:rPr>
              <w:t>Expense from divestitures, asset impairments and unusual items and</w:t>
            </w: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 xml:space="preserve">restructuring </w:t>
            </w:r>
            <w:r>
              <w:rPr>
                <w:rFonts w:ascii="Arial" w:cs="Arial" w:eastAsia="Arial" w:hAnsi="Arial"/>
                <w:sz w:val="18"/>
                <w:szCs w:val="18"/>
                <w:b w:val="1"/>
                <w:bCs w:val="1"/>
                <w:color w:val="auto"/>
              </w:rPr>
              <w:t>(b)</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37</w:t>
            </w: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rPr>
              <w:t>Loss on early extinguishment of debt</w:t>
            </w:r>
          </w:p>
        </w:tc>
        <w:tc>
          <w:tcPr>
            <w:tcW w:w="2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550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206</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Partial withdrawal from multiemployer pension plans</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b w:val="1"/>
                <w:bCs w:val="1"/>
                <w:color w:val="auto"/>
              </w:rPr>
              <w:t>As adjusted amounts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1,973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86"/>
              </w:rPr>
              <w:t>679</w:t>
            </w:r>
          </w:p>
        </w:tc>
        <w:tc>
          <w:tcPr>
            <w:tcW w:w="3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34.4%</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1,754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567</w:t>
            </w:r>
          </w:p>
        </w:tc>
        <w:tc>
          <w:tcPr>
            <w:tcW w:w="3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32.3%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240" w:hanging="452"/>
        <w:spacing w:after="0" w:line="258" w:lineRule="auto"/>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Company calculates its effective tax rate based on actual dollars. Rounding differences occurred when the effective tax rate was calculated using Pre-tax Income and Tax Expense amounts included in the table above, as these items have been rounded in millions.</w:t>
      </w:r>
    </w:p>
    <w:p>
      <w:pPr>
        <w:spacing w:after="0" w:line="1" w:lineRule="exact"/>
        <w:rPr>
          <w:rFonts w:ascii="Arial" w:cs="Arial" w:eastAsia="Arial" w:hAnsi="Arial"/>
          <w:sz w:val="18"/>
          <w:szCs w:val="18"/>
          <w:b w:val="1"/>
          <w:bCs w:val="1"/>
          <w:color w:val="auto"/>
        </w:rPr>
      </w:pPr>
    </w:p>
    <w:p>
      <w:pPr>
        <w:ind w:left="460" w:right="180" w:hanging="452"/>
        <w:spacing w:after="0" w:line="255" w:lineRule="auto"/>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For the purpose of this table, adjustments in 2016 and 2015 include restructuring charges and impairment charges associated with assets in the “(Income)/expense from divestitures, asset impairments and unusual items” financial caption as well as impairment charges associated with certain of our investments in unconsolidated entities that are included in the “Other, net” financial caption.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w:t>
      </w:r>
    </w:p>
    <w:sectPr>
      <w:pgSz w:w="11900" w:h="16838" w:orient="portrait"/>
      <w:cols w:equalWidth="0" w:num="1">
        <w:col w:w="11420"/>
      </w:cols>
      <w:pgMar w:left="240" w:top="27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lowerLetter"/>
      <w:start w:val="3"/>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2019-12-05T16:27:49Z</dcterms:created>
  <dcterms:modified xsi:type="dcterms:W3CDTF">2019-12-05T16:27:49Z</dcterms:modified>
</cp:coreProperties>
</file>