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80"/>
        <w:spacing w:after="0" w:line="24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-240665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00" w:type="dxa"/>
            <w:vAlign w:val="bottom"/>
            <w:vMerge w:val="restart"/>
          </w:tcPr>
          <w:p>
            <w:pPr>
              <w:jc w:val="center"/>
              <w:ind w:right="21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91"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26035</wp:posOffset>
            </wp:positionV>
            <wp:extent cx="727519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4345"/>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2320" w:space="380"/>
            <w:col w:w="8820"/>
          </w:cols>
          <w:pgMar w:left="240" w:top="218"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MYERS A MAURICE</w:t>
        </w:r>
      </w:hyperlink>
    </w:p>
    <w:p>
      <w:pPr>
        <w:spacing w:after="0" w:line="29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04/01/2004</w:t>
      </w:r>
    </w:p>
    <w:p>
      <w:pPr>
        <w:spacing w:after="0" w:line="20" w:lineRule="exact"/>
        <w:rPr>
          <w:sz w:val="24"/>
          <w:szCs w:val="24"/>
          <w:color w:val="auto"/>
        </w:rPr>
      </w:pPr>
      <w:r>
        <w:rPr>
          <w:sz w:val="24"/>
          <w:szCs w:val="24"/>
          <w:color w:val="auto"/>
        </w:rPr>
        <w:br w:type="column"/>
      </w:r>
    </w:p>
    <w:p>
      <w:pPr>
        <w:ind w:left="-8" w:right="700" w:firstLine="8"/>
        <w:spacing w:after="0" w:line="267"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2" w:type="dxa"/>
        <w:tblCellMar>
          <w:top w:w="0" w:type="dxa"/>
          <w:left w:w="0" w:type="dxa"/>
          <w:bottom w:w="0" w:type="dxa"/>
          <w:right w:w="0" w:type="dxa"/>
        </w:tblCellMar>
      </w:tblPr>
      <w:tr>
        <w:trPr>
          <w:trHeight w:val="223"/>
        </w:trPr>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1"/>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52"/>
        <w:spacing w:after="0"/>
        <w:rPr>
          <w:sz w:val="20"/>
          <w:szCs w:val="20"/>
          <w:color w:val="auto"/>
        </w:rPr>
      </w:pPr>
      <w:r>
        <w:rPr>
          <w:rFonts w:ascii="Times New Roman" w:cs="Times New Roman" w:eastAsia="Times New Roman" w:hAnsi="Times New Roman"/>
          <w:sz w:val="17"/>
          <w:szCs w:val="17"/>
          <w:color w:val="0000FF"/>
        </w:rPr>
        <w:t>Chairman of the Board</w:t>
      </w:r>
    </w:p>
    <w:p>
      <w:pPr>
        <w:spacing w:after="0" w:line="406" w:lineRule="exact"/>
        <w:rPr>
          <w:sz w:val="24"/>
          <w:szCs w:val="24"/>
          <w:color w:val="auto"/>
        </w:rPr>
      </w:pPr>
    </w:p>
    <w:p>
      <w:pPr>
        <w:sectPr>
          <w:pgSz w:w="11900" w:h="16838" w:orient="portrait"/>
          <w:cols w:equalWidth="0" w:num="3">
            <w:col w:w="3340" w:space="720"/>
            <w:col w:w="3380" w:space="608"/>
            <w:col w:w="3472"/>
          </w:cols>
          <w:pgMar w:left="240" w:top="218" w:right="139" w:bottom="0" w:gutter="0" w:footer="0" w:header="0"/>
          <w:type w:val="continuous"/>
        </w:sectPr>
      </w:pPr>
    </w:p>
    <w:p>
      <w:pPr>
        <w:spacing w:after="0" w:line="211" w:lineRule="exact"/>
        <w:rPr>
          <w:sz w:val="24"/>
          <w:szCs w:val="24"/>
          <w:color w:val="auto"/>
        </w:rPr>
      </w:pPr>
    </w:p>
    <w:tbl>
      <w:tblPr>
        <w:tblLayout w:type="fixed"/>
        <w:tblInd w:w="80" w:type="dxa"/>
        <w:tblCellMar>
          <w:top w:w="0" w:type="dxa"/>
          <w:left w:w="0" w:type="dxa"/>
          <w:bottom w:w="0" w:type="dxa"/>
          <w:right w:w="0" w:type="dxa"/>
        </w:tblCellMar>
      </w:tblPr>
      <w:tr>
        <w:trPr>
          <w:trHeight w:val="17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4"/>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77002</w:t>
            </w:r>
          </w:p>
        </w:tc>
      </w:tr>
      <w:tr>
        <w:trPr>
          <w:trHeight w:val="152"/>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5"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900" w:space="160"/>
            <w:col w:w="7460"/>
          </w:cols>
          <w:pgMar w:left="240" w:top="218"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0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jc w:val="center"/>
              <w:ind w:left="5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300,000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15.5625</w:t>
            </w: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547,840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10,000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537,840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3,000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534,840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4,300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530,540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9,400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521,140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1,500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519,640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900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518,740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4,500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514,240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2,800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511,440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600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510,840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5,300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505,540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700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504,840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100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504,740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900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503,840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500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503,340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1,900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501,440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7,400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494,040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3,900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490,140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1,800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488,340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18,200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470,140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2,400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467,740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39"/>
              <w:spacing w:after="0"/>
              <w:rPr>
                <w:sz w:val="20"/>
                <w:szCs w:val="20"/>
                <w:color w:val="auto"/>
              </w:rPr>
            </w:pPr>
            <w:r>
              <w:rPr>
                <w:rFonts w:ascii="Times New Roman" w:cs="Times New Roman" w:eastAsia="Times New Roman" w:hAnsi="Times New Roman"/>
                <w:sz w:val="17"/>
                <w:szCs w:val="17"/>
                <w:color w:val="0000FF"/>
              </w:rPr>
              <w:t>100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467,640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40"/>
              <w:spacing w:after="0"/>
              <w:rPr>
                <w:sz w:val="20"/>
                <w:szCs w:val="20"/>
                <w:color w:val="auto"/>
              </w:rPr>
            </w:pPr>
            <w:r>
              <w:rPr>
                <w:rFonts w:ascii="Times New Roman" w:cs="Times New Roman" w:eastAsia="Times New Roman" w:hAnsi="Times New Roman"/>
                <w:sz w:val="17"/>
                <w:szCs w:val="17"/>
                <w:color w:val="0000FF"/>
              </w:rPr>
              <w:t>04/01/2004</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7"/>
                <w:szCs w:val="17"/>
                <w:color w:val="0000FF"/>
              </w:rPr>
              <w:t>1,000</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466,640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8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   Derivative</w:t>
            </w:r>
          </w:p>
        </w:tc>
        <w:tc>
          <w:tcPr>
            <w:tcW w:w="15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32" w:lineRule="exact"/>
              <w:rPr>
                <w:sz w:val="20"/>
                <w:szCs w:val="20"/>
                <w:color w:val="auto"/>
              </w:rPr>
            </w:pPr>
            <w:r>
              <w:rPr>
                <w:rFonts w:ascii="Arial" w:cs="Arial" w:eastAsia="Arial" w:hAnsi="Arial"/>
                <w:sz w:val="12"/>
                <w:szCs w:val="12"/>
                <w:b w:val="1"/>
                <w:bCs w:val="1"/>
                <w:color w:val="auto"/>
                <w:w w:val="93"/>
              </w:rPr>
              <w:t>8)</w:t>
            </w:r>
          </w:p>
        </w:tc>
        <w:tc>
          <w:tcPr>
            <w:tcW w:w="10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-1443355</wp:posOffset>
            </wp:positionV>
            <wp:extent cx="24130" cy="167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679575"/>
                    </a:xfrm>
                    <a:prstGeom prst="rect">
                      <a:avLst/>
                    </a:prstGeom>
                    <a:noFill/>
                  </pic:spPr>
                </pic:pic>
              </a:graphicData>
            </a:graphic>
          </wp:anchor>
        </w:drawing>
      </w:r>
    </w:p>
    <w:p>
      <w:pPr>
        <w:sectPr>
          <w:pgSz w:w="11900" w:h="16838" w:orient="portrait"/>
          <w:cols w:equalWidth="0" w:num="1">
            <w:col w:w="11520"/>
          </w:cols>
          <w:pgMar w:left="240" w:top="218"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1896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725" cy="1896110"/>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15.5625</w:t>
            </w:r>
          </w:p>
        </w:tc>
        <w:tc>
          <w:tcPr>
            <w:tcW w:w="110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04/01/2004</w:t>
            </w:r>
          </w:p>
        </w:tc>
        <w:tc>
          <w:tcPr>
            <w:tcW w:w="11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300,000</w:t>
            </w:r>
          </w:p>
        </w:tc>
        <w:tc>
          <w:tcPr>
            <w:tcW w:w="860" w:type="dxa"/>
            <w:vAlign w:val="bottom"/>
          </w:tcPr>
          <w:p>
            <w:pPr>
              <w:ind w:left="60"/>
              <w:spacing w:after="0" w:line="211" w:lineRule="exact"/>
              <w:rPr>
                <w:sz w:val="20"/>
                <w:szCs w:val="20"/>
                <w:color w:val="auto"/>
              </w:rPr>
            </w:pPr>
            <w:r>
              <w:rPr>
                <w:rFonts w:ascii="Times New Roman" w:cs="Times New Roman" w:eastAsia="Times New Roman" w:hAnsi="Times New Roman"/>
                <w:sz w:val="13"/>
                <w:szCs w:val="13"/>
                <w:color w:val="0000FF"/>
              </w:rPr>
              <w:t>11/11/1999</w:t>
            </w:r>
            <w:r>
              <w:rPr>
                <w:rFonts w:ascii="Times New Roman" w:cs="Times New Roman" w:eastAsia="Times New Roman" w:hAnsi="Times New Roman"/>
                <w:sz w:val="21"/>
                <w:szCs w:val="21"/>
                <w:color w:val="008000"/>
                <w:vertAlign w:val="superscript"/>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11/11/2009</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300,000</w:t>
            </w:r>
          </w:p>
        </w:tc>
        <w:tc>
          <w:tcPr>
            <w:tcW w:w="7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15.5625</w:t>
            </w:r>
          </w:p>
        </w:tc>
        <w:tc>
          <w:tcPr>
            <w:tcW w:w="9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799,740</w:t>
            </w:r>
          </w:p>
        </w:tc>
        <w:tc>
          <w:tcPr>
            <w:tcW w:w="7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ind w:left="160"/>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60" w:hanging="135"/>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exercised and shares sold pursuant to Mr. Myers' Rule 10b5-1 Sales Plan.</w:t>
      </w:r>
    </w:p>
    <w:p>
      <w:pPr>
        <w:spacing w:after="0" w:line="48" w:lineRule="exact"/>
        <w:rPr>
          <w:rFonts w:ascii="Times New Roman" w:cs="Times New Roman" w:eastAsia="Times New Roman" w:hAnsi="Times New Roman"/>
          <w:sz w:val="13"/>
          <w:szCs w:val="13"/>
          <w:color w:val="008000"/>
        </w:rPr>
      </w:pPr>
    </w:p>
    <w:p>
      <w:pPr>
        <w:ind w:left="20" w:right="220" w:firstLine="5"/>
        <w:spacing w:after="0" w:line="268" w:lineRule="auto"/>
        <w:tabs>
          <w:tab w:leader="none" w:pos="15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Company's 1993 Stock Incentive Plan. Options vest as follows: (i) 111,111 options vest on November 11, 1999, (ii) 222,222 options vest on November 10, 2001, (iii) 283,333 options vest on November 10, 2002, (iv) 172,222 options vest on November 10, 2003, and (v) 61,112 options vest on November 10, 2004.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 Maurice Myers</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04/05/2004</w:t>
            </w:r>
          </w:p>
        </w:tc>
      </w:tr>
      <w:tr>
        <w:trPr>
          <w:trHeight w:val="20"/>
        </w:trPr>
        <w:tc>
          <w:tcPr>
            <w:tcW w:w="12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046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2019-12-16T05:34:31Z</dcterms:created>
  <dcterms:modified xsi:type="dcterms:W3CDTF">2019-12-16T05:34:31Z</dcterms:modified>
</cp:coreProperties>
</file>