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BARRY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11/11/2009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6"/>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609"/>
              <w:spacing w:after="0"/>
              <w:rPr>
                <w:sz w:val="20"/>
                <w:szCs w:val="20"/>
                <w:color w:val="auto"/>
              </w:rPr>
            </w:pPr>
            <w:r>
              <w:rPr>
                <w:rFonts w:ascii="Arial" w:cs="Arial" w:eastAsia="Arial" w:hAnsi="Arial"/>
                <w:sz w:val="17"/>
                <w:szCs w:val="17"/>
                <w:color w:val="0000FF"/>
                <w:w w:val="91"/>
              </w:rPr>
              <w:t>11/11/2009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right"/>
              <w:spacing w:after="0"/>
              <w:rPr>
                <w:sz w:val="20"/>
                <w:szCs w:val="20"/>
                <w:color w:val="auto"/>
              </w:rPr>
            </w:pPr>
            <w:r>
              <w:rPr>
                <w:rFonts w:ascii="Arial" w:cs="Arial" w:eastAsia="Arial" w:hAnsi="Arial"/>
                <w:sz w:val="17"/>
                <w:szCs w:val="17"/>
                <w:color w:val="0000FF"/>
              </w:rPr>
              <w:t>10,000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21.05</w:t>
            </w:r>
          </w:p>
        </w:tc>
        <w:tc>
          <w:tcPr>
            <w:tcW w:w="1340" w:type="dxa"/>
            <w:vAlign w:val="bottom"/>
            <w:gridSpan w:val="3"/>
          </w:tcPr>
          <w:p>
            <w:pPr>
              <w:ind w:left="260"/>
              <w:spacing w:after="0"/>
              <w:rPr>
                <w:sz w:val="20"/>
                <w:szCs w:val="20"/>
                <w:color w:val="auto"/>
              </w:rPr>
            </w:pPr>
            <w:r>
              <w:rPr>
                <w:rFonts w:ascii="Arial" w:cs="Arial" w:eastAsia="Arial" w:hAnsi="Arial"/>
                <w:sz w:val="17"/>
                <w:szCs w:val="17"/>
                <w:color w:val="0000FF"/>
              </w:rPr>
              <w:t>41,433.6585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609"/>
              <w:spacing w:after="0"/>
              <w:rPr>
                <w:sz w:val="20"/>
                <w:szCs w:val="20"/>
                <w:color w:val="auto"/>
              </w:rPr>
            </w:pPr>
            <w:r>
              <w:rPr>
                <w:rFonts w:ascii="Arial" w:cs="Arial" w:eastAsia="Arial" w:hAnsi="Arial"/>
                <w:sz w:val="17"/>
                <w:szCs w:val="17"/>
                <w:color w:val="0000FF"/>
                <w:w w:val="91"/>
              </w:rPr>
              <w:t>11/11/2009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Pr>
          <w:p>
            <w:pPr>
              <w:jc w:val="right"/>
              <w:spacing w:after="0"/>
              <w:rPr>
                <w:sz w:val="20"/>
                <w:szCs w:val="20"/>
                <w:color w:val="auto"/>
              </w:rPr>
            </w:pPr>
            <w:r>
              <w:rPr>
                <w:rFonts w:ascii="Arial" w:cs="Arial" w:eastAsia="Arial" w:hAnsi="Arial"/>
                <w:sz w:val="17"/>
                <w:szCs w:val="17"/>
                <w:color w:val="0000FF"/>
              </w:rPr>
              <w:t>7,717</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w:t>
            </w:r>
          </w:p>
        </w:tc>
        <w:tc>
          <w:tcPr>
            <w:tcW w:w="60" w:type="dxa"/>
            <w:vAlign w:val="bottom"/>
          </w:tcPr>
          <w:p>
            <w:pPr>
              <w:spacing w:after="0"/>
              <w:rPr>
                <w:sz w:val="23"/>
                <w:szCs w:val="23"/>
                <w:color w:val="auto"/>
              </w:rPr>
            </w:pPr>
          </w:p>
        </w:tc>
        <w:tc>
          <w:tcPr>
            <w:tcW w:w="1340" w:type="dxa"/>
            <w:vAlign w:val="bottom"/>
            <w:gridSpan w:val="3"/>
          </w:tcPr>
          <w:p>
            <w:pPr>
              <w:ind w:left="260"/>
              <w:spacing w:after="0"/>
              <w:rPr>
                <w:sz w:val="20"/>
                <w:szCs w:val="20"/>
                <w:color w:val="auto"/>
              </w:rPr>
            </w:pPr>
            <w:r>
              <w:rPr>
                <w:rFonts w:ascii="Arial" w:cs="Arial" w:eastAsia="Arial" w:hAnsi="Arial"/>
                <w:sz w:val="17"/>
                <w:szCs w:val="17"/>
                <w:color w:val="0000FF"/>
              </w:rPr>
              <w:t>33,716.6585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21.05</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11/11/2009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10,000</w:t>
            </w: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60" w:type="dxa"/>
            <w:vAlign w:val="bottom"/>
          </w:tcPr>
          <w:p>
            <w:pPr>
              <w:ind w:left="20"/>
              <w:spacing w:after="0"/>
              <w:rPr>
                <w:sz w:val="20"/>
                <w:szCs w:val="20"/>
                <w:color w:val="auto"/>
              </w:rPr>
            </w:pPr>
            <w:r>
              <w:rPr>
                <w:rFonts w:ascii="Arial" w:cs="Arial" w:eastAsia="Arial" w:hAnsi="Arial"/>
                <w:sz w:val="13"/>
                <w:szCs w:val="13"/>
                <w:color w:val="0000FF"/>
              </w:rPr>
              <w:t>10/08/2012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The stock option originally vested in 25% annual increments commencing on the first anniversary of the date of grant. The Compensation committee of the Board of Directors accelerated the vesting of the Company's outstanding options effective December 28, 2005.</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11/12/2009</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2019-12-18T07:16:56Z</dcterms:created>
  <dcterms:modified xsi:type="dcterms:W3CDTF">2019-12-18T07:16:56Z</dcterms:modified>
</cp:coreProperties>
</file>