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7"/>
          <w:szCs w:val="17"/>
          <w:color w:val="auto"/>
        </w:rPr>
        <w:t>1</w:t>
      </w:r>
    </w:p>
    <w:p>
      <w:pPr>
        <w:spacing w:after="0" w:line="207" w:lineRule="exact"/>
        <w:rPr>
          <w:sz w:val="24"/>
          <w:szCs w:val="24"/>
          <w:color w:val="auto"/>
        </w:rPr>
      </w:pPr>
    </w:p>
    <w:p>
      <w:pPr>
        <w:ind w:left="5620" w:right="1899" w:hanging="5401"/>
        <w:spacing w:after="0" w:line="248" w:lineRule="auto"/>
        <w:rPr>
          <w:sz w:val="20"/>
          <w:szCs w:val="20"/>
          <w:color w:val="auto"/>
        </w:rPr>
      </w:pPr>
      <w:r>
        <w:rPr>
          <w:rFonts w:ascii="Courier New" w:cs="Courier New" w:eastAsia="Courier New" w:hAnsi="Courier New"/>
          <w:sz w:val="17"/>
          <w:szCs w:val="17"/>
          <w:color w:val="auto"/>
        </w:rPr>
        <w:t>As filed with the Securities and Exchange Commission on September 7, 1995 Registration No. 33-84990</w:t>
      </w:r>
    </w:p>
    <w:p>
      <w:pPr>
        <w:spacing w:after="0" w:line="2"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4"/>
          <w:szCs w:val="24"/>
          <w:color w:val="auto"/>
        </w:rPr>
      </w:pPr>
    </w:p>
    <w:p>
      <w:pPr>
        <w:ind w:left="240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7" w:lineRule="exact"/>
        <w:rPr>
          <w:sz w:val="24"/>
          <w:szCs w:val="24"/>
          <w:color w:val="auto"/>
        </w:rPr>
      </w:pPr>
    </w:p>
    <w:p>
      <w:pPr>
        <w:ind w:left="2920"/>
        <w:spacing w:after="0"/>
        <w:tabs>
          <w:tab w:leader="none" w:pos="4760" w:val="left"/>
        </w:tabs>
        <w:rPr>
          <w:sz w:val="20"/>
          <w:szCs w:val="20"/>
          <w:color w:val="auto"/>
        </w:rPr>
      </w:pPr>
      <w:r>
        <w:rPr>
          <w:rFonts w:ascii="Courier New" w:cs="Courier New" w:eastAsia="Courier New" w:hAnsi="Courier New"/>
          <w:sz w:val="17"/>
          <w:szCs w:val="17"/>
          <w:color w:val="auto"/>
        </w:rPr>
        <w:t>WASHINGTON, D.C.</w:t>
        <w:tab/>
        <w:t>20549</w:t>
      </w:r>
    </w:p>
    <w:p>
      <w:pPr>
        <w:spacing w:after="0" w:line="7" w:lineRule="exact"/>
        <w:rPr>
          <w:sz w:val="24"/>
          <w:szCs w:val="24"/>
          <w:color w:val="auto"/>
        </w:rPr>
      </w:pPr>
    </w:p>
    <w:p>
      <w:pPr>
        <w:ind w:left="3120"/>
        <w:spacing w:after="0"/>
        <w:rPr>
          <w:sz w:val="20"/>
          <w:szCs w:val="20"/>
          <w:color w:val="auto"/>
        </w:rPr>
      </w:pPr>
      <w:r>
        <w:rPr>
          <w:rFonts w:ascii="Courier New" w:cs="Courier New" w:eastAsia="Courier New" w:hAnsi="Courier New"/>
          <w:sz w:val="17"/>
          <w:szCs w:val="17"/>
          <w:color w:val="auto"/>
        </w:rPr>
        <w:t>___________________</w:t>
      </w:r>
    </w:p>
    <w:p>
      <w:pPr>
        <w:spacing w:after="0" w:line="20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POST-EFFECTIVE AMENDMENT NO. 1</w:t>
      </w:r>
    </w:p>
    <w:p>
      <w:pPr>
        <w:spacing w:after="0" w:line="20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TO</w:t>
      </w:r>
    </w:p>
    <w:p>
      <w:pPr>
        <w:spacing w:after="0" w:line="20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FORM S-8</w:t>
      </w:r>
    </w:p>
    <w:p>
      <w:pPr>
        <w:spacing w:after="0" w:line="20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REGISTRATION STATEMENT UNDER</w:t>
      </w:r>
    </w:p>
    <w:p>
      <w:pPr>
        <w:spacing w:after="0" w:line="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THE SECURITIES ACT OF 1933</w:t>
      </w:r>
    </w:p>
    <w:p>
      <w:pPr>
        <w:spacing w:after="0" w:line="7" w:lineRule="exact"/>
        <w:rPr>
          <w:sz w:val="24"/>
          <w:szCs w:val="24"/>
          <w:color w:val="auto"/>
        </w:rPr>
      </w:pPr>
    </w:p>
    <w:p>
      <w:pPr>
        <w:ind w:left="3120"/>
        <w:spacing w:after="0"/>
        <w:rPr>
          <w:sz w:val="20"/>
          <w:szCs w:val="20"/>
          <w:color w:val="auto"/>
        </w:rPr>
      </w:pPr>
      <w:r>
        <w:rPr>
          <w:rFonts w:ascii="Courier New" w:cs="Courier New" w:eastAsia="Courier New" w:hAnsi="Courier New"/>
          <w:sz w:val="17"/>
          <w:szCs w:val="17"/>
          <w:color w:val="auto"/>
        </w:rPr>
        <w:t>___________________</w:t>
      </w:r>
    </w:p>
    <w:p>
      <w:pPr>
        <w:spacing w:after="0" w:line="20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USA WASTE SERVICES, INC.</w:t>
      </w:r>
    </w:p>
    <w:p>
      <w:pPr>
        <w:spacing w:after="0" w:line="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219"/>
          </w:cols>
          <w:pgMar w:left="240" w:top="248" w:right="1440" w:bottom="1440" w:gutter="0" w:footer="0" w:header="0"/>
        </w:sectPr>
      </w:pPr>
    </w:p>
    <w:p>
      <w:pPr>
        <w:spacing w:after="0" w:line="207" w:lineRule="exact"/>
        <w:rPr>
          <w:sz w:val="24"/>
          <w:szCs w:val="24"/>
          <w:color w:val="auto"/>
        </w:rPr>
      </w:pPr>
    </w:p>
    <w:p>
      <w:pPr>
        <w:ind w:left="1260"/>
        <w:spacing w:after="0"/>
        <w:rPr>
          <w:sz w:val="20"/>
          <w:szCs w:val="20"/>
          <w:color w:val="auto"/>
        </w:rPr>
      </w:pPr>
      <w:r>
        <w:rPr>
          <w:rFonts w:ascii="Courier New" w:cs="Courier New" w:eastAsia="Courier New" w:hAnsi="Courier New"/>
          <w:sz w:val="17"/>
          <w:szCs w:val="17"/>
          <w:color w:val="auto"/>
        </w:rPr>
        <w:t>DELAWARE</w:t>
      </w:r>
    </w:p>
    <w:p>
      <w:pPr>
        <w:spacing w:after="0" w:line="7" w:lineRule="exact"/>
        <w:rPr>
          <w:sz w:val="24"/>
          <w:szCs w:val="24"/>
          <w:color w:val="auto"/>
        </w:rPr>
      </w:pPr>
    </w:p>
    <w:p>
      <w:pPr>
        <w:ind w:left="840"/>
        <w:spacing w:after="0"/>
        <w:rPr>
          <w:sz w:val="20"/>
          <w:szCs w:val="20"/>
          <w:color w:val="auto"/>
        </w:rPr>
      </w:pPr>
      <w:r>
        <w:rPr>
          <w:rFonts w:ascii="Courier New" w:cs="Courier New" w:eastAsia="Courier New" w:hAnsi="Courier New"/>
          <w:sz w:val="17"/>
          <w:szCs w:val="17"/>
          <w:color w:val="auto"/>
        </w:rPr>
        <w:t>(State or other jurisdiction</w:t>
      </w:r>
    </w:p>
    <w:p>
      <w:pPr>
        <w:spacing w:after="0" w:line="7" w:lineRule="exact"/>
        <w:rPr>
          <w:sz w:val="24"/>
          <w:szCs w:val="24"/>
          <w:color w:val="auto"/>
        </w:rPr>
      </w:pPr>
    </w:p>
    <w:p>
      <w:pPr>
        <w:ind w:left="640"/>
        <w:spacing w:after="0"/>
        <w:rPr>
          <w:sz w:val="20"/>
          <w:szCs w:val="20"/>
          <w:color w:val="auto"/>
        </w:rPr>
      </w:pPr>
      <w:r>
        <w:rPr>
          <w:rFonts w:ascii="Courier New" w:cs="Courier New" w:eastAsia="Courier New" w:hAnsi="Courier New"/>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420"/>
        <w:spacing w:after="0"/>
        <w:rPr>
          <w:sz w:val="20"/>
          <w:szCs w:val="20"/>
          <w:color w:val="auto"/>
        </w:rPr>
      </w:pPr>
      <w:r>
        <w:rPr>
          <w:rFonts w:ascii="Courier New" w:cs="Courier New" w:eastAsia="Courier New" w:hAnsi="Courier New"/>
          <w:sz w:val="17"/>
          <w:szCs w:val="17"/>
          <w:color w:val="auto"/>
        </w:rPr>
        <w:t>73-1309529</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Identification No.)</w:t>
      </w:r>
    </w:p>
    <w:p>
      <w:pPr>
        <w:spacing w:after="0" w:line="200" w:lineRule="exact"/>
        <w:rPr>
          <w:sz w:val="24"/>
          <w:szCs w:val="24"/>
          <w:color w:val="auto"/>
        </w:rPr>
      </w:pPr>
    </w:p>
    <w:p>
      <w:pPr>
        <w:sectPr>
          <w:pgSz w:w="11900" w:h="16838" w:orient="portrait"/>
          <w:cols w:equalWidth="0" w:num="2">
            <w:col w:w="5000" w:space="720"/>
            <w:col w:w="4499"/>
          </w:cols>
          <w:pgMar w:left="240" w:top="248" w:right="1440" w:bottom="1440" w:gutter="0" w:footer="0" w:header="0"/>
          <w:type w:val="continuous"/>
        </w:sectPr>
      </w:pPr>
    </w:p>
    <w:p>
      <w:pPr>
        <w:spacing w:after="0" w:line="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5000 QUORUM DRIVE, SUITE 300</w:t>
      </w:r>
    </w:p>
    <w:p>
      <w:pPr>
        <w:spacing w:after="0" w:line="7" w:lineRule="exact"/>
        <w:rPr>
          <w:sz w:val="24"/>
          <w:szCs w:val="24"/>
          <w:color w:val="auto"/>
        </w:rPr>
      </w:pPr>
    </w:p>
    <w:p>
      <w:pPr>
        <w:jc w:val="center"/>
        <w:ind w:right="1899"/>
        <w:spacing w:after="0"/>
        <w:tabs>
          <w:tab w:leader="none" w:pos="180" w:val="left"/>
        </w:tabs>
        <w:rPr>
          <w:sz w:val="20"/>
          <w:szCs w:val="20"/>
          <w:color w:val="auto"/>
        </w:rPr>
      </w:pPr>
      <w:r>
        <w:rPr>
          <w:rFonts w:ascii="Courier New" w:cs="Courier New" w:eastAsia="Courier New" w:hAnsi="Courier New"/>
          <w:sz w:val="17"/>
          <w:szCs w:val="17"/>
          <w:color w:val="auto"/>
        </w:rPr>
        <w:t>DALLAS, TEXAS</w:t>
        <w:tab/>
        <w:t>75240</w:t>
      </w:r>
    </w:p>
    <w:p>
      <w:pPr>
        <w:sectPr>
          <w:pgSz w:w="11900" w:h="16838" w:orient="portrait"/>
          <w:cols w:equalWidth="0" w:num="1">
            <w:col w:w="10219"/>
          </w:cols>
          <w:pgMar w:left="240" w:top="248" w:right="1440" w:bottom="1440" w:gutter="0" w:footer="0" w:header="0"/>
          <w:type w:val="continuous"/>
        </w:sectPr>
      </w:pPr>
    </w:p>
    <w:p>
      <w:pPr>
        <w:spacing w:after="0" w:line="7" w:lineRule="exact"/>
        <w:rPr>
          <w:sz w:val="24"/>
          <w:szCs w:val="24"/>
          <w:color w:val="auto"/>
        </w:rPr>
      </w:pPr>
    </w:p>
    <w:p>
      <w:pPr>
        <w:ind w:left="2080"/>
        <w:spacing w:after="0"/>
        <w:rPr>
          <w:sz w:val="20"/>
          <w:szCs w:val="20"/>
          <w:color w:val="auto"/>
        </w:rPr>
      </w:pPr>
      <w:r>
        <w:rPr>
          <w:rFonts w:ascii="Courier New" w:cs="Courier New" w:eastAsia="Courier New" w:hAnsi="Courier New"/>
          <w:sz w:val="17"/>
          <w:szCs w:val="17"/>
          <w:color w:val="auto"/>
        </w:rPr>
        <w:t>(Address of principal executive offices)</w:t>
      </w:r>
    </w:p>
    <w:p>
      <w:pPr>
        <w:spacing w:after="0" w:line="200" w:lineRule="exact"/>
        <w:rPr>
          <w:sz w:val="24"/>
          <w:szCs w:val="24"/>
          <w:color w:val="auto"/>
        </w:rPr>
      </w:pPr>
    </w:p>
    <w:p>
      <w:pPr>
        <w:spacing w:after="0" w:line="20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ENVIROFIL EMPLOYEE 1993 STOCK INCENTIVE PLAN</w:t>
      </w:r>
    </w:p>
    <w:p>
      <w:pPr>
        <w:spacing w:after="0" w:line="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(Full title of the plan)</w:t>
      </w:r>
    </w:p>
    <w:p>
      <w:pPr>
        <w:spacing w:after="0" w:line="207" w:lineRule="exact"/>
        <w:rPr>
          <w:sz w:val="24"/>
          <w:szCs w:val="24"/>
          <w:color w:val="auto"/>
        </w:rPr>
      </w:pPr>
    </w:p>
    <w:p>
      <w:pPr>
        <w:ind w:left="3120"/>
        <w:spacing w:after="0"/>
        <w:rPr>
          <w:sz w:val="20"/>
          <w:szCs w:val="20"/>
          <w:color w:val="auto"/>
        </w:rPr>
      </w:pPr>
      <w:r>
        <w:rPr>
          <w:rFonts w:ascii="Courier New" w:cs="Courier New" w:eastAsia="Courier New" w:hAnsi="Courier New"/>
          <w:sz w:val="17"/>
          <w:szCs w:val="17"/>
          <w:color w:val="auto"/>
        </w:rPr>
        <w:t>GREGORY T. SANGALIS</w:t>
      </w:r>
    </w:p>
    <w:p>
      <w:pPr>
        <w:spacing w:after="0" w:line="7" w:lineRule="exact"/>
        <w:rPr>
          <w:sz w:val="24"/>
          <w:szCs w:val="24"/>
          <w:color w:val="auto"/>
        </w:rPr>
      </w:pPr>
    </w:p>
    <w:p>
      <w:pPr>
        <w:ind w:left="2920"/>
        <w:spacing w:after="0"/>
        <w:rPr>
          <w:sz w:val="20"/>
          <w:szCs w:val="20"/>
          <w:color w:val="auto"/>
        </w:rPr>
      </w:pPr>
      <w:r>
        <w:rPr>
          <w:rFonts w:ascii="Courier New" w:cs="Courier New" w:eastAsia="Courier New" w:hAnsi="Courier New"/>
          <w:sz w:val="17"/>
          <w:szCs w:val="17"/>
          <w:color w:val="auto"/>
        </w:rPr>
        <w:t>USA WASTE SERVICES, INC.</w:t>
      </w:r>
    </w:p>
    <w:p>
      <w:pPr>
        <w:spacing w:after="0" w:line="7" w:lineRule="exact"/>
        <w:rPr>
          <w:sz w:val="24"/>
          <w:szCs w:val="24"/>
          <w:color w:val="auto"/>
        </w:rPr>
      </w:pPr>
    </w:p>
    <w:p>
      <w:pPr>
        <w:ind w:left="2700"/>
        <w:spacing w:after="0"/>
        <w:rPr>
          <w:sz w:val="20"/>
          <w:szCs w:val="20"/>
          <w:color w:val="auto"/>
        </w:rPr>
      </w:pPr>
      <w:r>
        <w:rPr>
          <w:rFonts w:ascii="Courier New" w:cs="Courier New" w:eastAsia="Courier New" w:hAnsi="Courier New"/>
          <w:sz w:val="17"/>
          <w:szCs w:val="17"/>
          <w:color w:val="auto"/>
        </w:rPr>
        <w:t>5000 QUORUM DRIVE, SUITE 300</w:t>
      </w:r>
    </w:p>
    <w:p>
      <w:pPr>
        <w:spacing w:after="0" w:line="7" w:lineRule="exact"/>
        <w:rPr>
          <w:sz w:val="24"/>
          <w:szCs w:val="24"/>
          <w:color w:val="auto"/>
        </w:rPr>
      </w:pPr>
    </w:p>
    <w:p>
      <w:pPr>
        <w:ind w:left="3120"/>
        <w:spacing w:after="0"/>
        <w:tabs>
          <w:tab w:leader="none" w:pos="4660" w:val="left"/>
        </w:tabs>
        <w:rPr>
          <w:sz w:val="20"/>
          <w:szCs w:val="20"/>
          <w:color w:val="auto"/>
        </w:rPr>
      </w:pPr>
      <w:r>
        <w:rPr>
          <w:rFonts w:ascii="Courier New" w:cs="Courier New" w:eastAsia="Courier New" w:hAnsi="Courier New"/>
          <w:sz w:val="17"/>
          <w:szCs w:val="17"/>
          <w:color w:val="auto"/>
        </w:rPr>
        <w:t>DALLAS, TEXAS</w:t>
        <w:tab/>
        <w:t>75240</w:t>
      </w:r>
    </w:p>
    <w:p>
      <w:pPr>
        <w:spacing w:after="0" w:line="7" w:lineRule="exact"/>
        <w:rPr>
          <w:sz w:val="24"/>
          <w:szCs w:val="24"/>
          <w:color w:val="auto"/>
        </w:rPr>
      </w:pPr>
    </w:p>
    <w:p>
      <w:pPr>
        <w:ind w:left="3440"/>
        <w:spacing w:after="0"/>
        <w:rPr>
          <w:sz w:val="20"/>
          <w:szCs w:val="20"/>
          <w:color w:val="auto"/>
        </w:rPr>
      </w:pPr>
      <w:r>
        <w:rPr>
          <w:rFonts w:ascii="Courier New" w:cs="Courier New" w:eastAsia="Courier New" w:hAnsi="Courier New"/>
          <w:sz w:val="17"/>
          <w:szCs w:val="17"/>
          <w:color w:val="auto"/>
        </w:rPr>
        <w:t>(214) 233-4212</w:t>
      </w:r>
    </w:p>
    <w:p>
      <w:pPr>
        <w:spacing w:after="0" w:line="7" w:lineRule="exact"/>
        <w:rPr>
          <w:sz w:val="24"/>
          <w:szCs w:val="24"/>
          <w:color w:val="auto"/>
        </w:rPr>
      </w:pPr>
    </w:p>
    <w:p>
      <w:pPr>
        <w:ind w:left="1140"/>
        <w:spacing w:after="0"/>
        <w:rPr>
          <w:sz w:val="20"/>
          <w:szCs w:val="20"/>
          <w:color w:val="auto"/>
        </w:rPr>
      </w:pPr>
      <w:r>
        <w:rPr>
          <w:rFonts w:ascii="Courier New" w:cs="Courier New" w:eastAsia="Courier New" w:hAnsi="Courier New"/>
          <w:sz w:val="17"/>
          <w:szCs w:val="17"/>
          <w:color w:val="auto"/>
        </w:rPr>
        <w:t>(Name, address and telephone number of agent for service)</w:t>
      </w:r>
    </w:p>
    <w:p>
      <w:pPr>
        <w:spacing w:after="0" w:line="207" w:lineRule="exact"/>
        <w:rPr>
          <w:sz w:val="24"/>
          <w:szCs w:val="24"/>
          <w:color w:val="auto"/>
        </w:rPr>
      </w:pPr>
    </w:p>
    <w:p>
      <w:pPr>
        <w:ind w:left="3640"/>
        <w:spacing w:after="0"/>
        <w:rPr>
          <w:sz w:val="20"/>
          <w:szCs w:val="20"/>
          <w:color w:val="auto"/>
        </w:rPr>
      </w:pPr>
      <w:r>
        <w:rPr>
          <w:rFonts w:ascii="Courier New" w:cs="Courier New" w:eastAsia="Courier New" w:hAnsi="Courier New"/>
          <w:sz w:val="17"/>
          <w:szCs w:val="17"/>
          <w:color w:val="auto"/>
        </w:rPr>
        <w:t>Copies to:</w:t>
      </w:r>
    </w:p>
    <w:p>
      <w:pPr>
        <w:spacing w:after="0" w:line="207" w:lineRule="exact"/>
        <w:rPr>
          <w:sz w:val="24"/>
          <w:szCs w:val="24"/>
          <w:color w:val="auto"/>
        </w:rPr>
      </w:pPr>
    </w:p>
    <w:p>
      <w:pPr>
        <w:ind w:left="3440"/>
        <w:spacing w:after="0"/>
        <w:rPr>
          <w:sz w:val="20"/>
          <w:szCs w:val="20"/>
          <w:color w:val="auto"/>
        </w:rPr>
      </w:pPr>
      <w:r>
        <w:rPr>
          <w:rFonts w:ascii="Courier New" w:cs="Courier New" w:eastAsia="Courier New" w:hAnsi="Courier New"/>
          <w:sz w:val="17"/>
          <w:szCs w:val="17"/>
          <w:color w:val="auto"/>
        </w:rPr>
        <w:t>JOHN T. UNGER</w:t>
      </w:r>
    </w:p>
    <w:p>
      <w:pPr>
        <w:spacing w:after="0" w:line="7" w:lineRule="exact"/>
        <w:rPr>
          <w:sz w:val="24"/>
          <w:szCs w:val="24"/>
          <w:color w:val="auto"/>
        </w:rPr>
      </w:pPr>
    </w:p>
    <w:p>
      <w:pPr>
        <w:ind w:left="1980"/>
        <w:spacing w:after="0"/>
        <w:rPr>
          <w:sz w:val="20"/>
          <w:szCs w:val="20"/>
          <w:color w:val="auto"/>
        </w:rPr>
      </w:pPr>
      <w:r>
        <w:rPr>
          <w:rFonts w:ascii="Courier New" w:cs="Courier New" w:eastAsia="Courier New" w:hAnsi="Courier New"/>
          <w:sz w:val="17"/>
          <w:szCs w:val="17"/>
          <w:color w:val="auto"/>
        </w:rPr>
        <w:t>SNELL &amp; SMITH, A PROFESSIONAL CORPORATION</w:t>
      </w:r>
    </w:p>
    <w:p>
      <w:pPr>
        <w:spacing w:after="0" w:line="7" w:lineRule="exact"/>
        <w:rPr>
          <w:sz w:val="24"/>
          <w:szCs w:val="24"/>
          <w:color w:val="auto"/>
        </w:rPr>
      </w:pPr>
    </w:p>
    <w:p>
      <w:pPr>
        <w:ind w:left="2820"/>
        <w:spacing w:after="0"/>
        <w:rPr>
          <w:sz w:val="20"/>
          <w:szCs w:val="20"/>
          <w:color w:val="auto"/>
        </w:rPr>
      </w:pPr>
      <w:r>
        <w:rPr>
          <w:rFonts w:ascii="Courier New" w:cs="Courier New" w:eastAsia="Courier New" w:hAnsi="Courier New"/>
          <w:sz w:val="17"/>
          <w:szCs w:val="17"/>
          <w:color w:val="auto"/>
        </w:rPr>
        <w:t>1000 LOUISIANA, SUITE 3650</w:t>
      </w:r>
    </w:p>
    <w:p>
      <w:pPr>
        <w:spacing w:after="0" w:line="7" w:lineRule="exact"/>
        <w:rPr>
          <w:sz w:val="24"/>
          <w:szCs w:val="24"/>
          <w:color w:val="auto"/>
        </w:rPr>
      </w:pPr>
    </w:p>
    <w:p>
      <w:pPr>
        <w:ind w:left="3020"/>
        <w:spacing w:after="0"/>
        <w:tabs>
          <w:tab w:leader="none" w:pos="4660" w:val="left"/>
        </w:tabs>
        <w:rPr>
          <w:sz w:val="20"/>
          <w:szCs w:val="20"/>
          <w:color w:val="auto"/>
        </w:rPr>
      </w:pPr>
      <w:r>
        <w:rPr>
          <w:rFonts w:ascii="Courier New" w:cs="Courier New" w:eastAsia="Courier New" w:hAnsi="Courier New"/>
          <w:sz w:val="17"/>
          <w:szCs w:val="17"/>
          <w:color w:val="auto"/>
        </w:rPr>
        <w:t>HOUSTON, TEXAS</w:t>
        <w:tab/>
        <w:t>77002</w:t>
      </w:r>
    </w:p>
    <w:p>
      <w:pPr>
        <w:spacing w:after="0" w:line="7" w:lineRule="exact"/>
        <w:rPr>
          <w:sz w:val="24"/>
          <w:szCs w:val="24"/>
          <w:color w:val="auto"/>
        </w:rPr>
      </w:pPr>
    </w:p>
    <w:p>
      <w:pPr>
        <w:ind w:left="3120"/>
        <w:spacing w:after="0"/>
        <w:rPr>
          <w:sz w:val="20"/>
          <w:szCs w:val="20"/>
          <w:color w:val="auto"/>
        </w:rPr>
      </w:pPr>
      <w:r>
        <w:rPr>
          <w:rFonts w:ascii="Courier New" w:cs="Courier New" w:eastAsia="Courier New" w:hAnsi="Courier New"/>
          <w:sz w:val="17"/>
          <w:szCs w:val="17"/>
          <w:color w:val="auto"/>
        </w:rPr>
        <w:t>___________________</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right="2099" w:firstLine="623"/>
        <w:spacing w:after="0" w:line="249" w:lineRule="auto"/>
        <w:rPr>
          <w:sz w:val="20"/>
          <w:szCs w:val="20"/>
          <w:color w:val="auto"/>
        </w:rPr>
      </w:pPr>
      <w:r>
        <w:rPr>
          <w:rFonts w:ascii="Courier New" w:cs="Courier New" w:eastAsia="Courier New" w:hAnsi="Courier New"/>
          <w:sz w:val="17"/>
          <w:szCs w:val="17"/>
          <w:color w:val="auto"/>
        </w:rPr>
        <w:t>THIS POST-EFFECTIVE AMENDMENT IS BEING FILED PURSUANT TO RULE 414 UNDER THE SECURITIES ACT OF 1933, AS AMENDED (THE "ACT"), BY USA WASTE SERVICES, INC., A DELAWARE CORPORATION ("USA WASTE DELAWARE"), AS SUCCESSOR TO USA WASTE SERVICES, INC., AN OKLAHOMA CORPORATION. USA WASTE DELAWARE HEREBY EXPRESSLY ADOPTS THIS REGISTRATION STATEMENT ON FORM S-8 (FILE NO. 33-84990) AS ITS OWN REGISTRATION STATEMENT FOR ALL PURPOSES OF THE ACT AND THE SECURITIES EXCHANGE ACT OF 1934.</w:t>
      </w:r>
    </w:p>
    <w:p>
      <w:pPr>
        <w:spacing w:after="0" w:line="200" w:lineRule="exact"/>
        <w:rPr>
          <w:sz w:val="24"/>
          <w:szCs w:val="24"/>
          <w:color w:val="auto"/>
        </w:rPr>
      </w:pPr>
    </w:p>
    <w:p>
      <w:pPr>
        <w:spacing w:after="0" w:line="39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248"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7"/>
          <w:szCs w:val="17"/>
          <w:color w:val="auto"/>
        </w:rPr>
        <w:t>2</w:t>
      </w:r>
    </w:p>
    <w:p>
      <w:pPr>
        <w:spacing w:after="0" w:line="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PART II</w:t>
      </w:r>
    </w:p>
    <w:p>
      <w:pPr>
        <w:spacing w:after="0" w:line="207"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INFORMATION REQUIRED IN THE REGISTRATION STATEMENT</w:t>
      </w:r>
    </w:p>
    <w:p>
      <w:pPr>
        <w:spacing w:after="0" w:line="200" w:lineRule="exact"/>
        <w:rPr>
          <w:sz w:val="20"/>
          <w:szCs w:val="20"/>
          <w:color w:val="auto"/>
        </w:rPr>
      </w:pPr>
    </w:p>
    <w:p>
      <w:pPr>
        <w:spacing w:after="0" w:line="20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3.</w:t>
        <w:tab/>
        <w:t>INCORPORATION OF CERTAIN DOCUMENTS BY REFERENCE</w:t>
      </w:r>
    </w:p>
    <w:p>
      <w:pPr>
        <w:spacing w:after="0" w:line="207" w:lineRule="exact"/>
        <w:rPr>
          <w:sz w:val="20"/>
          <w:szCs w:val="20"/>
          <w:color w:val="auto"/>
        </w:rPr>
      </w:pPr>
    </w:p>
    <w:p>
      <w:pPr>
        <w:ind w:right="2939" w:firstLine="935"/>
        <w:spacing w:after="0" w:line="251" w:lineRule="auto"/>
        <w:rPr>
          <w:sz w:val="20"/>
          <w:szCs w:val="20"/>
          <w:color w:val="auto"/>
        </w:rPr>
      </w:pPr>
      <w:r>
        <w:rPr>
          <w:rFonts w:ascii="Courier New" w:cs="Courier New" w:eastAsia="Courier New" w:hAnsi="Courier New"/>
          <w:sz w:val="17"/>
          <w:szCs w:val="17"/>
          <w:color w:val="auto"/>
        </w:rPr>
        <w:t>The following documents are incorporated by reference in this registration statement:</w:t>
      </w:r>
    </w:p>
    <w:p>
      <w:pPr>
        <w:spacing w:after="0" w:line="197" w:lineRule="exact"/>
        <w:rPr>
          <w:sz w:val="20"/>
          <w:szCs w:val="20"/>
          <w:color w:val="auto"/>
        </w:rPr>
      </w:pPr>
    </w:p>
    <w:p>
      <w:pPr>
        <w:ind w:right="1999" w:firstLine="942"/>
        <w:spacing w:after="0" w:line="249" w:lineRule="auto"/>
        <w:tabs>
          <w:tab w:leader="none" w:pos="1766"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registrant's latest annual report on Form 10-K, or, if the financial statements therein are more current, the registrant's latest prospectus, other than the prospectus of which this document is a part, filed pursuant to rule 424(b) or (c) of the Securities Exchange Commission under the Securities Act of 1933.</w:t>
      </w:r>
    </w:p>
    <w:p>
      <w:pPr>
        <w:spacing w:after="0" w:line="199" w:lineRule="exact"/>
        <w:rPr>
          <w:rFonts w:ascii="Courier New" w:cs="Courier New" w:eastAsia="Courier New" w:hAnsi="Courier New"/>
          <w:sz w:val="17"/>
          <w:szCs w:val="17"/>
          <w:color w:val="auto"/>
        </w:rPr>
      </w:pPr>
    </w:p>
    <w:p>
      <w:pPr>
        <w:ind w:right="1999" w:firstLine="942"/>
        <w:spacing w:after="0" w:line="249" w:lineRule="auto"/>
        <w:tabs>
          <w:tab w:leader="none" w:pos="1766"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other reports filed by the registrant pursuant to Sections 13(a) or 15(d) of the Securities Exchange Act of 1934 since the end of the fiscal year covered by the annual report or the prospectus referred to in (a) above.</w:t>
      </w:r>
    </w:p>
    <w:p>
      <w:pPr>
        <w:spacing w:after="0" w:line="199" w:lineRule="exact"/>
        <w:rPr>
          <w:rFonts w:ascii="Courier New" w:cs="Courier New" w:eastAsia="Courier New" w:hAnsi="Courier New"/>
          <w:sz w:val="17"/>
          <w:szCs w:val="17"/>
          <w:color w:val="auto"/>
        </w:rPr>
      </w:pPr>
    </w:p>
    <w:p>
      <w:pPr>
        <w:ind w:right="2099" w:firstLine="942"/>
        <w:spacing w:after="0" w:line="249" w:lineRule="auto"/>
        <w:tabs>
          <w:tab w:leader="none" w:pos="1766"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descriptions of the registrant's Common Stock which are contained in the registrant's registration statement filed under Section 12 of the Securities Exchange Act of 1934, including any amendment or reports filed for the purpose of updating such descriptions.</w:t>
      </w:r>
    </w:p>
    <w:p>
      <w:pPr>
        <w:spacing w:after="0" w:line="200" w:lineRule="exact"/>
        <w:rPr>
          <w:sz w:val="20"/>
          <w:szCs w:val="20"/>
          <w:color w:val="auto"/>
        </w:rPr>
      </w:pPr>
    </w:p>
    <w:p>
      <w:pPr>
        <w:ind w:right="1999" w:firstLine="935"/>
        <w:spacing w:after="0" w:line="249" w:lineRule="auto"/>
        <w:rPr>
          <w:sz w:val="20"/>
          <w:szCs w:val="20"/>
          <w:color w:val="auto"/>
        </w:rPr>
      </w:pPr>
      <w:r>
        <w:rPr>
          <w:rFonts w:ascii="Courier New" w:cs="Courier New" w:eastAsia="Courier New" w:hAnsi="Courier New"/>
          <w:sz w:val="17"/>
          <w:szCs w:val="17"/>
          <w:color w:val="auto"/>
        </w:rPr>
        <w:t>All documents subsequently filed by the registrant pursuant to Sections 13(a), 13(c), 14 and 15(d) of the Securities Exchange Act of 1934, prior to the filing of a post-effective amendment to the registration statement which indicates that all of the shares of common stock offered have been sold or which deregisters all of such shares then remaining unsold, shall be deemed to be incorporated by reference in the registration statement and to be a part hereof from the date of filing of such documents.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0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4.</w:t>
        <w:tab/>
        <w:t>DESCRIPTION OF SECURITIES.</w:t>
      </w:r>
    </w:p>
    <w:p>
      <w:pPr>
        <w:spacing w:after="0" w:line="207"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Not applicable</w:t>
      </w:r>
    </w:p>
    <w:p>
      <w:pPr>
        <w:spacing w:after="0" w:line="20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5.</w:t>
        <w:tab/>
        <w:t>INTERESTS OF NAMED EXPERTS AND COUNSEL.</w:t>
      </w:r>
    </w:p>
    <w:p>
      <w:pPr>
        <w:spacing w:after="0" w:line="207"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Not applicable</w:t>
      </w:r>
    </w:p>
    <w:p>
      <w:pPr>
        <w:spacing w:after="0" w:line="20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6.</w:t>
        <w:tab/>
        <w:t>INDEMNIFICATION OF DIRECTORS AND OFFICERS.</w:t>
      </w:r>
    </w:p>
    <w:p>
      <w:pPr>
        <w:spacing w:after="0" w:line="207" w:lineRule="exact"/>
        <w:rPr>
          <w:sz w:val="20"/>
          <w:szCs w:val="20"/>
          <w:color w:val="auto"/>
        </w:rPr>
      </w:pPr>
    </w:p>
    <w:p>
      <w:pPr>
        <w:ind w:right="1999" w:firstLine="935"/>
        <w:spacing w:after="0" w:line="249" w:lineRule="auto"/>
        <w:rPr>
          <w:sz w:val="20"/>
          <w:szCs w:val="20"/>
          <w:color w:val="auto"/>
        </w:rPr>
      </w:pPr>
      <w:r>
        <w:rPr>
          <w:rFonts w:ascii="Courier New" w:cs="Courier New" w:eastAsia="Courier New" w:hAnsi="Courier New"/>
          <w:sz w:val="17"/>
          <w:szCs w:val="17"/>
          <w:color w:val="auto"/>
        </w:rPr>
        <w:t>Section 102(b)(7) of the Delaware General Corporation Law provides that the certificate of incorporated of a Delaware 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involved intentional misconduct or a knowing violation of law, (iii) under Section 174 of this title, or (iv) for any transaction from which the director derived an improper personal benefit. No such provision shall eliminate or limit the liability of a director for any act or omission occurring prior to the date when such provision becomes effective.</w:t>
      </w:r>
    </w:p>
    <w:p>
      <w:pPr>
        <w:spacing w:after="0" w:line="200" w:lineRule="exact"/>
        <w:rPr>
          <w:sz w:val="20"/>
          <w:szCs w:val="20"/>
          <w:color w:val="auto"/>
        </w:rPr>
      </w:pPr>
    </w:p>
    <w:p>
      <w:pPr>
        <w:ind w:right="2739" w:firstLine="935"/>
        <w:spacing w:after="0" w:line="251" w:lineRule="auto"/>
        <w:rPr>
          <w:sz w:val="20"/>
          <w:szCs w:val="20"/>
          <w:color w:val="auto"/>
        </w:rPr>
      </w:pPr>
      <w:r>
        <w:rPr>
          <w:rFonts w:ascii="Courier New" w:cs="Courier New" w:eastAsia="Courier New" w:hAnsi="Courier New"/>
          <w:sz w:val="17"/>
          <w:szCs w:val="17"/>
          <w:color w:val="auto"/>
        </w:rPr>
        <w:t>The Certificate of Incorporation of the registrant includes the following provisions:</w:t>
      </w:r>
    </w:p>
    <w:p>
      <w:pPr>
        <w:spacing w:after="0" w:line="197" w:lineRule="exact"/>
        <w:rPr>
          <w:sz w:val="20"/>
          <w:szCs w:val="20"/>
          <w:color w:val="auto"/>
        </w:rPr>
      </w:pPr>
    </w:p>
    <w:p>
      <w:pPr>
        <w:ind w:left="940" w:right="2219" w:firstLine="831"/>
        <w:spacing w:after="0" w:line="250" w:lineRule="auto"/>
        <w:rPr>
          <w:sz w:val="20"/>
          <w:szCs w:val="20"/>
          <w:color w:val="auto"/>
        </w:rPr>
      </w:pPr>
      <w:r>
        <w:rPr>
          <w:rFonts w:ascii="Courier New" w:cs="Courier New" w:eastAsia="Courier New" w:hAnsi="Courier New"/>
          <w:sz w:val="17"/>
          <w:szCs w:val="17"/>
          <w:color w:val="auto"/>
        </w:rPr>
        <w:t>Seventh: No director of the Corporation shall be personally liable to the Corporation or its stockholders for monetary damages for breach of fiduciary duty as a</w:t>
      </w:r>
    </w:p>
    <w:p>
      <w:pPr>
        <w:sectPr>
          <w:pgSz w:w="11900" w:h="16838" w:orient="portrait"/>
          <w:cols w:equalWidth="0" w:num="1">
            <w:col w:w="10219"/>
          </w:cols>
          <w:pgMar w:left="240" w:top="315" w:right="1440" w:bottom="5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II-1</w:t>
      </w:r>
    </w:p>
    <w:p>
      <w:pPr>
        <w:sectPr>
          <w:pgSz w:w="11900" w:h="16838" w:orient="portrait"/>
          <w:cols w:equalWidth="0" w:num="1">
            <w:col w:w="10219"/>
          </w:cols>
          <w:pgMar w:left="240" w:top="315" w:right="1440" w:bottom="582" w:gutter="0" w:footer="0" w:header="0"/>
          <w:type w:val="continuous"/>
        </w:sectPr>
      </w:pPr>
    </w:p>
    <w:bookmarkStart w:id="2" w:name="page3"/>
    <w:bookmarkEnd w:id="2"/>
    <w:p>
      <w:pPr>
        <w:ind w:left="320"/>
        <w:spacing w:after="0"/>
        <w:rPr>
          <w:sz w:val="20"/>
          <w:szCs w:val="20"/>
          <w:color w:val="auto"/>
        </w:rPr>
      </w:pPr>
      <w:r>
        <w:rPr>
          <w:rFonts w:ascii="Courier New" w:cs="Courier New" w:eastAsia="Courier New" w:hAnsi="Courier New"/>
          <w:sz w:val="17"/>
          <w:szCs w:val="17"/>
          <w:color w:val="auto"/>
        </w:rPr>
        <w:t>3</w:t>
      </w:r>
    </w:p>
    <w:p>
      <w:pPr>
        <w:spacing w:after="0" w:line="7" w:lineRule="exact"/>
        <w:rPr>
          <w:sz w:val="20"/>
          <w:szCs w:val="20"/>
          <w:color w:val="auto"/>
        </w:rPr>
      </w:pPr>
    </w:p>
    <w:p>
      <w:pPr>
        <w:jc w:val="both"/>
        <w:ind w:left="940" w:right="2319"/>
        <w:spacing w:after="0" w:line="248" w:lineRule="auto"/>
        <w:rPr>
          <w:sz w:val="20"/>
          <w:szCs w:val="20"/>
          <w:color w:val="auto"/>
        </w:rPr>
      </w:pPr>
      <w:r>
        <w:rPr>
          <w:rFonts w:ascii="Courier New" w:cs="Courier New" w:eastAsia="Courier New" w:hAnsi="Courier New"/>
          <w:sz w:val="17"/>
          <w:szCs w:val="17"/>
          <w:color w:val="auto"/>
        </w:rPr>
        <w:t>director, provided that this provision shall not eliminate or limit the liability of a director for liability (i) for any breach of the director's duty of loyalty to the Corporation or its stockholders,</w:t>
      </w:r>
    </w:p>
    <w:p>
      <w:pPr>
        <w:spacing w:after="0" w:line="2" w:lineRule="exact"/>
        <w:rPr>
          <w:sz w:val="20"/>
          <w:szCs w:val="20"/>
          <w:color w:val="auto"/>
        </w:rPr>
      </w:pPr>
    </w:p>
    <w:p>
      <w:pPr>
        <w:ind w:left="940" w:right="1999" w:firstLine="2"/>
        <w:spacing w:after="0" w:line="249" w:lineRule="auto"/>
        <w:tabs>
          <w:tab w:leader="none" w:pos="1459"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acts or omissions not in good faith or which involve intentional misconduct or a knowing violation of law, (iii) under Section 174 of the General Corporation Law of Delaware or (iv) for any transaction from which the director derived an improper personal benefit. If the General Corporation Law of Delaware hereafter is amended to authorize the further elimination or limitation of the liability of directors, then the liability of a director of the Corporation, in addition to the limitation on personal liability provided herein, shall be limited to the fullest extent permitted by the amended General Corporation Law of Delaware. Any repeal or modification of this paragraph by the stockholders of the Corporation shall be prospective only, and shall not adversely affect any limitation on the personal liability of a director of the Corporation existing at the time of such repeal or modification. Neither this Restated Certificate of Incorporation nor any amendment, alteration, or repeal of this Article, nor the adoption of any provision of the Restated Certificate of Incorporation inconsistent with this Article, shall adversely effect, eliminate, or reduce any right or protection of a director of the Corporation hereunder with respect to any act, omission or matter occurring, or any action, suit, or claim that, but for this Article, would accrue or arise, prior to the time of such amendment, modification, repeal, or adoption of an inconsistent provision. All references in this Article to a "director" shall also be deemed to refer to such person or persons, if any, who pursuant to a provision of the Restated Certificate of Incorporation in accordance with subsection (a) of Section 141 of the Delaware General Corporation Law, exercise or perform any of the powers or duties otherwise conferred or imposed upon the board of directors by the Delaware General Corporation Law.</w:t>
      </w:r>
    </w:p>
    <w:p>
      <w:pPr>
        <w:spacing w:after="0" w:line="200"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145 of the Delaware General Corporation Law provides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follows:</w:t>
      </w:r>
    </w:p>
    <w:p>
      <w:pPr>
        <w:spacing w:after="0" w:line="207" w:lineRule="exact"/>
        <w:rPr>
          <w:sz w:val="20"/>
          <w:szCs w:val="20"/>
          <w:color w:val="auto"/>
        </w:rPr>
      </w:pPr>
    </w:p>
    <w:p>
      <w:pPr>
        <w:ind w:right="1999" w:firstLine="942"/>
        <w:spacing w:after="0" w:line="249" w:lineRule="auto"/>
        <w:tabs>
          <w:tab w:leader="none" w:pos="1558"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INDEMNIFICATION OF OFFICERS DIRECTORS, EMPLOYEES AND AGENTS; INSURANCE. -- (a)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w:t>
      </w:r>
    </w:p>
    <w:p>
      <w:pPr>
        <w:spacing w:after="0" w:line="200" w:lineRule="exact"/>
        <w:rPr>
          <w:sz w:val="20"/>
          <w:szCs w:val="20"/>
          <w:color w:val="auto"/>
        </w:rPr>
      </w:pPr>
    </w:p>
    <w:p>
      <w:pPr>
        <w:ind w:right="1999" w:firstLine="942"/>
        <w:spacing w:after="0" w:line="249" w:lineRule="auto"/>
        <w:tabs>
          <w:tab w:leader="none" w:pos="176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corporation may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99" w:lineRule="exact"/>
        <w:rPr>
          <w:rFonts w:ascii="Courier New" w:cs="Courier New" w:eastAsia="Courier New" w:hAnsi="Courier New"/>
          <w:sz w:val="17"/>
          <w:szCs w:val="17"/>
          <w:color w:val="auto"/>
        </w:rPr>
      </w:pPr>
    </w:p>
    <w:p>
      <w:pPr>
        <w:ind w:right="1999" w:firstLine="942"/>
        <w:spacing w:after="0" w:line="250" w:lineRule="auto"/>
        <w:tabs>
          <w:tab w:leader="none" w:pos="176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extent that a director, officer, employee or agent of a corporation has been successful on the merits or otherwise in defense of any action, suit or proceeding referred to in subsection</w:t>
      </w:r>
    </w:p>
    <w:p>
      <w:pPr>
        <w:sectPr>
          <w:pgSz w:w="11900" w:h="16838" w:orient="portrait"/>
          <w:cols w:equalWidth="0" w:num="1">
            <w:col w:w="10219"/>
          </w:cols>
          <w:pgMar w:left="240" w:top="315" w:right="1440" w:bottom="0" w:gutter="0" w:footer="0" w:header="0"/>
        </w:sectPr>
      </w:pPr>
    </w:p>
    <w:bookmarkStart w:id="3" w:name="page4"/>
    <w:bookmarkEnd w:id="3"/>
    <w:p>
      <w:pPr>
        <w:ind w:left="2760"/>
        <w:spacing w:after="0"/>
        <w:rPr>
          <w:sz w:val="20"/>
          <w:szCs w:val="20"/>
          <w:color w:val="auto"/>
        </w:rPr>
      </w:pPr>
      <w:r>
        <w:rPr>
          <w:rFonts w:ascii="Courier New" w:cs="Courier New" w:eastAsia="Courier New" w:hAnsi="Courier New"/>
          <w:sz w:val="17"/>
          <w:szCs w:val="17"/>
          <w:color w:val="auto"/>
        </w:rPr>
        <w:t>II-2</w:t>
      </w:r>
    </w:p>
    <w:p>
      <w:pPr>
        <w:sectPr>
          <w:pgSz w:w="11900" w:h="16838" w:orient="portrait"/>
          <w:cols w:equalWidth="0" w:num="1">
            <w:col w:w="9019"/>
          </w:cols>
          <w:pgMar w:left="1440" w:top="741" w:right="1440" w:bottom="1440" w:gutter="0" w:footer="0" w:header="0"/>
        </w:sectPr>
      </w:pPr>
    </w:p>
    <w:bookmarkStart w:id="4" w:name="page5"/>
    <w:bookmarkEnd w:id="4"/>
    <w:p>
      <w:pPr>
        <w:spacing w:after="0" w:line="53" w:lineRule="exact"/>
        <w:rPr>
          <w:sz w:val="20"/>
          <w:szCs w:val="20"/>
          <w:color w:val="auto"/>
        </w:rPr>
      </w:pPr>
    </w:p>
    <w:p>
      <w:pPr>
        <w:ind w:left="313"/>
        <w:spacing w:after="0"/>
        <w:rPr>
          <w:sz w:val="20"/>
          <w:szCs w:val="20"/>
          <w:color w:val="auto"/>
        </w:rPr>
      </w:pPr>
      <w:r>
        <w:rPr>
          <w:rFonts w:ascii="Courier New" w:cs="Courier New" w:eastAsia="Courier New" w:hAnsi="Courier New"/>
          <w:sz w:val="17"/>
          <w:szCs w:val="17"/>
          <w:color w:val="auto"/>
        </w:rPr>
        <w:t>4</w:t>
      </w:r>
    </w:p>
    <w:p>
      <w:pPr>
        <w:spacing w:after="0" w:line="7" w:lineRule="exact"/>
        <w:rPr>
          <w:sz w:val="20"/>
          <w:szCs w:val="20"/>
          <w:color w:val="auto"/>
        </w:rPr>
      </w:pPr>
    </w:p>
    <w:p>
      <w:pPr>
        <w:ind w:left="-7" w:right="2099" w:firstLine="7"/>
        <w:spacing w:after="0" w:line="250" w:lineRule="auto"/>
        <w:tabs>
          <w:tab w:leader="none" w:pos="409"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 (b) of this section, or in defense of any claim, issue or matter therein, he shall be indemnified against expenses (including attorneys' fees), actually and reasonably incurred by him in connection therewith.</w:t>
      </w:r>
    </w:p>
    <w:p>
      <w:pPr>
        <w:spacing w:after="0" w:line="197" w:lineRule="exact"/>
        <w:rPr>
          <w:rFonts w:ascii="Courier New" w:cs="Courier New" w:eastAsia="Courier New" w:hAnsi="Courier New"/>
          <w:sz w:val="17"/>
          <w:szCs w:val="17"/>
          <w:color w:val="auto"/>
        </w:rPr>
      </w:pPr>
    </w:p>
    <w:p>
      <w:pPr>
        <w:ind w:left="1773" w:hanging="838"/>
        <w:spacing w:after="0"/>
        <w:tabs>
          <w:tab w:leader="none" w:pos="1773"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indemnification under the provisions of subsection (a) or</w:t>
      </w:r>
    </w:p>
    <w:p>
      <w:pPr>
        <w:spacing w:after="0" w:line="7" w:lineRule="exact"/>
        <w:rPr>
          <w:rFonts w:ascii="Courier New" w:cs="Courier New" w:eastAsia="Courier New" w:hAnsi="Courier New"/>
          <w:sz w:val="17"/>
          <w:szCs w:val="17"/>
          <w:color w:val="auto"/>
        </w:rPr>
      </w:pPr>
    </w:p>
    <w:p>
      <w:pPr>
        <w:ind w:left="-7" w:right="1999" w:firstLine="7"/>
        <w:spacing w:after="0" w:line="249" w:lineRule="auto"/>
        <w:tabs>
          <w:tab w:leader="none" w:pos="409"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 this section (unless ordered by a court) shall be made by the corporation only as authorized in the specific case upon a determination that indemnification of the director, officer, employee or agent is proper in the circumstances because he has met the applicable standard of conduct set forth in subsection (a) or (b) of this section. Such determination shall be made (1) by a majority vote of directors who were not parties to such action suit or proceeding even though less than a quorum, or (2) if there are no such directors, or if such directors so direct, by independent legal counsel in a written opinion, or (3) by the stockholders.</w:t>
      </w:r>
    </w:p>
    <w:p>
      <w:pPr>
        <w:spacing w:after="0" w:line="199" w:lineRule="exact"/>
        <w:rPr>
          <w:rFonts w:ascii="Courier New" w:cs="Courier New" w:eastAsia="Courier New" w:hAnsi="Courier New"/>
          <w:sz w:val="17"/>
          <w:szCs w:val="17"/>
          <w:color w:val="auto"/>
        </w:rPr>
      </w:pPr>
    </w:p>
    <w:p>
      <w:pPr>
        <w:ind w:left="-7" w:right="1999" w:firstLine="942"/>
        <w:spacing w:after="0" w:line="249" w:lineRule="auto"/>
        <w:tabs>
          <w:tab w:leader="none" w:pos="176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by the provisions of this section. Such expenses (including attorneys' fees) incurred by other employees and agents may be so paid upon such terms and conditions, if any, as the board of directors deems appropriate.</w:t>
      </w:r>
    </w:p>
    <w:p>
      <w:pPr>
        <w:spacing w:after="0" w:line="199" w:lineRule="exact"/>
        <w:rPr>
          <w:rFonts w:ascii="Courier New" w:cs="Courier New" w:eastAsia="Courier New" w:hAnsi="Courier New"/>
          <w:sz w:val="17"/>
          <w:szCs w:val="17"/>
          <w:color w:val="auto"/>
        </w:rPr>
      </w:pPr>
    </w:p>
    <w:p>
      <w:pPr>
        <w:ind w:left="-7" w:right="1999" w:firstLine="942"/>
        <w:spacing w:after="0" w:line="249" w:lineRule="auto"/>
        <w:tabs>
          <w:tab w:leader="none" w:pos="176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indemnification and advancement of expense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his official capacity and as to action in another capacity while holding such office.</w:t>
      </w:r>
    </w:p>
    <w:p>
      <w:pPr>
        <w:spacing w:after="0" w:line="199" w:lineRule="exact"/>
        <w:rPr>
          <w:rFonts w:ascii="Courier New" w:cs="Courier New" w:eastAsia="Courier New" w:hAnsi="Courier New"/>
          <w:sz w:val="17"/>
          <w:szCs w:val="17"/>
          <w:color w:val="auto"/>
        </w:rPr>
      </w:pPr>
    </w:p>
    <w:p>
      <w:pPr>
        <w:ind w:left="-7" w:right="2219" w:firstLine="942"/>
        <w:spacing w:after="0" w:line="249" w:lineRule="auto"/>
        <w:tabs>
          <w:tab w:leader="none" w:pos="176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corporation shall have power to purchase and maintain insurance on behalf of any person who is or was a director, officer, employee or agent of the corporation, or is or was servicing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section.</w:t>
      </w:r>
    </w:p>
    <w:p>
      <w:pPr>
        <w:spacing w:after="0" w:line="199" w:lineRule="exact"/>
        <w:rPr>
          <w:rFonts w:ascii="Courier New" w:cs="Courier New" w:eastAsia="Courier New" w:hAnsi="Courier New"/>
          <w:sz w:val="17"/>
          <w:szCs w:val="17"/>
          <w:color w:val="auto"/>
        </w:rPr>
      </w:pPr>
    </w:p>
    <w:p>
      <w:pPr>
        <w:ind w:left="-7" w:right="1999" w:firstLine="942"/>
        <w:spacing w:after="0" w:line="249" w:lineRule="auto"/>
        <w:tabs>
          <w:tab w:leader="none" w:pos="176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399" w:lineRule="exact"/>
        <w:rPr>
          <w:rFonts w:ascii="Courier New" w:cs="Courier New" w:eastAsia="Courier New" w:hAnsi="Courier New"/>
          <w:sz w:val="17"/>
          <w:szCs w:val="17"/>
          <w:color w:val="auto"/>
        </w:rPr>
      </w:pPr>
    </w:p>
    <w:p>
      <w:pPr>
        <w:ind w:left="-7" w:right="1999" w:firstLine="942"/>
        <w:spacing w:after="0" w:line="249" w:lineRule="auto"/>
        <w:tabs>
          <w:tab w:leader="none" w:pos="176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this section,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section.</w:t>
      </w:r>
    </w:p>
    <w:p>
      <w:pPr>
        <w:spacing w:after="0" w:line="199" w:lineRule="exact"/>
        <w:rPr>
          <w:rFonts w:ascii="Courier New" w:cs="Courier New" w:eastAsia="Courier New" w:hAnsi="Courier New"/>
          <w:sz w:val="17"/>
          <w:szCs w:val="17"/>
          <w:color w:val="auto"/>
        </w:rPr>
      </w:pPr>
    </w:p>
    <w:p>
      <w:pPr>
        <w:ind w:left="-7" w:right="1999" w:firstLine="942"/>
        <w:spacing w:after="0" w:line="249" w:lineRule="auto"/>
        <w:tabs>
          <w:tab w:leader="none" w:pos="176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indemnification and advancement of expenses provided by, or granted pursuant to, this section, unless otherwise provided when authorized or ratified, shall continue as to a person who has ceased to be a director, officer, employee or agent and shall inure to the benefit of the heirs, executors and administrators of such a person.</w:t>
      </w:r>
    </w:p>
    <w:p>
      <w:pPr>
        <w:sectPr>
          <w:pgSz w:w="11900" w:h="16891" w:orient="portrait"/>
          <w:cols w:equalWidth="0" w:num="1">
            <w:col w:w="10213"/>
          </w:cols>
          <w:pgMar w:left="247" w:top="31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953"/>
        <w:spacing w:after="0"/>
        <w:rPr>
          <w:sz w:val="20"/>
          <w:szCs w:val="20"/>
          <w:color w:val="auto"/>
        </w:rPr>
      </w:pPr>
      <w:r>
        <w:rPr>
          <w:rFonts w:ascii="Courier New" w:cs="Courier New" w:eastAsia="Courier New" w:hAnsi="Courier New"/>
          <w:sz w:val="17"/>
          <w:szCs w:val="17"/>
          <w:color w:val="auto"/>
        </w:rPr>
        <w:t>II-3</w:t>
      </w:r>
    </w:p>
    <w:p>
      <w:pPr>
        <w:sectPr>
          <w:pgSz w:w="11900" w:h="16891" w:orient="portrait"/>
          <w:cols w:equalWidth="0" w:num="1">
            <w:col w:w="10213"/>
          </w:cols>
          <w:pgMar w:left="247" w:top="315" w:right="1440" w:bottom="0" w:gutter="0" w:footer="0" w:header="0"/>
          <w:type w:val="continuous"/>
        </w:sectPr>
      </w:pPr>
    </w:p>
    <w:bookmarkStart w:id="5" w:name="page6"/>
    <w:bookmarkEnd w:id="5"/>
    <w:p>
      <w:pPr>
        <w:ind w:left="320"/>
        <w:spacing w:after="0"/>
        <w:rPr>
          <w:sz w:val="20"/>
          <w:szCs w:val="20"/>
          <w:color w:val="auto"/>
        </w:rPr>
      </w:pPr>
      <w:r>
        <w:rPr>
          <w:rFonts w:ascii="Courier New" w:cs="Courier New" w:eastAsia="Courier New" w:hAnsi="Courier New"/>
          <w:sz w:val="17"/>
          <w:szCs w:val="17"/>
          <w:color w:val="auto"/>
        </w:rPr>
        <w:t>5</w:t>
      </w:r>
    </w:p>
    <w:p>
      <w:pPr>
        <w:spacing w:after="0" w:line="7" w:lineRule="exact"/>
        <w:rPr>
          <w:sz w:val="20"/>
          <w:szCs w:val="20"/>
          <w:color w:val="auto"/>
        </w:rPr>
      </w:pPr>
    </w:p>
    <w:p>
      <w:pPr>
        <w:ind w:right="1999" w:firstLine="942"/>
        <w:spacing w:after="0" w:line="249" w:lineRule="auto"/>
        <w:tabs>
          <w:tab w:leader="none" w:pos="1766"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p>
      <w:pPr>
        <w:spacing w:after="0" w:line="200" w:lineRule="exact"/>
        <w:rPr>
          <w:sz w:val="20"/>
          <w:szCs w:val="20"/>
          <w:color w:val="auto"/>
        </w:rPr>
      </w:pPr>
    </w:p>
    <w:p>
      <w:pPr>
        <w:ind w:right="2739" w:firstLine="935"/>
        <w:spacing w:after="0" w:line="251" w:lineRule="auto"/>
        <w:rPr>
          <w:sz w:val="20"/>
          <w:szCs w:val="20"/>
          <w:color w:val="auto"/>
        </w:rPr>
      </w:pPr>
      <w:r>
        <w:rPr>
          <w:rFonts w:ascii="Courier New" w:cs="Courier New" w:eastAsia="Courier New" w:hAnsi="Courier New"/>
          <w:sz w:val="17"/>
          <w:szCs w:val="17"/>
          <w:color w:val="auto"/>
        </w:rPr>
        <w:t>The Certificate of Incorporation of the registrant includes the following provision:</w:t>
      </w:r>
    </w:p>
    <w:p>
      <w:pPr>
        <w:spacing w:after="0" w:line="197" w:lineRule="exact"/>
        <w:rPr>
          <w:sz w:val="20"/>
          <w:szCs w:val="20"/>
          <w:color w:val="auto"/>
        </w:rPr>
      </w:pPr>
    </w:p>
    <w:p>
      <w:pPr>
        <w:ind w:left="940" w:right="1999" w:firstLine="831"/>
        <w:spacing w:after="0" w:line="249" w:lineRule="auto"/>
        <w:rPr>
          <w:sz w:val="20"/>
          <w:szCs w:val="20"/>
          <w:color w:val="auto"/>
        </w:rPr>
      </w:pPr>
      <w:r>
        <w:rPr>
          <w:rFonts w:ascii="Courier New" w:cs="Courier New" w:eastAsia="Courier New" w:hAnsi="Courier New"/>
          <w:sz w:val="17"/>
          <w:szCs w:val="17"/>
          <w:color w:val="auto"/>
        </w:rPr>
        <w:t>Eighth: This Corporation shall, to the maximum extent permitted from time to time under the law of the State of Delaware, indemnify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this Corporation or any of its direct or indirect subsidiaries or while such a director or officer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initiated by or on behalf of such person. Such indemnification shall not be exclusive of other indemnification rights arising under any bylaws, agreement, vote of directors or stockholders or otherwise and shall inure to the benefit of the heirs and legal representatives of such person. Any person seeking indemnification under this Article shall be deemed to have met the standard of conduct required for such indemnification unless the contrary shall be established.</w:t>
      </w:r>
    </w:p>
    <w:p>
      <w:pPr>
        <w:spacing w:after="0" w:line="200" w:lineRule="exact"/>
        <w:rPr>
          <w:sz w:val="20"/>
          <w:szCs w:val="20"/>
          <w:color w:val="auto"/>
        </w:rPr>
      </w:pPr>
    </w:p>
    <w:p>
      <w:pPr>
        <w:ind w:right="2219" w:firstLine="935"/>
        <w:spacing w:after="0" w:line="249" w:lineRule="auto"/>
        <w:rPr>
          <w:sz w:val="20"/>
          <w:szCs w:val="20"/>
          <w:color w:val="auto"/>
        </w:rPr>
      </w:pPr>
      <w:r>
        <w:rPr>
          <w:rFonts w:ascii="Courier New" w:cs="Courier New" w:eastAsia="Courier New" w:hAnsi="Courier New"/>
          <w:sz w:val="17"/>
          <w:szCs w:val="17"/>
          <w:color w:val="auto"/>
        </w:rPr>
        <w:t>The Bylaws of the registrant include indemnification provisions that generally provide indemnification to directors and officers of the registrant in the manner and to the extent permitted by Section 145 of the Delaware General Corporation Law. However, the provisions corresponding to subsections 145(a) and (b) are mandatory rather than permissive.</w:t>
      </w:r>
    </w:p>
    <w:p>
      <w:pPr>
        <w:spacing w:after="0" w:line="200" w:lineRule="exact"/>
        <w:rPr>
          <w:sz w:val="20"/>
          <w:szCs w:val="20"/>
          <w:color w:val="auto"/>
        </w:rPr>
      </w:pPr>
    </w:p>
    <w:p>
      <w:pPr>
        <w:ind w:right="1999" w:firstLine="935"/>
        <w:spacing w:after="0" w:line="249" w:lineRule="auto"/>
        <w:rPr>
          <w:sz w:val="20"/>
          <w:szCs w:val="20"/>
          <w:color w:val="auto"/>
        </w:rPr>
      </w:pPr>
      <w:r>
        <w:rPr>
          <w:rFonts w:ascii="Courier New" w:cs="Courier New" w:eastAsia="Courier New" w:hAnsi="Courier New"/>
          <w:sz w:val="17"/>
          <w:szCs w:val="17"/>
          <w:color w:val="auto"/>
        </w:rPr>
        <w:t>The registrant has entered into Indemnification Agreements with each of its directors and executive officers. Such Indemnification Agreements provide that such persons (the "Indemnitees") will be indemnified and held harmless from all expenses, including (without limitation) reasonable fees and expenses of counsel, and all liabilities, including (without limitation) the amount of any judgments, fines, penalties, excise taxes and amounts paid in settlement, actually incurred by an Indemnitee with respect to any threatened, pending or completed claim, action (including any action by or in the right of the registrant), suit or proceeding (whether formal or informal, or civil, criminal, administrative, legislative, arbitrative or investigative) in respect of which such Indemnitee is, was or at any time becomes, or is threatened to be made, a party, witness, subject or target, by reason of the fact that such Indemnitee is or was a director, officer, agent or fiduciary of the registrant or serving at the request of the registrant as a director, officer, employee, fiduciary or representative of another enterprise. Such Indemnification Agreements also provide that the registrant, if requested to do so by an Indemnitee, will advance to such Indemnitee, prior to final disposition of any proceeding, the expenses actually incurred by the Indemnitee subject to the obligation of the Indemnitee to refund if it is ultimately determined that such Indemnitee was not entitled to indemnification.</w:t>
      </w:r>
    </w:p>
    <w:p>
      <w:pPr>
        <w:spacing w:after="0" w:line="40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7.</w:t>
        <w:tab/>
        <w:t>EXEMPTION FROM REGISTRATION CLAIMED.</w:t>
      </w:r>
    </w:p>
    <w:p>
      <w:pPr>
        <w:spacing w:after="0" w:line="207"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Not applicable.</w:t>
      </w:r>
    </w:p>
    <w:p>
      <w:pPr>
        <w:spacing w:after="0" w:line="200" w:lineRule="exact"/>
        <w:rPr>
          <w:sz w:val="20"/>
          <w:szCs w:val="20"/>
          <w:color w:val="auto"/>
        </w:rPr>
      </w:pPr>
    </w:p>
    <w:p>
      <w:pPr>
        <w:spacing w:after="0" w:line="20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8.</w:t>
        <w:tab/>
        <w:t>EXHIBITS.</w:t>
      </w:r>
    </w:p>
    <w:p>
      <w:pPr>
        <w:spacing w:after="0" w:line="207" w:lineRule="exact"/>
        <w:rPr>
          <w:sz w:val="20"/>
          <w:szCs w:val="20"/>
          <w:color w:val="auto"/>
        </w:rPr>
      </w:pPr>
    </w:p>
    <w:p>
      <w:pPr>
        <w:ind w:left="1780" w:right="2099" w:hanging="726"/>
        <w:spacing w:after="0" w:line="248" w:lineRule="auto"/>
        <w:tabs>
          <w:tab w:leader="none" w:pos="1760" w:val="left"/>
        </w:tabs>
        <w:rPr>
          <w:sz w:val="20"/>
          <w:szCs w:val="20"/>
          <w:color w:val="auto"/>
        </w:rPr>
      </w:pPr>
      <w:r>
        <w:rPr>
          <w:rFonts w:ascii="Courier New" w:cs="Courier New" w:eastAsia="Courier New" w:hAnsi="Courier New"/>
          <w:sz w:val="17"/>
          <w:szCs w:val="17"/>
          <w:color w:val="auto"/>
        </w:rPr>
        <w:t>4.1</w:t>
      </w:r>
      <w:r>
        <w:rPr>
          <w:sz w:val="20"/>
          <w:szCs w:val="20"/>
          <w:color w:val="auto"/>
        </w:rPr>
        <w:tab/>
      </w:r>
      <w:r>
        <w:rPr>
          <w:rFonts w:ascii="Courier New" w:cs="Courier New" w:eastAsia="Courier New" w:hAnsi="Courier New"/>
          <w:sz w:val="17"/>
          <w:szCs w:val="17"/>
          <w:color w:val="auto"/>
        </w:rPr>
        <w:t>Restated Certificate of Incorporation of the Registrant [Incorporated by reference to Exhibit 3.1 of the Registrant's Registration Statement on Form S-4, File No. 33-60103]</w:t>
      </w:r>
    </w:p>
    <w:p>
      <w:pPr>
        <w:spacing w:after="0" w:line="2" w:lineRule="exact"/>
        <w:rPr>
          <w:sz w:val="20"/>
          <w:szCs w:val="20"/>
          <w:color w:val="auto"/>
        </w:rPr>
      </w:pPr>
    </w:p>
    <w:p>
      <w:pPr>
        <w:ind w:left="1780" w:right="1999" w:hanging="726"/>
        <w:spacing w:after="0" w:line="250" w:lineRule="auto"/>
        <w:tabs>
          <w:tab w:leader="none" w:pos="1760" w:val="left"/>
        </w:tabs>
        <w:rPr>
          <w:sz w:val="20"/>
          <w:szCs w:val="20"/>
          <w:color w:val="auto"/>
        </w:rPr>
      </w:pPr>
      <w:r>
        <w:rPr>
          <w:rFonts w:ascii="Courier New" w:cs="Courier New" w:eastAsia="Courier New" w:hAnsi="Courier New"/>
          <w:sz w:val="17"/>
          <w:szCs w:val="17"/>
          <w:color w:val="auto"/>
        </w:rPr>
        <w:t>4.2</w:t>
      </w:r>
      <w:r>
        <w:rPr>
          <w:sz w:val="20"/>
          <w:szCs w:val="20"/>
          <w:color w:val="auto"/>
        </w:rPr>
        <w:tab/>
      </w:r>
      <w:r>
        <w:rPr>
          <w:rFonts w:ascii="Courier New" w:cs="Courier New" w:eastAsia="Courier New" w:hAnsi="Courier New"/>
          <w:sz w:val="17"/>
          <w:szCs w:val="17"/>
          <w:color w:val="auto"/>
        </w:rPr>
        <w:t>Bylaws of the Registrant [Incorporated by reference to Exhibit 3.2 of the Registrant's Registration Statement on Form S-4, File No. 33-60103]</w:t>
      </w:r>
    </w:p>
    <w:p>
      <w:pPr>
        <w:sectPr>
          <w:pgSz w:w="11900" w:h="16838" w:orient="portrait"/>
          <w:cols w:equalWidth="0" w:num="1">
            <w:col w:w="10219"/>
          </w:cols>
          <w:pgMar w:left="240" w:top="315" w:right="1440" w:bottom="172" w:gutter="0" w:footer="0" w:header="0"/>
        </w:sectPr>
      </w:pPr>
    </w:p>
    <w:bookmarkStart w:id="6" w:name="page7"/>
    <w:bookmarkEnd w:id="6"/>
    <w:p>
      <w:pPr>
        <w:ind w:left="2760"/>
        <w:spacing w:after="0"/>
        <w:rPr>
          <w:sz w:val="20"/>
          <w:szCs w:val="20"/>
          <w:color w:val="auto"/>
        </w:rPr>
      </w:pPr>
      <w:r>
        <w:rPr>
          <w:rFonts w:ascii="Courier New" w:cs="Courier New" w:eastAsia="Courier New" w:hAnsi="Courier New"/>
          <w:sz w:val="17"/>
          <w:szCs w:val="17"/>
          <w:color w:val="auto"/>
        </w:rPr>
        <w:t>II-4</w:t>
      </w:r>
    </w:p>
    <w:p>
      <w:pPr>
        <w:sectPr>
          <w:pgSz w:w="11900" w:h="16838" w:orient="portrait"/>
          <w:cols w:equalWidth="0" w:num="1">
            <w:col w:w="9019"/>
          </w:cols>
          <w:pgMar w:left="1440" w:top="541"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7"/>
          <w:szCs w:val="17"/>
          <w:color w:val="auto"/>
        </w:rPr>
        <w:t>6</w:t>
      </w:r>
    </w:p>
    <w:p>
      <w:pPr>
        <w:spacing w:after="0" w:line="7" w:lineRule="exact"/>
        <w:rPr>
          <w:sz w:val="20"/>
          <w:szCs w:val="20"/>
          <w:color w:val="auto"/>
        </w:rPr>
      </w:pPr>
    </w:p>
    <w:p>
      <w:pPr>
        <w:ind w:left="1780" w:right="1999" w:hanging="726"/>
        <w:spacing w:after="0" w:line="248" w:lineRule="auto"/>
        <w:tabs>
          <w:tab w:leader="none" w:pos="1760" w:val="left"/>
        </w:tabs>
        <w:rPr>
          <w:sz w:val="20"/>
          <w:szCs w:val="20"/>
          <w:color w:val="auto"/>
        </w:rPr>
      </w:pPr>
      <w:r>
        <w:rPr>
          <w:rFonts w:ascii="Courier New" w:cs="Courier New" w:eastAsia="Courier New" w:hAnsi="Courier New"/>
          <w:sz w:val="17"/>
          <w:szCs w:val="17"/>
          <w:color w:val="auto"/>
        </w:rPr>
        <w:t>4.3</w:t>
      </w:r>
      <w:r>
        <w:rPr>
          <w:sz w:val="20"/>
          <w:szCs w:val="20"/>
          <w:color w:val="auto"/>
        </w:rPr>
        <w:tab/>
      </w:r>
      <w:r>
        <w:rPr>
          <w:rFonts w:ascii="Courier New" w:cs="Courier New" w:eastAsia="Courier New" w:hAnsi="Courier New"/>
          <w:sz w:val="17"/>
          <w:szCs w:val="17"/>
          <w:color w:val="auto"/>
        </w:rPr>
        <w:t>Specimen Stock Certificate [Incorporated by reference to Exhibit 4.3 of the Registrant's Registration Statement on Form S-3, File No. 33-76224]</w:t>
      </w:r>
    </w:p>
    <w:p>
      <w:pPr>
        <w:spacing w:after="0" w:line="2" w:lineRule="exact"/>
        <w:rPr>
          <w:sz w:val="20"/>
          <w:szCs w:val="20"/>
          <w:color w:val="auto"/>
        </w:rPr>
      </w:pPr>
    </w:p>
    <w:p>
      <w:pPr>
        <w:jc w:val="both"/>
        <w:ind w:left="1780" w:right="2099" w:hanging="726"/>
        <w:spacing w:after="0" w:line="248" w:lineRule="auto"/>
        <w:tabs>
          <w:tab w:leader="none" w:pos="1760" w:val="left"/>
        </w:tabs>
        <w:rPr>
          <w:sz w:val="20"/>
          <w:szCs w:val="20"/>
          <w:color w:val="auto"/>
        </w:rPr>
      </w:pPr>
      <w:r>
        <w:rPr>
          <w:rFonts w:ascii="Courier New" w:cs="Courier New" w:eastAsia="Courier New" w:hAnsi="Courier New"/>
          <w:sz w:val="17"/>
          <w:szCs w:val="17"/>
          <w:color w:val="auto"/>
        </w:rPr>
        <w:t>4.4</w:t>
      </w:r>
      <w:r>
        <w:rPr>
          <w:sz w:val="20"/>
          <w:szCs w:val="20"/>
          <w:color w:val="auto"/>
        </w:rPr>
        <w:tab/>
      </w:r>
      <w:r>
        <w:rPr>
          <w:rFonts w:ascii="Courier New" w:cs="Courier New" w:eastAsia="Courier New" w:hAnsi="Courier New"/>
          <w:sz w:val="17"/>
          <w:szCs w:val="17"/>
          <w:color w:val="auto"/>
        </w:rPr>
        <w:t>USA Waste Services, Inc. 1990 Stock Option Plan [Incorporated by reference to Exhibit 10.1 to Registrant's Annual Report on Form 10-K for the year ended December 31, 1990]</w:t>
      </w:r>
    </w:p>
    <w:p>
      <w:pPr>
        <w:spacing w:after="0" w:line="2" w:lineRule="exact"/>
        <w:rPr>
          <w:sz w:val="20"/>
          <w:szCs w:val="20"/>
          <w:color w:val="auto"/>
        </w:rPr>
      </w:pPr>
    </w:p>
    <w:p>
      <w:pPr>
        <w:ind w:left="1040"/>
        <w:spacing w:after="0"/>
        <w:tabs>
          <w:tab w:leader="none" w:pos="1760" w:val="left"/>
        </w:tabs>
        <w:rPr>
          <w:sz w:val="20"/>
          <w:szCs w:val="20"/>
          <w:color w:val="auto"/>
        </w:rPr>
      </w:pPr>
      <w:r>
        <w:rPr>
          <w:rFonts w:ascii="Courier New" w:cs="Courier New" w:eastAsia="Courier New" w:hAnsi="Courier New"/>
          <w:sz w:val="17"/>
          <w:szCs w:val="17"/>
          <w:color w:val="auto"/>
        </w:rPr>
        <w:t>5.1</w:t>
      </w:r>
      <w:r>
        <w:rPr>
          <w:sz w:val="20"/>
          <w:szCs w:val="20"/>
          <w:color w:val="auto"/>
        </w:rPr>
        <w:tab/>
      </w:r>
      <w:r>
        <w:rPr>
          <w:rFonts w:ascii="Courier New" w:cs="Courier New" w:eastAsia="Courier New" w:hAnsi="Courier New"/>
          <w:sz w:val="17"/>
          <w:szCs w:val="17"/>
          <w:color w:val="auto"/>
        </w:rPr>
        <w:t>Opinion of Snell &amp; Smith, A Professional Corporation</w:t>
      </w:r>
    </w:p>
    <w:p>
      <w:pPr>
        <w:spacing w:after="0" w:line="7" w:lineRule="exact"/>
        <w:rPr>
          <w:sz w:val="20"/>
          <w:szCs w:val="20"/>
          <w:color w:val="auto"/>
        </w:rPr>
      </w:pPr>
    </w:p>
    <w:p>
      <w:pPr>
        <w:ind w:left="1780" w:right="1999" w:hanging="830"/>
        <w:spacing w:after="0" w:line="248" w:lineRule="auto"/>
        <w:tabs>
          <w:tab w:leader="none" w:pos="1760" w:val="left"/>
        </w:tabs>
        <w:rPr>
          <w:sz w:val="20"/>
          <w:szCs w:val="20"/>
          <w:color w:val="auto"/>
        </w:rPr>
      </w:pPr>
      <w:r>
        <w:rPr>
          <w:rFonts w:ascii="Courier New" w:cs="Courier New" w:eastAsia="Courier New" w:hAnsi="Courier New"/>
          <w:sz w:val="17"/>
          <w:szCs w:val="17"/>
          <w:color w:val="auto"/>
        </w:rPr>
        <w:t>23.1</w:t>
      </w:r>
      <w:r>
        <w:rPr>
          <w:sz w:val="20"/>
          <w:szCs w:val="20"/>
          <w:color w:val="auto"/>
        </w:rPr>
        <w:tab/>
      </w:r>
      <w:r>
        <w:rPr>
          <w:rFonts w:ascii="Courier New" w:cs="Courier New" w:eastAsia="Courier New" w:hAnsi="Courier New"/>
          <w:sz w:val="17"/>
          <w:szCs w:val="17"/>
          <w:color w:val="auto"/>
        </w:rPr>
        <w:t>Consent of Snell &amp; Smith, A Professional Corporation [Included in Exhibit 5.1]</w:t>
      </w:r>
    </w:p>
    <w:p>
      <w:pPr>
        <w:spacing w:after="0" w:line="2" w:lineRule="exact"/>
        <w:rPr>
          <w:sz w:val="20"/>
          <w:szCs w:val="20"/>
          <w:color w:val="auto"/>
        </w:rPr>
      </w:pPr>
    </w:p>
    <w:p>
      <w:pPr>
        <w:ind w:left="1780" w:right="1999" w:hanging="830"/>
        <w:spacing w:after="0" w:line="248" w:lineRule="auto"/>
        <w:tabs>
          <w:tab w:leader="none" w:pos="1760" w:val="left"/>
        </w:tabs>
        <w:rPr>
          <w:sz w:val="20"/>
          <w:szCs w:val="20"/>
          <w:color w:val="auto"/>
        </w:rPr>
      </w:pPr>
      <w:r>
        <w:rPr>
          <w:rFonts w:ascii="Courier New" w:cs="Courier New" w:eastAsia="Courier New" w:hAnsi="Courier New"/>
          <w:sz w:val="17"/>
          <w:szCs w:val="17"/>
          <w:color w:val="auto"/>
        </w:rPr>
        <w:t>23.2</w:t>
      </w:r>
      <w:r>
        <w:rPr>
          <w:sz w:val="20"/>
          <w:szCs w:val="20"/>
          <w:color w:val="auto"/>
        </w:rPr>
        <w:tab/>
      </w:r>
      <w:r>
        <w:rPr>
          <w:rFonts w:ascii="Courier New" w:cs="Courier New" w:eastAsia="Courier New" w:hAnsi="Courier New"/>
          <w:sz w:val="17"/>
          <w:szCs w:val="17"/>
          <w:color w:val="auto"/>
        </w:rPr>
        <w:t>Consent of Coopers &amp; Lybrand, L.L.P. [Incorporated by reference to Exhibit 23.1 to the Registrant's Annual Report on Form 10-K for the year ended December 31, 1994 and Exhibit</w:t>
      </w:r>
    </w:p>
    <w:p>
      <w:pPr>
        <w:spacing w:after="0" w:line="2"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23.2 to Registrant's Current Report on Form 8-K dated June 30,</w:t>
      </w:r>
    </w:p>
    <w:p>
      <w:pPr>
        <w:spacing w:after="0" w:line="7"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1995]</w:t>
      </w:r>
    </w:p>
    <w:p>
      <w:pPr>
        <w:spacing w:after="0" w:line="7" w:lineRule="exact"/>
        <w:rPr>
          <w:sz w:val="20"/>
          <w:szCs w:val="20"/>
          <w:color w:val="auto"/>
        </w:rPr>
      </w:pPr>
    </w:p>
    <w:p>
      <w:pPr>
        <w:ind w:left="1780" w:right="2219" w:hanging="830"/>
        <w:spacing w:after="0" w:line="248" w:lineRule="auto"/>
        <w:tabs>
          <w:tab w:leader="none" w:pos="1760" w:val="left"/>
        </w:tabs>
        <w:rPr>
          <w:sz w:val="20"/>
          <w:szCs w:val="20"/>
          <w:color w:val="auto"/>
        </w:rPr>
      </w:pPr>
      <w:r>
        <w:rPr>
          <w:rFonts w:ascii="Courier New" w:cs="Courier New" w:eastAsia="Courier New" w:hAnsi="Courier New"/>
          <w:sz w:val="17"/>
          <w:szCs w:val="17"/>
          <w:color w:val="auto"/>
        </w:rPr>
        <w:t>23.3</w:t>
      </w:r>
      <w:r>
        <w:rPr>
          <w:sz w:val="20"/>
          <w:szCs w:val="20"/>
          <w:color w:val="auto"/>
        </w:rPr>
        <w:tab/>
      </w:r>
      <w:r>
        <w:rPr>
          <w:rFonts w:ascii="Courier New" w:cs="Courier New" w:eastAsia="Courier New" w:hAnsi="Courier New"/>
          <w:sz w:val="17"/>
          <w:szCs w:val="17"/>
          <w:color w:val="auto"/>
        </w:rPr>
        <w:t>Consent of Arthur Andersen LLP [Incorporated by reference to Exhibit 23.2 to Registrant's Annual Report on Form 10-K for the year ended December 31, 1994]</w:t>
      </w:r>
    </w:p>
    <w:p>
      <w:pPr>
        <w:spacing w:after="0" w:line="2" w:lineRule="exact"/>
        <w:rPr>
          <w:sz w:val="20"/>
          <w:szCs w:val="20"/>
          <w:color w:val="auto"/>
        </w:rPr>
      </w:pPr>
    </w:p>
    <w:p>
      <w:pPr>
        <w:ind w:left="1780" w:right="1999" w:hanging="830"/>
        <w:spacing w:after="0" w:line="248" w:lineRule="auto"/>
        <w:tabs>
          <w:tab w:leader="none" w:pos="1760" w:val="left"/>
        </w:tabs>
        <w:rPr>
          <w:sz w:val="20"/>
          <w:szCs w:val="20"/>
          <w:color w:val="auto"/>
        </w:rPr>
      </w:pPr>
      <w:r>
        <w:rPr>
          <w:rFonts w:ascii="Courier New" w:cs="Courier New" w:eastAsia="Courier New" w:hAnsi="Courier New"/>
          <w:sz w:val="17"/>
          <w:szCs w:val="17"/>
          <w:color w:val="auto"/>
        </w:rPr>
        <w:t>23.4</w:t>
      </w:r>
      <w:r>
        <w:rPr>
          <w:sz w:val="20"/>
          <w:szCs w:val="20"/>
          <w:color w:val="auto"/>
        </w:rPr>
        <w:tab/>
      </w:r>
      <w:r>
        <w:rPr>
          <w:rFonts w:ascii="Courier New" w:cs="Courier New" w:eastAsia="Courier New" w:hAnsi="Courier New"/>
          <w:sz w:val="17"/>
          <w:szCs w:val="17"/>
          <w:color w:val="auto"/>
        </w:rPr>
        <w:t>Consent of Deloitte &amp; Touche LLP [Incorporated by reference to Exhibit 23.2 to the Registrant's Registration Statement on Form S-4 (File No. 33-59259) and Exhibit 23.1 to Registrant's Current Report on Form 8-K dated June 30, 1995]</w:t>
      </w:r>
    </w:p>
    <w:p>
      <w:pPr>
        <w:spacing w:after="0" w:line="3" w:lineRule="exact"/>
        <w:rPr>
          <w:sz w:val="20"/>
          <w:szCs w:val="20"/>
          <w:color w:val="auto"/>
        </w:rPr>
      </w:pPr>
    </w:p>
    <w:p>
      <w:pPr>
        <w:ind w:left="940"/>
        <w:spacing w:after="0"/>
        <w:tabs>
          <w:tab w:leader="none" w:pos="1760" w:val="left"/>
        </w:tabs>
        <w:rPr>
          <w:sz w:val="20"/>
          <w:szCs w:val="20"/>
          <w:color w:val="auto"/>
        </w:rPr>
      </w:pPr>
      <w:r>
        <w:rPr>
          <w:rFonts w:ascii="Courier New" w:cs="Courier New" w:eastAsia="Courier New" w:hAnsi="Courier New"/>
          <w:sz w:val="17"/>
          <w:szCs w:val="17"/>
          <w:color w:val="auto"/>
        </w:rPr>
        <w:t>23.5</w:t>
      </w:r>
      <w:r>
        <w:rPr>
          <w:sz w:val="20"/>
          <w:szCs w:val="20"/>
          <w:color w:val="auto"/>
        </w:rPr>
        <w:tab/>
      </w:r>
      <w:r>
        <w:rPr>
          <w:rFonts w:ascii="Courier New" w:cs="Courier New" w:eastAsia="Courier New" w:hAnsi="Courier New"/>
          <w:sz w:val="17"/>
          <w:szCs w:val="17"/>
          <w:color w:val="auto"/>
        </w:rPr>
        <w:t>Consent of KPMG Peat Marwick (originally Exhibit 24.4)</w:t>
      </w:r>
    </w:p>
    <w:p>
      <w:pPr>
        <w:spacing w:after="0" w:line="7" w:lineRule="exact"/>
        <w:rPr>
          <w:sz w:val="20"/>
          <w:szCs w:val="20"/>
          <w:color w:val="auto"/>
        </w:rPr>
      </w:pPr>
    </w:p>
    <w:p>
      <w:pPr>
        <w:ind w:left="940"/>
        <w:spacing w:after="0"/>
        <w:tabs>
          <w:tab w:leader="none" w:pos="1760" w:val="left"/>
        </w:tabs>
        <w:rPr>
          <w:sz w:val="20"/>
          <w:szCs w:val="20"/>
          <w:color w:val="auto"/>
        </w:rPr>
      </w:pPr>
      <w:r>
        <w:rPr>
          <w:rFonts w:ascii="Courier New" w:cs="Courier New" w:eastAsia="Courier New" w:hAnsi="Courier New"/>
          <w:sz w:val="17"/>
          <w:szCs w:val="17"/>
          <w:color w:val="auto"/>
        </w:rPr>
        <w:t>23.6</w:t>
      </w:r>
      <w:r>
        <w:rPr>
          <w:sz w:val="20"/>
          <w:szCs w:val="20"/>
          <w:color w:val="auto"/>
        </w:rPr>
        <w:tab/>
      </w:r>
      <w:r>
        <w:rPr>
          <w:rFonts w:ascii="Courier New" w:cs="Courier New" w:eastAsia="Courier New" w:hAnsi="Courier New"/>
          <w:sz w:val="17"/>
          <w:szCs w:val="17"/>
          <w:color w:val="auto"/>
        </w:rPr>
        <w:t>Consent of BDO Seidman (originally Exhibit 24.5)</w:t>
      </w:r>
    </w:p>
    <w:p>
      <w:pPr>
        <w:spacing w:after="0" w:line="7" w:lineRule="exact"/>
        <w:rPr>
          <w:sz w:val="20"/>
          <w:szCs w:val="20"/>
          <w:color w:val="auto"/>
        </w:rPr>
      </w:pPr>
    </w:p>
    <w:p>
      <w:pPr>
        <w:ind w:left="940" w:hanging="933"/>
        <w:spacing w:after="0"/>
        <w:tabs>
          <w:tab w:leader="none" w:pos="94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24.1Powers of Attorney (Included on Page II-8)</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7" w:lineRule="exact"/>
        <w:rPr>
          <w:rFonts w:ascii="Courier New" w:cs="Courier New" w:eastAsia="Courier New" w:hAnsi="Courier New"/>
          <w:sz w:val="17"/>
          <w:szCs w:val="17"/>
          <w:color w:val="auto"/>
        </w:rPr>
      </w:pPr>
    </w:p>
    <w:p>
      <w:pPr>
        <w:ind w:left="940" w:hanging="933"/>
        <w:spacing w:after="0"/>
        <w:tabs>
          <w:tab w:leader="none" w:pos="94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Filed herewith</w:t>
      </w:r>
    </w:p>
    <w:p>
      <w:pPr>
        <w:spacing w:after="0" w:line="200" w:lineRule="exact"/>
        <w:rPr>
          <w:sz w:val="20"/>
          <w:szCs w:val="20"/>
          <w:color w:val="auto"/>
        </w:rPr>
      </w:pPr>
    </w:p>
    <w:p>
      <w:pPr>
        <w:spacing w:after="0" w:line="20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9.</w:t>
        <w:tab/>
        <w:t>UNDERTAKINGS.</w:t>
      </w:r>
    </w:p>
    <w:p>
      <w:pPr>
        <w:spacing w:after="0" w:line="207" w:lineRule="exact"/>
        <w:rPr>
          <w:sz w:val="20"/>
          <w:szCs w:val="20"/>
          <w:color w:val="auto"/>
        </w:rPr>
      </w:pPr>
    </w:p>
    <w:p>
      <w:pPr>
        <w:ind w:left="1780" w:hanging="838"/>
        <w:spacing w:after="0"/>
        <w:tabs>
          <w:tab w:leader="none" w:pos="178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 hereby undertakes:</w:t>
      </w:r>
    </w:p>
    <w:p>
      <w:pPr>
        <w:spacing w:after="0" w:line="207" w:lineRule="exact"/>
        <w:rPr>
          <w:rFonts w:ascii="Courier New" w:cs="Courier New" w:eastAsia="Courier New" w:hAnsi="Courier New"/>
          <w:sz w:val="17"/>
          <w:szCs w:val="17"/>
          <w:color w:val="auto"/>
        </w:rPr>
      </w:pPr>
    </w:p>
    <w:p>
      <w:pPr>
        <w:ind w:left="940" w:right="2219" w:firstLine="833"/>
        <w:spacing w:after="0" w:line="250" w:lineRule="auto"/>
        <w:tabs>
          <w:tab w:leader="none" w:pos="2706"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file, during any period in which offers or sales are being made, a post-effective amendment to this registration statement.</w:t>
      </w:r>
    </w:p>
    <w:p>
      <w:pPr>
        <w:spacing w:after="0" w:line="197" w:lineRule="exact"/>
        <w:rPr>
          <w:rFonts w:ascii="Courier New" w:cs="Courier New" w:eastAsia="Courier New" w:hAnsi="Courier New"/>
          <w:sz w:val="17"/>
          <w:szCs w:val="17"/>
          <w:color w:val="auto"/>
        </w:rPr>
      </w:pPr>
    </w:p>
    <w:p>
      <w:pPr>
        <w:ind w:left="3540" w:hanging="832"/>
        <w:spacing w:after="0"/>
        <w:tabs>
          <w:tab w:leader="none" w:pos="3540" w:val="left"/>
        </w:tabs>
        <w:numPr>
          <w:ilvl w:val="2"/>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prospectus required by</w:t>
      </w:r>
    </w:p>
    <w:p>
      <w:pPr>
        <w:spacing w:after="0" w:line="7" w:lineRule="exact"/>
        <w:rPr>
          <w:rFonts w:ascii="Courier New" w:cs="Courier New" w:eastAsia="Courier New" w:hAnsi="Courier New"/>
          <w:sz w:val="17"/>
          <w:szCs w:val="17"/>
          <w:color w:val="auto"/>
        </w:rPr>
      </w:pPr>
    </w:p>
    <w:p>
      <w:pPr>
        <w:ind w:left="17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Section 10(a)(3) of the Securities Act of 1933;</w:t>
      </w:r>
    </w:p>
    <w:p>
      <w:pPr>
        <w:spacing w:after="0" w:line="207" w:lineRule="exact"/>
        <w:rPr>
          <w:rFonts w:ascii="Courier New" w:cs="Courier New" w:eastAsia="Courier New" w:hAnsi="Courier New"/>
          <w:sz w:val="17"/>
          <w:szCs w:val="17"/>
          <w:color w:val="auto"/>
        </w:rPr>
      </w:pPr>
    </w:p>
    <w:p>
      <w:pPr>
        <w:ind w:left="1780" w:right="2099" w:firstLine="928"/>
        <w:spacing w:after="0" w:line="249" w:lineRule="auto"/>
        <w:tabs>
          <w:tab w:leader="none" w:pos="3546" w:val="left"/>
        </w:tabs>
        <w:numPr>
          <w:ilvl w:val="2"/>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99" w:lineRule="exact"/>
        <w:rPr>
          <w:rFonts w:ascii="Courier New" w:cs="Courier New" w:eastAsia="Courier New" w:hAnsi="Courier New"/>
          <w:sz w:val="17"/>
          <w:szCs w:val="17"/>
          <w:color w:val="auto"/>
        </w:rPr>
      </w:pPr>
    </w:p>
    <w:p>
      <w:pPr>
        <w:ind w:left="1780" w:right="2219" w:firstLine="928"/>
        <w:spacing w:after="0" w:line="249" w:lineRule="auto"/>
        <w:tabs>
          <w:tab w:leader="none" w:pos="3546" w:val="left"/>
        </w:tabs>
        <w:numPr>
          <w:ilvl w:val="2"/>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200" w:lineRule="exact"/>
        <w:rPr>
          <w:sz w:val="20"/>
          <w:szCs w:val="20"/>
          <w:color w:val="auto"/>
        </w:rPr>
      </w:pPr>
    </w:p>
    <w:p>
      <w:pPr>
        <w:ind w:left="1780" w:right="1999"/>
        <w:spacing w:after="0" w:line="249" w:lineRule="auto"/>
        <w:rPr>
          <w:sz w:val="20"/>
          <w:szCs w:val="20"/>
          <w:color w:val="auto"/>
        </w:rPr>
      </w:pPr>
      <w:r>
        <w:rPr>
          <w:rFonts w:ascii="Courier New" w:cs="Courier New" w:eastAsia="Courier New" w:hAnsi="Courier New"/>
          <w:sz w:val="17"/>
          <w:szCs w:val="17"/>
          <w:color w:val="auto"/>
        </w:rPr>
        <w:t>Provided, however, that paragraph (a)(1)(i) and (a)(1)(ii) shall not apply if the information required to be included in a post-effective amendment by those paragraphs is contained in periodic reports filed by the registrant pursuant to Section 13 or Section 15(d) of the Securities Exchange Act of 1934 that are incorporated by reference in the registration statement.</w:t>
      </w:r>
    </w:p>
    <w:p>
      <w:pPr>
        <w:spacing w:after="0" w:line="400" w:lineRule="exact"/>
        <w:rPr>
          <w:sz w:val="20"/>
          <w:szCs w:val="20"/>
          <w:color w:val="auto"/>
        </w:rPr>
      </w:pPr>
    </w:p>
    <w:p>
      <w:pPr>
        <w:ind w:left="940" w:right="2219" w:firstLine="833"/>
        <w:spacing w:after="0" w:line="249" w:lineRule="auto"/>
        <w:tabs>
          <w:tab w:leader="none" w:pos="2706"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99" w:lineRule="exact"/>
        <w:rPr>
          <w:rFonts w:ascii="Courier New" w:cs="Courier New" w:eastAsia="Courier New" w:hAnsi="Courier New"/>
          <w:sz w:val="17"/>
          <w:szCs w:val="17"/>
          <w:color w:val="auto"/>
        </w:rPr>
      </w:pPr>
    </w:p>
    <w:p>
      <w:pPr>
        <w:ind w:left="2700" w:hanging="927"/>
        <w:spacing w:after="0"/>
        <w:tabs>
          <w:tab w:leader="none" w:pos="27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remove from registration by means of a</w:t>
      </w:r>
    </w:p>
    <w:p>
      <w:pPr>
        <w:spacing w:after="0" w:line="7" w:lineRule="exact"/>
        <w:rPr>
          <w:sz w:val="20"/>
          <w:szCs w:val="20"/>
          <w:color w:val="auto"/>
        </w:rPr>
      </w:pPr>
    </w:p>
    <w:p>
      <w:pPr>
        <w:ind w:left="940" w:right="2099"/>
        <w:spacing w:after="0" w:line="251" w:lineRule="auto"/>
        <w:rPr>
          <w:sz w:val="20"/>
          <w:szCs w:val="20"/>
          <w:color w:val="auto"/>
        </w:rPr>
      </w:pPr>
      <w:r>
        <w:rPr>
          <w:rFonts w:ascii="Courier New" w:cs="Courier New" w:eastAsia="Courier New" w:hAnsi="Courier New"/>
          <w:sz w:val="17"/>
          <w:szCs w:val="17"/>
          <w:color w:val="auto"/>
        </w:rPr>
        <w:t>post-effective amendment any of the securities being registered which remain unsold at the termination of the offering.</w:t>
      </w:r>
    </w:p>
    <w:p>
      <w:pPr>
        <w:spacing w:after="0" w:line="197" w:lineRule="exact"/>
        <w:rPr>
          <w:sz w:val="20"/>
          <w:szCs w:val="20"/>
          <w:color w:val="auto"/>
        </w:rPr>
      </w:pPr>
    </w:p>
    <w:p>
      <w:pPr>
        <w:ind w:right="1999" w:firstLine="942"/>
        <w:spacing w:after="0" w:line="249" w:lineRule="auto"/>
        <w:tabs>
          <w:tab w:leader="none" w:pos="1766"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w:t>
      </w:r>
    </w:p>
    <w:p>
      <w:pPr>
        <w:sectPr>
          <w:pgSz w:w="11900" w:h="16838" w:orient="portrait"/>
          <w:cols w:equalWidth="0" w:num="1">
            <w:col w:w="10219"/>
          </w:cols>
          <w:pgMar w:left="240" w:top="315" w:right="1440" w:bottom="375" w:gutter="0" w:footer="0" w:header="0"/>
        </w:sectPr>
      </w:pPr>
    </w:p>
    <w:bookmarkStart w:id="8" w:name="page9"/>
    <w:bookmarkEnd w:id="8"/>
    <w:p>
      <w:pPr>
        <w:ind w:left="2760"/>
        <w:spacing w:after="0"/>
        <w:rPr>
          <w:sz w:val="20"/>
          <w:szCs w:val="20"/>
          <w:color w:val="auto"/>
        </w:rPr>
      </w:pPr>
      <w:r>
        <w:rPr>
          <w:rFonts w:ascii="Courier New" w:cs="Courier New" w:eastAsia="Courier New" w:hAnsi="Courier New"/>
          <w:sz w:val="17"/>
          <w:szCs w:val="17"/>
          <w:color w:val="auto"/>
        </w:rPr>
        <w:t>II-5</w:t>
      </w:r>
    </w:p>
    <w:p>
      <w:pPr>
        <w:sectPr>
          <w:pgSz w:w="11900" w:h="16838" w:orient="portrait"/>
          <w:cols w:equalWidth="0" w:num="1">
            <w:col w:w="9019"/>
          </w:cols>
          <w:pgMar w:left="1440" w:top="342"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7"/>
          <w:szCs w:val="17"/>
          <w:color w:val="auto"/>
        </w:rPr>
        <w:t>7</w:t>
      </w:r>
    </w:p>
    <w:p>
      <w:pPr>
        <w:spacing w:after="0" w:line="7" w:lineRule="exact"/>
        <w:rPr>
          <w:sz w:val="20"/>
          <w:szCs w:val="20"/>
          <w:color w:val="auto"/>
        </w:rPr>
      </w:pPr>
    </w:p>
    <w:p>
      <w:pPr>
        <w:ind w:right="2219"/>
        <w:spacing w:after="0" w:line="250" w:lineRule="auto"/>
        <w:rPr>
          <w:sz w:val="20"/>
          <w:szCs w:val="20"/>
          <w:color w:val="auto"/>
        </w:rPr>
      </w:pPr>
      <w:r>
        <w:rPr>
          <w:rFonts w:ascii="Courier New" w:cs="Courier New" w:eastAsia="Courier New" w:hAnsi="Courier New"/>
          <w:sz w:val="17"/>
          <w:szCs w:val="17"/>
          <w:color w:val="auto"/>
        </w:rPr>
        <w:t>statement relating to the securities offered herein, and the offering of such securities at that time shall be deemed to be the initial bona fide offering thereof.</w:t>
      </w:r>
    </w:p>
    <w:p>
      <w:pPr>
        <w:spacing w:after="0" w:line="197" w:lineRule="exact"/>
        <w:rPr>
          <w:sz w:val="20"/>
          <w:szCs w:val="20"/>
          <w:color w:val="auto"/>
        </w:rPr>
      </w:pPr>
    </w:p>
    <w:p>
      <w:pPr>
        <w:ind w:right="2099" w:firstLine="942"/>
        <w:spacing w:after="0" w:line="249" w:lineRule="auto"/>
        <w:tabs>
          <w:tab w:leader="none" w:pos="1766"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 hereby undertakes to deliver or cause to be delivered with the prospectus, to each person to whom the prospectus is sent or given, the latest annual report to security holders that is incorporated by reference and furnished pursuant to and meeting the requirements of Rule 14a-3 or Rule 14c-3 under the Securities Exchange Act of 1934; and, where interim financial information required to be presented by Article 3 of Regulation S-X is not set forth in the prospectus, to deliver, or cause to be delivered to each person to whom the prospectus is sent or given, the latest quarterly report that is specifically incorporated by reference in the prospectus to provide such interim financial information.</w:t>
      </w:r>
    </w:p>
    <w:p>
      <w:pPr>
        <w:spacing w:after="0" w:line="200" w:lineRule="exact"/>
        <w:rPr>
          <w:sz w:val="20"/>
          <w:szCs w:val="20"/>
          <w:color w:val="auto"/>
        </w:rPr>
      </w:pPr>
    </w:p>
    <w:p>
      <w:pPr>
        <w:ind w:right="1999" w:firstLine="942"/>
        <w:spacing w:after="0" w:line="249" w:lineRule="auto"/>
        <w:tabs>
          <w:tab w:leader="none" w:pos="1766"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Insofar as indemnification for liabilities arising under the Securities Act of 1933 (the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II-6</w:t>
      </w:r>
    </w:p>
    <w:p>
      <w:pPr>
        <w:sectPr>
          <w:pgSz w:w="11900" w:h="16838" w:orient="portrait"/>
          <w:cols w:equalWidth="0" w:num="1">
            <w:col w:w="10219"/>
          </w:cols>
          <w:pgMar w:left="240" w:top="315"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7"/>
          <w:szCs w:val="17"/>
          <w:color w:val="auto"/>
        </w:rPr>
        <w:t>8</w:t>
      </w:r>
    </w:p>
    <w:p>
      <w:pPr>
        <w:spacing w:after="0" w:line="7" w:lineRule="exact"/>
        <w:rPr>
          <w:sz w:val="20"/>
          <w:szCs w:val="20"/>
          <w:color w:val="auto"/>
        </w:rPr>
      </w:pPr>
    </w:p>
    <w:p>
      <w:pPr>
        <w:ind w:right="2219" w:firstLine="935"/>
        <w:spacing w:after="0" w:line="249" w:lineRule="auto"/>
        <w:rPr>
          <w:sz w:val="20"/>
          <w:szCs w:val="20"/>
          <w:color w:val="auto"/>
        </w:rPr>
      </w:pPr>
      <w:r>
        <w:rPr>
          <w:rFonts w:ascii="Courier New" w:cs="Courier New" w:eastAsia="Courier New" w:hAnsi="Courier New"/>
          <w:sz w:val="17"/>
          <w:szCs w:val="17"/>
          <w:color w:val="auto"/>
        </w:rPr>
        <w:t>Pursuant to the requirements of the Securities Act of 1933, the registrant certifies that it has reasonable grounds to believe that it meets all of the requirements for filing on Form S-8 and has duly caused this registration statement or amendment thereto to be signed on its behalf by the undersigned, thereunto duly authorized, in the City of Dallas, State of Texas on September 7, 1995.</w:t>
      </w:r>
    </w:p>
    <w:p>
      <w:pPr>
        <w:spacing w:after="0" w:line="200"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USA Waste Services, Inc.</w:t>
      </w:r>
    </w:p>
    <w:p>
      <w:pPr>
        <w:sectPr>
          <w:pgSz w:w="11900" w:h="16838" w:orient="portrait"/>
          <w:cols w:equalWidth="0" w:num="1">
            <w:col w:w="10219"/>
          </w:cols>
          <w:pgMar w:left="240" w:top="3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/s/ John E. Drury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John E. Drury, Chief Executive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Officer</w:t>
      </w:r>
    </w:p>
    <w:p>
      <w:pPr>
        <w:spacing w:after="0" w:line="200" w:lineRule="exact"/>
        <w:rPr>
          <w:sz w:val="20"/>
          <w:szCs w:val="20"/>
          <w:color w:val="auto"/>
        </w:rPr>
      </w:pPr>
    </w:p>
    <w:p>
      <w:pPr>
        <w:sectPr>
          <w:pgSz w:w="11900" w:h="16838" w:orient="portrait"/>
          <w:cols w:equalWidth="0" w:num="2">
            <w:col w:w="4480" w:space="0"/>
            <w:col w:w="5739"/>
          </w:cols>
          <w:pgMar w:left="240" w:top="31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II-7</w:t>
      </w:r>
    </w:p>
    <w:p>
      <w:pPr>
        <w:sectPr>
          <w:pgSz w:w="11900" w:h="16838" w:orient="portrait"/>
          <w:cols w:equalWidth="0" w:num="1">
            <w:col w:w="10219"/>
          </w:cols>
          <w:pgMar w:left="240" w:top="315" w:right="1440" w:bottom="1440" w:gutter="0" w:footer="0" w:header="0"/>
          <w:type w:val="continuous"/>
        </w:sectPr>
      </w:pPr>
    </w:p>
    <w:bookmarkStart w:id="11" w:name="page12"/>
    <w:bookmarkEnd w:id="11"/>
    <w:p>
      <w:pPr>
        <w:ind w:left="320"/>
        <w:spacing w:after="0"/>
        <w:rPr>
          <w:sz w:val="20"/>
          <w:szCs w:val="20"/>
          <w:color w:val="auto"/>
        </w:rPr>
      </w:pPr>
      <w:r>
        <w:rPr>
          <w:rFonts w:ascii="Courier New" w:cs="Courier New" w:eastAsia="Courier New" w:hAnsi="Courier New"/>
          <w:sz w:val="17"/>
          <w:szCs w:val="17"/>
          <w:color w:val="auto"/>
        </w:rPr>
        <w:t>9</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3120" w:firstLine="935"/>
        <w:spacing w:after="0" w:line="249" w:lineRule="auto"/>
        <w:rPr>
          <w:sz w:val="20"/>
          <w:szCs w:val="20"/>
          <w:color w:val="auto"/>
        </w:rPr>
      </w:pPr>
      <w:r>
        <w:rPr>
          <w:rFonts w:ascii="Courier New" w:cs="Courier New" w:eastAsia="Courier New" w:hAnsi="Courier New"/>
          <w:sz w:val="17"/>
          <w:szCs w:val="17"/>
          <w:color w:val="auto"/>
        </w:rPr>
        <w:t>We, the undersigned officers and directors of USA Waste Services, Inc., hereby severally constitute Earl E. DeFrates and Gregory T. Sangalis, and each of them singly, our true and lawful attorneys with full power to them, and each of them singly, to sign for us and in our names, in the capacities indicated below, the Registration Statement on Form S-8 (File No. 33-84990) filed herewith and any amendments to said Registration Statement, and generally to do all such things in our name and behalf in our capacities as officers and directors to enable USA Waste Services,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200"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Witness our hands on the date set forth below.</w:t>
      </w:r>
    </w:p>
    <w:p>
      <w:pPr>
        <w:spacing w:after="0" w:line="207" w:lineRule="exact"/>
        <w:rPr>
          <w:sz w:val="20"/>
          <w:szCs w:val="20"/>
          <w:color w:val="auto"/>
        </w:rPr>
      </w:pPr>
    </w:p>
    <w:p>
      <w:pPr>
        <w:ind w:right="3440" w:firstLine="935"/>
        <w:spacing w:after="0" w:line="250" w:lineRule="auto"/>
        <w:rPr>
          <w:sz w:val="20"/>
          <w:szCs w:val="20"/>
          <w:color w:val="auto"/>
        </w:rPr>
      </w:pPr>
      <w:r>
        <w:rPr>
          <w:rFonts w:ascii="Courier New" w:cs="Courier New" w:eastAsia="Courier New" w:hAnsi="Courier New"/>
          <w:sz w:val="17"/>
          <w:szCs w:val="17"/>
          <w:color w:val="auto"/>
        </w:rPr>
        <w:t>Pursuant to the requirements of the Securities Act of 1933, this registration statement or amendment thereto has been signed by the following persons in the capacities and on September 7, 1995.</w:t>
      </w:r>
    </w:p>
    <w:p>
      <w:pPr>
        <w:spacing w:after="0" w:line="200" w:lineRule="exact"/>
        <w:rPr>
          <w:sz w:val="20"/>
          <w:szCs w:val="20"/>
          <w:color w:val="auto"/>
        </w:rPr>
      </w:pPr>
    </w:p>
    <w:p>
      <w:pPr>
        <w:spacing w:after="0" w:line="397" w:lineRule="exact"/>
        <w:rPr>
          <w:sz w:val="20"/>
          <w:szCs w:val="20"/>
          <w:color w:val="auto"/>
        </w:rPr>
      </w:pPr>
    </w:p>
    <w:p>
      <w:pPr>
        <w:ind w:left="2180"/>
        <w:spacing w:after="0"/>
        <w:tabs>
          <w:tab w:leader="none" w:pos="860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Title</w:t>
      </w:r>
    </w:p>
    <w:p>
      <w:pPr>
        <w:spacing w:after="0" w:line="7" w:lineRule="exact"/>
        <w:rPr>
          <w:sz w:val="20"/>
          <w:szCs w:val="20"/>
          <w:color w:val="auto"/>
        </w:rPr>
      </w:pPr>
    </w:p>
    <w:p>
      <w:pPr>
        <w:ind w:left="2180"/>
        <w:spacing w:after="0"/>
        <w:tabs>
          <w:tab w:leader="none" w:pos="86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207" w:lineRule="exact"/>
        <w:rPr>
          <w:sz w:val="20"/>
          <w:szCs w:val="20"/>
          <w:color w:val="auto"/>
        </w:rPr>
      </w:pPr>
    </w:p>
    <w:p>
      <w:pPr>
        <w:spacing w:after="0"/>
        <w:tabs>
          <w:tab w:leader="none" w:pos="6220" w:val="left"/>
        </w:tabs>
        <w:rPr>
          <w:sz w:val="20"/>
          <w:szCs w:val="20"/>
          <w:color w:val="auto"/>
        </w:rPr>
      </w:pPr>
      <w:r>
        <w:rPr>
          <w:rFonts w:ascii="Courier New" w:cs="Courier New" w:eastAsia="Courier New" w:hAnsi="Courier New"/>
          <w:sz w:val="17"/>
          <w:szCs w:val="17"/>
          <w:color w:val="auto"/>
        </w:rPr>
        <w:t>/s/ John E. Drury</w:t>
      </w:r>
      <w:r>
        <w:rPr>
          <w:sz w:val="20"/>
          <w:szCs w:val="20"/>
          <w:color w:val="auto"/>
        </w:rPr>
        <w:tab/>
      </w:r>
      <w:r>
        <w:rPr>
          <w:rFonts w:ascii="Courier New" w:cs="Courier New" w:eastAsia="Courier New" w:hAnsi="Courier New"/>
          <w:sz w:val="17"/>
          <w:szCs w:val="17"/>
          <w:color w:val="auto"/>
        </w:rPr>
        <w:t>Chairman of the Board and Chief Executive Officer</w:t>
      </w:r>
    </w:p>
    <w:p>
      <w:pPr>
        <w:spacing w:after="0" w:line="7" w:lineRule="exact"/>
        <w:rPr>
          <w:sz w:val="20"/>
          <w:szCs w:val="20"/>
          <w:color w:val="auto"/>
        </w:rPr>
      </w:pPr>
    </w:p>
    <w:p>
      <w:pPr>
        <w:ind w:left="220" w:hanging="213"/>
        <w:spacing w:after="0"/>
        <w:tabs>
          <w:tab w:leader="none" w:pos="2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John E. Drury</w:t>
      </w:r>
    </w:p>
    <w:p>
      <w:pPr>
        <w:spacing w:after="0" w:line="207" w:lineRule="exact"/>
        <w:rPr>
          <w:sz w:val="20"/>
          <w:szCs w:val="20"/>
          <w:color w:val="auto"/>
        </w:rPr>
      </w:pPr>
    </w:p>
    <w:p>
      <w:pPr>
        <w:spacing w:after="0"/>
        <w:tabs>
          <w:tab w:leader="none" w:pos="6220" w:val="left"/>
        </w:tabs>
        <w:rPr>
          <w:sz w:val="20"/>
          <w:szCs w:val="20"/>
          <w:color w:val="auto"/>
        </w:rPr>
      </w:pPr>
      <w:r>
        <w:rPr>
          <w:rFonts w:ascii="Courier New" w:cs="Courier New" w:eastAsia="Courier New" w:hAnsi="Courier New"/>
          <w:sz w:val="17"/>
          <w:szCs w:val="17"/>
          <w:color w:val="auto"/>
        </w:rPr>
        <w:t>/s/ Donald F. Moorehead, Jr.</w:t>
      </w:r>
      <w:r>
        <w:rPr>
          <w:sz w:val="20"/>
          <w:szCs w:val="20"/>
          <w:color w:val="auto"/>
        </w:rPr>
        <w:tab/>
      </w:r>
      <w:r>
        <w:rPr>
          <w:rFonts w:ascii="Courier New" w:cs="Courier New" w:eastAsia="Courier New" w:hAnsi="Courier New"/>
          <w:sz w:val="17"/>
          <w:szCs w:val="17"/>
          <w:color w:val="auto"/>
        </w:rPr>
        <w:t>Vice Chairman of the Board and Chief Development</w:t>
      </w:r>
    </w:p>
    <w:p>
      <w:pPr>
        <w:spacing w:after="0" w:line="7" w:lineRule="exact"/>
        <w:rPr>
          <w:sz w:val="20"/>
          <w:szCs w:val="20"/>
          <w:color w:val="auto"/>
        </w:rPr>
      </w:pPr>
    </w:p>
    <w:p>
      <w:pPr>
        <w:spacing w:after="0"/>
        <w:tabs>
          <w:tab w:leader="none" w:pos="642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Donald F. Moorehead, Jr.</w:t>
      </w:r>
    </w:p>
    <w:p>
      <w:pPr>
        <w:spacing w:after="0" w:line="207" w:lineRule="exact"/>
        <w:rPr>
          <w:sz w:val="20"/>
          <w:szCs w:val="20"/>
          <w:color w:val="auto"/>
        </w:rPr>
      </w:pPr>
    </w:p>
    <w:p>
      <w:pPr>
        <w:spacing w:after="0"/>
        <w:tabs>
          <w:tab w:leader="none" w:pos="6220" w:val="left"/>
        </w:tabs>
        <w:rPr>
          <w:sz w:val="20"/>
          <w:szCs w:val="20"/>
          <w:color w:val="auto"/>
        </w:rPr>
      </w:pPr>
      <w:r>
        <w:rPr>
          <w:rFonts w:ascii="Courier New" w:cs="Courier New" w:eastAsia="Courier New" w:hAnsi="Courier New"/>
          <w:sz w:val="17"/>
          <w:szCs w:val="17"/>
          <w:color w:val="auto"/>
        </w:rPr>
        <w:t>/s/ David Sutherland-Yoest</w:t>
      </w:r>
      <w:r>
        <w:rPr>
          <w:sz w:val="20"/>
          <w:szCs w:val="20"/>
          <w:color w:val="auto"/>
        </w:rPr>
        <w:tab/>
      </w:r>
      <w:r>
        <w:rPr>
          <w:rFonts w:ascii="Courier New" w:cs="Courier New" w:eastAsia="Courier New" w:hAnsi="Courier New"/>
          <w:sz w:val="17"/>
          <w:szCs w:val="17"/>
          <w:color w:val="auto"/>
        </w:rPr>
        <w:t>President, Chief Operating Officer, and Director</w:t>
      </w:r>
    </w:p>
    <w:p>
      <w:pPr>
        <w:spacing w:after="0" w:line="7" w:lineRule="exact"/>
        <w:rPr>
          <w:sz w:val="20"/>
          <w:szCs w:val="20"/>
          <w:color w:val="auto"/>
        </w:rPr>
      </w:pPr>
    </w:p>
    <w:p>
      <w:pPr>
        <w:ind w:left="220" w:hanging="213"/>
        <w:spacing w:after="0"/>
        <w:tabs>
          <w:tab w:leader="none" w:pos="2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David Sutherland-Yoest</w:t>
      </w:r>
    </w:p>
    <w:p>
      <w:pPr>
        <w:spacing w:after="0" w:line="207" w:lineRule="exact"/>
        <w:rPr>
          <w:sz w:val="20"/>
          <w:szCs w:val="20"/>
          <w:color w:val="auto"/>
        </w:rPr>
      </w:pPr>
    </w:p>
    <w:p>
      <w:pPr>
        <w:spacing w:after="0"/>
        <w:tabs>
          <w:tab w:leader="none" w:pos="6220" w:val="left"/>
        </w:tabs>
        <w:rPr>
          <w:sz w:val="20"/>
          <w:szCs w:val="20"/>
          <w:color w:val="auto"/>
        </w:rPr>
      </w:pPr>
      <w:r>
        <w:rPr>
          <w:rFonts w:ascii="Courier New" w:cs="Courier New" w:eastAsia="Courier New" w:hAnsi="Courier New"/>
          <w:sz w:val="17"/>
          <w:szCs w:val="17"/>
          <w:color w:val="auto"/>
        </w:rPr>
        <w:t>/s/ Earl E. DeFrates</w:t>
      </w:r>
      <w:r>
        <w:rPr>
          <w:sz w:val="20"/>
          <w:szCs w:val="20"/>
          <w:color w:val="auto"/>
        </w:rPr>
        <w:tab/>
      </w:r>
      <w:r>
        <w:rPr>
          <w:rFonts w:ascii="Courier New" w:cs="Courier New" w:eastAsia="Courier New" w:hAnsi="Courier New"/>
          <w:sz w:val="17"/>
          <w:szCs w:val="17"/>
          <w:color w:val="auto"/>
        </w:rPr>
        <w:t>Executive Vice President, Chief Financial Officer</w:t>
      </w:r>
    </w:p>
    <w:p>
      <w:pPr>
        <w:spacing w:after="0" w:line="7" w:lineRule="exact"/>
        <w:rPr>
          <w:sz w:val="20"/>
          <w:szCs w:val="20"/>
          <w:color w:val="auto"/>
        </w:rPr>
      </w:pPr>
    </w:p>
    <w:p>
      <w:pPr>
        <w:spacing w:after="0"/>
        <w:tabs>
          <w:tab w:leader="none" w:pos="642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and Treasurer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Earl E. DeFrates</w:t>
      </w:r>
    </w:p>
    <w:p>
      <w:pPr>
        <w:spacing w:after="0" w:line="207" w:lineRule="exact"/>
        <w:rPr>
          <w:sz w:val="20"/>
          <w:szCs w:val="20"/>
          <w:color w:val="auto"/>
        </w:rPr>
      </w:pPr>
    </w:p>
    <w:p>
      <w:pPr>
        <w:spacing w:after="0"/>
        <w:tabs>
          <w:tab w:leader="none" w:pos="6220" w:val="left"/>
        </w:tabs>
        <w:rPr>
          <w:sz w:val="20"/>
          <w:szCs w:val="20"/>
          <w:color w:val="auto"/>
        </w:rPr>
      </w:pPr>
      <w:r>
        <w:rPr>
          <w:rFonts w:ascii="Courier New" w:cs="Courier New" w:eastAsia="Courier New" w:hAnsi="Courier New"/>
          <w:sz w:val="17"/>
          <w:szCs w:val="17"/>
          <w:color w:val="auto"/>
        </w:rPr>
        <w:t>/s/ Bruce E. Snyder</w:t>
      </w:r>
      <w:r>
        <w:rPr>
          <w:sz w:val="20"/>
          <w:szCs w:val="20"/>
          <w:color w:val="auto"/>
        </w:rPr>
        <w:tab/>
      </w:r>
      <w:r>
        <w:rPr>
          <w:rFonts w:ascii="Courier New" w:cs="Courier New" w:eastAsia="Courier New" w:hAnsi="Courier New"/>
          <w:sz w:val="17"/>
          <w:szCs w:val="17"/>
          <w:color w:val="auto"/>
        </w:rPr>
        <w:t>Vice President and Corporate Controller (Chief</w:t>
      </w:r>
    </w:p>
    <w:p>
      <w:pPr>
        <w:spacing w:after="0" w:line="7" w:lineRule="exact"/>
        <w:rPr>
          <w:sz w:val="20"/>
          <w:szCs w:val="20"/>
          <w:color w:val="auto"/>
        </w:rPr>
      </w:pPr>
    </w:p>
    <w:p>
      <w:pPr>
        <w:spacing w:after="0"/>
        <w:tabs>
          <w:tab w:leader="none" w:pos="642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Accounting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Bruce E. Snyder</w:t>
      </w:r>
    </w:p>
    <w:p>
      <w:pPr>
        <w:spacing w:after="0" w:line="207" w:lineRule="exact"/>
        <w:rPr>
          <w:sz w:val="20"/>
          <w:szCs w:val="20"/>
          <w:color w:val="auto"/>
        </w:rPr>
      </w:pPr>
    </w:p>
    <w:p>
      <w:pPr>
        <w:spacing w:after="0"/>
        <w:tabs>
          <w:tab w:leader="none" w:pos="6220" w:val="left"/>
        </w:tabs>
        <w:rPr>
          <w:sz w:val="20"/>
          <w:szCs w:val="20"/>
          <w:color w:val="auto"/>
        </w:rPr>
      </w:pPr>
      <w:r>
        <w:rPr>
          <w:rFonts w:ascii="Courier New" w:cs="Courier New" w:eastAsia="Courier New" w:hAnsi="Courier New"/>
          <w:sz w:val="17"/>
          <w:szCs w:val="17"/>
          <w:color w:val="auto"/>
        </w:rPr>
        <w:t>/s/ John G. Rangos, Sr.</w:t>
      </w:r>
      <w:r>
        <w:rPr>
          <w:sz w:val="20"/>
          <w:szCs w:val="20"/>
          <w:color w:val="auto"/>
        </w:rPr>
        <w:tab/>
      </w:r>
      <w:r>
        <w:rPr>
          <w:rFonts w:ascii="Courier New" w:cs="Courier New" w:eastAsia="Courier New" w:hAnsi="Courier New"/>
          <w:sz w:val="17"/>
          <w:szCs w:val="17"/>
          <w:color w:val="auto"/>
        </w:rPr>
        <w:t>Vice Chairman of the Board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John G. Rangos, Sr.</w:t>
      </w:r>
    </w:p>
    <w:p>
      <w:pPr>
        <w:spacing w:after="0" w:line="207" w:lineRule="exact"/>
        <w:rPr>
          <w:sz w:val="20"/>
          <w:szCs w:val="20"/>
          <w:color w:val="auto"/>
        </w:rPr>
      </w:pPr>
    </w:p>
    <w:p>
      <w:pPr>
        <w:spacing w:after="0"/>
        <w:tabs>
          <w:tab w:leader="none" w:pos="6220" w:val="left"/>
        </w:tabs>
        <w:rPr>
          <w:sz w:val="20"/>
          <w:szCs w:val="20"/>
          <w:color w:val="auto"/>
        </w:rPr>
      </w:pPr>
      <w:r>
        <w:rPr>
          <w:rFonts w:ascii="Courier New" w:cs="Courier New" w:eastAsia="Courier New" w:hAnsi="Courier New"/>
          <w:sz w:val="17"/>
          <w:szCs w:val="17"/>
          <w:color w:val="auto"/>
        </w:rPr>
        <w:t>/s/ Alexander W. Rangos</w:t>
      </w:r>
      <w:r>
        <w:rPr>
          <w:sz w:val="20"/>
          <w:szCs w:val="20"/>
          <w:color w:val="auto"/>
        </w:rPr>
        <w:tab/>
      </w:r>
      <w:r>
        <w:rPr>
          <w:rFonts w:ascii="Courier New" w:cs="Courier New" w:eastAsia="Courier New" w:hAnsi="Courier New"/>
          <w:sz w:val="17"/>
          <w:szCs w:val="17"/>
          <w:color w:val="auto"/>
        </w:rPr>
        <w:t>Executive Vice President for Development and</w:t>
      </w:r>
    </w:p>
    <w:p>
      <w:pPr>
        <w:spacing w:after="0" w:line="7" w:lineRule="exact"/>
        <w:rPr>
          <w:sz w:val="20"/>
          <w:szCs w:val="20"/>
          <w:color w:val="auto"/>
        </w:rPr>
      </w:pPr>
    </w:p>
    <w:p>
      <w:pPr>
        <w:spacing w:after="0"/>
        <w:tabs>
          <w:tab w:leader="none" w:pos="642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Director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Alexander W. Rangos</w:t>
      </w:r>
    </w:p>
    <w:p>
      <w:pPr>
        <w:spacing w:after="0" w:line="207" w:lineRule="exact"/>
        <w:rPr>
          <w:sz w:val="20"/>
          <w:szCs w:val="20"/>
          <w:color w:val="auto"/>
        </w:rPr>
      </w:pPr>
    </w:p>
    <w:p>
      <w:pPr>
        <w:spacing w:after="0"/>
        <w:tabs>
          <w:tab w:leader="none" w:pos="6220" w:val="left"/>
        </w:tabs>
        <w:rPr>
          <w:sz w:val="20"/>
          <w:szCs w:val="20"/>
          <w:color w:val="auto"/>
        </w:rPr>
      </w:pPr>
      <w:r>
        <w:rPr>
          <w:rFonts w:ascii="Courier New" w:cs="Courier New" w:eastAsia="Courier New" w:hAnsi="Courier New"/>
          <w:sz w:val="17"/>
          <w:szCs w:val="17"/>
          <w:color w:val="auto"/>
        </w:rPr>
        <w:t>/s/ George L. Ball</w:t>
      </w:r>
      <w:r>
        <w:rPr>
          <w:sz w:val="20"/>
          <w:szCs w:val="20"/>
          <w:color w:val="auto"/>
        </w:rPr>
        <w:tab/>
      </w:r>
      <w:r>
        <w:rPr>
          <w:rFonts w:ascii="Courier New" w:cs="Courier New" w:eastAsia="Courier New" w:hAnsi="Courier New"/>
          <w:sz w:val="17"/>
          <w:szCs w:val="17"/>
          <w:color w:val="auto"/>
        </w:rPr>
        <w:t>Director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George L. Ball</w:t>
      </w:r>
    </w:p>
    <w:p>
      <w:pPr>
        <w:spacing w:after="0" w:line="207" w:lineRule="exact"/>
        <w:rPr>
          <w:sz w:val="20"/>
          <w:szCs w:val="20"/>
          <w:color w:val="auto"/>
        </w:rPr>
      </w:pPr>
    </w:p>
    <w:p>
      <w:pPr>
        <w:spacing w:after="0"/>
        <w:tabs>
          <w:tab w:leader="none" w:pos="6220" w:val="left"/>
        </w:tabs>
        <w:rPr>
          <w:sz w:val="20"/>
          <w:szCs w:val="20"/>
          <w:color w:val="auto"/>
        </w:rPr>
      </w:pPr>
      <w:r>
        <w:rPr>
          <w:rFonts w:ascii="Courier New" w:cs="Courier New" w:eastAsia="Courier New" w:hAnsi="Courier New"/>
          <w:sz w:val="17"/>
          <w:szCs w:val="17"/>
          <w:color w:val="auto"/>
        </w:rPr>
        <w:t>/s/ Richard J. Heckmann</w:t>
      </w:r>
      <w:r>
        <w:rPr>
          <w:sz w:val="20"/>
          <w:szCs w:val="20"/>
          <w:color w:val="auto"/>
        </w:rPr>
        <w:tab/>
      </w:r>
      <w:r>
        <w:rPr>
          <w:rFonts w:ascii="Courier New" w:cs="Courier New" w:eastAsia="Courier New" w:hAnsi="Courier New"/>
          <w:sz w:val="17"/>
          <w:szCs w:val="17"/>
          <w:color w:val="auto"/>
        </w:rPr>
        <w:t>Director</w:t>
      </w:r>
    </w:p>
    <w:p>
      <w:pPr>
        <w:spacing w:after="0" w:line="7" w:lineRule="exact"/>
        <w:rPr>
          <w:sz w:val="20"/>
          <w:szCs w:val="20"/>
          <w:color w:val="auto"/>
        </w:rPr>
      </w:pPr>
    </w:p>
    <w:p>
      <w:pPr>
        <w:ind w:left="220" w:hanging="213"/>
        <w:spacing w:after="0"/>
        <w:tabs>
          <w:tab w:leader="none" w:pos="2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Richard J. Heckmann</w:t>
      </w:r>
    </w:p>
    <w:p>
      <w:pPr>
        <w:spacing w:after="0" w:line="207" w:lineRule="exact"/>
        <w:rPr>
          <w:sz w:val="20"/>
          <w:szCs w:val="20"/>
          <w:color w:val="auto"/>
        </w:rPr>
      </w:pPr>
    </w:p>
    <w:p>
      <w:pPr>
        <w:spacing w:after="0"/>
        <w:tabs>
          <w:tab w:leader="none" w:pos="6220" w:val="left"/>
        </w:tabs>
        <w:rPr>
          <w:sz w:val="20"/>
          <w:szCs w:val="20"/>
          <w:color w:val="auto"/>
        </w:rPr>
      </w:pPr>
      <w:r>
        <w:rPr>
          <w:rFonts w:ascii="Courier New" w:cs="Courier New" w:eastAsia="Courier New" w:hAnsi="Courier New"/>
          <w:sz w:val="17"/>
          <w:szCs w:val="17"/>
          <w:color w:val="auto"/>
        </w:rPr>
        <w:t>/s/ William E. Moffett</w:t>
      </w:r>
      <w:r>
        <w:rPr>
          <w:sz w:val="20"/>
          <w:szCs w:val="20"/>
          <w:color w:val="auto"/>
        </w:rPr>
        <w:tab/>
      </w:r>
      <w:r>
        <w:rPr>
          <w:rFonts w:ascii="Courier New" w:cs="Courier New" w:eastAsia="Courier New" w:hAnsi="Courier New"/>
          <w:sz w:val="17"/>
          <w:szCs w:val="17"/>
          <w:color w:val="auto"/>
        </w:rPr>
        <w:t>Director</w:t>
      </w:r>
    </w:p>
    <w:p>
      <w:pPr>
        <w:spacing w:after="0" w:line="7" w:lineRule="exact"/>
        <w:rPr>
          <w:sz w:val="20"/>
          <w:szCs w:val="20"/>
          <w:color w:val="auto"/>
        </w:rPr>
      </w:pPr>
    </w:p>
    <w:p>
      <w:pPr>
        <w:ind w:left="220" w:hanging="213"/>
        <w:spacing w:after="0"/>
        <w:tabs>
          <w:tab w:leader="none" w:pos="22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William E. Moffett</w:t>
      </w:r>
    </w:p>
    <w:p>
      <w:pPr>
        <w:spacing w:after="0" w:line="207" w:lineRule="exact"/>
        <w:rPr>
          <w:sz w:val="20"/>
          <w:szCs w:val="20"/>
          <w:color w:val="auto"/>
        </w:rPr>
      </w:pPr>
    </w:p>
    <w:p>
      <w:pPr>
        <w:spacing w:after="0"/>
        <w:tabs>
          <w:tab w:leader="none" w:pos="6220" w:val="left"/>
        </w:tabs>
        <w:rPr>
          <w:sz w:val="20"/>
          <w:szCs w:val="20"/>
          <w:color w:val="auto"/>
        </w:rPr>
      </w:pPr>
      <w:r>
        <w:rPr>
          <w:rFonts w:ascii="Courier New" w:cs="Courier New" w:eastAsia="Courier New" w:hAnsi="Courier New"/>
          <w:sz w:val="17"/>
          <w:szCs w:val="17"/>
          <w:color w:val="auto"/>
        </w:rPr>
        <w:t>/s/ Peter J. Gibbons</w:t>
      </w:r>
      <w:r>
        <w:rPr>
          <w:sz w:val="20"/>
          <w:szCs w:val="20"/>
          <w:color w:val="auto"/>
        </w:rPr>
        <w:tab/>
      </w:r>
      <w:r>
        <w:rPr>
          <w:rFonts w:ascii="Courier New" w:cs="Courier New" w:eastAsia="Courier New" w:hAnsi="Courier New"/>
          <w:sz w:val="17"/>
          <w:szCs w:val="17"/>
          <w:color w:val="auto"/>
        </w:rPr>
        <w:t>Director</w:t>
      </w:r>
    </w:p>
    <w:p>
      <w:pPr>
        <w:spacing w:after="0" w:line="7" w:lineRule="exact"/>
        <w:rPr>
          <w:sz w:val="20"/>
          <w:szCs w:val="20"/>
          <w:color w:val="auto"/>
        </w:rPr>
      </w:pPr>
    </w:p>
    <w:p>
      <w:pPr>
        <w:ind w:left="220" w:hanging="213"/>
        <w:spacing w:after="0"/>
        <w:tabs>
          <w:tab w:leader="none" w:pos="2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Peter J. Gibbons</w:t>
      </w:r>
    </w:p>
    <w:p>
      <w:pPr>
        <w:sectPr>
          <w:pgSz w:w="11900" w:h="16838" w:orient="portrait"/>
          <w:cols w:equalWidth="0" w:num="1">
            <w:col w:w="11340"/>
          </w:cols>
          <w:pgMar w:left="240" w:top="315" w:right="319" w:bottom="5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II-8</w:t>
      </w:r>
    </w:p>
    <w:sectPr>
      <w:pgSz w:w="11900" w:h="16838" w:orient="portrait"/>
      <w:cols w:equalWidth="0" w:num="1">
        <w:col w:w="11340"/>
      </w:cols>
      <w:pgMar w:left="240" w:top="315" w:right="319" w:bottom="58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lowerLetter"/>
      <w:start w:val="1"/>
    </w:lvl>
  </w:abstractNum>
  <w:abstractNum w:abstractNumId="1">
    <w:nsid w:val="4DB127F8"/>
    <w:multiLevelType w:val="hybridMultilevel"/>
    <w:lvl w:ilvl="0">
      <w:lvlJc w:val="left"/>
      <w:lvlText w:val="(%1)"/>
      <w:numFmt w:val="lowerRoman"/>
      <w:start w:val="2"/>
    </w:lvl>
  </w:abstractNum>
  <w:abstractNum w:abstractNumId="2">
    <w:nsid w:val="216231B"/>
    <w:multiLevelType w:val="hybridMultilevel"/>
    <w:lvl w:ilvl="0">
      <w:lvlJc w:val="left"/>
      <w:lvlText w:val="%1."/>
      <w:numFmt w:val="decimal"/>
      <w:start w:val="145"/>
    </w:lvl>
  </w:abstractNum>
  <w:abstractNum w:abstractNumId="3">
    <w:nsid w:val="1F16E9E8"/>
    <w:multiLevelType w:val="hybridMultilevel"/>
    <w:lvl w:ilvl="0">
      <w:lvlJc w:val="left"/>
      <w:lvlText w:val="(%1)"/>
      <w:numFmt w:val="lowerLetter"/>
      <w:start w:val="2"/>
    </w:lvl>
  </w:abstractNum>
  <w:abstractNum w:abstractNumId="4">
    <w:nsid w:val="1190CDE7"/>
    <w:multiLevelType w:val="hybridMultilevel"/>
    <w:lvl w:ilvl="0">
      <w:lvlJc w:val="left"/>
      <w:lvlText w:val="(%1)"/>
      <w:numFmt w:val="lowerLetter"/>
      <w:start w:val="1"/>
    </w:lvl>
    <w:lvl w:ilvl="1">
      <w:lvlJc w:val="left"/>
      <w:lvlText w:val="(%2)"/>
      <w:numFmt w:val="lowerLetter"/>
      <w:start w:val="4"/>
    </w:lvl>
  </w:abstractNum>
  <w:abstractNum w:abstractNumId="5">
    <w:nsid w:val="66EF438D"/>
    <w:multiLevelType w:val="hybridMultilevel"/>
    <w:lvl w:ilvl="0">
      <w:lvlJc w:val="left"/>
      <w:lvlText w:val="%1"/>
      <w:numFmt w:val="lowerLetter"/>
      <w:start w:val="1"/>
    </w:lvl>
    <w:lvl w:ilvl="1">
      <w:lvlJc w:val="left"/>
      <w:lvlText w:val="(%2)"/>
      <w:numFmt w:val="lowerLetter"/>
      <w:start w:val="5"/>
    </w:lvl>
  </w:abstractNum>
  <w:abstractNum w:abstractNumId="6">
    <w:nsid w:val="140E0F76"/>
    <w:multiLevelType w:val="hybridMultilevel"/>
    <w:lvl w:ilvl="0">
      <w:lvlJc w:val="left"/>
      <w:lvlText w:val="(%1)"/>
      <w:numFmt w:val="lowerLetter"/>
      <w:start w:val="1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9">
    <w:nsid w:val="DED7263"/>
    <w:multiLevelType w:val="hybridMultilevel"/>
    <w:lvl w:ilvl="0">
      <w:lvlJc w:val="left"/>
      <w:lvlText w:val="(%1)"/>
      <w:numFmt w:val="decimal"/>
      <w:start w:val="2"/>
    </w:lvl>
  </w:abstractNum>
  <w:abstractNum w:abstractNumId="10">
    <w:nsid w:val="7FDCC233"/>
    <w:multiLevelType w:val="hybridMultilevel"/>
    <w:lvl w:ilvl="0">
      <w:lvlJc w:val="left"/>
      <w:lvlText w:val="(%1)"/>
      <w:numFmt w:val="lowerLetter"/>
      <w:start w:val="2"/>
    </w:lvl>
  </w:abstractNum>
  <w:abstractNum w:abstractNumId="11">
    <w:nsid w:val="1BEFD79F"/>
    <w:multiLevelType w:val="hybridMultilevel"/>
    <w:lvl w:ilvl="0">
      <w:lvlJc w:val="left"/>
      <w:lvlText w:val="(%1)"/>
      <w:numFmt w:val="lowerLetter"/>
      <w:start w:val="5"/>
    </w:lvl>
  </w:abstractNum>
  <w:abstractNum w:abstractNumId="12">
    <w:nsid w:val="41A7C4C9"/>
    <w:multiLevelType w:val="hybridMultilevel"/>
    <w:lvl w:ilvl="0">
      <w:lvlJc w:val="left"/>
      <w:lvlText w:val="(%1)"/>
      <w:numFmt w:val="lowerLetter"/>
      <w:start w:val="8"/>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2019-12-20T04:32:17Z</dcterms:created>
  <dcterms:modified xsi:type="dcterms:W3CDTF">2019-12-20T04:32:17Z</dcterms:modified>
</cp:coreProperties>
</file>