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9"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175895</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212725</wp:posOffset>
            </wp:positionV>
            <wp:extent cx="1878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4"/>
          <w:szCs w:val="24"/>
          <w:color w:val="auto"/>
        </w:rPr>
      </w:pPr>
    </w:p>
    <w:p>
      <w:pPr>
        <w:spacing w:after="0" w:line="385"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February 16, 2010</w:t>
      </w:r>
    </w:p>
    <w:p>
      <w:pPr>
        <w:spacing w:after="0" w:line="200"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Waste Management,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1300"/>
          </w:cols>
          <w:pgMar w:left="240" w:top="522" w:right="359" w:bottom="1440" w:gutter="0" w:footer="0" w:header="0"/>
        </w:sectPr>
      </w:pPr>
    </w:p>
    <w:p>
      <w:pPr>
        <w:spacing w:after="0" w:line="209" w:lineRule="exact"/>
        <w:rPr>
          <w:sz w:val="24"/>
          <w:szCs w:val="24"/>
          <w:color w:val="auto"/>
        </w:rPr>
      </w:pPr>
    </w:p>
    <w:p>
      <w:pPr>
        <w:jc w:val="center"/>
        <w:ind w:right="360"/>
        <w:spacing w:after="0"/>
        <w:rPr>
          <w:sz w:val="20"/>
          <w:szCs w:val="20"/>
          <w:color w:val="auto"/>
        </w:rPr>
      </w:pPr>
      <w:r>
        <w:rPr>
          <w:rFonts w:ascii="Arial" w:cs="Arial" w:eastAsia="Arial" w:hAnsi="Arial"/>
          <w:sz w:val="18"/>
          <w:szCs w:val="18"/>
          <w:color w:val="auto"/>
        </w:rPr>
        <w:t>Delaware</w:t>
      </w:r>
    </w:p>
    <w:p>
      <w:pPr>
        <w:spacing w:after="0" w:line="23" w:lineRule="exact"/>
        <w:rPr>
          <w:sz w:val="24"/>
          <w:szCs w:val="24"/>
          <w:color w:val="auto"/>
        </w:rPr>
      </w:pPr>
    </w:p>
    <w:p>
      <w:pPr>
        <w:jc w:val="center"/>
        <w:ind w:right="36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jc w:val="center"/>
        <w:ind w:right="860"/>
        <w:spacing w:after="0"/>
        <w:rPr>
          <w:sz w:val="20"/>
          <w:szCs w:val="20"/>
          <w:color w:val="auto"/>
        </w:rPr>
      </w:pPr>
      <w:r>
        <w:rPr>
          <w:rFonts w:ascii="Arial" w:cs="Arial" w:eastAsia="Arial" w:hAnsi="Arial"/>
          <w:sz w:val="18"/>
          <w:szCs w:val="18"/>
          <w:color w:val="auto"/>
        </w:rPr>
        <w:t>1-12154</w:t>
      </w:r>
    </w:p>
    <w:p>
      <w:pPr>
        <w:spacing w:after="0" w:line="23" w:lineRule="exact"/>
        <w:rPr>
          <w:sz w:val="24"/>
          <w:szCs w:val="24"/>
          <w:color w:val="auto"/>
        </w:rPr>
      </w:pPr>
    </w:p>
    <w:p>
      <w:pPr>
        <w:jc w:val="center"/>
        <w:ind w:right="86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jc w:val="center"/>
        <w:ind w:right="360"/>
        <w:spacing w:after="0"/>
        <w:rPr>
          <w:sz w:val="20"/>
          <w:szCs w:val="20"/>
          <w:color w:val="auto"/>
        </w:rPr>
      </w:pPr>
      <w:r>
        <w:rPr>
          <w:rFonts w:ascii="Arial" w:cs="Arial" w:eastAsia="Arial" w:hAnsi="Arial"/>
          <w:sz w:val="18"/>
          <w:szCs w:val="18"/>
          <w:color w:val="auto"/>
        </w:rPr>
        <w:t>73-1309529</w:t>
      </w:r>
    </w:p>
    <w:p>
      <w:pPr>
        <w:spacing w:after="0" w:line="23" w:lineRule="exact"/>
        <w:rPr>
          <w:sz w:val="24"/>
          <w:szCs w:val="24"/>
          <w:color w:val="auto"/>
        </w:rPr>
      </w:pPr>
    </w:p>
    <w:p>
      <w:pPr>
        <w:jc w:val="center"/>
        <w:ind w:right="360"/>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3">
            <w:col w:w="3940" w:space="720"/>
            <w:col w:w="2940" w:space="720"/>
            <w:col w:w="2980"/>
          </w:cols>
          <w:pgMar w:left="240" w:top="522" w:right="359" w:bottom="1440" w:gutter="0" w:footer="0" w:header="0"/>
          <w:type w:val="continuous"/>
        </w:sectPr>
      </w:pPr>
    </w:p>
    <w:p>
      <w:pPr>
        <w:spacing w:after="0" w:line="34" w:lineRule="exact"/>
        <w:rPr>
          <w:sz w:val="24"/>
          <w:szCs w:val="24"/>
          <w:color w:val="auto"/>
        </w:rPr>
      </w:pPr>
    </w:p>
    <w:p>
      <w:pPr>
        <w:ind w:left="1180" w:right="2180" w:firstLine="72"/>
        <w:spacing w:after="0" w:line="277" w:lineRule="auto"/>
        <w:rPr>
          <w:sz w:val="20"/>
          <w:szCs w:val="20"/>
          <w:color w:val="auto"/>
        </w:rPr>
      </w:pPr>
      <w:r>
        <w:rPr>
          <w:rFonts w:ascii="Arial" w:cs="Arial" w:eastAsia="Arial" w:hAnsi="Arial"/>
          <w:sz w:val="18"/>
          <w:szCs w:val="18"/>
          <w:color w:val="auto"/>
        </w:rPr>
        <w:t xml:space="preserve">1001 Fannin, Suite 4000 Houston, Texas 77002 </w:t>
      </w:r>
      <w:r>
        <w:rPr>
          <w:rFonts w:ascii="Arial" w:cs="Arial" w:eastAsia="Arial" w:hAnsi="Arial"/>
          <w:sz w:val="18"/>
          <w:szCs w:val="18"/>
          <w:b w:val="1"/>
          <w:bCs w:val="1"/>
          <w:color w:val="auto"/>
        </w:rPr>
        <w:t>(Address of Principal Executive Offices) (Zip Code)</w:t>
      </w:r>
    </w:p>
    <w:p>
      <w:pPr>
        <w:sectPr>
          <w:pgSz w:w="11900" w:h="16838" w:orient="portrait"/>
          <w:cols w:equalWidth="0" w:num="1">
            <w:col w:w="11300"/>
          </w:cols>
          <w:pgMar w:left="240" w:top="522" w:right="359" w:bottom="1440" w:gutter="0" w:footer="0" w:header="0"/>
          <w:type w:val="continuous"/>
        </w:sectPr>
      </w:pPr>
    </w:p>
    <w:p>
      <w:pPr>
        <w:spacing w:after="0" w:line="16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 xml:space="preserve">Registrant’s Telephone number, including area code: </w:t>
      </w:r>
      <w:r>
        <w:rPr>
          <w:rFonts w:ascii="Arial" w:cs="Arial" w:eastAsia="Arial" w:hAnsi="Arial"/>
          <w:sz w:val="18"/>
          <w:szCs w:val="18"/>
          <w:color w:val="auto"/>
        </w:rPr>
        <w:t>(713) 512-6200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1668780</wp:posOffset>
            </wp:positionH>
            <wp:positionV relativeFrom="paragraph">
              <wp:posOffset>197485</wp:posOffset>
            </wp:positionV>
            <wp:extent cx="39192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919220" cy="8890"/>
                    </a:xfrm>
                    <a:prstGeom prst="rect">
                      <a:avLst/>
                    </a:prstGeom>
                    <a:noFill/>
                  </pic:spPr>
                </pic:pic>
              </a:graphicData>
            </a:graphic>
          </wp:anchor>
        </w:drawing>
      </w:r>
    </w:p>
    <w:p>
      <w:pPr>
        <w:spacing w:after="0" w:line="35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12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522"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21" w:lineRule="exact"/>
        <w:rPr>
          <w:sz w:val="20"/>
          <w:szCs w:val="20"/>
          <w:color w:val="auto"/>
        </w:rPr>
      </w:pPr>
    </w:p>
    <w:p>
      <w:pPr>
        <w:ind w:right="240" w:firstLine="222"/>
        <w:spacing w:after="0" w:line="277" w:lineRule="auto"/>
        <w:rPr>
          <w:sz w:val="20"/>
          <w:szCs w:val="20"/>
          <w:color w:val="auto"/>
        </w:rPr>
      </w:pPr>
      <w:r>
        <w:rPr>
          <w:rFonts w:ascii="Arial" w:cs="Arial" w:eastAsia="Arial" w:hAnsi="Arial"/>
          <w:sz w:val="18"/>
          <w:szCs w:val="18"/>
          <w:color w:val="auto"/>
        </w:rPr>
        <w:t>Waste Management, Inc. (the “Company”) issued a press release this morning, February 16, 2010, announcing its earnings for the fiscal quarter and full year ended December 31, 2009. A copy of the press release is attached hereto as exhibit 99.1.</w:t>
      </w:r>
    </w:p>
    <w:p>
      <w:pPr>
        <w:spacing w:after="0" w:line="62" w:lineRule="exact"/>
        <w:rPr>
          <w:sz w:val="20"/>
          <w:szCs w:val="20"/>
          <w:color w:val="auto"/>
        </w:rPr>
      </w:pPr>
    </w:p>
    <w:p>
      <w:pPr>
        <w:ind w:right="60" w:firstLine="215"/>
        <w:spacing w:after="0" w:line="257" w:lineRule="auto"/>
        <w:rPr>
          <w:sz w:val="20"/>
          <w:szCs w:val="20"/>
          <w:color w:val="auto"/>
        </w:rPr>
      </w:pPr>
      <w:r>
        <w:rPr>
          <w:rFonts w:ascii="Arial" w:cs="Arial" w:eastAsia="Arial" w:hAnsi="Arial"/>
          <w:sz w:val="18"/>
          <w:szCs w:val="18"/>
          <w:color w:val="auto"/>
        </w:rPr>
        <w:t>Additionally, as previously announced, the Company is holding a conference call, open to the public, to discuss these results, from 9:00 a.m. to 10:00 a.m. Central time this morning. The call will be webcast live, and may be heard by accessing the Company’s website at www.wm.com. You may also listen to the call by calling (877) 710-6139 and entering the access code 49511473. A replay of the conference call will be available through 4:00 p.m. Central time on March 2, 2010. The replay of the call may be heard over the Internet, by accessing the Company’s website at www.wm.com, or by telephone by dialing 800-642-1687 and entering conference code 49511473.</w:t>
      </w:r>
    </w:p>
    <w:p>
      <w:pPr>
        <w:spacing w:after="0" w:line="80" w:lineRule="exact"/>
        <w:rPr>
          <w:sz w:val="20"/>
          <w:szCs w:val="20"/>
          <w:color w:val="auto"/>
        </w:rPr>
      </w:pPr>
    </w:p>
    <w:p>
      <w:pPr>
        <w:ind w:firstLine="225"/>
        <w:spacing w:after="0" w:line="286" w:lineRule="auto"/>
        <w:rPr>
          <w:sz w:val="20"/>
          <w:szCs w:val="20"/>
          <w:color w:val="auto"/>
        </w:rPr>
      </w:pPr>
      <w:r>
        <w:rPr>
          <w:rFonts w:ascii="Arial" w:cs="Arial" w:eastAsia="Arial" w:hAnsi="Arial"/>
          <w:sz w:val="17"/>
          <w:szCs w:val="17"/>
          <w:color w:val="auto"/>
        </w:rPr>
        <w:t>On the conference call, management of the Company is expected to discuss its results of operations and projections using certain non-GAAP financial measures. The Company has provided an explanation of its use of such non-GAAP measures, as well as a reconciliation of each of those measures to the most comparable GAAP measures, in the press release, which is attached to this Form 8-K as exhibit 99.1, and the schedules thereto.</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5"/>
          <w:szCs w:val="15"/>
          <w:color w:val="auto"/>
        </w:rPr>
        <w:t>Press Release dated February 16,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300"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60" w:type="dxa"/>
            <w:vAlign w:val="bottom"/>
          </w:tcPr>
          <w:p>
            <w:pPr>
              <w:spacing w:after="0"/>
              <w:rPr>
                <w:sz w:val="20"/>
                <w:szCs w:val="20"/>
                <w:color w:val="auto"/>
              </w:rPr>
            </w:pPr>
          </w:p>
        </w:tc>
        <w:tc>
          <w:tcPr>
            <w:tcW w:w="6180" w:type="dxa"/>
            <w:vAlign w:val="bottom"/>
            <w:gridSpan w:val="2"/>
          </w:tcPr>
          <w:p>
            <w:pPr>
              <w:ind w:left="1800"/>
              <w:spacing w:after="0"/>
              <w:rPr>
                <w:sz w:val="20"/>
                <w:szCs w:val="20"/>
                <w:color w:val="auto"/>
              </w:rPr>
            </w:pPr>
            <w:r>
              <w:rPr>
                <w:rFonts w:ascii="Arial" w:cs="Arial" w:eastAsia="Arial" w:hAnsi="Arial"/>
                <w:sz w:val="18"/>
                <w:szCs w:val="18"/>
                <w:color w:val="auto"/>
              </w:rPr>
              <w:t>WASTE MANAGEMENT, INC.</w:t>
            </w:r>
          </w:p>
        </w:tc>
        <w:tc>
          <w:tcPr>
            <w:tcW w:w="1680" w:type="dxa"/>
            <w:vAlign w:val="bottom"/>
          </w:tcPr>
          <w:p>
            <w:pPr>
              <w:spacing w:after="0"/>
              <w:rPr>
                <w:sz w:val="20"/>
                <w:szCs w:val="20"/>
                <w:color w:val="auto"/>
              </w:rPr>
            </w:pPr>
          </w:p>
        </w:tc>
      </w:tr>
      <w:tr>
        <w:trPr>
          <w:trHeight w:val="432"/>
        </w:trPr>
        <w:tc>
          <w:tcPr>
            <w:tcW w:w="3560" w:type="dxa"/>
            <w:vAlign w:val="bottom"/>
          </w:tcPr>
          <w:p>
            <w:pPr>
              <w:spacing w:after="0"/>
              <w:rPr>
                <w:sz w:val="20"/>
                <w:szCs w:val="20"/>
                <w:color w:val="auto"/>
              </w:rPr>
            </w:pPr>
            <w:r>
              <w:rPr>
                <w:rFonts w:ascii="Arial" w:cs="Arial" w:eastAsia="Arial" w:hAnsi="Arial"/>
                <w:sz w:val="18"/>
                <w:szCs w:val="18"/>
                <w:color w:val="auto"/>
              </w:rPr>
              <w:t>Date: February 16, 2010</w:t>
            </w:r>
          </w:p>
        </w:tc>
        <w:tc>
          <w:tcPr>
            <w:tcW w:w="6180" w:type="dxa"/>
            <w:vAlign w:val="bottom"/>
            <w:gridSpan w:val="2"/>
          </w:tcPr>
          <w:p>
            <w:pPr>
              <w:ind w:left="1800"/>
              <w:spacing w:after="0"/>
              <w:rPr>
                <w:sz w:val="20"/>
                <w:szCs w:val="20"/>
                <w:color w:val="auto"/>
              </w:rPr>
            </w:pPr>
            <w:r>
              <w:rPr>
                <w:rFonts w:ascii="Arial" w:cs="Arial" w:eastAsia="Arial" w:hAnsi="Arial"/>
                <w:sz w:val="18"/>
                <w:szCs w:val="18"/>
                <w:color w:val="auto"/>
              </w:rPr>
              <w:t>By: /s/ Rick L Wittenbraker</w:t>
            </w:r>
          </w:p>
        </w:tc>
        <w:tc>
          <w:tcPr>
            <w:tcW w:w="1680" w:type="dxa"/>
            <w:vAlign w:val="bottom"/>
          </w:tcPr>
          <w:p>
            <w:pPr>
              <w:spacing w:after="0"/>
              <w:rPr>
                <w:sz w:val="24"/>
                <w:szCs w:val="24"/>
                <w:color w:val="auto"/>
              </w:rPr>
            </w:pPr>
          </w:p>
        </w:tc>
      </w:tr>
      <w:tr>
        <w:trPr>
          <w:trHeight w:val="195"/>
        </w:trPr>
        <w:tc>
          <w:tcPr>
            <w:tcW w:w="356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4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Rick L Wittenbraker</w:t>
            </w:r>
          </w:p>
        </w:tc>
        <w:tc>
          <w:tcPr>
            <w:tcW w:w="1680" w:type="dxa"/>
            <w:vAlign w:val="bottom"/>
          </w:tcPr>
          <w:p>
            <w:pPr>
              <w:spacing w:after="0"/>
              <w:rPr>
                <w:sz w:val="16"/>
                <w:szCs w:val="16"/>
                <w:color w:val="auto"/>
              </w:rPr>
            </w:pPr>
          </w:p>
        </w:tc>
      </w:tr>
      <w:tr>
        <w:trPr>
          <w:trHeight w:val="230"/>
        </w:trPr>
        <w:tc>
          <w:tcPr>
            <w:tcW w:w="356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i w:val="1"/>
                <w:iCs w:val="1"/>
                <w:color w:val="auto"/>
              </w:rPr>
              <w:t>Senior Vice President</w:t>
            </w:r>
          </w:p>
        </w:tc>
        <w:tc>
          <w:tcPr>
            <w:tcW w:w="1680" w:type="dxa"/>
            <w:vAlign w:val="bottom"/>
          </w:tcPr>
          <w:p>
            <w:pPr>
              <w:spacing w:after="0"/>
              <w:rPr>
                <w:sz w:val="20"/>
                <w:szCs w:val="20"/>
                <w:color w:val="auto"/>
              </w:rPr>
            </w:pPr>
          </w:p>
        </w:tc>
      </w:tr>
      <w:tr>
        <w:trPr>
          <w:trHeight w:val="632"/>
        </w:trPr>
        <w:tc>
          <w:tcPr>
            <w:tcW w:w="3560" w:type="dxa"/>
            <w:vAlign w:val="bottom"/>
            <w:tcBorders>
              <w:bottom w:val="single" w:sz="8" w:color="808080"/>
            </w:tcBorders>
          </w:tcPr>
          <w:p>
            <w:pPr>
              <w:spacing w:after="0"/>
              <w:rPr>
                <w:sz w:val="24"/>
                <w:szCs w:val="24"/>
                <w:color w:val="auto"/>
              </w:rPr>
            </w:pPr>
          </w:p>
        </w:tc>
        <w:tc>
          <w:tcPr>
            <w:tcW w:w="2140" w:type="dxa"/>
            <w:vAlign w:val="bottom"/>
            <w:tcBorders>
              <w:bottom w:val="single" w:sz="8" w:color="808080"/>
            </w:tcBorders>
          </w:tcPr>
          <w:p>
            <w:pPr>
              <w:spacing w:after="0"/>
              <w:rPr>
                <w:sz w:val="24"/>
                <w:szCs w:val="24"/>
                <w:color w:val="auto"/>
              </w:rPr>
            </w:pPr>
          </w:p>
        </w:tc>
        <w:tc>
          <w:tcPr>
            <w:tcW w:w="4040" w:type="dxa"/>
            <w:vAlign w:val="bottom"/>
            <w:tcBorders>
              <w:bottom w:val="single" w:sz="8" w:color="808080"/>
            </w:tcBorders>
          </w:tcPr>
          <w:p>
            <w:pPr>
              <w:spacing w:after="0"/>
              <w:rPr>
                <w:sz w:val="24"/>
                <w:szCs w:val="24"/>
                <w:color w:val="auto"/>
              </w:rPr>
            </w:pPr>
          </w:p>
        </w:tc>
        <w:tc>
          <w:tcPr>
            <w:tcW w:w="16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3" w:name="page4"/>
    <w:bookmarkEnd w:id="3"/>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6"/>
              </w:rPr>
              <w:t>Exhibit Number</w:t>
            </w:r>
          </w:p>
        </w:tc>
        <w:tc>
          <w:tcPr>
            <w:tcW w:w="320" w:type="dxa"/>
            <w:vAlign w:val="bottom"/>
          </w:tcPr>
          <w:p>
            <w:pPr>
              <w:spacing w:after="0"/>
              <w:rPr>
                <w:sz w:val="14"/>
                <w:szCs w:val="14"/>
                <w:color w:val="auto"/>
              </w:rPr>
            </w:pPr>
          </w:p>
        </w:tc>
        <w:tc>
          <w:tcPr>
            <w:tcW w:w="10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426"/>
        </w:trPr>
        <w:tc>
          <w:tcPr>
            <w:tcW w:w="1020" w:type="dxa"/>
            <w:vAlign w:val="bottom"/>
          </w:tcPr>
          <w:p>
            <w:pPr>
              <w:spacing w:after="0"/>
              <w:rPr>
                <w:sz w:val="20"/>
                <w:szCs w:val="20"/>
                <w:color w:val="auto"/>
              </w:rPr>
            </w:pPr>
            <w:r>
              <w:rPr>
                <w:rFonts w:ascii="Arial" w:cs="Arial" w:eastAsia="Arial" w:hAnsi="Arial"/>
                <w:sz w:val="18"/>
                <w:szCs w:val="18"/>
                <w:color w:val="auto"/>
              </w:rPr>
              <w:t>99.1</w:t>
            </w:r>
          </w:p>
        </w:tc>
        <w:tc>
          <w:tcPr>
            <w:tcW w:w="10400" w:type="dxa"/>
            <w:vAlign w:val="bottom"/>
            <w:gridSpan w:val="2"/>
          </w:tcPr>
          <w:p>
            <w:pPr>
              <w:ind w:left="320"/>
              <w:spacing w:after="0"/>
              <w:rPr>
                <w:sz w:val="20"/>
                <w:szCs w:val="20"/>
                <w:color w:val="auto"/>
              </w:rPr>
            </w:pPr>
            <w:r>
              <w:rPr>
                <w:rFonts w:ascii="Arial" w:cs="Arial" w:eastAsia="Arial" w:hAnsi="Arial"/>
                <w:sz w:val="18"/>
                <w:szCs w:val="18"/>
                <w:color w:val="auto"/>
              </w:rPr>
              <w:t>Press Release dated February 16, 2010</w:t>
            </w:r>
          </w:p>
        </w:tc>
      </w:tr>
    </w:tbl>
    <w:p>
      <w:pPr>
        <w:sectPr>
          <w:pgSz w:w="11900" w:h="16838" w:orient="portrait"/>
          <w:cols w:equalWidth="0" w:num="1">
            <w:col w:w="11420"/>
          </w:cols>
          <w:pgMar w:left="240" w:top="1440"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2698115</wp:posOffset>
            </wp:positionH>
            <wp:positionV relativeFrom="paragraph">
              <wp:posOffset>223520</wp:posOffset>
            </wp:positionV>
            <wp:extent cx="1861185" cy="6946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61185" cy="694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For Further Information:</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Waste Management, Inc.</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Analysts: Jim Alderson — 713.394.2281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Media: Lynn Brown — 713.394.5093</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Web site: http://www.wm.com</w:t>
      </w:r>
    </w:p>
    <w:p>
      <w:pPr>
        <w:spacing w:after="0" w:line="9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WM #10-02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Announces Fourth Quarter and Full Year 2009 Earnings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2010 Capital Allocation Plan to Return up to $1.3 Billion to Shareholders</w:t>
      </w:r>
    </w:p>
    <w:p>
      <w:pPr>
        <w:spacing w:after="0" w:line="11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b w:val="1"/>
          <w:bCs w:val="1"/>
          <w:color w:val="auto"/>
        </w:rPr>
        <w:t xml:space="preserve">HOUSTON — February 16, 2010 — </w:t>
      </w:r>
      <w:r>
        <w:rPr>
          <w:rFonts w:ascii="Arial" w:cs="Arial" w:eastAsia="Arial" w:hAnsi="Arial"/>
          <w:sz w:val="18"/>
          <w:szCs w:val="18"/>
          <w:color w:val="auto"/>
        </w:rPr>
        <w:t>Waste Management, Inc. (NYSE: WM) today announced financial results for its fourth quarter and for the year ended</w:t>
      </w:r>
      <w:r>
        <w:rPr>
          <w:rFonts w:ascii="Arial" w:cs="Arial" w:eastAsia="Arial" w:hAnsi="Arial"/>
          <w:sz w:val="18"/>
          <w:szCs w:val="18"/>
          <w:b w:val="1"/>
          <w:bCs w:val="1"/>
          <w:color w:val="auto"/>
        </w:rPr>
        <w:t xml:space="preserve"> </w:t>
      </w:r>
      <w:r>
        <w:rPr>
          <w:rFonts w:ascii="Arial" w:cs="Arial" w:eastAsia="Arial" w:hAnsi="Arial"/>
          <w:sz w:val="18"/>
          <w:szCs w:val="18"/>
          <w:color w:val="auto"/>
        </w:rPr>
        <w:t>December 31, 2009. Net income</w:t>
      </w:r>
      <w:r>
        <w:rPr>
          <w:rFonts w:ascii="Arial" w:cs="Arial" w:eastAsia="Arial" w:hAnsi="Arial"/>
          <w:sz w:val="15"/>
          <w:szCs w:val="15"/>
          <w:color w:val="auto"/>
        </w:rPr>
        <w:t>(a)</w:t>
      </w:r>
      <w:r>
        <w:rPr>
          <w:rFonts w:ascii="Arial" w:cs="Arial" w:eastAsia="Arial" w:hAnsi="Arial"/>
          <w:sz w:val="18"/>
          <w:szCs w:val="18"/>
          <w:color w:val="auto"/>
        </w:rPr>
        <w:t xml:space="preserve"> for the quarter was $315 million, or $0.64 per diluted share, compared with $218 million, or $0.44 per diluted share, for the fourth quarter of 2008. This is an increase in earnings per diluted share of 45%. Revenues for the fourth quarter of 2009 were $3.01 billion compared with $3.11 billion for the same 2008 period. The Company noted several items that impacted results in the 2009 and 2008 fourth quarters. Excluding these items, net income would have been $257 million, or $0.52 per diluted share, in the fourth quarter of 2009 compared with $241 million, or $0.49 per diluted share, in the fourth quarter of 2008.</w:t>
      </w:r>
      <w:r>
        <w:rPr>
          <w:rFonts w:ascii="Arial" w:cs="Arial" w:eastAsia="Arial" w:hAnsi="Arial"/>
          <w:sz w:val="15"/>
          <w:szCs w:val="15"/>
          <w:color w:val="auto"/>
        </w:rPr>
        <w:t>(b)</w:t>
      </w:r>
    </w:p>
    <w:p>
      <w:pPr>
        <w:spacing w:after="0" w:line="84"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For the full year 2009, the Company reported revenues of $11.79 billion compared with $13.39 billion for 2008. Earnings per diluted share were $2.01 for the full year 2009 compared with $2.19 for the full year 2008. During fiscal years 2009 and 2008, several items impacted the full year results. On an as-adjusted basis taking those items into account, earnings per diluted share were $2.00 for the full year 2009 and $2.22 for the full year 2008.</w:t>
      </w:r>
      <w:r>
        <w:rPr>
          <w:rFonts w:ascii="Arial" w:cs="Arial" w:eastAsia="Arial" w:hAnsi="Arial"/>
          <w:sz w:val="14"/>
          <w:szCs w:val="14"/>
          <w:color w:val="auto"/>
        </w:rPr>
        <w:t>(b)</w:t>
      </w:r>
    </w:p>
    <w:p>
      <w:pPr>
        <w:spacing w:after="0" w:line="5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David P. Steiner, Chief Executive Officer of Waste Management, commented, “We saw encouraging signs of improvement in the fourth quarter. Internal revenue growth from volume declined by 6.4% compared with the prior year period, which was a 250 basis point improvement from the third quarter of 2009. Our commercial and residential business lines continued to demonstrate their strength. Commercial revenue, excluding revenue from our fuel surcharge, increased 1.0% compared with the fourth quarter of 2008. Residential revenue, excluding revenue from our fuel surcharge, performed even better, increasing by 1.5% compared with the prior year period. Our collection and disposal pricing remained strong, with internal revenue growth from yield of 2.7%. Average recycling commodity prices continued to increase each month in the fourth quarter, and have almost doubled from the lows reached in January 2009. And, on the cost side, 2009 savings from the company-wide restructuring we announced in February 2009 exceeded our target of $120 million on an annualized basis.”</w:t>
      </w:r>
    </w:p>
    <w:p>
      <w:pPr>
        <w:spacing w:after="0" w:line="8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Results in the fourth quarter of 2009 included a net benefit of $0.12 per diluted share consisting of an $81 million income tax benefit resulting primarily from the favorable impacts of the carry-back of a capital loss and a revaluation of deferred taxes resulting from reductions in Canadian tax rates; a $20 million reduction in net income from asset impairment charges; and a $3 million reduction in net income from charges related to the restructuring announced in February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ind w:right="460"/>
        <w:spacing w:after="0" w:line="279" w:lineRule="auto"/>
        <w:rPr>
          <w:sz w:val="20"/>
          <w:szCs w:val="20"/>
          <w:color w:val="auto"/>
        </w:rPr>
      </w:pPr>
      <w:r>
        <w:rPr>
          <w:rFonts w:ascii="Arial" w:cs="Arial" w:eastAsia="Arial" w:hAnsi="Arial"/>
          <w:sz w:val="17"/>
          <w:szCs w:val="17"/>
          <w:color w:val="auto"/>
        </w:rPr>
        <w:t>Results in the fourth quarter of 2008 included a decrease of $0.05 per diluted share from a $13 million reduction in net income due to charges related to withdrawal from union-sponsored multi-employer pension plans in Milwaukee, New Jersey and Detroit; a $16 million reduction in net income caused primarily by the accounting effect of a decline in long-term interest rates, which are used to calculate the present value of the Company’s remediation liabilities at its landfills; and a $6 million benefit resulting primarily from favorable tax audit settlements.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Highlights for the Fourth Quarter 2009 and the Full Year 2009</w:t>
      </w:r>
    </w:p>
    <w:p>
      <w:pPr>
        <w:spacing w:after="0" w:line="121" w:lineRule="exact"/>
        <w:rPr>
          <w:sz w:val="20"/>
          <w:szCs w:val="20"/>
          <w:color w:val="auto"/>
        </w:rPr>
      </w:pPr>
    </w:p>
    <w:p>
      <w:pPr>
        <w:ind w:left="660" w:hanging="436"/>
        <w:spacing w:after="0"/>
        <w:tabs>
          <w:tab w:leader="none" w:pos="660" w:val="left"/>
        </w:tabs>
        <w:numPr>
          <w:ilvl w:val="0"/>
          <w:numId w:val="2"/>
        </w:numPr>
        <w:rPr>
          <w:rFonts w:ascii="Arial" w:cs="Arial" w:eastAsia="Arial" w:hAnsi="Arial"/>
          <w:sz w:val="17"/>
          <w:szCs w:val="17"/>
          <w:b w:val="1"/>
          <w:bCs w:val="1"/>
          <w:color w:val="auto"/>
        </w:rPr>
      </w:pPr>
      <w:r>
        <w:rPr>
          <w:rFonts w:ascii="Arial" w:cs="Arial" w:eastAsia="Arial" w:hAnsi="Arial"/>
          <w:sz w:val="17"/>
          <w:szCs w:val="17"/>
          <w:color w:val="auto"/>
        </w:rPr>
        <w:t>Internal revenue growth from yield from the Company’s collection and disposal operations was 2.7% for the quarter and 2.9% for the full year.</w:t>
      </w:r>
    </w:p>
    <w:p>
      <w:pPr>
        <w:spacing w:after="0" w:line="142" w:lineRule="exact"/>
        <w:rPr>
          <w:rFonts w:ascii="Arial" w:cs="Arial" w:eastAsia="Arial" w:hAnsi="Arial"/>
          <w:sz w:val="17"/>
          <w:szCs w:val="17"/>
          <w:b w:val="1"/>
          <w:bCs w:val="1"/>
          <w:color w:val="auto"/>
        </w:rPr>
      </w:pPr>
    </w:p>
    <w:p>
      <w:pPr>
        <w:ind w:left="660" w:hanging="436"/>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Internal revenue growth from volume was negative 6.4% for the quarter and negative 8.1% for the full year.</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Revenue declined by 3.3%, or $102 million, in the fourth quarter and declined by 11.9%, or $1,597 million, for the full year.</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Operating expenses declined by 5.0%, or $98 million, in the fourth quarter and declined by 14.5%, or $1,225 million, for the full year.</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Selling, general and administrative expenses decreased by $17 million compared with the fourth quarter of 2008.</w:t>
      </w:r>
    </w:p>
    <w:p>
      <w:pPr>
        <w:spacing w:after="0" w:line="130" w:lineRule="exact"/>
        <w:rPr>
          <w:rFonts w:ascii="Arial" w:cs="Arial" w:eastAsia="Arial" w:hAnsi="Arial"/>
          <w:sz w:val="18"/>
          <w:szCs w:val="18"/>
          <w:b w:val="1"/>
          <w:bCs w:val="1"/>
          <w:color w:val="auto"/>
        </w:rPr>
      </w:pPr>
    </w:p>
    <w:p>
      <w:pPr>
        <w:ind w:left="660" w:right="160" w:hanging="436"/>
        <w:spacing w:after="0" w:line="264" w:lineRule="auto"/>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Average recycling commodity prices increased almost 20% in the fourth quarter of 2009 compared with the prior year period. This favorable year-over-year impact contributed $0.04 to earnings per diluted share in the fourth quarter of 2009, compared with the prior year period, which was consistent with the Company’s previously announced range.</w:t>
      </w:r>
    </w:p>
    <w:p>
      <w:pPr>
        <w:spacing w:after="0" w:line="86" w:lineRule="exact"/>
        <w:rPr>
          <w:rFonts w:ascii="Arial" w:cs="Arial" w:eastAsia="Arial" w:hAnsi="Arial"/>
          <w:sz w:val="18"/>
          <w:szCs w:val="18"/>
          <w:b w:val="1"/>
          <w:bCs w:val="1"/>
          <w:color w:val="auto"/>
        </w:rPr>
      </w:pPr>
    </w:p>
    <w:p>
      <w:pPr>
        <w:ind w:left="660" w:right="300" w:hanging="436"/>
        <w:spacing w:after="0" w:line="308" w:lineRule="auto"/>
        <w:tabs>
          <w:tab w:leader="none" w:pos="660" w:val="left"/>
        </w:tabs>
        <w:numPr>
          <w:ilvl w:val="0"/>
          <w:numId w:val="2"/>
        </w:numPr>
        <w:rPr>
          <w:rFonts w:ascii="Arial" w:cs="Arial" w:eastAsia="Arial" w:hAnsi="Arial"/>
          <w:sz w:val="17"/>
          <w:szCs w:val="17"/>
          <w:b w:val="1"/>
          <w:bCs w:val="1"/>
          <w:color w:val="auto"/>
        </w:rPr>
      </w:pPr>
      <w:r>
        <w:rPr>
          <w:rFonts w:ascii="Arial" w:cs="Arial" w:eastAsia="Arial" w:hAnsi="Arial"/>
          <w:sz w:val="17"/>
          <w:szCs w:val="17"/>
          <w:color w:val="auto"/>
        </w:rPr>
        <w:t>As expected, natural gas markets adversely affected electricity sales prices at some of the Company’s waste-to-energy and landfill-gas-to-energy plants in the fourth quarter of 2009, causing a decline in earnings per diluted share of $0.03 compared with the prior year period.</w:t>
      </w:r>
    </w:p>
    <w:p>
      <w:pPr>
        <w:spacing w:after="0" w:line="51" w:lineRule="exact"/>
        <w:rPr>
          <w:rFonts w:ascii="Arial" w:cs="Arial" w:eastAsia="Arial" w:hAnsi="Arial"/>
          <w:sz w:val="17"/>
          <w:szCs w:val="17"/>
          <w:b w:val="1"/>
          <w:bCs w:val="1"/>
          <w:color w:val="auto"/>
        </w:rPr>
      </w:pPr>
    </w:p>
    <w:p>
      <w:pPr>
        <w:ind w:left="660" w:hanging="436"/>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Free cash flow was $372 million in the quarter and $1,211 million for the full year.</w:t>
      </w:r>
      <w:r>
        <w:rPr>
          <w:rFonts w:ascii="Arial" w:cs="Arial" w:eastAsia="Arial" w:hAnsi="Arial"/>
          <w:sz w:val="15"/>
          <w:szCs w:val="15"/>
          <w:color w:val="auto"/>
        </w:rPr>
        <w:t>(b)</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Capital expenditures were $356 million in the quarter and $1,179 million for the full year.</w:t>
      </w:r>
    </w:p>
    <w:p>
      <w:pPr>
        <w:spacing w:after="0" w:line="130" w:lineRule="exact"/>
        <w:rPr>
          <w:rFonts w:ascii="Arial" w:cs="Arial" w:eastAsia="Arial" w:hAnsi="Arial"/>
          <w:sz w:val="18"/>
          <w:szCs w:val="18"/>
          <w:b w:val="1"/>
          <w:bCs w:val="1"/>
          <w:color w:val="auto"/>
        </w:rPr>
      </w:pPr>
    </w:p>
    <w:p>
      <w:pPr>
        <w:ind w:left="660" w:right="40" w:hanging="436"/>
        <w:spacing w:after="0" w:line="264" w:lineRule="auto"/>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The Company returned $302 million to shareholders in the fourth quarter, consisting of $141 million in cash dividends and $161 million in common stock repurchases. For the full year, the Company returned $795 million to shareholders, consisting of $226 million of common stock repurchases and dividends of $569 million.</w:t>
      </w:r>
    </w:p>
    <w:p>
      <w:pPr>
        <w:spacing w:after="0" w:line="86" w:lineRule="exact"/>
        <w:rPr>
          <w:rFonts w:ascii="Arial" w:cs="Arial" w:eastAsia="Arial" w:hAnsi="Arial"/>
          <w:sz w:val="18"/>
          <w:szCs w:val="18"/>
          <w:b w:val="1"/>
          <w:bCs w:val="1"/>
          <w:color w:val="auto"/>
        </w:rPr>
      </w:pPr>
    </w:p>
    <w:p>
      <w:pPr>
        <w:ind w:left="660" w:hanging="436"/>
        <w:spacing w:after="0" w:line="312" w:lineRule="auto"/>
        <w:tabs>
          <w:tab w:leader="none" w:pos="660" w:val="left"/>
        </w:tabs>
        <w:numPr>
          <w:ilvl w:val="0"/>
          <w:numId w:val="2"/>
        </w:numPr>
        <w:rPr>
          <w:rFonts w:ascii="Arial" w:cs="Arial" w:eastAsia="Arial" w:hAnsi="Arial"/>
          <w:sz w:val="16"/>
          <w:szCs w:val="16"/>
          <w:b w:val="1"/>
          <w:bCs w:val="1"/>
          <w:color w:val="auto"/>
        </w:rPr>
      </w:pPr>
      <w:r>
        <w:rPr>
          <w:rFonts w:ascii="Arial" w:cs="Arial" w:eastAsia="Arial" w:hAnsi="Arial"/>
          <w:sz w:val="16"/>
          <w:szCs w:val="16"/>
          <w:color w:val="auto"/>
        </w:rPr>
        <w:t>The effective tax rate in the quarter was approximately 4.9%. The reduction in the effective tax rate for the quarter is due principally to the favorable impacts of the carry-back of a capital loss, recognition of state net operating losses and tax credits, and revaluation of deferred taxes resulting from reductions in Canadian tax rates. Excluding the impact of these items, the effective tax rate for the fourth quarter of 2009 would have been 36.8%.</w:t>
      </w:r>
      <w:r>
        <w:rPr>
          <w:rFonts w:ascii="Arial" w:cs="Arial" w:eastAsia="Arial" w:hAnsi="Arial"/>
          <w:sz w:val="13"/>
          <w:szCs w:val="13"/>
          <w:color w:val="auto"/>
        </w:rPr>
        <w:t>(b)</w:t>
      </w:r>
    </w:p>
    <w:p>
      <w:pPr>
        <w:spacing w:after="0" w:line="39"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Steiner continued, “New business pricing was strong for both our commercial and industrial business lines, and service increases offset service decreases for the second quarter in a row, which are further encouraging signs of improvement in our business. So, as we look to 2010, we expect the rate of decline in volumes to continue to show improvement during the first half of the year, and we expect volumes for the second half of the year to be flat to slightly positive. We forecast that our full year 2010 earnings will increase to a range of $2.09 to $2.13 per diluted share.”</w:t>
      </w:r>
      <w:r>
        <w:rPr>
          <w:rFonts w:ascii="Arial" w:cs="Arial" w:eastAsia="Arial" w:hAnsi="Arial"/>
          <w:sz w:val="14"/>
          <w:szCs w:val="14"/>
          <w:color w:val="auto"/>
        </w:rPr>
        <w:t>(b)</w:t>
      </w:r>
    </w:p>
    <w:p>
      <w:pPr>
        <w:spacing w:after="0" w:line="6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Steiner concluded, “We are proud of what we accomplished in 2009. During the economic downturn we continued producing strong cash flow and returned a big portion of it to our shareholders. In the fourth quarter, we returned $302 million of cash in the form of dividends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6" w:name="page7"/>
    <w:bookmarkEnd w:id="6"/>
    <w:p>
      <w:pPr>
        <w:ind w:right="40"/>
        <w:spacing w:after="0" w:line="257" w:lineRule="auto"/>
        <w:rPr>
          <w:sz w:val="20"/>
          <w:szCs w:val="20"/>
          <w:color w:val="auto"/>
        </w:rPr>
      </w:pPr>
      <w:r>
        <w:rPr>
          <w:rFonts w:ascii="Arial" w:cs="Arial" w:eastAsia="Arial" w:hAnsi="Arial"/>
          <w:sz w:val="18"/>
          <w:szCs w:val="18"/>
          <w:color w:val="auto"/>
        </w:rPr>
        <w:t>common stock repurchases and for the full year we returned $795 million. For 2010 the Board of Directors has announced its intent to increase our quarterly dividend by 8.6%, to $1.26 per share on an annual basis. The Board of Directors approved a capital allocation plan that authorizes up to $1.3 billion to be returned to shareholders. We expect our dividend payments to be approximately $615 million, which allows for up to $685 million to be allocated to common stock repurchases. We remain committed to our goals of growing earnings, expanding our operating margins, increasing our return on invested capital, generating strong free cash flow and returning cash to our shareholders.”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2010 Outlook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 also announced the following with regard to its financial outlook for 2010:</w:t>
      </w:r>
    </w:p>
    <w:p>
      <w:pPr>
        <w:spacing w:after="0" w:line="117" w:lineRule="exact"/>
        <w:rPr>
          <w:sz w:val="20"/>
          <w:szCs w:val="20"/>
          <w:color w:val="auto"/>
        </w:rPr>
      </w:pPr>
    </w:p>
    <w:p>
      <w:pPr>
        <w:ind w:left="660" w:hanging="436"/>
        <w:spacing w:after="0"/>
        <w:tabs>
          <w:tab w:leader="none" w:pos="660" w:val="left"/>
        </w:tabs>
        <w:numPr>
          <w:ilvl w:val="1"/>
          <w:numId w:val="3"/>
        </w:numPr>
        <w:rPr>
          <w:rFonts w:ascii="Arial" w:cs="Arial" w:eastAsia="Arial" w:hAnsi="Arial"/>
          <w:sz w:val="18"/>
          <w:szCs w:val="18"/>
          <w:b w:val="1"/>
          <w:bCs w:val="1"/>
          <w:color w:val="auto"/>
        </w:rPr>
      </w:pPr>
      <w:r>
        <w:rPr>
          <w:rFonts w:ascii="Arial" w:cs="Arial" w:eastAsia="Arial" w:hAnsi="Arial"/>
          <w:sz w:val="18"/>
          <w:szCs w:val="18"/>
          <w:color w:val="auto"/>
        </w:rPr>
        <w:t>2010 earnings per diluted share are expected to be between $2.09 and $2.13.</w:t>
      </w:r>
      <w:r>
        <w:rPr>
          <w:rFonts w:ascii="Arial" w:cs="Arial" w:eastAsia="Arial" w:hAnsi="Arial"/>
          <w:sz w:val="15"/>
          <w:szCs w:val="15"/>
          <w:color w:val="auto"/>
        </w:rPr>
        <w:t>(b)</w:t>
      </w:r>
    </w:p>
    <w:p>
      <w:pPr>
        <w:spacing w:after="0" w:line="130" w:lineRule="exact"/>
        <w:rPr>
          <w:rFonts w:ascii="Arial" w:cs="Arial" w:eastAsia="Arial" w:hAnsi="Arial"/>
          <w:sz w:val="18"/>
          <w:szCs w:val="18"/>
          <w:b w:val="1"/>
          <w:bCs w:val="1"/>
          <w:color w:val="auto"/>
        </w:rPr>
      </w:pPr>
    </w:p>
    <w:p>
      <w:pPr>
        <w:ind w:left="660" w:right="220" w:hanging="436"/>
        <w:spacing w:after="0" w:line="312" w:lineRule="auto"/>
        <w:tabs>
          <w:tab w:leader="none" w:pos="660" w:val="left"/>
        </w:tabs>
        <w:numPr>
          <w:ilvl w:val="1"/>
          <w:numId w:val="3"/>
        </w:numPr>
        <w:rPr>
          <w:rFonts w:ascii="Arial" w:cs="Arial" w:eastAsia="Arial" w:hAnsi="Arial"/>
          <w:sz w:val="16"/>
          <w:szCs w:val="16"/>
          <w:b w:val="1"/>
          <w:bCs w:val="1"/>
          <w:color w:val="auto"/>
        </w:rPr>
      </w:pPr>
      <w:r>
        <w:rPr>
          <w:rFonts w:ascii="Arial" w:cs="Arial" w:eastAsia="Arial" w:hAnsi="Arial"/>
          <w:sz w:val="16"/>
          <w:szCs w:val="16"/>
          <w:color w:val="auto"/>
        </w:rPr>
        <w:t>Internal revenue growth on base business from yield is expected to be between 2.5% to 3.0%, which is in line with the Company’s goal of internal revenue growth from yield being at least 50 to 100 basis points above the core Consumer Price Index. Internal revenue growth from volume is expected to decline in a range of 1.0% to 3.0%, a projected 500-700 basis point improvement over the 8.1% decline in the full year 2009.</w:t>
      </w:r>
    </w:p>
    <w:p>
      <w:pPr>
        <w:spacing w:after="0" w:line="52" w:lineRule="exact"/>
        <w:rPr>
          <w:rFonts w:ascii="Arial" w:cs="Arial" w:eastAsia="Arial" w:hAnsi="Arial"/>
          <w:sz w:val="16"/>
          <w:szCs w:val="16"/>
          <w:b w:val="1"/>
          <w:bCs w:val="1"/>
          <w:color w:val="auto"/>
        </w:rPr>
      </w:pPr>
    </w:p>
    <w:p>
      <w:pPr>
        <w:ind w:left="660" w:hanging="436"/>
        <w:spacing w:after="0" w:line="264" w:lineRule="auto"/>
        <w:tabs>
          <w:tab w:leader="none" w:pos="660" w:val="left"/>
        </w:tabs>
        <w:numPr>
          <w:ilvl w:val="1"/>
          <w:numId w:val="3"/>
        </w:numPr>
        <w:rPr>
          <w:rFonts w:ascii="Arial" w:cs="Arial" w:eastAsia="Arial" w:hAnsi="Arial"/>
          <w:sz w:val="18"/>
          <w:szCs w:val="18"/>
          <w:b w:val="1"/>
          <w:bCs w:val="1"/>
          <w:color w:val="auto"/>
        </w:rPr>
      </w:pPr>
      <w:r>
        <w:rPr>
          <w:rFonts w:ascii="Arial" w:cs="Arial" w:eastAsia="Arial" w:hAnsi="Arial"/>
          <w:sz w:val="18"/>
          <w:szCs w:val="18"/>
          <w:color w:val="auto"/>
        </w:rPr>
        <w:t>Internal revenue growth on base business from yield is expected to be between 2.0% to 3.0%, which is 50 to 100 basis points above the Company’s 2010 outlook for the core Consumer Price Index. Internal revenue growth from volume is expected to decline in a range of 1.0% to 3.0%, a projected 500-700 basis point improvement over the 8.1% decline in the full year 2009.</w:t>
      </w:r>
    </w:p>
    <w:p>
      <w:pPr>
        <w:spacing w:after="0" w:line="86" w:lineRule="exact"/>
        <w:rPr>
          <w:rFonts w:ascii="Arial" w:cs="Arial" w:eastAsia="Arial" w:hAnsi="Arial"/>
          <w:sz w:val="18"/>
          <w:szCs w:val="18"/>
          <w:b w:val="1"/>
          <w:bCs w:val="1"/>
          <w:color w:val="auto"/>
        </w:rPr>
      </w:pPr>
    </w:p>
    <w:p>
      <w:pPr>
        <w:ind w:left="660" w:right="120" w:hanging="436"/>
        <w:spacing w:after="0" w:line="308" w:lineRule="auto"/>
        <w:tabs>
          <w:tab w:leader="none" w:pos="660" w:val="left"/>
        </w:tabs>
        <w:numPr>
          <w:ilvl w:val="1"/>
          <w:numId w:val="3"/>
        </w:numPr>
        <w:rPr>
          <w:rFonts w:ascii="Arial" w:cs="Arial" w:eastAsia="Arial" w:hAnsi="Arial"/>
          <w:sz w:val="17"/>
          <w:szCs w:val="17"/>
          <w:b w:val="1"/>
          <w:bCs w:val="1"/>
          <w:color w:val="auto"/>
        </w:rPr>
      </w:pPr>
      <w:r>
        <w:rPr>
          <w:rFonts w:ascii="Arial" w:cs="Arial" w:eastAsia="Arial" w:hAnsi="Arial"/>
          <w:sz w:val="17"/>
          <w:szCs w:val="17"/>
          <w:color w:val="auto"/>
        </w:rPr>
        <w:t>2010 recycling commodity prices are expected to be close to their five-year historical average, which would provide a benefit of between $0.04 and $0.08 per diluted share compared with the prior year. Most of this benefit will be realized during the first half of the year.</w:t>
      </w:r>
    </w:p>
    <w:p>
      <w:pPr>
        <w:spacing w:after="0" w:line="51" w:lineRule="exact"/>
        <w:rPr>
          <w:rFonts w:ascii="Arial" w:cs="Arial" w:eastAsia="Arial" w:hAnsi="Arial"/>
          <w:sz w:val="17"/>
          <w:szCs w:val="17"/>
          <w:b w:val="1"/>
          <w:bCs w:val="1"/>
          <w:color w:val="auto"/>
        </w:rPr>
      </w:pPr>
    </w:p>
    <w:p>
      <w:pPr>
        <w:ind w:left="660" w:right="380" w:hanging="436"/>
        <w:spacing w:after="0" w:line="264" w:lineRule="auto"/>
        <w:tabs>
          <w:tab w:leader="none" w:pos="660" w:val="left"/>
        </w:tabs>
        <w:numPr>
          <w:ilvl w:val="1"/>
          <w:numId w:val="3"/>
        </w:numPr>
        <w:rPr>
          <w:rFonts w:ascii="Arial" w:cs="Arial" w:eastAsia="Arial" w:hAnsi="Arial"/>
          <w:sz w:val="18"/>
          <w:szCs w:val="18"/>
          <w:b w:val="1"/>
          <w:bCs w:val="1"/>
          <w:color w:val="auto"/>
        </w:rPr>
      </w:pPr>
      <w:r>
        <w:rPr>
          <w:rFonts w:ascii="Arial" w:cs="Arial" w:eastAsia="Arial" w:hAnsi="Arial"/>
          <w:sz w:val="18"/>
          <w:szCs w:val="18"/>
          <w:color w:val="auto"/>
        </w:rPr>
        <w:t>2010 electricity sales prices at the Company’s waste-to-energy operations are expected to have no net impact on earnings per share in 2010, compared with the prior year. The Company anticipates a $0.01 to $0.03 per diluted share negative impact in the first half of the year offset by a positive $0.01 to $0.03 per diluted share impact in the second half of the year.</w:t>
      </w:r>
    </w:p>
    <w:p>
      <w:pPr>
        <w:spacing w:after="0" w:line="86" w:lineRule="exact"/>
        <w:rPr>
          <w:rFonts w:ascii="Arial" w:cs="Arial" w:eastAsia="Arial" w:hAnsi="Arial"/>
          <w:sz w:val="18"/>
          <w:szCs w:val="18"/>
          <w:b w:val="1"/>
          <w:bCs w:val="1"/>
          <w:color w:val="auto"/>
        </w:rPr>
      </w:pPr>
    </w:p>
    <w:p>
      <w:pPr>
        <w:ind w:left="660" w:right="220" w:hanging="436"/>
        <w:spacing w:after="0" w:line="276" w:lineRule="auto"/>
        <w:tabs>
          <w:tab w:leader="none" w:pos="660" w:val="left"/>
        </w:tabs>
        <w:numPr>
          <w:ilvl w:val="1"/>
          <w:numId w:val="3"/>
        </w:numPr>
        <w:rPr>
          <w:rFonts w:ascii="Arial" w:cs="Arial" w:eastAsia="Arial" w:hAnsi="Arial"/>
          <w:sz w:val="17"/>
          <w:szCs w:val="17"/>
          <w:b w:val="1"/>
          <w:bCs w:val="1"/>
          <w:color w:val="auto"/>
        </w:rPr>
      </w:pPr>
      <w:r>
        <w:rPr>
          <w:rFonts w:ascii="Arial" w:cs="Arial" w:eastAsia="Arial" w:hAnsi="Arial"/>
          <w:sz w:val="17"/>
          <w:szCs w:val="17"/>
          <w:color w:val="auto"/>
        </w:rPr>
        <w:t>The Company expects to resume annual merit increases after holding wages flat for its exempt employees throughout 2009, which will add approximately $40 million to 2010 costs. The Company is planning to increase information technology expenses by approximately $35 million, primarily in order to upgrade outdated information technology equipment and applications. Interest expense is expected to increase approximately $65 million because of the interest on the $600 million of senior notes issued in November of 2009, and also because the Company anticipates higher fees and rates to renew its revolving credit facility later in 2010.</w:t>
      </w:r>
    </w:p>
    <w:p>
      <w:pPr>
        <w:spacing w:after="0" w:line="77" w:lineRule="exact"/>
        <w:rPr>
          <w:rFonts w:ascii="Arial" w:cs="Arial" w:eastAsia="Arial" w:hAnsi="Arial"/>
          <w:sz w:val="17"/>
          <w:szCs w:val="17"/>
          <w:b w:val="1"/>
          <w:bCs w:val="1"/>
          <w:color w:val="auto"/>
        </w:rPr>
      </w:pPr>
    </w:p>
    <w:p>
      <w:pPr>
        <w:ind w:left="660" w:hanging="436"/>
        <w:spacing w:after="0"/>
        <w:tabs>
          <w:tab w:leader="none" w:pos="660" w:val="left"/>
        </w:tabs>
        <w:numPr>
          <w:ilvl w:val="1"/>
          <w:numId w:val="3"/>
        </w:numPr>
        <w:rPr>
          <w:rFonts w:ascii="Arial" w:cs="Arial" w:eastAsia="Arial" w:hAnsi="Arial"/>
          <w:sz w:val="18"/>
          <w:szCs w:val="18"/>
          <w:b w:val="1"/>
          <w:bCs w:val="1"/>
          <w:color w:val="auto"/>
        </w:rPr>
      </w:pPr>
      <w:r>
        <w:rPr>
          <w:rFonts w:ascii="Arial" w:cs="Arial" w:eastAsia="Arial" w:hAnsi="Arial"/>
          <w:sz w:val="18"/>
          <w:szCs w:val="18"/>
          <w:color w:val="auto"/>
        </w:rPr>
        <w:t>The full-year 2010 forecast reflects an expected tax rate of approximately 37.5%.</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1"/>
          <w:numId w:val="3"/>
        </w:numPr>
        <w:rPr>
          <w:rFonts w:ascii="Arial" w:cs="Arial" w:eastAsia="Arial" w:hAnsi="Arial"/>
          <w:sz w:val="18"/>
          <w:szCs w:val="18"/>
          <w:b w:val="1"/>
          <w:bCs w:val="1"/>
          <w:color w:val="auto"/>
        </w:rPr>
      </w:pPr>
      <w:r>
        <w:rPr>
          <w:rFonts w:ascii="Arial" w:cs="Arial" w:eastAsia="Arial" w:hAnsi="Arial"/>
          <w:sz w:val="18"/>
          <w:szCs w:val="18"/>
          <w:color w:val="auto"/>
        </w:rPr>
        <w:t>Capital expenditures are expected to be approximately $1.2 billion.</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1"/>
          <w:numId w:val="3"/>
        </w:numPr>
        <w:rPr>
          <w:rFonts w:ascii="Arial" w:cs="Arial" w:eastAsia="Arial" w:hAnsi="Arial"/>
          <w:sz w:val="18"/>
          <w:szCs w:val="18"/>
          <w:b w:val="1"/>
          <w:bCs w:val="1"/>
          <w:color w:val="auto"/>
        </w:rPr>
      </w:pPr>
      <w:r>
        <w:rPr>
          <w:rFonts w:ascii="Arial" w:cs="Arial" w:eastAsia="Arial" w:hAnsi="Arial"/>
          <w:sz w:val="18"/>
          <w:szCs w:val="18"/>
          <w:color w:val="auto"/>
        </w:rPr>
        <w:t>Free cash flow is projected to be in the range of $1.2 billion to $1.3 billion.</w:t>
      </w:r>
      <w:r>
        <w:rPr>
          <w:rFonts w:ascii="Arial" w:cs="Arial" w:eastAsia="Arial" w:hAnsi="Arial"/>
          <w:sz w:val="15"/>
          <w:szCs w:val="15"/>
          <w:color w:val="auto"/>
        </w:rPr>
        <w:t>(b)</w:t>
      </w:r>
    </w:p>
    <w:p>
      <w:pPr>
        <w:spacing w:after="0" w:line="130" w:lineRule="exact"/>
        <w:rPr>
          <w:rFonts w:ascii="Arial" w:cs="Arial" w:eastAsia="Arial" w:hAnsi="Arial"/>
          <w:sz w:val="18"/>
          <w:szCs w:val="18"/>
          <w:b w:val="1"/>
          <w:bCs w:val="1"/>
          <w:color w:val="auto"/>
        </w:rPr>
      </w:pPr>
    </w:p>
    <w:p>
      <w:pPr>
        <w:ind w:left="660" w:right="300" w:hanging="436"/>
        <w:spacing w:after="0" w:line="259" w:lineRule="auto"/>
        <w:tabs>
          <w:tab w:leader="none" w:pos="660" w:val="left"/>
        </w:tabs>
        <w:numPr>
          <w:ilvl w:val="1"/>
          <w:numId w:val="3"/>
        </w:numPr>
        <w:rPr>
          <w:rFonts w:ascii="Arial" w:cs="Arial" w:eastAsia="Arial" w:hAnsi="Arial"/>
          <w:sz w:val="18"/>
          <w:szCs w:val="18"/>
          <w:b w:val="1"/>
          <w:bCs w:val="1"/>
          <w:color w:val="auto"/>
        </w:rPr>
      </w:pPr>
      <w:r>
        <w:rPr>
          <w:rFonts w:ascii="Arial" w:cs="Arial" w:eastAsia="Arial" w:hAnsi="Arial"/>
          <w:sz w:val="18"/>
          <w:szCs w:val="18"/>
          <w:color w:val="auto"/>
        </w:rPr>
        <w:t>Expected annual payment of $1.26 per share in cash dividends over the course of the year, at an approximate cost of $615 million. The Company expects to spend up to $685 million on share repurchases. The amount of stock the Company repurchases will depend on a number of items, including any cash it may in the future decide to use to accelerate debt repayment or to increase its business acquisitions and investments beyond budgeted levels. Each dividend must be separately declared by the Board.</w:t>
      </w:r>
    </w:p>
    <w:p>
      <w:pPr>
        <w:spacing w:after="0" w:line="348" w:lineRule="exact"/>
        <w:rPr>
          <w:rFonts w:ascii="Arial" w:cs="Arial" w:eastAsia="Arial" w:hAnsi="Arial"/>
          <w:sz w:val="18"/>
          <w:szCs w:val="18"/>
          <w:b w:val="1"/>
          <w:bCs w:val="1"/>
          <w:color w:val="auto"/>
        </w:rPr>
      </w:pPr>
    </w:p>
    <w:p>
      <w:pPr>
        <w:ind w:left="460" w:right="800" w:hanging="452"/>
        <w:spacing w:after="0" w:line="277"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 purposes of this press release, all references to “Net income” refers to the financial statement line item “Net income attributable to Waste Management, Inc.”</w:t>
      </w:r>
    </w:p>
    <w:p>
      <w:pPr>
        <w:spacing w:after="0" w:line="21" w:lineRule="exact"/>
        <w:rPr>
          <w:rFonts w:ascii="Arial" w:cs="Arial" w:eastAsia="Arial" w:hAnsi="Arial"/>
          <w:sz w:val="18"/>
          <w:szCs w:val="18"/>
          <w:color w:val="auto"/>
        </w:rPr>
      </w:pPr>
    </w:p>
    <w:p>
      <w:pPr>
        <w:ind w:left="460" w:right="240" w:hanging="452"/>
        <w:spacing w:after="0" w:line="277"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This earnings release contains a discussion of non-GAAP measures, as defined in Regulation G of the Securities Exchange Act of 1934, as amended. The Company reports its financial results in compliance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-662305</wp:posOffset>
            </wp:positionV>
            <wp:extent cx="13036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0365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363855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7" w:name="page8"/>
    <w:bookmarkEnd w:id="7"/>
    <w:p>
      <w:pPr>
        <w:ind w:left="460" w:right="80"/>
        <w:spacing w:after="0" w:line="302" w:lineRule="auto"/>
        <w:rPr>
          <w:sz w:val="20"/>
          <w:szCs w:val="20"/>
          <w:color w:val="auto"/>
        </w:rPr>
      </w:pPr>
      <w:r>
        <w:rPr>
          <w:rFonts w:ascii="Arial" w:cs="Arial" w:eastAsia="Arial" w:hAnsi="Arial"/>
          <w:sz w:val="16"/>
          <w:szCs w:val="16"/>
          <w:color w:val="auto"/>
        </w:rPr>
        <w:t>GAAP, but believes that also discussing non-GAAP measures provides investors with (i) additional, meaningful comparisons of current results to prior periods’ results by excluding items that the Company does not believe reflect its fundamental business performance and (ii) financial measures the Company uses in the management of its business. The Company has adjusted net income, earnings per diluted share, projected earnings per diluted share and effective tax rate in this press release to exclude the impact of certain unusual, non-recurring or otherwise non-operational items.</w:t>
      </w:r>
    </w:p>
    <w:p>
      <w:pPr>
        <w:spacing w:after="0" w:line="46" w:lineRule="exact"/>
        <w:rPr>
          <w:sz w:val="20"/>
          <w:szCs w:val="20"/>
          <w:color w:val="auto"/>
        </w:rPr>
      </w:pPr>
    </w:p>
    <w:p>
      <w:pPr>
        <w:ind w:left="460" w:right="120"/>
        <w:spacing w:after="0" w:line="257" w:lineRule="auto"/>
        <w:rPr>
          <w:sz w:val="20"/>
          <w:szCs w:val="20"/>
          <w:color w:val="auto"/>
        </w:rPr>
      </w:pPr>
      <w:r>
        <w:rPr>
          <w:rFonts w:ascii="Arial" w:cs="Arial" w:eastAsia="Arial" w:hAnsi="Arial"/>
          <w:sz w:val="18"/>
          <w:szCs w:val="18"/>
          <w:color w:val="auto"/>
        </w:rPr>
        <w:t>The Company also discusses free cash flow and projected free cash flow, each of which is a non-GAAP measure, because it believes that investors are interested in the cash produced by the Company from non-financing activities that is available for uses such as the Company’s acquisitions, its share repurchase program, and the payment of dividends. However, free cash flow has material limitations, as it does not represent cash flow available for discretionary expenditures because it excludes certain expenditures that we have committed to such as debt service obligations. The Company defines free cash flow as:</w:t>
      </w:r>
    </w:p>
    <w:p>
      <w:pPr>
        <w:spacing w:after="0" w:line="80" w:lineRule="exact"/>
        <w:rPr>
          <w:sz w:val="20"/>
          <w:szCs w:val="20"/>
          <w:color w:val="auto"/>
        </w:rPr>
      </w:pPr>
    </w:p>
    <w:p>
      <w:pPr>
        <w:ind w:left="900" w:hanging="446"/>
        <w:spacing w:after="0"/>
        <w:tabs>
          <w:tab w:leader="none" w:pos="90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Net cash provided by operating activities</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Less, capital expenditures</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Plus, proceeds from divestitures of businesses, net of cash divested, and other sales of assets.</w:t>
      </w:r>
    </w:p>
    <w:p>
      <w:pPr>
        <w:spacing w:after="0" w:line="117"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color w:val="auto"/>
        </w:rPr>
        <w:t>The Company’s definition of free cash flow may not be comparable to similarly titled measures presented by other companies, and therefore not subject to comparison.</w:t>
      </w:r>
    </w:p>
    <w:p>
      <w:pPr>
        <w:spacing w:after="0" w:line="62" w:lineRule="exact"/>
        <w:rPr>
          <w:sz w:val="20"/>
          <w:szCs w:val="20"/>
          <w:color w:val="auto"/>
        </w:rPr>
      </w:pPr>
    </w:p>
    <w:p>
      <w:pPr>
        <w:ind w:left="460" w:right="340"/>
        <w:spacing w:after="0" w:line="264" w:lineRule="auto"/>
        <w:rPr>
          <w:sz w:val="20"/>
          <w:szCs w:val="20"/>
          <w:color w:val="auto"/>
        </w:rPr>
      </w:pPr>
      <w:r>
        <w:rPr>
          <w:rFonts w:ascii="Arial" w:cs="Arial" w:eastAsia="Arial" w:hAnsi="Arial"/>
          <w:sz w:val="18"/>
          <w:szCs w:val="18"/>
          <w:color w:val="auto"/>
        </w:rPr>
        <w:t>The quantitative reconciliations of each of the non-GAAP measures presented herein other than projected earnings per diluted share to the most comparable GAAP measures are included in the accompanying schedules. Investors are urged to take into account GAAP measures as well as non-GAAP measures in evaluating the Company.</w:t>
      </w:r>
    </w:p>
    <w:p>
      <w:pPr>
        <w:spacing w:after="0" w:line="73" w:lineRule="exact"/>
        <w:rPr>
          <w:sz w:val="20"/>
          <w:szCs w:val="20"/>
          <w:color w:val="auto"/>
        </w:rPr>
      </w:pPr>
    </w:p>
    <w:p>
      <w:pPr>
        <w:ind w:left="460" w:right="40"/>
        <w:spacing w:after="0" w:line="254" w:lineRule="auto"/>
        <w:rPr>
          <w:sz w:val="20"/>
          <w:szCs w:val="20"/>
          <w:color w:val="auto"/>
        </w:rPr>
      </w:pPr>
      <w:r>
        <w:rPr>
          <w:rFonts w:ascii="Arial" w:cs="Arial" w:eastAsia="Arial" w:hAnsi="Arial"/>
          <w:sz w:val="18"/>
          <w:szCs w:val="18"/>
          <w:color w:val="auto"/>
        </w:rPr>
        <w:t>The Company’s full year earnings projection of $2.09 to $2.13 per diluted share excludes the effects of any events or circumstances in 2010 that management deems to be unusual items or that management believes are not representative or indicative of our results of operations. GAAP net earnings per diluted share for 2010 may include items that are not currently determinable, but may be significant, such as asset impairment and unusual items, charges, gains or losses from divestitures, resolution of income tax items or other items. The full year 2010 adjusted projected earnings announced today excludes the impact of any such items that may occur. GAAP net earnings per diluted share projected for the full year would require inclusion of the projected impact of these items. Due to the uncertainty of the likelihood, amount and timing of any such items, we do not believe we have the information available to provide projected full year GAAP net earnings per diluted share and the quantitative reconciliation to our current adjusted earning per diluted share projection.</w:t>
      </w:r>
    </w:p>
    <w:p>
      <w:pPr>
        <w:spacing w:after="0" w:line="84"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 xml:space="preserve">The Company has scheduled an investor and analyst conference call for later this morning to discuss the results of today’s earnings announcement. The information in this press release should be read in conjunction with the information on the conference call. The call will begin at 10:00 a.m. Eastern time and is open to the public. To listen to the conference call, which will be broadcast live over the Internet, go to the Waste Management Website at </w:t>
      </w:r>
      <w:r>
        <w:rPr>
          <w:rFonts w:ascii="Arial" w:cs="Arial" w:eastAsia="Arial" w:hAnsi="Arial"/>
          <w:sz w:val="18"/>
          <w:szCs w:val="18"/>
          <w:u w:val="single" w:color="auto"/>
          <w:color w:val="auto"/>
        </w:rPr>
        <w:t>http://www.wm.com</w:t>
      </w:r>
      <w:r>
        <w:rPr>
          <w:rFonts w:ascii="Arial" w:cs="Arial" w:eastAsia="Arial" w:hAnsi="Arial"/>
          <w:sz w:val="18"/>
          <w:szCs w:val="18"/>
          <w:color w:val="auto"/>
        </w:rPr>
        <w:t xml:space="preserve">, and select “Earnings Webcast.” You may also listen to the analyst conference call by telephone by contacting the conference call operator 5 to 10 minutes prior to the scheduled start time and asking for the “Waste Management Conference Call — Call ID 49511473.” US/Canada Dial-In Number: (877) 710-6139. Int’l/Local Dial-In Number: (706) 643-7398. For those unable to listen to the live call, a replay will be available 24 hours a day beginning at approximately 1:00 p.m. Eastern time on February 16th through 5:00 p.m. Eastern time on March 2nd. To hear a replay of the call over the Internet, access the Waste Management Website at </w:t>
      </w:r>
      <w:r>
        <w:rPr>
          <w:rFonts w:ascii="Arial" w:cs="Arial" w:eastAsia="Arial" w:hAnsi="Arial"/>
          <w:sz w:val="18"/>
          <w:szCs w:val="18"/>
          <w:u w:val="single" w:color="auto"/>
          <w:color w:val="auto"/>
        </w:rPr>
        <w:t>http://www.wm.com</w:t>
      </w:r>
      <w:r>
        <w:rPr>
          <w:rFonts w:ascii="Arial" w:cs="Arial" w:eastAsia="Arial" w:hAnsi="Arial"/>
          <w:sz w:val="18"/>
          <w:szCs w:val="18"/>
          <w:color w:val="auto"/>
        </w:rPr>
        <w:t>. To hear a telephonic replay of the call, dial (800) 642-1687 or (706) 645-9291 and enter reservation code 49511473.</w:t>
      </w:r>
    </w:p>
    <w:p>
      <w:pPr>
        <w:spacing w:after="0" w:line="8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Waste Management, Inc., based in Houston, Texas, is the leading provider of comprehensive waste management services in North America. Through its subsidiaries, the Company provides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8" w:name="page9"/>
    <w:bookmarkEnd w:id="8"/>
    <w:p>
      <w:pPr>
        <w:spacing w:after="0" w:line="264" w:lineRule="auto"/>
        <w:rPr>
          <w:sz w:val="20"/>
          <w:szCs w:val="20"/>
          <w:color w:val="auto"/>
        </w:rPr>
      </w:pPr>
      <w:r>
        <w:rPr>
          <w:rFonts w:ascii="Arial" w:cs="Arial" w:eastAsia="Arial" w:hAnsi="Arial"/>
          <w:sz w:val="18"/>
          <w:szCs w:val="18"/>
          <w:color w:val="auto"/>
        </w:rPr>
        <w:t>collection, transfer, recycling and resource recovery, and disposal services. It is also a leading developer, operator and owner of waste-to-energy and landfill gas-to-energy facilities in the United States. The Company’s customers include residential, commercial, industrial, and municipal customers throughout North America.</w:t>
      </w:r>
    </w:p>
    <w:p>
      <w:pPr>
        <w:spacing w:after="0" w:line="73"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i w:val="1"/>
          <w:iCs w:val="1"/>
          <w:color w:val="auto"/>
        </w:rPr>
        <w:t>The Company, from time to time, provides estimates of financial and other data, comments on expectations relating to future periods and makes statements of opinion, view or belief about current and future events. Statements relating to future events and performance are “forward-looking statements.” The forward-looking statements that the Company makes are the Company’s expectations, opinion, view or belief at the point in time of issuance but may change at some future point in time. By issuing estimates or making statements based on current expectations, opinions, views or beliefs, the Company has no obligation, and is not undertaking any obligation, to update such estimates or statements or to provide any other information relating to such estimates or statements. Outlined below are some of the risks that the Company faces and that could affect our financial statements for 2010 and beyond and that could cause actual results to be materially different from those that may be set forth in forward-looking statements made by the Company. We caution you not to place undue reliance on any forward-looking statements, which speak only as of their dates. The following are some of the risks that we face:</w:t>
      </w:r>
    </w:p>
    <w:p>
      <w:pPr>
        <w:spacing w:after="0" w:line="58" w:lineRule="exact"/>
        <w:rPr>
          <w:sz w:val="20"/>
          <w:szCs w:val="20"/>
          <w:color w:val="auto"/>
        </w:rPr>
      </w:pPr>
    </w:p>
    <w:p>
      <w:pPr>
        <w:ind w:left="660" w:right="320" w:hanging="436"/>
        <w:spacing w:after="0" w:line="277" w:lineRule="auto"/>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i w:val="1"/>
          <w:iCs w:val="1"/>
          <w:color w:val="auto"/>
        </w:rPr>
        <w:t>volatility and deterioration in the credit markets, inflation and other general and local economic conditions may negatively affect the volumes of waste generated;</w:t>
      </w:r>
    </w:p>
    <w:p>
      <w:pPr>
        <w:spacing w:after="0" w:line="75" w:lineRule="exact"/>
        <w:rPr>
          <w:rFonts w:ascii="Arial" w:cs="Arial" w:eastAsia="Arial" w:hAnsi="Arial"/>
          <w:sz w:val="18"/>
          <w:szCs w:val="18"/>
          <w:b w:val="1"/>
          <w:bCs w:val="1"/>
          <w:color w:val="auto"/>
        </w:rPr>
      </w:pPr>
    </w:p>
    <w:p>
      <w:pPr>
        <w:ind w:left="660" w:right="180" w:hanging="436"/>
        <w:spacing w:after="0" w:line="264" w:lineRule="auto"/>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i w:val="1"/>
          <w:iCs w:val="1"/>
          <w:color w:val="auto"/>
        </w:rPr>
        <w:t>economic conditions may negatively affect parties with whom we do business, which could result in late payments or the uncollectability of receivables as well as the non-performance of certain agreements, including expected funding under our credit agreement, which could negatively impact our liquidity and results of operations;</w:t>
      </w:r>
    </w:p>
    <w:p>
      <w:pPr>
        <w:spacing w:after="0" w:line="86" w:lineRule="exact"/>
        <w:rPr>
          <w:rFonts w:ascii="Arial" w:cs="Arial" w:eastAsia="Arial" w:hAnsi="Arial"/>
          <w:sz w:val="18"/>
          <w:szCs w:val="18"/>
          <w:b w:val="1"/>
          <w:bCs w:val="1"/>
          <w:color w:val="auto"/>
        </w:rPr>
      </w:pPr>
    </w:p>
    <w:p>
      <w:pPr>
        <w:ind w:left="660" w:right="20" w:hanging="436"/>
        <w:spacing w:after="0" w:line="342" w:lineRule="auto"/>
        <w:tabs>
          <w:tab w:leader="none" w:pos="660" w:val="left"/>
        </w:tabs>
        <w:numPr>
          <w:ilvl w:val="0"/>
          <w:numId w:val="5"/>
        </w:numPr>
        <w:rPr>
          <w:rFonts w:ascii="Arial" w:cs="Arial" w:eastAsia="Arial" w:hAnsi="Arial"/>
          <w:sz w:val="16"/>
          <w:szCs w:val="16"/>
          <w:b w:val="1"/>
          <w:bCs w:val="1"/>
          <w:color w:val="auto"/>
        </w:rPr>
      </w:pPr>
      <w:r>
        <w:rPr>
          <w:rFonts w:ascii="Arial" w:cs="Arial" w:eastAsia="Arial" w:hAnsi="Arial"/>
          <w:sz w:val="16"/>
          <w:szCs w:val="16"/>
          <w:i w:val="1"/>
          <w:iCs w:val="1"/>
          <w:color w:val="auto"/>
        </w:rPr>
        <w:t>competition may negatively affect our profitability or cash flows, our price increases may have negative effects on volumes, and price roll-backs and lower than average pricing to retain and attract customers may negatively affect our average yield on collection and disposal business;</w:t>
      </w:r>
    </w:p>
    <w:p>
      <w:pPr>
        <w:spacing w:after="0" w:line="29" w:lineRule="exact"/>
        <w:rPr>
          <w:rFonts w:ascii="Arial" w:cs="Arial" w:eastAsia="Arial" w:hAnsi="Arial"/>
          <w:sz w:val="16"/>
          <w:szCs w:val="16"/>
          <w:b w:val="1"/>
          <w:bCs w:val="1"/>
          <w:color w:val="auto"/>
        </w:rPr>
      </w:pPr>
    </w:p>
    <w:p>
      <w:pPr>
        <w:ind w:left="660" w:hanging="436"/>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i w:val="1"/>
          <w:iCs w:val="1"/>
          <w:color w:val="auto"/>
        </w:rPr>
        <w:t>we may be unable to maintain or expand margins if we are unable to control costs or raise prices;</w:t>
      </w:r>
    </w:p>
    <w:p>
      <w:pPr>
        <w:spacing w:after="0" w:line="130" w:lineRule="exact"/>
        <w:rPr>
          <w:rFonts w:ascii="Arial" w:cs="Arial" w:eastAsia="Arial" w:hAnsi="Arial"/>
          <w:sz w:val="18"/>
          <w:szCs w:val="18"/>
          <w:b w:val="1"/>
          <w:bCs w:val="1"/>
          <w:color w:val="auto"/>
        </w:rPr>
      </w:pPr>
    </w:p>
    <w:p>
      <w:pPr>
        <w:ind w:left="660" w:right="40" w:hanging="436"/>
        <w:spacing w:after="0" w:line="264" w:lineRule="auto"/>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i w:val="1"/>
          <w:iCs w:val="1"/>
          <w:color w:val="auto"/>
        </w:rPr>
        <w:t>we may not be able to successfully execute or continue our operational or other margin improvement plans and programs, including: pricing increases; passing on increased costs to our customers; reducing costs; and divesting under-performing assets and purchasing accretive businesses, any failures of which could negatively affect our revenues and margins;</w:t>
      </w:r>
    </w:p>
    <w:p>
      <w:pPr>
        <w:spacing w:after="0" w:line="86" w:lineRule="exact"/>
        <w:rPr>
          <w:rFonts w:ascii="Arial" w:cs="Arial" w:eastAsia="Arial" w:hAnsi="Arial"/>
          <w:sz w:val="18"/>
          <w:szCs w:val="18"/>
          <w:b w:val="1"/>
          <w:bCs w:val="1"/>
          <w:color w:val="auto"/>
        </w:rPr>
      </w:pPr>
    </w:p>
    <w:p>
      <w:pPr>
        <w:ind w:left="660" w:right="80" w:hanging="436"/>
        <w:spacing w:after="0" w:line="277" w:lineRule="auto"/>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i w:val="1"/>
          <w:iCs w:val="1"/>
          <w:color w:val="auto"/>
        </w:rPr>
        <w:t>weather conditions cause our quarter-to-quarter results to fluctuate, and harsh weather or natural disasters may cause us to temporarily shut down operations;</w:t>
      </w:r>
    </w:p>
    <w:p>
      <w:pPr>
        <w:spacing w:after="0" w:line="75" w:lineRule="exact"/>
        <w:rPr>
          <w:rFonts w:ascii="Arial" w:cs="Arial" w:eastAsia="Arial" w:hAnsi="Arial"/>
          <w:sz w:val="18"/>
          <w:szCs w:val="18"/>
          <w:b w:val="1"/>
          <w:bCs w:val="1"/>
          <w:color w:val="auto"/>
        </w:rPr>
      </w:pPr>
    </w:p>
    <w:p>
      <w:pPr>
        <w:ind w:left="660" w:right="280" w:hanging="436"/>
        <w:spacing w:after="0" w:line="277" w:lineRule="auto"/>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i w:val="1"/>
          <w:iCs w:val="1"/>
          <w:color w:val="auto"/>
        </w:rPr>
        <w:t>possible changes in our estimates of costs for site remediation requirements, final capping, closure and post-closure obligations, compliance and regulatory developments may increase our expenses;</w:t>
      </w:r>
    </w:p>
    <w:p>
      <w:pPr>
        <w:spacing w:after="0" w:line="75" w:lineRule="exact"/>
        <w:rPr>
          <w:rFonts w:ascii="Arial" w:cs="Arial" w:eastAsia="Arial" w:hAnsi="Arial"/>
          <w:sz w:val="18"/>
          <w:szCs w:val="18"/>
          <w:b w:val="1"/>
          <w:bCs w:val="1"/>
          <w:color w:val="auto"/>
        </w:rPr>
      </w:pPr>
    </w:p>
    <w:p>
      <w:pPr>
        <w:ind w:left="660" w:right="500" w:hanging="436"/>
        <w:spacing w:after="0" w:line="277" w:lineRule="auto"/>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i w:val="1"/>
          <w:iCs w:val="1"/>
          <w:color w:val="auto"/>
        </w:rPr>
        <w:t>regulations may negatively impact our business by, among other things, restricting our operations, increasing costs of operations or requiring additional capital expenditures;</w:t>
      </w:r>
    </w:p>
    <w:p>
      <w:pPr>
        <w:spacing w:after="0" w:line="75" w:lineRule="exact"/>
        <w:rPr>
          <w:rFonts w:ascii="Arial" w:cs="Arial" w:eastAsia="Arial" w:hAnsi="Arial"/>
          <w:sz w:val="18"/>
          <w:szCs w:val="18"/>
          <w:b w:val="1"/>
          <w:bCs w:val="1"/>
          <w:color w:val="auto"/>
        </w:rPr>
      </w:pPr>
    </w:p>
    <w:p>
      <w:pPr>
        <w:ind w:left="660" w:right="240" w:hanging="436"/>
        <w:spacing w:after="0" w:line="264" w:lineRule="auto"/>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i w:val="1"/>
          <w:iCs w:val="1"/>
          <w:color w:val="auto"/>
        </w:rPr>
        <w:t>climate change legislation, including possible limits on carbon emissions, may negatively impact our results of operations by increasing expenses related to tracking, measuring and reporting our greenhouse gas emissions and increasing operating costs and capital expenditures that may be required to comply with any such legislation;</w:t>
      </w:r>
    </w:p>
    <w:p>
      <w:pPr>
        <w:spacing w:after="0" w:line="86" w:lineRule="exact"/>
        <w:rPr>
          <w:rFonts w:ascii="Arial" w:cs="Arial" w:eastAsia="Arial" w:hAnsi="Arial"/>
          <w:sz w:val="18"/>
          <w:szCs w:val="18"/>
          <w:b w:val="1"/>
          <w:bCs w:val="1"/>
          <w:color w:val="auto"/>
        </w:rPr>
      </w:pPr>
    </w:p>
    <w:p>
      <w:pPr>
        <w:ind w:left="660" w:right="260" w:hanging="436"/>
        <w:spacing w:after="0" w:line="277" w:lineRule="auto"/>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i w:val="1"/>
          <w:iCs w:val="1"/>
          <w:color w:val="auto"/>
        </w:rPr>
        <w:t>if we are unable to obtain and maintain permits needed to open, operate, and/or expand our facilities, our results of operations will be negatively impacted;</w:t>
      </w:r>
    </w:p>
    <w:p>
      <w:pPr>
        <w:spacing w:after="0" w:line="75" w:lineRule="exact"/>
        <w:rPr>
          <w:rFonts w:ascii="Arial" w:cs="Arial" w:eastAsia="Arial" w:hAnsi="Arial"/>
          <w:sz w:val="18"/>
          <w:szCs w:val="18"/>
          <w:b w:val="1"/>
          <w:bCs w:val="1"/>
          <w:color w:val="auto"/>
        </w:rPr>
      </w:pPr>
    </w:p>
    <w:p>
      <w:pPr>
        <w:ind w:left="660" w:right="60" w:hanging="436"/>
        <w:spacing w:after="0" w:line="277" w:lineRule="auto"/>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i w:val="1"/>
          <w:iCs w:val="1"/>
          <w:color w:val="auto"/>
        </w:rPr>
        <w:t>limitations or bans on disposal or transportation of out-of-state, cross-border, or certain categories of waste, as well as mandates on the disposal of waste, can increase our expenses and reduce our revenue;</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i w:val="1"/>
          <w:iCs w:val="1"/>
          <w:color w:val="auto"/>
        </w:rPr>
        <w:t>fuel price increases or fuel supply shortages may increase our expenses or restrict our ability to operate;</w:t>
      </w:r>
    </w:p>
    <w:p>
      <w:pPr>
        <w:spacing w:after="0" w:line="130" w:lineRule="exact"/>
        <w:rPr>
          <w:rFonts w:ascii="Arial" w:cs="Arial" w:eastAsia="Arial" w:hAnsi="Arial"/>
          <w:sz w:val="18"/>
          <w:szCs w:val="18"/>
          <w:b w:val="1"/>
          <w:bCs w:val="1"/>
          <w:color w:val="auto"/>
        </w:rPr>
      </w:pPr>
    </w:p>
    <w:p>
      <w:pPr>
        <w:ind w:left="660" w:hanging="436"/>
        <w:spacing w:after="0" w:line="277" w:lineRule="auto"/>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i w:val="1"/>
          <w:iCs w:val="1"/>
          <w:color w:val="auto"/>
        </w:rPr>
        <w:t>increased costs or the inability to obtain financial assurance or the inadequacy of our insurance coverages could negatively impact our liquidity and increase our liabilities;</w:t>
      </w:r>
    </w:p>
    <w:p>
      <w:pPr>
        <w:spacing w:after="0" w:line="75" w:lineRule="exact"/>
        <w:rPr>
          <w:rFonts w:ascii="Arial" w:cs="Arial" w:eastAsia="Arial" w:hAnsi="Arial"/>
          <w:sz w:val="18"/>
          <w:szCs w:val="18"/>
          <w:b w:val="1"/>
          <w:bCs w:val="1"/>
          <w:color w:val="auto"/>
        </w:rPr>
      </w:pPr>
    </w:p>
    <w:p>
      <w:pPr>
        <w:ind w:left="660" w:right="680" w:hanging="436"/>
        <w:spacing w:after="0" w:line="277" w:lineRule="auto"/>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i w:val="1"/>
          <w:iCs w:val="1"/>
          <w:color w:val="auto"/>
        </w:rPr>
        <w:t>possible charges as a result of shut-down operations, uncompleted development or expansion projects or other events may negatively affect earnings;</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i w:val="1"/>
          <w:iCs w:val="1"/>
          <w:color w:val="auto"/>
        </w:rPr>
        <w:t>fluctuations in commodity prices may have negative effects on our operating results;</w:t>
      </w:r>
    </w:p>
    <w:p>
      <w:pPr>
        <w:spacing w:after="0" w:line="130" w:lineRule="exact"/>
        <w:rPr>
          <w:rFonts w:ascii="Arial" w:cs="Arial" w:eastAsia="Arial" w:hAnsi="Arial"/>
          <w:sz w:val="18"/>
          <w:szCs w:val="18"/>
          <w:b w:val="1"/>
          <w:bCs w:val="1"/>
          <w:color w:val="auto"/>
        </w:rPr>
      </w:pPr>
    </w:p>
    <w:p>
      <w:pPr>
        <w:ind w:left="660" w:right="580" w:hanging="436"/>
        <w:spacing w:after="0" w:line="277" w:lineRule="auto"/>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i w:val="1"/>
          <w:iCs w:val="1"/>
          <w:color w:val="auto"/>
        </w:rPr>
        <w:t>trends requiring recycling, waste reduction at the source and prohibiting the disposal of certain types of waste could have negative effects on volumes of waste going to landfills and waste-to-energy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9" w:name="page10"/>
    <w:bookmarkEnd w:id="9"/>
    <w:p>
      <w:pPr>
        <w:ind w:left="660" w:right="160" w:hanging="436"/>
        <w:spacing w:after="0" w:line="264" w:lineRule="auto"/>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i w:val="1"/>
          <w:iCs w:val="1"/>
          <w:color w:val="auto"/>
        </w:rPr>
        <w:t>efforts by labor unions to organize our employees may increase operating expenses and we may be unable to negotiate acceptable collective bargaining agreements with those who have chosen to be represented by unions, which could lead to labor disruptions, including strikes and lock-outs, which could adversely affect our results of operations and cash flows;</w:t>
      </w:r>
    </w:p>
    <w:p>
      <w:pPr>
        <w:spacing w:after="0" w:line="86" w:lineRule="exact"/>
        <w:rPr>
          <w:rFonts w:ascii="Arial" w:cs="Arial" w:eastAsia="Arial" w:hAnsi="Arial"/>
          <w:sz w:val="18"/>
          <w:szCs w:val="18"/>
          <w:b w:val="1"/>
          <w:bCs w:val="1"/>
          <w:color w:val="auto"/>
        </w:rPr>
      </w:pPr>
    </w:p>
    <w:p>
      <w:pPr>
        <w:ind w:left="660" w:right="100" w:hanging="436"/>
        <w:spacing w:after="0" w:line="277" w:lineRule="auto"/>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i w:val="1"/>
          <w:iCs w:val="1"/>
          <w:color w:val="auto"/>
        </w:rPr>
        <w:t>negative outcomes of litigation or threatened litigation or governmental proceedings may increase our costs, limit our ability to conduct or expand our operations, or limit our ability to execute our business plans and strategies;</w:t>
      </w:r>
    </w:p>
    <w:p>
      <w:pPr>
        <w:spacing w:after="0" w:line="75" w:lineRule="exact"/>
        <w:rPr>
          <w:rFonts w:ascii="Arial" w:cs="Arial" w:eastAsia="Arial" w:hAnsi="Arial"/>
          <w:sz w:val="18"/>
          <w:szCs w:val="18"/>
          <w:b w:val="1"/>
          <w:bCs w:val="1"/>
          <w:color w:val="auto"/>
        </w:rPr>
      </w:pPr>
    </w:p>
    <w:p>
      <w:pPr>
        <w:ind w:left="660" w:right="140" w:hanging="436"/>
        <w:spacing w:after="0" w:line="277" w:lineRule="auto"/>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i w:val="1"/>
          <w:iCs w:val="1"/>
          <w:color w:val="auto"/>
        </w:rPr>
        <w:t>problems with the operation of our current information technology or the development and deployment of new information systems could decrease our efficiencies and increase our costs;</w:t>
      </w:r>
    </w:p>
    <w:p>
      <w:pPr>
        <w:spacing w:after="0" w:line="75" w:lineRule="exact"/>
        <w:rPr>
          <w:rFonts w:ascii="Arial" w:cs="Arial" w:eastAsia="Arial" w:hAnsi="Arial"/>
          <w:sz w:val="18"/>
          <w:szCs w:val="18"/>
          <w:b w:val="1"/>
          <w:bCs w:val="1"/>
          <w:color w:val="auto"/>
        </w:rPr>
      </w:pPr>
    </w:p>
    <w:p>
      <w:pPr>
        <w:ind w:left="660" w:right="120" w:hanging="436"/>
        <w:spacing w:after="0" w:line="277" w:lineRule="auto"/>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i w:val="1"/>
          <w:iCs w:val="1"/>
          <w:color w:val="auto"/>
        </w:rPr>
        <w:t>the adoption of new accounting standards or interpretations may cause fluctuations in reported quarterly results of operations or adversely impact our reported results of operations; and</w:t>
      </w:r>
    </w:p>
    <w:p>
      <w:pPr>
        <w:spacing w:after="0" w:line="75" w:lineRule="exact"/>
        <w:rPr>
          <w:rFonts w:ascii="Arial" w:cs="Arial" w:eastAsia="Arial" w:hAnsi="Arial"/>
          <w:sz w:val="18"/>
          <w:szCs w:val="18"/>
          <w:b w:val="1"/>
          <w:bCs w:val="1"/>
          <w:color w:val="auto"/>
        </w:rPr>
      </w:pPr>
    </w:p>
    <w:p>
      <w:pPr>
        <w:ind w:left="660" w:right="40" w:hanging="436"/>
        <w:spacing w:after="0" w:line="264" w:lineRule="auto"/>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i w:val="1"/>
          <w:iCs w:val="1"/>
          <w:color w:val="auto"/>
        </w:rPr>
        <w:t>we may reduce or permanently eliminate our dividend or share repurchase program, reduce capital spending or cease acquisitions if cash flows are less than we expect and we are not able to obtain capital needed to refinance our debt obligations, including near-term maturities, on acceptable terms and higher interest rates and market conditions may increase our expenses.</w:t>
      </w:r>
    </w:p>
    <w:p>
      <w:pPr>
        <w:spacing w:after="0" w:line="73" w:lineRule="exact"/>
        <w:rPr>
          <w:sz w:val="20"/>
          <w:szCs w:val="20"/>
          <w:color w:val="auto"/>
        </w:rPr>
      </w:pPr>
    </w:p>
    <w:p>
      <w:pPr>
        <w:spacing w:after="0" w:line="308" w:lineRule="auto"/>
        <w:rPr>
          <w:sz w:val="20"/>
          <w:szCs w:val="20"/>
          <w:color w:val="auto"/>
        </w:rPr>
      </w:pPr>
      <w:r>
        <w:rPr>
          <w:rFonts w:ascii="Arial" w:cs="Arial" w:eastAsia="Arial" w:hAnsi="Arial"/>
          <w:sz w:val="17"/>
          <w:szCs w:val="17"/>
          <w:i w:val="1"/>
          <w:iCs w:val="1"/>
          <w:color w:val="auto"/>
        </w:rPr>
        <w:t>Additional information regarding these and/or other factors that could materially affect results and the accuracy of the forward-looking statements contained herein may be found in Part I, Item 1 of the Company’s Annual Report on Form 10-K for the year ended December 31, 2008.</w:t>
      </w:r>
    </w:p>
    <w:p>
      <w:pPr>
        <w:spacing w:after="0" w:line="25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044" w:right="29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6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140" w:type="dxa"/>
            <w:vAlign w:val="bottom"/>
            <w:gridSpan w:val="7"/>
          </w:tcPr>
          <w:p>
            <w:pPr>
              <w:jc w:val="right"/>
              <w:ind w:right="200"/>
              <w:spacing w:after="0"/>
              <w:rPr>
                <w:sz w:val="20"/>
                <w:szCs w:val="20"/>
                <w:color w:val="auto"/>
              </w:rPr>
            </w:pPr>
            <w:r>
              <w:rPr>
                <w:rFonts w:ascii="Arial" w:cs="Arial" w:eastAsia="Arial" w:hAnsi="Arial"/>
                <w:sz w:val="14"/>
                <w:szCs w:val="14"/>
                <w:b w:val="1"/>
                <w:bCs w:val="1"/>
                <w:color w:val="auto"/>
                <w:w w:val="95"/>
              </w:rPr>
              <w:t>Quarters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2009</w:t>
            </w:r>
          </w:p>
        </w:tc>
        <w:tc>
          <w:tcPr>
            <w:tcW w:w="3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3,006</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3,108</w:t>
            </w:r>
          </w:p>
        </w:tc>
        <w:tc>
          <w:tcPr>
            <w:tcW w:w="0" w:type="dxa"/>
            <w:vAlign w:val="bottom"/>
          </w:tcPr>
          <w:p>
            <w:pPr>
              <w:spacing w:after="0"/>
              <w:rPr>
                <w:sz w:val="1"/>
                <w:szCs w:val="1"/>
                <w:color w:val="auto"/>
              </w:rPr>
            </w:pPr>
          </w:p>
        </w:tc>
      </w:tr>
      <w:tr>
        <w:trPr>
          <w:trHeight w:val="432"/>
        </w:trPr>
        <w:tc>
          <w:tcPr>
            <w:tcW w:w="7640" w:type="dxa"/>
            <w:vAlign w:val="bottom"/>
            <w:gridSpan w:val="2"/>
          </w:tcPr>
          <w:p>
            <w:pPr>
              <w:spacing w:after="0"/>
              <w:rPr>
                <w:sz w:val="20"/>
                <w:szCs w:val="20"/>
                <w:color w:val="auto"/>
              </w:rPr>
            </w:pPr>
            <w:r>
              <w:rPr>
                <w:rFonts w:ascii="Arial" w:cs="Arial" w:eastAsia="Arial" w:hAnsi="Arial"/>
                <w:sz w:val="18"/>
                <w:szCs w:val="18"/>
                <w:color w:val="auto"/>
              </w:rPr>
              <w:t>Costs and expenses:</w:t>
            </w:r>
          </w:p>
        </w:tc>
        <w:tc>
          <w:tcPr>
            <w:tcW w:w="1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1,874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365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274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200"/>
              <w:spacing w:after="0"/>
              <w:rPr>
                <w:sz w:val="20"/>
                <w:szCs w:val="20"/>
                <w:color w:val="auto"/>
              </w:rPr>
            </w:pPr>
            <w:r>
              <w:rPr>
                <w:rFonts w:ascii="Arial" w:cs="Arial" w:eastAsia="Arial" w:hAnsi="Arial"/>
                <w:sz w:val="18"/>
                <w:szCs w:val="18"/>
                <w:color w:val="auto"/>
              </w:rPr>
              <w:t>Restructuring</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4</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expense from divestitures, asset impairments and unusual items</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2,550</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456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439"/>
        </w:trPr>
        <w:tc>
          <w:tcPr>
            <w:tcW w:w="764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6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200"/>
              <w:spacing w:after="0"/>
              <w:rPr>
                <w:sz w:val="20"/>
                <w:szCs w:val="20"/>
                <w:color w:val="auto"/>
              </w:rPr>
            </w:pPr>
            <w:r>
              <w:rPr>
                <w:rFonts w:ascii="Arial" w:cs="Arial" w:eastAsia="Arial" w:hAnsi="Arial"/>
                <w:sz w:val="18"/>
                <w:szCs w:val="18"/>
                <w:color w:val="auto"/>
              </w:rPr>
              <w:t>Interest income</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3</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net</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6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347</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16</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Consolidated net income</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331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200"/>
              <w:spacing w:after="0"/>
              <w:rPr>
                <w:sz w:val="20"/>
                <w:szCs w:val="20"/>
                <w:color w:val="auto"/>
              </w:rPr>
            </w:pPr>
            <w:r>
              <w:rPr>
                <w:rFonts w:ascii="Arial" w:cs="Arial" w:eastAsia="Arial" w:hAnsi="Arial"/>
                <w:sz w:val="18"/>
                <w:szCs w:val="18"/>
                <w:color w:val="auto"/>
              </w:rPr>
              <w:t>Less : Net income attributable to noncontrolling interests</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(16)</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Waste Management, Inc.</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315</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0"/>
        </w:trPr>
        <w:tc>
          <w:tcPr>
            <w:tcW w:w="7640" w:type="dxa"/>
            <w:vAlign w:val="bottom"/>
            <w:gridSpan w:val="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640" w:type="dxa"/>
            <w:vAlign w:val="bottom"/>
            <w:gridSpan w:val="2"/>
          </w:tcPr>
          <w:p>
            <w:pPr>
              <w:spacing w:after="0"/>
              <w:rPr>
                <w:sz w:val="20"/>
                <w:szCs w:val="20"/>
                <w:color w:val="auto"/>
              </w:rPr>
            </w:pPr>
            <w:r>
              <w:rPr>
                <w:rFonts w:ascii="Arial" w:cs="Arial" w:eastAsia="Arial" w:hAnsi="Arial"/>
                <w:sz w:val="18"/>
                <w:szCs w:val="18"/>
                <w:color w:val="auto"/>
              </w:rPr>
              <w:t>Basic earnings per common share</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0.65</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6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0.64</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0"/>
        </w:trPr>
        <w:tc>
          <w:tcPr>
            <w:tcW w:w="7640" w:type="dxa"/>
            <w:vAlign w:val="bottom"/>
            <w:gridSpan w:val="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640" w:type="dxa"/>
            <w:vAlign w:val="bottom"/>
            <w:gridSpan w:val="2"/>
          </w:tcPr>
          <w:p>
            <w:pPr>
              <w:spacing w:after="0"/>
              <w:rPr>
                <w:sz w:val="20"/>
                <w:szCs w:val="20"/>
                <w:color w:val="auto"/>
              </w:rPr>
            </w:pPr>
            <w:r>
              <w:rPr>
                <w:rFonts w:ascii="Arial" w:cs="Arial" w:eastAsia="Arial" w:hAnsi="Arial"/>
                <w:sz w:val="18"/>
                <w:szCs w:val="18"/>
                <w:color w:val="auto"/>
              </w:rPr>
              <w:t>Basic common shares outstanding</w:t>
            </w:r>
          </w:p>
        </w:tc>
        <w:tc>
          <w:tcPr>
            <w:tcW w:w="1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488.5</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490.9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6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Diluted common shares outstanding</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491.6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493.4</w:t>
            </w:r>
          </w:p>
        </w:tc>
        <w:tc>
          <w:tcPr>
            <w:tcW w:w="0" w:type="dxa"/>
            <w:vAlign w:val="bottom"/>
          </w:tcPr>
          <w:p>
            <w:pPr>
              <w:spacing w:after="0"/>
              <w:rPr>
                <w:sz w:val="1"/>
                <w:szCs w:val="1"/>
                <w:color w:val="auto"/>
              </w:rPr>
            </w:pPr>
          </w:p>
        </w:tc>
      </w:tr>
      <w:tr>
        <w:trPr>
          <w:trHeight w:val="20"/>
        </w:trPr>
        <w:tc>
          <w:tcPr>
            <w:tcW w:w="7640" w:type="dxa"/>
            <w:vAlign w:val="bottom"/>
            <w:gridSpan w:val="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640" w:type="dxa"/>
            <w:vAlign w:val="bottom"/>
            <w:gridSpan w:val="2"/>
          </w:tcPr>
          <w:p>
            <w:pPr>
              <w:spacing w:after="0"/>
              <w:rPr>
                <w:sz w:val="20"/>
                <w:szCs w:val="20"/>
                <w:color w:val="auto"/>
              </w:rPr>
            </w:pPr>
            <w:r>
              <w:rPr>
                <w:rFonts w:ascii="Arial" w:cs="Arial" w:eastAsia="Arial" w:hAnsi="Arial"/>
                <w:sz w:val="18"/>
                <w:szCs w:val="18"/>
                <w:color w:val="auto"/>
              </w:rPr>
              <w:t>Cash dividends declared per common share</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0.29</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0"/>
        </w:trPr>
        <w:tc>
          <w:tcPr>
            <w:tcW w:w="7640" w:type="dxa"/>
            <w:vAlign w:val="bottom"/>
            <w:gridSpan w:val="2"/>
            <w:vMerge w:val="restart"/>
          </w:tcPr>
          <w:p>
            <w:pPr>
              <w:spacing w:after="0"/>
              <w:rPr>
                <w:sz w:val="20"/>
                <w:szCs w:val="20"/>
                <w:color w:val="auto"/>
              </w:rPr>
            </w:pPr>
            <w:r>
              <w:rPr>
                <w:rFonts w:ascii="Arial" w:cs="Arial" w:eastAsia="Arial" w:hAnsi="Arial"/>
                <w:sz w:val="18"/>
                <w:szCs w:val="18"/>
                <w:color w:val="auto"/>
              </w:rPr>
              <w:t>Note: Prior year information has been reclassified to conform to 2009 presentation.</w:t>
            </w:r>
          </w:p>
        </w:tc>
        <w:tc>
          <w:tcPr>
            <w:tcW w:w="1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640" w:type="dxa"/>
            <w:vAlign w:val="bottom"/>
            <w:gridSpan w:val="2"/>
            <w:vMerge w:val="continue"/>
          </w:tcPr>
          <w:p>
            <w:pPr>
              <w:spacing w:after="0"/>
              <w:rPr>
                <w:sz w:val="24"/>
                <w:szCs w:val="24"/>
                <w:color w:val="auto"/>
              </w:rPr>
            </w:pPr>
          </w:p>
        </w:tc>
        <w:tc>
          <w:tcPr>
            <w:tcW w:w="1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7640" w:type="dxa"/>
            <w:vAlign w:val="bottom"/>
            <w:gridSpan w:val="2"/>
          </w:tcPr>
          <w:p>
            <w:pPr>
              <w:ind w:left="5600"/>
              <w:spacing w:after="0"/>
              <w:rPr>
                <w:sz w:val="20"/>
                <w:szCs w:val="20"/>
                <w:color w:val="auto"/>
              </w:rPr>
            </w:pPr>
            <w:r>
              <w:rPr>
                <w:rFonts w:ascii="Arial" w:cs="Arial" w:eastAsia="Arial" w:hAnsi="Arial"/>
                <w:sz w:val="18"/>
                <w:szCs w:val="18"/>
                <w:color w:val="auto"/>
              </w:rPr>
              <w:t>(1)</w:t>
            </w:r>
          </w:p>
        </w:tc>
        <w:tc>
          <w:tcPr>
            <w:tcW w:w="1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620" w:type="dxa"/>
            <w:vAlign w:val="bottom"/>
            <w:tcBorders>
              <w:bottom w:val="single" w:sz="8" w:color="808080"/>
            </w:tcBorders>
          </w:tcPr>
          <w:p>
            <w:pPr>
              <w:spacing w:after="0"/>
              <w:rPr>
                <w:sz w:val="19"/>
                <w:szCs w:val="19"/>
                <w:color w:val="auto"/>
              </w:rPr>
            </w:pPr>
          </w:p>
        </w:tc>
        <w:tc>
          <w:tcPr>
            <w:tcW w:w="16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Earnings Per Share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p>
      <w:pPr>
        <w:jc w:val="center"/>
        <w:ind w:left="9160"/>
        <w:spacing w:after="0"/>
        <w:rPr>
          <w:sz w:val="20"/>
          <w:szCs w:val="20"/>
          <w:color w:val="auto"/>
        </w:rPr>
      </w:pPr>
      <w:r>
        <w:rPr>
          <w:rFonts w:ascii="Arial" w:cs="Arial" w:eastAsia="Arial" w:hAnsi="Arial"/>
          <w:sz w:val="14"/>
          <w:szCs w:val="14"/>
          <w:b w:val="1"/>
          <w:bCs w:val="1"/>
          <w:color w:val="auto"/>
        </w:rPr>
        <w:t>Quarters Ended</w:t>
      </w:r>
    </w:p>
    <w:p>
      <w:pPr>
        <w:jc w:val="center"/>
        <w:ind w:left="916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80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2009</w:t>
            </w:r>
          </w:p>
        </w:tc>
        <w:tc>
          <w:tcPr>
            <w:tcW w:w="3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EPS Calculation:</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040" w:type="dxa"/>
            <w:vAlign w:val="bottom"/>
            <w:gridSpan w:val="2"/>
          </w:tcPr>
          <w:p>
            <w:pPr>
              <w:spacing w:after="0"/>
              <w:rPr>
                <w:sz w:val="20"/>
                <w:szCs w:val="20"/>
                <w:color w:val="auto"/>
              </w:rPr>
            </w:pPr>
            <w:r>
              <w:rPr>
                <w:rFonts w:ascii="Arial" w:cs="Arial" w:eastAsia="Arial" w:hAnsi="Arial"/>
                <w:sz w:val="18"/>
                <w:szCs w:val="18"/>
                <w:color w:val="auto"/>
              </w:rPr>
              <w:t>Net income attributable to Waste Management, Inc.</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315</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0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Number of common shares outstanding at end of period</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486.1</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200"/>
              <w:spacing w:after="0"/>
              <w:rPr>
                <w:sz w:val="20"/>
                <w:szCs w:val="20"/>
                <w:color w:val="auto"/>
              </w:rPr>
            </w:pPr>
            <w:r>
              <w:rPr>
                <w:rFonts w:ascii="Arial" w:cs="Arial" w:eastAsia="Arial" w:hAnsi="Arial"/>
                <w:sz w:val="18"/>
                <w:szCs w:val="18"/>
                <w:color w:val="auto"/>
              </w:rPr>
              <w:t>Effect of using weighted average common shares outstanding</w:t>
            </w: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2.4</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basic common shares outstanding</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488.5</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200"/>
              <w:spacing w:after="0"/>
              <w:rPr>
                <w:sz w:val="20"/>
                <w:szCs w:val="20"/>
                <w:color w:val="auto"/>
              </w:rPr>
            </w:pPr>
            <w:r>
              <w:rPr>
                <w:rFonts w:ascii="Arial" w:cs="Arial" w:eastAsia="Arial" w:hAnsi="Arial"/>
                <w:sz w:val="18"/>
                <w:szCs w:val="18"/>
                <w:color w:val="auto"/>
              </w:rPr>
              <w:t>Dilutive effect of equity-based compensation awards and other contingently issuable shares</w:t>
            </w: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3.1</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diluted common shares outstanding</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491.6</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493.4</w:t>
            </w:r>
          </w:p>
        </w:tc>
        <w:tc>
          <w:tcPr>
            <w:tcW w:w="0" w:type="dxa"/>
            <w:vAlign w:val="bottom"/>
          </w:tcPr>
          <w:p>
            <w:pPr>
              <w:spacing w:after="0"/>
              <w:rPr>
                <w:sz w:val="1"/>
                <w:szCs w:val="1"/>
                <w:color w:val="auto"/>
              </w:rPr>
            </w:pPr>
          </w:p>
        </w:tc>
      </w:tr>
      <w:tr>
        <w:trPr>
          <w:trHeight w:val="20"/>
        </w:trPr>
        <w:tc>
          <w:tcPr>
            <w:tcW w:w="804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040" w:type="dxa"/>
            <w:vAlign w:val="bottom"/>
            <w:gridSpan w:val="2"/>
          </w:tcPr>
          <w:p>
            <w:pPr>
              <w:spacing w:after="0"/>
              <w:rPr>
                <w:sz w:val="20"/>
                <w:szCs w:val="20"/>
                <w:color w:val="auto"/>
              </w:rPr>
            </w:pPr>
            <w:r>
              <w:rPr>
                <w:rFonts w:ascii="Arial" w:cs="Arial" w:eastAsia="Arial" w:hAnsi="Arial"/>
                <w:sz w:val="18"/>
                <w:szCs w:val="18"/>
                <w:color w:val="auto"/>
              </w:rPr>
              <w:t>Basic earnings per common share</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0.65</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0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0.64</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0"/>
        </w:trPr>
        <w:tc>
          <w:tcPr>
            <w:tcW w:w="8040" w:type="dxa"/>
            <w:vAlign w:val="bottom"/>
            <w:gridSpan w:val="2"/>
            <w:vMerge w:val="restart"/>
          </w:tcPr>
          <w:p>
            <w:pPr>
              <w:jc w:val="right"/>
              <w:ind w:right="2130"/>
              <w:spacing w:after="0"/>
              <w:rPr>
                <w:sz w:val="20"/>
                <w:szCs w:val="20"/>
                <w:color w:val="auto"/>
              </w:rPr>
            </w:pPr>
            <w:r>
              <w:rPr>
                <w:rFonts w:ascii="Arial" w:cs="Arial" w:eastAsia="Arial" w:hAnsi="Arial"/>
                <w:sz w:val="18"/>
                <w:szCs w:val="18"/>
                <w:color w:val="auto"/>
              </w:rPr>
              <w:t>(2)</w:t>
            </w:r>
          </w:p>
        </w:tc>
        <w:tc>
          <w:tcPr>
            <w:tcW w:w="1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8040" w:type="dxa"/>
            <w:vAlign w:val="bottom"/>
            <w:gridSpan w:val="2"/>
            <w:vMerge w:val="continue"/>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020" w:type="dxa"/>
            <w:vAlign w:val="bottom"/>
            <w:tcBorders>
              <w:bottom w:val="single" w:sz="8" w:color="808080"/>
            </w:tcBorders>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6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93"/>
              </w:rPr>
              <w:t>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2009</w:t>
            </w:r>
          </w:p>
        </w:tc>
        <w:tc>
          <w:tcPr>
            <w:tcW w:w="3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11,791</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13,388</w:t>
            </w:r>
          </w:p>
        </w:tc>
        <w:tc>
          <w:tcPr>
            <w:tcW w:w="0" w:type="dxa"/>
            <w:vAlign w:val="bottom"/>
          </w:tcPr>
          <w:p>
            <w:pPr>
              <w:spacing w:after="0"/>
              <w:rPr>
                <w:sz w:val="1"/>
                <w:szCs w:val="1"/>
                <w:color w:val="auto"/>
              </w:rPr>
            </w:pPr>
          </w:p>
        </w:tc>
      </w:tr>
      <w:tr>
        <w:trPr>
          <w:trHeight w:val="432"/>
        </w:trPr>
        <w:tc>
          <w:tcPr>
            <w:tcW w:w="7640" w:type="dxa"/>
            <w:vAlign w:val="bottom"/>
            <w:gridSpan w:val="2"/>
          </w:tcPr>
          <w:p>
            <w:pPr>
              <w:spacing w:after="0"/>
              <w:rPr>
                <w:sz w:val="20"/>
                <w:szCs w:val="20"/>
                <w:color w:val="auto"/>
              </w:rPr>
            </w:pPr>
            <w:r>
              <w:rPr>
                <w:rFonts w:ascii="Arial" w:cs="Arial" w:eastAsia="Arial" w:hAnsi="Arial"/>
                <w:sz w:val="18"/>
                <w:szCs w:val="18"/>
                <w:color w:val="auto"/>
              </w:rPr>
              <w:t>Costs and expenses:</w:t>
            </w:r>
          </w:p>
        </w:tc>
        <w:tc>
          <w:tcPr>
            <w:tcW w:w="1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7,241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1,364</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1,477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1,166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200"/>
              <w:spacing w:after="0"/>
              <w:rPr>
                <w:sz w:val="20"/>
                <w:szCs w:val="20"/>
                <w:color w:val="auto"/>
              </w:rPr>
            </w:pPr>
            <w:r>
              <w:rPr>
                <w:rFonts w:ascii="Arial" w:cs="Arial" w:eastAsia="Arial" w:hAnsi="Arial"/>
                <w:sz w:val="18"/>
                <w:szCs w:val="18"/>
                <w:color w:val="auto"/>
              </w:rPr>
              <w:t>Restructuring</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50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expense from divestitures, asset impairments and unusual items</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9,904</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11,154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1,887</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2,234</w:t>
            </w:r>
          </w:p>
        </w:tc>
        <w:tc>
          <w:tcPr>
            <w:tcW w:w="0" w:type="dxa"/>
            <w:vAlign w:val="bottom"/>
          </w:tcPr>
          <w:p>
            <w:pPr>
              <w:spacing w:after="0"/>
              <w:rPr>
                <w:sz w:val="1"/>
                <w:szCs w:val="1"/>
                <w:color w:val="auto"/>
              </w:rPr>
            </w:pPr>
          </w:p>
        </w:tc>
      </w:tr>
      <w:tr>
        <w:trPr>
          <w:trHeight w:val="439"/>
        </w:trPr>
        <w:tc>
          <w:tcPr>
            <w:tcW w:w="764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6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(426)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200"/>
              <w:spacing w:after="0"/>
              <w:rPr>
                <w:sz w:val="20"/>
                <w:szCs w:val="20"/>
                <w:color w:val="auto"/>
              </w:rPr>
            </w:pPr>
            <w:r>
              <w:rPr>
                <w:rFonts w:ascii="Arial" w:cs="Arial" w:eastAsia="Arial" w:hAnsi="Arial"/>
                <w:sz w:val="18"/>
                <w:szCs w:val="18"/>
                <w:color w:val="auto"/>
              </w:rPr>
              <w:t>Interest income</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13</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net</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(414)</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6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1,473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413</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669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Consolidated net income</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1,060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200"/>
              <w:spacing w:after="0"/>
              <w:rPr>
                <w:sz w:val="20"/>
                <w:szCs w:val="20"/>
                <w:color w:val="auto"/>
              </w:rPr>
            </w:pPr>
            <w:r>
              <w:rPr>
                <w:rFonts w:ascii="Arial" w:cs="Arial" w:eastAsia="Arial" w:hAnsi="Arial"/>
                <w:sz w:val="18"/>
                <w:szCs w:val="18"/>
                <w:color w:val="auto"/>
              </w:rPr>
              <w:t>Less : Net income attributable to noncontrolling interests</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(66)</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Waste Management, Inc.</w:t>
            </w:r>
          </w:p>
        </w:tc>
        <w:tc>
          <w:tcPr>
            <w:tcW w:w="1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994</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1,087</w:t>
            </w:r>
          </w:p>
        </w:tc>
        <w:tc>
          <w:tcPr>
            <w:tcW w:w="0" w:type="dxa"/>
            <w:vAlign w:val="bottom"/>
          </w:tcPr>
          <w:p>
            <w:pPr>
              <w:spacing w:after="0"/>
              <w:rPr>
                <w:sz w:val="1"/>
                <w:szCs w:val="1"/>
                <w:color w:val="auto"/>
              </w:rPr>
            </w:pPr>
          </w:p>
        </w:tc>
      </w:tr>
      <w:tr>
        <w:trPr>
          <w:trHeight w:val="20"/>
        </w:trPr>
        <w:tc>
          <w:tcPr>
            <w:tcW w:w="7640" w:type="dxa"/>
            <w:vAlign w:val="bottom"/>
            <w:gridSpan w:val="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640" w:type="dxa"/>
            <w:vAlign w:val="bottom"/>
            <w:gridSpan w:val="2"/>
          </w:tcPr>
          <w:p>
            <w:pPr>
              <w:spacing w:after="0"/>
              <w:rPr>
                <w:sz w:val="20"/>
                <w:szCs w:val="20"/>
                <w:color w:val="auto"/>
              </w:rPr>
            </w:pPr>
            <w:r>
              <w:rPr>
                <w:rFonts w:ascii="Arial" w:cs="Arial" w:eastAsia="Arial" w:hAnsi="Arial"/>
                <w:sz w:val="18"/>
                <w:szCs w:val="18"/>
                <w:color w:val="auto"/>
              </w:rPr>
              <w:t>Basic earnings per common share</w:t>
            </w:r>
          </w:p>
        </w:tc>
        <w:tc>
          <w:tcPr>
            <w:tcW w:w="17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2.02</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6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1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2.01</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0"/>
        </w:trPr>
        <w:tc>
          <w:tcPr>
            <w:tcW w:w="7640" w:type="dxa"/>
            <w:vAlign w:val="bottom"/>
            <w:gridSpan w:val="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640" w:type="dxa"/>
            <w:vAlign w:val="bottom"/>
            <w:gridSpan w:val="2"/>
          </w:tcPr>
          <w:p>
            <w:pPr>
              <w:spacing w:after="0"/>
              <w:rPr>
                <w:sz w:val="20"/>
                <w:szCs w:val="20"/>
                <w:color w:val="auto"/>
              </w:rPr>
            </w:pPr>
            <w:r>
              <w:rPr>
                <w:rFonts w:ascii="Arial" w:cs="Arial" w:eastAsia="Arial" w:hAnsi="Arial"/>
                <w:sz w:val="18"/>
                <w:szCs w:val="18"/>
                <w:color w:val="auto"/>
              </w:rPr>
              <w:t>Basic common shares outstanding</w:t>
            </w:r>
          </w:p>
        </w:tc>
        <w:tc>
          <w:tcPr>
            <w:tcW w:w="1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491.2</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492.1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6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Diluted common shares outstanding</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493.6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495.4</w:t>
            </w:r>
          </w:p>
        </w:tc>
        <w:tc>
          <w:tcPr>
            <w:tcW w:w="0" w:type="dxa"/>
            <w:vAlign w:val="bottom"/>
          </w:tcPr>
          <w:p>
            <w:pPr>
              <w:spacing w:after="0"/>
              <w:rPr>
                <w:sz w:val="1"/>
                <w:szCs w:val="1"/>
                <w:color w:val="auto"/>
              </w:rPr>
            </w:pPr>
          </w:p>
        </w:tc>
      </w:tr>
      <w:tr>
        <w:trPr>
          <w:trHeight w:val="20"/>
        </w:trPr>
        <w:tc>
          <w:tcPr>
            <w:tcW w:w="7640" w:type="dxa"/>
            <w:vAlign w:val="bottom"/>
            <w:gridSpan w:val="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640" w:type="dxa"/>
            <w:vAlign w:val="bottom"/>
            <w:gridSpan w:val="2"/>
          </w:tcPr>
          <w:p>
            <w:pPr>
              <w:spacing w:after="0"/>
              <w:rPr>
                <w:sz w:val="20"/>
                <w:szCs w:val="20"/>
                <w:color w:val="auto"/>
              </w:rPr>
            </w:pPr>
            <w:r>
              <w:rPr>
                <w:rFonts w:ascii="Arial" w:cs="Arial" w:eastAsia="Arial" w:hAnsi="Arial"/>
                <w:sz w:val="18"/>
                <w:szCs w:val="18"/>
                <w:color w:val="auto"/>
              </w:rPr>
              <w:t>Cash dividends declared per common share</w:t>
            </w:r>
          </w:p>
        </w:tc>
        <w:tc>
          <w:tcPr>
            <w:tcW w:w="17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1.16</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0"/>
        </w:trPr>
        <w:tc>
          <w:tcPr>
            <w:tcW w:w="7640" w:type="dxa"/>
            <w:vAlign w:val="bottom"/>
            <w:gridSpan w:val="2"/>
            <w:vMerge w:val="restart"/>
          </w:tcPr>
          <w:p>
            <w:pPr>
              <w:spacing w:after="0"/>
              <w:rPr>
                <w:sz w:val="20"/>
                <w:szCs w:val="20"/>
                <w:color w:val="auto"/>
              </w:rPr>
            </w:pPr>
            <w:r>
              <w:rPr>
                <w:rFonts w:ascii="Arial" w:cs="Arial" w:eastAsia="Arial" w:hAnsi="Arial"/>
                <w:sz w:val="18"/>
                <w:szCs w:val="18"/>
                <w:color w:val="auto"/>
              </w:rPr>
              <w:t>Note: Prior year information has been reclassified to conform to 2009 presentation.</w:t>
            </w:r>
          </w:p>
        </w:tc>
        <w:tc>
          <w:tcPr>
            <w:tcW w:w="1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640" w:type="dxa"/>
            <w:vAlign w:val="bottom"/>
            <w:gridSpan w:val="2"/>
            <w:vMerge w:val="continue"/>
          </w:tcPr>
          <w:p>
            <w:pPr>
              <w:spacing w:after="0"/>
              <w:rPr>
                <w:sz w:val="24"/>
                <w:szCs w:val="24"/>
                <w:color w:val="auto"/>
              </w:rPr>
            </w:pPr>
          </w:p>
        </w:tc>
        <w:tc>
          <w:tcPr>
            <w:tcW w:w="1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7640" w:type="dxa"/>
            <w:vAlign w:val="bottom"/>
            <w:gridSpan w:val="2"/>
          </w:tcPr>
          <w:p>
            <w:pPr>
              <w:ind w:left="5600"/>
              <w:spacing w:after="0"/>
              <w:rPr>
                <w:sz w:val="20"/>
                <w:szCs w:val="20"/>
                <w:color w:val="auto"/>
              </w:rPr>
            </w:pPr>
            <w:r>
              <w:rPr>
                <w:rFonts w:ascii="Arial" w:cs="Arial" w:eastAsia="Arial" w:hAnsi="Arial"/>
                <w:sz w:val="18"/>
                <w:szCs w:val="18"/>
                <w:color w:val="auto"/>
              </w:rPr>
              <w:t>(3)</w:t>
            </w:r>
          </w:p>
        </w:tc>
        <w:tc>
          <w:tcPr>
            <w:tcW w:w="1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620" w:type="dxa"/>
            <w:vAlign w:val="bottom"/>
            <w:tcBorders>
              <w:bottom w:val="single" w:sz="8" w:color="808080"/>
            </w:tcBorders>
          </w:tcPr>
          <w:p>
            <w:pPr>
              <w:spacing w:after="0"/>
              <w:rPr>
                <w:sz w:val="19"/>
                <w:szCs w:val="19"/>
                <w:color w:val="auto"/>
              </w:rPr>
            </w:pPr>
          </w:p>
        </w:tc>
        <w:tc>
          <w:tcPr>
            <w:tcW w:w="16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Earnings Per Share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0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93"/>
              </w:rPr>
              <w:t>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2009</w:t>
            </w:r>
          </w:p>
        </w:tc>
        <w:tc>
          <w:tcPr>
            <w:tcW w:w="3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EPS Calculation:</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040" w:type="dxa"/>
            <w:vAlign w:val="bottom"/>
            <w:gridSpan w:val="2"/>
          </w:tcPr>
          <w:p>
            <w:pPr>
              <w:spacing w:after="0"/>
              <w:rPr>
                <w:sz w:val="20"/>
                <w:szCs w:val="20"/>
                <w:color w:val="auto"/>
              </w:rPr>
            </w:pPr>
            <w:r>
              <w:rPr>
                <w:rFonts w:ascii="Arial" w:cs="Arial" w:eastAsia="Arial" w:hAnsi="Arial"/>
                <w:sz w:val="18"/>
                <w:szCs w:val="18"/>
                <w:color w:val="auto"/>
              </w:rPr>
              <w:t>Net income attributable to Waste Management, Inc.</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994</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1,087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0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Number of common shares outstanding at end of period</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486.1</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200"/>
              <w:spacing w:after="0"/>
              <w:rPr>
                <w:sz w:val="20"/>
                <w:szCs w:val="20"/>
                <w:color w:val="auto"/>
              </w:rPr>
            </w:pPr>
            <w:r>
              <w:rPr>
                <w:rFonts w:ascii="Arial" w:cs="Arial" w:eastAsia="Arial" w:hAnsi="Arial"/>
                <w:sz w:val="18"/>
                <w:szCs w:val="18"/>
                <w:color w:val="auto"/>
              </w:rPr>
              <w:t>Effect of using weighted average common shares outstanding</w:t>
            </w: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5.1</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basic common shares outstanding</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491.2</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200"/>
              <w:spacing w:after="0"/>
              <w:rPr>
                <w:sz w:val="20"/>
                <w:szCs w:val="20"/>
                <w:color w:val="auto"/>
              </w:rPr>
            </w:pPr>
            <w:r>
              <w:rPr>
                <w:rFonts w:ascii="Arial" w:cs="Arial" w:eastAsia="Arial" w:hAnsi="Arial"/>
                <w:sz w:val="18"/>
                <w:szCs w:val="18"/>
                <w:color w:val="auto"/>
              </w:rPr>
              <w:t>Dilutive effect of equity-based compensation awards and other contingently issuable shares</w:t>
            </w: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2.4</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diluted common shares outstanding</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493.6</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495.4</w:t>
            </w:r>
          </w:p>
        </w:tc>
        <w:tc>
          <w:tcPr>
            <w:tcW w:w="0" w:type="dxa"/>
            <w:vAlign w:val="bottom"/>
          </w:tcPr>
          <w:p>
            <w:pPr>
              <w:spacing w:after="0"/>
              <w:rPr>
                <w:sz w:val="1"/>
                <w:szCs w:val="1"/>
                <w:color w:val="auto"/>
              </w:rPr>
            </w:pPr>
          </w:p>
        </w:tc>
      </w:tr>
      <w:tr>
        <w:trPr>
          <w:trHeight w:val="20"/>
        </w:trPr>
        <w:tc>
          <w:tcPr>
            <w:tcW w:w="804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040" w:type="dxa"/>
            <w:vAlign w:val="bottom"/>
            <w:gridSpan w:val="2"/>
          </w:tcPr>
          <w:p>
            <w:pPr>
              <w:spacing w:after="0"/>
              <w:rPr>
                <w:sz w:val="20"/>
                <w:szCs w:val="20"/>
                <w:color w:val="auto"/>
              </w:rPr>
            </w:pPr>
            <w:r>
              <w:rPr>
                <w:rFonts w:ascii="Arial" w:cs="Arial" w:eastAsia="Arial" w:hAnsi="Arial"/>
                <w:sz w:val="18"/>
                <w:szCs w:val="18"/>
                <w:color w:val="auto"/>
              </w:rPr>
              <w:t>Basic earnings per common share</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2.02</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0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2.01</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0"/>
        </w:trPr>
        <w:tc>
          <w:tcPr>
            <w:tcW w:w="8040" w:type="dxa"/>
            <w:vAlign w:val="bottom"/>
            <w:gridSpan w:val="2"/>
            <w:vMerge w:val="restart"/>
          </w:tcPr>
          <w:p>
            <w:pPr>
              <w:jc w:val="right"/>
              <w:ind w:right="2130"/>
              <w:spacing w:after="0"/>
              <w:rPr>
                <w:sz w:val="20"/>
                <w:szCs w:val="20"/>
                <w:color w:val="auto"/>
              </w:rPr>
            </w:pPr>
            <w:r>
              <w:rPr>
                <w:rFonts w:ascii="Arial" w:cs="Arial" w:eastAsia="Arial" w:hAnsi="Arial"/>
                <w:sz w:val="18"/>
                <w:szCs w:val="18"/>
                <w:color w:val="auto"/>
              </w:rPr>
              <w:t>(4)</w:t>
            </w:r>
          </w:p>
        </w:tc>
        <w:tc>
          <w:tcPr>
            <w:tcW w:w="1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8040" w:type="dxa"/>
            <w:vAlign w:val="bottom"/>
            <w:gridSpan w:val="2"/>
            <w:vMerge w:val="continue"/>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020" w:type="dxa"/>
            <w:vAlign w:val="bottom"/>
            <w:tcBorders>
              <w:bottom w:val="single" w:sz="8" w:color="808080"/>
            </w:tcBorders>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60" w:type="dxa"/>
            <w:vAlign w:val="bottom"/>
          </w:tcPr>
          <w:p>
            <w:pPr>
              <w:spacing w:after="0"/>
              <w:rPr>
                <w:sz w:val="14"/>
                <w:szCs w:val="14"/>
                <w:color w:val="auto"/>
              </w:rPr>
            </w:pPr>
          </w:p>
        </w:tc>
        <w:tc>
          <w:tcPr>
            <w:tcW w:w="1500" w:type="dxa"/>
            <w:vAlign w:val="bottom"/>
            <w:gridSpan w:val="4"/>
          </w:tcPr>
          <w:p>
            <w:pPr>
              <w:spacing w:after="0"/>
              <w:rPr>
                <w:sz w:val="20"/>
                <w:szCs w:val="20"/>
                <w:color w:val="auto"/>
              </w:rPr>
            </w:pPr>
            <w:r>
              <w:rPr>
                <w:rFonts w:ascii="Arial" w:cs="Arial" w:eastAsia="Arial" w:hAnsi="Arial"/>
                <w:sz w:val="14"/>
                <w:szCs w:val="14"/>
                <w:b w:val="1"/>
                <w:bCs w:val="1"/>
                <w:color w:val="auto"/>
              </w:rPr>
              <w:t>December 31,</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9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960" w:type="dxa"/>
            <w:vAlign w:val="bottom"/>
          </w:tcPr>
          <w:p>
            <w:pPr>
              <w:spacing w:after="0"/>
              <w:rPr>
                <w:sz w:val="12"/>
                <w:szCs w:val="12"/>
                <w:color w:val="auto"/>
              </w:rPr>
            </w:pPr>
          </w:p>
        </w:tc>
        <w:tc>
          <w:tcPr>
            <w:tcW w:w="8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7"/>
              </w:rPr>
              <w:t>(Unaudited)</w:t>
            </w: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98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1,140</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Receivables, net</w:t>
            </w:r>
          </w:p>
        </w:tc>
        <w:tc>
          <w:tcPr>
            <w:tcW w:w="1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1,527</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343</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960" w:type="dxa"/>
            <w:vAlign w:val="bottom"/>
          </w:tcPr>
          <w:p>
            <w:pPr>
              <w:ind w:left="400"/>
              <w:spacing w:after="0"/>
              <w:rPr>
                <w:sz w:val="20"/>
                <w:szCs w:val="20"/>
                <w:color w:val="auto"/>
              </w:rPr>
            </w:pPr>
            <w:r>
              <w:rPr>
                <w:rFonts w:ascii="Arial" w:cs="Arial" w:eastAsia="Arial" w:hAnsi="Arial"/>
                <w:sz w:val="18"/>
                <w:szCs w:val="18"/>
                <w:color w:val="auto"/>
              </w:rPr>
              <w:t>Total current assets</w:t>
            </w: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3,010</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8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11,541</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5,632</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5,462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 net</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238</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assets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21,154</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20,227</w:t>
            </w:r>
          </w:p>
        </w:tc>
        <w:tc>
          <w:tcPr>
            <w:tcW w:w="0" w:type="dxa"/>
            <w:vAlign w:val="bottom"/>
          </w:tcPr>
          <w:p>
            <w:pPr>
              <w:spacing w:after="0"/>
              <w:rPr>
                <w:sz w:val="1"/>
                <w:szCs w:val="1"/>
                <w:color w:val="auto"/>
              </w:rPr>
            </w:pPr>
          </w:p>
        </w:tc>
      </w:tr>
      <w:tr>
        <w:trPr>
          <w:trHeight w:val="20"/>
        </w:trPr>
        <w:tc>
          <w:tcPr>
            <w:tcW w:w="89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Equity</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98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Accounts payable, accrued liabilities, and deferred revenues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2,152</w:t>
            </w:r>
          </w:p>
        </w:tc>
        <w:tc>
          <w:tcPr>
            <w:tcW w:w="64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portion of long-term debt</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749</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835</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960" w:type="dxa"/>
            <w:vAlign w:val="bottom"/>
          </w:tcPr>
          <w:p>
            <w:pPr>
              <w:ind w:left="40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2,901</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8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Long-term debt, less current portion</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8,124</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7,491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Other liabilities</w:t>
            </w: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3,538</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liabilities</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14,563</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14,042</w:t>
            </w:r>
          </w:p>
        </w:tc>
        <w:tc>
          <w:tcPr>
            <w:tcW w:w="0" w:type="dxa"/>
            <w:vAlign w:val="bottom"/>
          </w:tcPr>
          <w:p>
            <w:pPr>
              <w:spacing w:after="0"/>
              <w:rPr>
                <w:sz w:val="1"/>
                <w:szCs w:val="1"/>
                <w:color w:val="auto"/>
              </w:rPr>
            </w:pPr>
          </w:p>
        </w:tc>
      </w:tr>
      <w:tr>
        <w:trPr>
          <w:trHeight w:val="439"/>
        </w:trPr>
        <w:tc>
          <w:tcPr>
            <w:tcW w:w="8980" w:type="dxa"/>
            <w:vAlign w:val="bottom"/>
            <w:gridSpan w:val="2"/>
          </w:tcPr>
          <w:p>
            <w:pPr>
              <w:spacing w:after="0"/>
              <w:rPr>
                <w:sz w:val="20"/>
                <w:szCs w:val="20"/>
                <w:color w:val="auto"/>
              </w:rPr>
            </w:pPr>
            <w:r>
              <w:rPr>
                <w:rFonts w:ascii="Arial" w:cs="Arial" w:eastAsia="Arial" w:hAnsi="Arial"/>
                <w:sz w:val="18"/>
                <w:szCs w:val="18"/>
                <w:color w:val="auto"/>
              </w:rPr>
              <w:t>Equity:</w:t>
            </w:r>
          </w:p>
        </w:tc>
        <w:tc>
          <w:tcPr>
            <w:tcW w:w="1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Waste Management, Inc. stockholders’ equity</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6,285</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Noncontrolling interests</w:t>
            </w: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equity</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6,591</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6,185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Total liabilities and equity</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21,154</w:t>
            </w:r>
          </w:p>
        </w:tc>
        <w:tc>
          <w:tcPr>
            <w:tcW w:w="2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Note: Prior year information has been reclassified to conform to 2009 presentation.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93"/>
              </w:rPr>
              <w:t>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2009</w:t>
            </w:r>
          </w:p>
        </w:tc>
        <w:tc>
          <w:tcPr>
            <w:tcW w:w="3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200"/>
              <w:spacing w:after="0"/>
              <w:rPr>
                <w:sz w:val="20"/>
                <w:szCs w:val="20"/>
                <w:color w:val="auto"/>
              </w:rPr>
            </w:pPr>
            <w:r>
              <w:rPr>
                <w:rFonts w:ascii="Arial" w:cs="Arial" w:eastAsia="Arial" w:hAnsi="Arial"/>
                <w:sz w:val="18"/>
                <w:szCs w:val="18"/>
                <w:color w:val="auto"/>
              </w:rPr>
              <w:t>Consolidated net income</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1,060</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to reconcile consolidated net income to net cash provided by operating activities:</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400"/>
              <w:spacing w:after="0"/>
              <w:rPr>
                <w:sz w:val="20"/>
                <w:szCs w:val="20"/>
                <w:color w:val="auto"/>
              </w:rPr>
            </w:pPr>
            <w:r>
              <w:rPr>
                <w:rFonts w:ascii="Arial" w:cs="Arial" w:eastAsia="Arial" w:hAnsi="Arial"/>
                <w:sz w:val="18"/>
                <w:szCs w:val="18"/>
                <w:color w:val="auto"/>
              </w:rPr>
              <w:t>Depreciation and amortization</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1,166</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400"/>
              <w:spacing w:after="0"/>
              <w:rPr>
                <w:sz w:val="20"/>
                <w:szCs w:val="20"/>
                <w:color w:val="auto"/>
              </w:rPr>
            </w:pPr>
            <w:r>
              <w:rPr>
                <w:rFonts w:ascii="Arial" w:cs="Arial" w:eastAsia="Arial" w:hAnsi="Arial"/>
                <w:sz w:val="18"/>
                <w:szCs w:val="18"/>
                <w:color w:val="auto"/>
              </w:rPr>
              <w:t>Change in operating assets and liabilities, net of effects of acquisitions and divestitures</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34</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2,362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2,575</w:t>
            </w:r>
          </w:p>
        </w:tc>
        <w:tc>
          <w:tcPr>
            <w:tcW w:w="0" w:type="dxa"/>
            <w:vAlign w:val="bottom"/>
          </w:tcPr>
          <w:p>
            <w:pPr>
              <w:spacing w:after="0"/>
              <w:rPr>
                <w:sz w:val="1"/>
                <w:szCs w:val="1"/>
                <w:color w:val="auto"/>
              </w:rPr>
            </w:pPr>
          </w:p>
        </w:tc>
      </w:tr>
      <w:tr>
        <w:trPr>
          <w:trHeight w:val="439"/>
        </w:trPr>
        <w:tc>
          <w:tcPr>
            <w:tcW w:w="814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1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Acquisitions of businesses, net of cash acquired</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200"/>
              <w:spacing w:after="0"/>
              <w:rPr>
                <w:sz w:val="20"/>
                <w:szCs w:val="20"/>
                <w:color w:val="auto"/>
              </w:rPr>
            </w:pPr>
            <w:r>
              <w:rPr>
                <w:rFonts w:ascii="Arial" w:cs="Arial" w:eastAsia="Arial" w:hAnsi="Arial"/>
                <w:sz w:val="18"/>
                <w:szCs w:val="18"/>
                <w:color w:val="auto"/>
              </w:rPr>
              <w:t>Capital expenditures</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(1,179)</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divestitures of businesses (net of cash divested) and other sales of assets</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200"/>
              <w:spacing w:after="0"/>
              <w:rPr>
                <w:sz w:val="20"/>
                <w:szCs w:val="20"/>
                <w:color w:val="auto"/>
              </w:rPr>
            </w:pPr>
            <w:r>
              <w:rPr>
                <w:rFonts w:ascii="Arial" w:cs="Arial" w:eastAsia="Arial" w:hAnsi="Arial"/>
                <w:sz w:val="18"/>
                <w:szCs w:val="18"/>
                <w:color w:val="auto"/>
              </w:rPr>
              <w:t>Net receipts from restricted trust and escrow accounts, and other</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182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(1,250)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(1,183)</w:t>
            </w:r>
          </w:p>
        </w:tc>
        <w:tc>
          <w:tcPr>
            <w:tcW w:w="0" w:type="dxa"/>
            <w:vAlign w:val="bottom"/>
          </w:tcPr>
          <w:p>
            <w:pPr>
              <w:spacing w:after="0"/>
              <w:rPr>
                <w:sz w:val="1"/>
                <w:szCs w:val="1"/>
                <w:color w:val="auto"/>
              </w:rPr>
            </w:pPr>
          </w:p>
        </w:tc>
      </w:tr>
      <w:tr>
        <w:trPr>
          <w:trHeight w:val="439"/>
        </w:trPr>
        <w:tc>
          <w:tcPr>
            <w:tcW w:w="814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1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New borrowings</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1,749</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200"/>
              <w:spacing w:after="0"/>
              <w:rPr>
                <w:sz w:val="20"/>
                <w:szCs w:val="20"/>
                <w:color w:val="auto"/>
              </w:rPr>
            </w:pPr>
            <w:r>
              <w:rPr>
                <w:rFonts w:ascii="Arial" w:cs="Arial" w:eastAsia="Arial" w:hAnsi="Arial"/>
                <w:sz w:val="18"/>
                <w:szCs w:val="18"/>
                <w:color w:val="auto"/>
              </w:rPr>
              <w:t>Debt repayments</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(1,335)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(1,785)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Common stock repurchases</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200"/>
              <w:spacing w:after="0"/>
              <w:rPr>
                <w:sz w:val="20"/>
                <w:szCs w:val="20"/>
                <w:color w:val="auto"/>
              </w:rPr>
            </w:pPr>
            <w:r>
              <w:rPr>
                <w:rFonts w:ascii="Arial" w:cs="Arial" w:eastAsia="Arial" w:hAnsi="Arial"/>
                <w:sz w:val="18"/>
                <w:szCs w:val="18"/>
                <w:color w:val="auto"/>
              </w:rPr>
              <w:t>Cash dividends</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(569)</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Exercise of common stock options</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200"/>
              <w:spacing w:after="0"/>
              <w:rPr>
                <w:sz w:val="20"/>
                <w:szCs w:val="20"/>
                <w:color w:val="auto"/>
              </w:rPr>
            </w:pPr>
            <w:r>
              <w:rPr>
                <w:rFonts w:ascii="Arial" w:cs="Arial" w:eastAsia="Arial" w:hAnsi="Arial"/>
                <w:sz w:val="18"/>
                <w:szCs w:val="18"/>
                <w:color w:val="auto"/>
              </w:rPr>
              <w:t>Other, net</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(96)</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(457)</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(1,256)</w:t>
            </w:r>
          </w:p>
        </w:tc>
        <w:tc>
          <w:tcPr>
            <w:tcW w:w="0" w:type="dxa"/>
            <w:vAlign w:val="bottom"/>
          </w:tcPr>
          <w:p>
            <w:pPr>
              <w:spacing w:after="0"/>
              <w:rPr>
                <w:sz w:val="1"/>
                <w:szCs w:val="1"/>
                <w:color w:val="auto"/>
              </w:rPr>
            </w:pPr>
          </w:p>
        </w:tc>
      </w:tr>
      <w:tr>
        <w:trPr>
          <w:trHeight w:val="20"/>
        </w:trPr>
        <w:tc>
          <w:tcPr>
            <w:tcW w:w="814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8140" w:type="dxa"/>
            <w:vAlign w:val="bottom"/>
            <w:gridSpan w:val="2"/>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5</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Increase in cash and cash equivalents</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660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480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1,140</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Note: Prior year information has been reclassified to conform to 2009 presentation.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Data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9"/>
          </w:tcPr>
          <w:p>
            <w:pPr>
              <w:jc w:val="right"/>
              <w:ind w:right="480"/>
              <w:spacing w:after="0"/>
              <w:rPr>
                <w:sz w:val="20"/>
                <w:szCs w:val="20"/>
                <w:color w:val="auto"/>
              </w:rPr>
            </w:pPr>
            <w:r>
              <w:rPr>
                <w:rFonts w:ascii="Arial" w:cs="Arial" w:eastAsia="Arial" w:hAnsi="Arial"/>
                <w:sz w:val="14"/>
                <w:szCs w:val="14"/>
                <w:b w:val="1"/>
                <w:bCs w:val="1"/>
                <w:color w:val="auto"/>
              </w:rPr>
              <w:t>Quarters Ended</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40" w:type="dxa"/>
            <w:vAlign w:val="bottom"/>
            <w:gridSpan w:val="9"/>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160" w:type="dxa"/>
            <w:vAlign w:val="bottom"/>
          </w:tcPr>
          <w:p>
            <w:pPr>
              <w:spacing w:after="0"/>
              <w:rPr>
                <w:sz w:val="10"/>
                <w:szCs w:val="10"/>
                <w:color w:val="auto"/>
              </w:rPr>
            </w:pPr>
          </w:p>
        </w:tc>
        <w:tc>
          <w:tcPr>
            <w:tcW w:w="1420" w:type="dxa"/>
            <w:vAlign w:val="bottom"/>
            <w:gridSpan w:val="8"/>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120" w:type="dxa"/>
            <w:vAlign w:val="bottom"/>
          </w:tcPr>
          <w:p>
            <w:pPr>
              <w:spacing w:after="0"/>
              <w:rPr>
                <w:sz w:val="10"/>
                <w:szCs w:val="10"/>
                <w:color w:val="auto"/>
              </w:rPr>
            </w:pPr>
          </w:p>
        </w:tc>
        <w:tc>
          <w:tcPr>
            <w:tcW w:w="780" w:type="dxa"/>
            <w:vAlign w:val="bottom"/>
            <w:gridSpan w:val="4"/>
          </w:tcPr>
          <w:p>
            <w:pPr>
              <w:spacing w:after="0" w:line="119" w:lineRule="exact"/>
              <w:rPr>
                <w:sz w:val="20"/>
                <w:szCs w:val="20"/>
                <w:color w:val="auto"/>
              </w:rPr>
            </w:pPr>
            <w:r>
              <w:rPr>
                <w:rFonts w:ascii="Arial" w:cs="Arial" w:eastAsia="Arial" w:hAnsi="Arial"/>
                <w:sz w:val="13"/>
                <w:szCs w:val="13"/>
                <w:b w:val="1"/>
                <w:bCs w:val="1"/>
                <w:color w:val="auto"/>
                <w:w w:val="87"/>
              </w:rPr>
              <w:t>December 31,</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2009</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6"/>
          </w:tcPr>
          <w:p>
            <w:pPr>
              <w:ind w:left="460"/>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ind w:right="131"/>
              <w:spacing w:after="0"/>
              <w:rPr>
                <w:sz w:val="20"/>
                <w:szCs w:val="20"/>
                <w:color w:val="auto"/>
              </w:rPr>
            </w:pPr>
            <w:r>
              <w:rPr>
                <w:rFonts w:ascii="Arial" w:cs="Arial" w:eastAsia="Arial" w:hAnsi="Arial"/>
                <w:sz w:val="14"/>
                <w:szCs w:val="14"/>
                <w:b w:val="1"/>
                <w:bCs w:val="1"/>
                <w:color w:val="auto"/>
                <w:w w:val="89"/>
              </w:rPr>
              <w:t>2008</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Revenues by Lines of Business</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100" w:type="dxa"/>
            <w:vAlign w:val="bottom"/>
          </w:tcPr>
          <w:p>
            <w:pPr>
              <w:ind w:left="200"/>
              <w:spacing w:after="0"/>
              <w:rPr>
                <w:sz w:val="20"/>
                <w:szCs w:val="20"/>
                <w:color w:val="auto"/>
              </w:rPr>
            </w:pPr>
            <w:r>
              <w:rPr>
                <w:rFonts w:ascii="Arial" w:cs="Arial" w:eastAsia="Arial" w:hAnsi="Arial"/>
                <w:sz w:val="18"/>
                <w:szCs w:val="18"/>
                <w:color w:val="auto"/>
              </w:rPr>
              <w:t>Collection</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760" w:type="dxa"/>
            <w:vAlign w:val="bottom"/>
            <w:gridSpan w:val="5"/>
          </w:tcPr>
          <w:p>
            <w:pPr>
              <w:jc w:val="right"/>
              <w:ind w:right="60"/>
              <w:spacing w:after="0"/>
              <w:rPr>
                <w:sz w:val="20"/>
                <w:szCs w:val="20"/>
                <w:color w:val="auto"/>
              </w:rPr>
            </w:pPr>
            <w:r>
              <w:rPr>
                <w:rFonts w:ascii="Arial" w:cs="Arial" w:eastAsia="Arial" w:hAnsi="Arial"/>
                <w:sz w:val="18"/>
                <w:szCs w:val="18"/>
                <w:color w:val="auto"/>
              </w:rPr>
              <w:t>2,005</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gridSpan w:val="3"/>
          </w:tcPr>
          <w:p>
            <w:pPr>
              <w:jc w:val="right"/>
              <w:ind w:right="140"/>
              <w:spacing w:after="0"/>
              <w:rPr>
                <w:sz w:val="20"/>
                <w:szCs w:val="20"/>
                <w:color w:val="auto"/>
              </w:rPr>
            </w:pPr>
            <w:r>
              <w:rPr>
                <w:rFonts w:ascii="Arial" w:cs="Arial" w:eastAsia="Arial" w:hAnsi="Arial"/>
                <w:sz w:val="18"/>
                <w:szCs w:val="18"/>
                <w:color w:val="auto"/>
                <w:w w:val="93"/>
              </w:rPr>
              <w:t>2,024</w:t>
            </w:r>
          </w:p>
        </w:tc>
        <w:tc>
          <w:tcPr>
            <w:tcW w:w="400" w:type="dxa"/>
            <w:vAlign w:val="bottom"/>
          </w:tcPr>
          <w:p>
            <w:pPr>
              <w:spacing w:after="0"/>
              <w:rPr>
                <w:sz w:val="24"/>
                <w:szCs w:val="24"/>
                <w:color w:val="auto"/>
              </w:rPr>
            </w:pP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2,071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Landfill</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618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tcBorders>
              <w:right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666</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200"/>
              <w:spacing w:after="0"/>
              <w:rPr>
                <w:sz w:val="20"/>
                <w:szCs w:val="20"/>
                <w:color w:val="auto"/>
              </w:rPr>
            </w:pPr>
            <w:r>
              <w:rPr>
                <w:rFonts w:ascii="Arial" w:cs="Arial" w:eastAsia="Arial" w:hAnsi="Arial"/>
                <w:sz w:val="18"/>
                <w:szCs w:val="18"/>
                <w:color w:val="auto"/>
              </w:rPr>
              <w:t>Transfer</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5"/>
          </w:tcPr>
          <w:p>
            <w:pPr>
              <w:jc w:val="right"/>
              <w:ind w:right="60"/>
              <w:spacing w:after="0"/>
              <w:rPr>
                <w:sz w:val="20"/>
                <w:szCs w:val="20"/>
                <w:color w:val="auto"/>
              </w:rPr>
            </w:pPr>
            <w:r>
              <w:rPr>
                <w:rFonts w:ascii="Arial" w:cs="Arial" w:eastAsia="Arial" w:hAnsi="Arial"/>
                <w:sz w:val="18"/>
                <w:szCs w:val="18"/>
                <w:color w:val="auto"/>
              </w:rPr>
              <w:t>337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jc w:val="right"/>
              <w:ind w:right="140"/>
              <w:spacing w:after="0"/>
              <w:rPr>
                <w:sz w:val="20"/>
                <w:szCs w:val="20"/>
                <w:color w:val="auto"/>
              </w:rPr>
            </w:pPr>
            <w:r>
              <w:rPr>
                <w:rFonts w:ascii="Arial" w:cs="Arial" w:eastAsia="Arial" w:hAnsi="Arial"/>
                <w:sz w:val="18"/>
                <w:szCs w:val="18"/>
                <w:color w:val="auto"/>
              </w:rPr>
              <w:t>359</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Wheelabrator</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214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tcBorders>
              <w:right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214</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200"/>
              <w:spacing w:after="0"/>
              <w:rPr>
                <w:sz w:val="20"/>
                <w:szCs w:val="20"/>
                <w:color w:val="auto"/>
              </w:rPr>
            </w:pPr>
            <w:r>
              <w:rPr>
                <w:rFonts w:ascii="Arial" w:cs="Arial" w:eastAsia="Arial" w:hAnsi="Arial"/>
                <w:sz w:val="18"/>
                <w:szCs w:val="18"/>
                <w:color w:val="auto"/>
              </w:rPr>
              <w:t>Recycling</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5"/>
          </w:tcPr>
          <w:p>
            <w:pPr>
              <w:jc w:val="right"/>
              <w:ind w:right="60"/>
              <w:spacing w:after="0"/>
              <w:rPr>
                <w:sz w:val="20"/>
                <w:szCs w:val="20"/>
                <w:color w:val="auto"/>
              </w:rPr>
            </w:pPr>
            <w:r>
              <w:rPr>
                <w:rFonts w:ascii="Arial" w:cs="Arial" w:eastAsia="Arial" w:hAnsi="Arial"/>
                <w:sz w:val="18"/>
                <w:szCs w:val="18"/>
                <w:color w:val="auto"/>
              </w:rPr>
              <w:t>231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jc w:val="right"/>
              <w:ind w:right="140"/>
              <w:spacing w:after="0"/>
              <w:rPr>
                <w:sz w:val="20"/>
                <w:szCs w:val="20"/>
                <w:color w:val="auto"/>
              </w:rPr>
            </w:pPr>
            <w:r>
              <w:rPr>
                <w:rFonts w:ascii="Arial" w:cs="Arial" w:eastAsia="Arial" w:hAnsi="Arial"/>
                <w:sz w:val="18"/>
                <w:szCs w:val="18"/>
                <w:color w:val="auto"/>
              </w:rPr>
              <w:t>202</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tcBorders>
              <w:right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61</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200"/>
              <w:spacing w:after="0"/>
              <w:rPr>
                <w:sz w:val="20"/>
                <w:szCs w:val="20"/>
                <w:color w:val="auto"/>
              </w:rPr>
            </w:pPr>
            <w:r>
              <w:rPr>
                <w:rFonts w:ascii="Arial" w:cs="Arial" w:eastAsia="Arial" w:hAnsi="Arial"/>
                <w:sz w:val="18"/>
                <w:szCs w:val="18"/>
                <w:color w:val="auto"/>
              </w:rPr>
              <w:t xml:space="preserve">Intercompany </w:t>
            </w:r>
            <w:r>
              <w:rPr>
                <w:rFonts w:ascii="Arial" w:cs="Arial" w:eastAsia="Arial" w:hAnsi="Arial"/>
                <w:sz w:val="18"/>
                <w:szCs w:val="18"/>
                <w:b w:val="1"/>
                <w:bCs w:val="1"/>
                <w:color w:val="auto"/>
              </w:rPr>
              <w:t>(a)</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6"/>
          </w:tcPr>
          <w:p>
            <w:pPr>
              <w:jc w:val="right"/>
              <w:ind w:right="160"/>
              <w:spacing w:after="0"/>
              <w:rPr>
                <w:sz w:val="20"/>
                <w:szCs w:val="20"/>
                <w:color w:val="auto"/>
              </w:rPr>
            </w:pPr>
            <w:r>
              <w:rPr>
                <w:rFonts w:ascii="Arial" w:cs="Arial" w:eastAsia="Arial" w:hAnsi="Arial"/>
                <w:sz w:val="18"/>
                <w:szCs w:val="18"/>
                <w:color w:val="auto"/>
              </w:rPr>
              <w:t>(479)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jc w:val="right"/>
              <w:ind w:right="80"/>
              <w:spacing w:after="0"/>
              <w:rPr>
                <w:sz w:val="20"/>
                <w:szCs w:val="20"/>
                <w:color w:val="auto"/>
              </w:rPr>
            </w:pPr>
            <w:r>
              <w:rPr>
                <w:rFonts w:ascii="Arial" w:cs="Arial" w:eastAsia="Arial" w:hAnsi="Arial"/>
                <w:sz w:val="18"/>
                <w:szCs w:val="18"/>
                <w:color w:val="auto"/>
              </w:rPr>
              <w:t>(503)</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Operating revenues</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3,006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tcBorders>
              <w:right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3"/>
              </w:rPr>
              <w:t>3,023</w:t>
            </w:r>
          </w:p>
        </w:tc>
        <w:tc>
          <w:tcPr>
            <w:tcW w:w="4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10"/>
          </w:tcPr>
          <w:p>
            <w:pPr>
              <w:jc w:val="right"/>
              <w:ind w:right="128"/>
              <w:spacing w:after="0"/>
              <w:rPr>
                <w:sz w:val="20"/>
                <w:szCs w:val="20"/>
                <w:color w:val="auto"/>
              </w:rPr>
            </w:pPr>
            <w:r>
              <w:rPr>
                <w:rFonts w:ascii="Arial" w:cs="Arial" w:eastAsia="Arial" w:hAnsi="Arial"/>
                <w:sz w:val="14"/>
                <w:szCs w:val="14"/>
                <w:b w:val="1"/>
                <w:bCs w:val="1"/>
                <w:color w:val="auto"/>
              </w:rPr>
              <w:t>Quarters Ended</w:t>
            </w: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gridSpan w:val="10"/>
          </w:tcPr>
          <w:p>
            <w:pPr>
              <w:jc w:val="right"/>
              <w:ind w:right="148"/>
              <w:spacing w:after="0" w:line="142" w:lineRule="exact"/>
              <w:rPr>
                <w:sz w:val="20"/>
                <w:szCs w:val="20"/>
                <w:color w:val="auto"/>
              </w:rPr>
            </w:pPr>
            <w:r>
              <w:rPr>
                <w:rFonts w:ascii="Arial" w:cs="Arial" w:eastAsia="Arial" w:hAnsi="Arial"/>
                <w:sz w:val="14"/>
                <w:szCs w:val="14"/>
                <w:b w:val="1"/>
                <w:bCs w:val="1"/>
                <w:color w:val="auto"/>
                <w:w w:val="99"/>
              </w:rPr>
              <w:t>December 31, 2009</w:t>
            </w:r>
          </w:p>
        </w:tc>
        <w:tc>
          <w:tcPr>
            <w:tcW w:w="2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gridSpan w:val="8"/>
          </w:tcPr>
          <w:p>
            <w:pPr>
              <w:jc w:val="right"/>
              <w:spacing w:after="0" w:line="142" w:lineRule="exact"/>
              <w:rPr>
                <w:sz w:val="20"/>
                <w:szCs w:val="20"/>
                <w:color w:val="auto"/>
              </w:rPr>
            </w:pPr>
            <w:r>
              <w:rPr>
                <w:rFonts w:ascii="Arial" w:cs="Arial" w:eastAsia="Arial" w:hAnsi="Arial"/>
                <w:sz w:val="14"/>
                <w:szCs w:val="14"/>
                <w:b w:val="1"/>
                <w:bCs w:val="1"/>
                <w:color w:val="auto"/>
              </w:rPr>
              <w:t>December 31, 2008</w:t>
            </w:r>
          </w:p>
        </w:tc>
        <w:tc>
          <w:tcPr>
            <w:tcW w:w="5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gridSpan w:val="5"/>
          </w:tcPr>
          <w:p>
            <w:pPr>
              <w:jc w:val="right"/>
              <w:ind w:right="160"/>
              <w:spacing w:after="0" w:line="123" w:lineRule="exact"/>
              <w:rPr>
                <w:sz w:val="20"/>
                <w:szCs w:val="20"/>
                <w:color w:val="auto"/>
              </w:rPr>
            </w:pPr>
            <w:r>
              <w:rPr>
                <w:rFonts w:ascii="Arial" w:cs="Arial" w:eastAsia="Arial" w:hAnsi="Arial"/>
                <w:sz w:val="14"/>
                <w:szCs w:val="14"/>
                <w:color w:val="auto"/>
                <w:w w:val="96"/>
              </w:rPr>
              <w:t>As a % of</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4"/>
          </w:tcPr>
          <w:p>
            <w:pPr>
              <w:jc w:val="right"/>
              <w:ind w:right="71"/>
              <w:spacing w:after="0" w:line="123" w:lineRule="exact"/>
              <w:rPr>
                <w:sz w:val="20"/>
                <w:szCs w:val="20"/>
                <w:color w:val="auto"/>
              </w:rPr>
            </w:pPr>
            <w:r>
              <w:rPr>
                <w:rFonts w:ascii="Arial" w:cs="Arial" w:eastAsia="Arial" w:hAnsi="Arial"/>
                <w:sz w:val="14"/>
                <w:szCs w:val="14"/>
                <w:color w:val="auto"/>
              </w:rPr>
              <w:t>As a % of</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4"/>
          </w:tcPr>
          <w:p>
            <w:pPr>
              <w:jc w:val="right"/>
              <w:ind w:right="100"/>
              <w:spacing w:after="0"/>
              <w:rPr>
                <w:sz w:val="20"/>
                <w:szCs w:val="20"/>
                <w:color w:val="auto"/>
              </w:rPr>
            </w:pPr>
            <w:r>
              <w:rPr>
                <w:rFonts w:ascii="Arial" w:cs="Arial" w:eastAsia="Arial" w:hAnsi="Arial"/>
                <w:sz w:val="14"/>
                <w:szCs w:val="14"/>
                <w:color w:val="auto"/>
                <w:w w:val="95"/>
              </w:rPr>
              <w:t>Amount</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40" w:type="dxa"/>
            <w:vAlign w:val="bottom"/>
            <w:gridSpan w:val="9"/>
          </w:tcPr>
          <w:p>
            <w:pPr>
              <w:ind w:left="20"/>
              <w:spacing w:after="0"/>
              <w:rPr>
                <w:sz w:val="20"/>
                <w:szCs w:val="20"/>
                <w:color w:val="auto"/>
              </w:rPr>
            </w:pPr>
            <w:r>
              <w:rPr>
                <w:rFonts w:ascii="Arial" w:cs="Arial" w:eastAsia="Arial" w:hAnsi="Arial"/>
                <w:sz w:val="14"/>
                <w:szCs w:val="14"/>
                <w:color w:val="auto"/>
              </w:rPr>
              <w:t>Total Company</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7"/>
          </w:tcPr>
          <w:p>
            <w:pPr>
              <w:jc w:val="right"/>
              <w:ind w:right="740"/>
              <w:spacing w:after="0"/>
              <w:rPr>
                <w:sz w:val="20"/>
                <w:szCs w:val="20"/>
                <w:color w:val="auto"/>
              </w:rPr>
            </w:pPr>
            <w:r>
              <w:rPr>
                <w:rFonts w:ascii="Arial" w:cs="Arial" w:eastAsia="Arial" w:hAnsi="Arial"/>
                <w:sz w:val="14"/>
                <w:szCs w:val="14"/>
                <w:color w:val="auto"/>
              </w:rPr>
              <w:t>Amount</w:t>
            </w:r>
          </w:p>
        </w:tc>
        <w:tc>
          <w:tcPr>
            <w:tcW w:w="1060" w:type="dxa"/>
            <w:vAlign w:val="bottom"/>
            <w:gridSpan w:val="6"/>
          </w:tcPr>
          <w:p>
            <w:pPr>
              <w:jc w:val="right"/>
              <w:ind w:right="160"/>
              <w:spacing w:after="0"/>
              <w:rPr>
                <w:sz w:val="20"/>
                <w:szCs w:val="20"/>
                <w:color w:val="auto"/>
              </w:rPr>
            </w:pPr>
            <w:r>
              <w:rPr>
                <w:rFonts w:ascii="Arial" w:cs="Arial" w:eastAsia="Arial" w:hAnsi="Arial"/>
                <w:sz w:val="14"/>
                <w:szCs w:val="14"/>
                <w:color w:val="auto"/>
                <w:w w:val="92"/>
              </w:rPr>
              <w:t>Total Company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Analysis of Change in Year Over Year Revenues</w:t>
            </w:r>
          </w:p>
        </w:tc>
        <w:tc>
          <w:tcPr>
            <w:tcW w:w="1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100" w:type="dxa"/>
            <w:vAlign w:val="bottom"/>
          </w:tcPr>
          <w:p>
            <w:pPr>
              <w:ind w:left="200"/>
              <w:spacing w:after="0"/>
              <w:rPr>
                <w:sz w:val="20"/>
                <w:szCs w:val="20"/>
                <w:color w:val="auto"/>
              </w:rPr>
            </w:pPr>
            <w:r>
              <w:rPr>
                <w:rFonts w:ascii="Arial" w:cs="Arial" w:eastAsia="Arial" w:hAnsi="Arial"/>
                <w:sz w:val="18"/>
                <w:szCs w:val="18"/>
                <w:color w:val="auto"/>
              </w:rPr>
              <w:t xml:space="preserve">Average yield </w:t>
            </w:r>
            <w:r>
              <w:rPr>
                <w:rFonts w:ascii="Arial" w:cs="Arial" w:eastAsia="Arial" w:hAnsi="Arial"/>
                <w:sz w:val="18"/>
                <w:szCs w:val="18"/>
                <w:b w:val="1"/>
                <w:bCs w:val="1"/>
                <w:color w:val="auto"/>
              </w:rPr>
              <w:t>(i)</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4"/>
          </w:tcPr>
          <w:p>
            <w:pPr>
              <w:jc w:val="right"/>
              <w:spacing w:after="0"/>
              <w:rPr>
                <w:sz w:val="20"/>
                <w:szCs w:val="20"/>
                <w:color w:val="auto"/>
              </w:rPr>
            </w:pPr>
            <w:r>
              <w:rPr>
                <w:rFonts w:ascii="Arial" w:cs="Arial" w:eastAsia="Arial" w:hAnsi="Arial"/>
                <w:sz w:val="18"/>
                <w:szCs w:val="18"/>
                <w:color w:val="auto"/>
              </w:rPr>
              <w:t>49</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gridSpan w:val="3"/>
          </w:tcPr>
          <w:p>
            <w:pPr>
              <w:jc w:val="right"/>
              <w:ind w:right="19"/>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Volume</w:t>
            </w:r>
          </w:p>
        </w:tc>
        <w:tc>
          <w:tcPr>
            <w:tcW w:w="10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28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3"/>
              </w:rPr>
              <w:t>-6.4%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(198)</w:t>
            </w:r>
          </w:p>
        </w:tc>
        <w:tc>
          <w:tcPr>
            <w:tcW w:w="14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vMerge w:val="restart"/>
          </w:tcPr>
          <w:p>
            <w:pPr>
              <w:ind w:left="200"/>
              <w:spacing w:after="0"/>
              <w:rPr>
                <w:sz w:val="20"/>
                <w:szCs w:val="20"/>
                <w:color w:val="auto"/>
              </w:rPr>
            </w:pPr>
            <w:r>
              <w:rPr>
                <w:rFonts w:ascii="Arial" w:cs="Arial" w:eastAsia="Arial" w:hAnsi="Arial"/>
                <w:sz w:val="18"/>
                <w:szCs w:val="18"/>
                <w:color w:val="auto"/>
              </w:rPr>
              <w:t>Internal revenue growth</w:t>
            </w: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1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(151)</w:t>
            </w:r>
          </w:p>
        </w:tc>
        <w:tc>
          <w:tcPr>
            <w:tcW w:w="8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gridSpan w:val="3"/>
          </w:tcPr>
          <w:p>
            <w:pPr>
              <w:jc w:val="right"/>
              <w:spacing w:after="0"/>
              <w:rPr>
                <w:sz w:val="20"/>
                <w:szCs w:val="20"/>
                <w:color w:val="auto"/>
              </w:rPr>
            </w:pPr>
            <w:r>
              <w:rPr>
                <w:rFonts w:ascii="Arial" w:cs="Arial" w:eastAsia="Arial" w:hAnsi="Arial"/>
                <w:sz w:val="18"/>
                <w:szCs w:val="18"/>
                <w:color w:val="auto"/>
                <w:w w:val="93"/>
              </w:rPr>
              <w:t>-4.9%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76"/>
              </w:rPr>
              <w:t>(227)</w:t>
            </w:r>
          </w:p>
        </w:tc>
        <w:tc>
          <w:tcPr>
            <w:tcW w:w="1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w:t>
            </w:r>
          </w:p>
        </w:tc>
        <w:tc>
          <w:tcPr>
            <w:tcW w:w="10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8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w:t>
            </w:r>
          </w:p>
        </w:tc>
        <w:tc>
          <w:tcPr>
            <w:tcW w:w="14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200"/>
              <w:spacing w:after="0"/>
              <w:rPr>
                <w:sz w:val="20"/>
                <w:szCs w:val="20"/>
                <w:color w:val="auto"/>
              </w:rPr>
            </w:pPr>
            <w:r>
              <w:rPr>
                <w:rFonts w:ascii="Arial" w:cs="Arial" w:eastAsia="Arial" w:hAnsi="Arial"/>
                <w:sz w:val="18"/>
                <w:szCs w:val="18"/>
                <w:color w:val="auto"/>
              </w:rPr>
              <w:t>Divestitures</w:t>
            </w:r>
          </w:p>
        </w:tc>
        <w:tc>
          <w:tcPr>
            <w:tcW w:w="100" w:type="dxa"/>
            <w:vAlign w:val="bottom"/>
          </w:tcPr>
          <w:p>
            <w:pPr>
              <w:spacing w:after="0"/>
              <w:rPr>
                <w:sz w:val="18"/>
                <w:szCs w:val="18"/>
                <w:color w:val="auto"/>
              </w:rPr>
            </w:pPr>
          </w:p>
        </w:tc>
        <w:tc>
          <w:tcPr>
            <w:tcW w:w="660" w:type="dxa"/>
            <w:vAlign w:val="bottom"/>
            <w:gridSpan w:val="4"/>
          </w:tcPr>
          <w:p>
            <w:pPr>
              <w:jc w:val="right"/>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3"/>
          </w:tcPr>
          <w:p>
            <w:pPr>
              <w:jc w:val="right"/>
              <w:spacing w:after="0"/>
              <w:rPr>
                <w:sz w:val="20"/>
                <w:szCs w:val="20"/>
                <w:color w:val="auto"/>
              </w:rPr>
            </w:pPr>
            <w:r>
              <w:rPr>
                <w:rFonts w:ascii="Arial" w:cs="Arial" w:eastAsia="Arial" w:hAnsi="Arial"/>
                <w:sz w:val="18"/>
                <w:szCs w:val="18"/>
                <w:color w:val="auto"/>
                <w:w w:val="93"/>
              </w:rPr>
              <w:t>-0.1%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 currency translation</w:t>
            </w:r>
          </w:p>
        </w:tc>
        <w:tc>
          <w:tcPr>
            <w:tcW w:w="10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8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4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(102</w:t>
            </w:r>
          </w:p>
        </w:tc>
        <w:tc>
          <w:tcPr>
            <w:tcW w:w="8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gridSpan w:val="3"/>
          </w:tcPr>
          <w:p>
            <w:pPr>
              <w:jc w:val="right"/>
              <w:spacing w:after="0"/>
              <w:rPr>
                <w:sz w:val="20"/>
                <w:szCs w:val="20"/>
                <w:color w:val="auto"/>
              </w:rPr>
            </w:pPr>
            <w:r>
              <w:rPr>
                <w:rFonts w:ascii="Arial" w:cs="Arial" w:eastAsia="Arial" w:hAnsi="Arial"/>
                <w:sz w:val="18"/>
                <w:szCs w:val="18"/>
                <w:color w:val="auto"/>
                <w:w w:val="93"/>
              </w:rPr>
              <w:t>-3.3%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gridSpan w:val="2"/>
            <w:vMerge w:val="continue"/>
          </w:tcPr>
          <w:p>
            <w:pPr>
              <w:spacing w:after="0"/>
              <w:rPr>
                <w:sz w:val="19"/>
                <w:szCs w:val="19"/>
                <w:color w:val="auto"/>
              </w:rPr>
            </w:pPr>
          </w:p>
        </w:tc>
        <w:tc>
          <w:tcPr>
            <w:tcW w:w="200" w:type="dxa"/>
            <w:vAlign w:val="bottom"/>
          </w:tcPr>
          <w:p>
            <w:pPr>
              <w:jc w:val="right"/>
              <w:ind w:right="19"/>
              <w:spacing w:after="0"/>
              <w:rPr>
                <w:sz w:val="20"/>
                <w:szCs w:val="20"/>
                <w:color w:val="auto"/>
              </w:rPr>
            </w:pPr>
            <w:r>
              <w:rPr>
                <w:rFonts w:ascii="Arial" w:cs="Arial" w:eastAsia="Arial" w:hAnsi="Arial"/>
                <w:sz w:val="18"/>
                <w:szCs w:val="18"/>
                <w:color w:val="auto"/>
                <w:w w:val="79"/>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88"/>
              </w:rPr>
              <w:t>(253</w:t>
            </w:r>
          </w:p>
        </w:tc>
        <w:tc>
          <w:tcPr>
            <w:tcW w:w="1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2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gridSpan w:val="7"/>
          </w:tcPr>
          <w:p>
            <w:pPr>
              <w:jc w:val="center"/>
              <w:ind w:right="260"/>
              <w:spacing w:after="0"/>
              <w:rPr>
                <w:sz w:val="20"/>
                <w:szCs w:val="20"/>
                <w:color w:val="auto"/>
              </w:rPr>
            </w:pPr>
            <w:r>
              <w:rPr>
                <w:rFonts w:ascii="Arial" w:cs="Arial" w:eastAsia="Arial" w:hAnsi="Arial"/>
                <w:sz w:val="14"/>
                <w:szCs w:val="14"/>
                <w:color w:val="auto"/>
                <w:w w:val="96"/>
              </w:rPr>
              <w:t>As a % of</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4"/>
          </w:tcPr>
          <w:p>
            <w:pPr>
              <w:jc w:val="center"/>
              <w:ind w:right="160"/>
              <w:spacing w:after="0"/>
              <w:rPr>
                <w:sz w:val="20"/>
                <w:szCs w:val="20"/>
                <w:color w:val="auto"/>
              </w:rPr>
            </w:pPr>
            <w:r>
              <w:rPr>
                <w:rFonts w:ascii="Arial" w:cs="Arial" w:eastAsia="Arial" w:hAnsi="Arial"/>
                <w:sz w:val="14"/>
                <w:szCs w:val="14"/>
                <w:color w:val="auto"/>
                <w:w w:val="93"/>
              </w:rPr>
              <w:t>As a %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6"/>
          </w:tcPr>
          <w:p>
            <w:pPr>
              <w:jc w:val="center"/>
              <w:ind w:right="400"/>
              <w:spacing w:after="0" w:line="149" w:lineRule="exact"/>
              <w:rPr>
                <w:sz w:val="20"/>
                <w:szCs w:val="20"/>
                <w:color w:val="auto"/>
              </w:rPr>
            </w:pPr>
            <w:r>
              <w:rPr>
                <w:rFonts w:ascii="Arial" w:cs="Arial" w:eastAsia="Arial" w:hAnsi="Arial"/>
                <w:sz w:val="14"/>
                <w:szCs w:val="14"/>
                <w:color w:val="auto"/>
                <w:w w:val="91"/>
              </w:rPr>
              <w:t>Related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3"/>
          </w:tcPr>
          <w:p>
            <w:pPr>
              <w:jc w:val="center"/>
              <w:ind w:right="220"/>
              <w:spacing w:after="0" w:line="149" w:lineRule="exact"/>
              <w:rPr>
                <w:sz w:val="20"/>
                <w:szCs w:val="20"/>
                <w:color w:val="auto"/>
              </w:rPr>
            </w:pPr>
            <w:r>
              <w:rPr>
                <w:rFonts w:ascii="Arial" w:cs="Arial" w:eastAsia="Arial" w:hAnsi="Arial"/>
                <w:sz w:val="14"/>
                <w:szCs w:val="14"/>
                <w:color w:val="auto"/>
                <w:w w:val="91"/>
              </w:rPr>
              <w:t>Related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5"/>
          </w:tcPr>
          <w:p>
            <w:pPr>
              <w:jc w:val="right"/>
              <w:ind w:right="320"/>
              <w:spacing w:after="0"/>
              <w:rPr>
                <w:sz w:val="20"/>
                <w:szCs w:val="20"/>
                <w:color w:val="auto"/>
              </w:rPr>
            </w:pPr>
            <w:r>
              <w:rPr>
                <w:rFonts w:ascii="Arial" w:cs="Arial" w:eastAsia="Arial" w:hAnsi="Arial"/>
                <w:sz w:val="14"/>
                <w:szCs w:val="14"/>
                <w:color w:val="auto"/>
              </w:rPr>
              <w:t>Amount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gridSpan w:val="7"/>
          </w:tcPr>
          <w:p>
            <w:pPr>
              <w:jc w:val="center"/>
              <w:ind w:right="280"/>
              <w:spacing w:after="0"/>
              <w:rPr>
                <w:sz w:val="20"/>
                <w:szCs w:val="20"/>
                <w:color w:val="auto"/>
              </w:rPr>
            </w:pPr>
            <w:r>
              <w:rPr>
                <w:rFonts w:ascii="Arial" w:cs="Arial" w:eastAsia="Arial" w:hAnsi="Arial"/>
                <w:sz w:val="14"/>
                <w:szCs w:val="14"/>
                <w:color w:val="auto"/>
                <w:w w:val="91"/>
              </w:rPr>
              <w:t>Business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80" w:type="dxa"/>
            <w:vAlign w:val="bottom"/>
            <w:gridSpan w:val="5"/>
          </w:tcPr>
          <w:p>
            <w:pPr>
              <w:jc w:val="right"/>
              <w:ind w:right="560"/>
              <w:spacing w:after="0"/>
              <w:rPr>
                <w:sz w:val="20"/>
                <w:szCs w:val="20"/>
                <w:color w:val="auto"/>
              </w:rPr>
            </w:pPr>
            <w:r>
              <w:rPr>
                <w:rFonts w:ascii="Arial" w:cs="Arial" w:eastAsia="Arial" w:hAnsi="Arial"/>
                <w:sz w:val="14"/>
                <w:szCs w:val="14"/>
                <w:color w:val="auto"/>
              </w:rPr>
              <w:t>Amount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3"/>
          </w:tcPr>
          <w:p>
            <w:pPr>
              <w:jc w:val="center"/>
              <w:ind w:right="220"/>
              <w:spacing w:after="0"/>
              <w:rPr>
                <w:sz w:val="20"/>
                <w:szCs w:val="20"/>
                <w:color w:val="auto"/>
              </w:rPr>
            </w:pPr>
            <w:r>
              <w:rPr>
                <w:rFonts w:ascii="Arial" w:cs="Arial" w:eastAsia="Arial" w:hAnsi="Arial"/>
                <w:sz w:val="14"/>
                <w:szCs w:val="14"/>
                <w:color w:val="auto"/>
                <w:w w:val="91"/>
              </w:rPr>
              <w:t>Business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(i) </w:t>
            </w:r>
            <w:r>
              <w:rPr>
                <w:rFonts w:ascii="Arial" w:cs="Arial" w:eastAsia="Arial" w:hAnsi="Arial"/>
                <w:sz w:val="18"/>
                <w:szCs w:val="18"/>
                <w:color w:val="auto"/>
              </w:rPr>
              <w:t>Average yield</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400"/>
              <w:spacing w:after="0"/>
              <w:rPr>
                <w:sz w:val="20"/>
                <w:szCs w:val="20"/>
                <w:color w:val="auto"/>
              </w:rPr>
            </w:pPr>
            <w:r>
              <w:rPr>
                <w:rFonts w:ascii="Arial" w:cs="Arial" w:eastAsia="Arial" w:hAnsi="Arial"/>
                <w:sz w:val="18"/>
                <w:szCs w:val="18"/>
                <w:color w:val="auto"/>
              </w:rPr>
              <w:t>Collection, landfill and transfer</w:t>
            </w:r>
          </w:p>
        </w:tc>
        <w:tc>
          <w:tcPr>
            <w:tcW w:w="100" w:type="dxa"/>
            <w:vAlign w:val="bottom"/>
          </w:tcPr>
          <w:p>
            <w:pPr>
              <w:spacing w:after="0"/>
              <w:rPr>
                <w:sz w:val="18"/>
                <w:szCs w:val="18"/>
                <w:color w:val="auto"/>
              </w:rPr>
            </w:pPr>
          </w:p>
        </w:tc>
        <w:tc>
          <w:tcPr>
            <w:tcW w:w="580" w:type="dxa"/>
            <w:vAlign w:val="bottom"/>
            <w:gridSpan w:val="3"/>
          </w:tcPr>
          <w:p>
            <w:pPr>
              <w:jc w:val="right"/>
              <w:ind w:right="168"/>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65</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5"/>
          </w:tcPr>
          <w:p>
            <w:pPr>
              <w:jc w:val="right"/>
              <w:ind w:right="120"/>
              <w:spacing w:after="0"/>
              <w:rPr>
                <w:sz w:val="20"/>
                <w:szCs w:val="20"/>
                <w:color w:val="auto"/>
              </w:rPr>
            </w:pPr>
            <w:r>
              <w:rPr>
                <w:rFonts w:ascii="Arial" w:cs="Arial" w:eastAsia="Arial" w:hAnsi="Arial"/>
                <w:sz w:val="18"/>
                <w:szCs w:val="18"/>
                <w:color w:val="auto"/>
              </w:rPr>
              <w:t>2.5%</w:t>
            </w:r>
          </w:p>
        </w:tc>
        <w:tc>
          <w:tcPr>
            <w:tcW w:w="600" w:type="dxa"/>
            <w:vAlign w:val="bottom"/>
            <w:gridSpan w:val="5"/>
          </w:tcPr>
          <w:p>
            <w:pPr>
              <w:ind w:left="460"/>
              <w:spacing w:after="0"/>
              <w:rPr>
                <w:sz w:val="20"/>
                <w:szCs w:val="20"/>
                <w:color w:val="auto"/>
              </w:rPr>
            </w:pPr>
            <w:r>
              <w:rPr>
                <w:rFonts w:ascii="Arial" w:cs="Arial" w:eastAsia="Arial" w:hAnsi="Arial"/>
                <w:sz w:val="18"/>
                <w:szCs w:val="18"/>
                <w:color w:val="auto"/>
              </w:rPr>
              <w:t>$</w:t>
            </w:r>
          </w:p>
        </w:tc>
        <w:tc>
          <w:tcPr>
            <w:tcW w:w="580" w:type="dxa"/>
            <w:vAlign w:val="bottom"/>
            <w:gridSpan w:val="3"/>
          </w:tcPr>
          <w:p>
            <w:pPr>
              <w:jc w:val="right"/>
              <w:ind w:right="60"/>
              <w:spacing w:after="0"/>
              <w:rPr>
                <w:sz w:val="20"/>
                <w:szCs w:val="20"/>
                <w:color w:val="auto"/>
              </w:rPr>
            </w:pPr>
            <w:r>
              <w:rPr>
                <w:rFonts w:ascii="Arial" w:cs="Arial" w:eastAsia="Arial" w:hAnsi="Arial"/>
                <w:sz w:val="18"/>
                <w:szCs w:val="18"/>
                <w:color w:val="auto"/>
              </w:rPr>
              <w:t>70</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Waste-to-energy disposal</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6.5%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40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00" w:type="dxa"/>
            <w:vAlign w:val="bottom"/>
          </w:tcPr>
          <w:p>
            <w:pPr>
              <w:ind w:left="400"/>
              <w:spacing w:after="0"/>
              <w:rPr>
                <w:sz w:val="20"/>
                <w:szCs w:val="20"/>
                <w:color w:val="auto"/>
              </w:rPr>
            </w:pPr>
            <w:r>
              <w:rPr>
                <w:rFonts w:ascii="Arial" w:cs="Arial" w:eastAsia="Arial" w:hAnsi="Arial"/>
                <w:sz w:val="18"/>
                <w:szCs w:val="18"/>
                <w:color w:val="auto"/>
              </w:rPr>
              <w:t>Collection and disposal</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5"/>
          </w:tcPr>
          <w:p>
            <w:pPr>
              <w:jc w:val="right"/>
              <w:ind w:right="120"/>
              <w:spacing w:after="0"/>
              <w:rPr>
                <w:sz w:val="20"/>
                <w:szCs w:val="20"/>
                <w:color w:val="auto"/>
              </w:rPr>
            </w:pPr>
            <w:r>
              <w:rPr>
                <w:rFonts w:ascii="Arial" w:cs="Arial" w:eastAsia="Arial" w:hAnsi="Arial"/>
                <w:sz w:val="18"/>
                <w:szCs w:val="18"/>
                <w:color w:val="auto"/>
              </w:rPr>
              <w:t>2.7%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69</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Recycling commodities</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17.6%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400"/>
              <w:spacing w:after="0"/>
              <w:rPr>
                <w:sz w:val="20"/>
                <w:szCs w:val="20"/>
                <w:color w:val="auto"/>
              </w:rPr>
            </w:pPr>
            <w:r>
              <w:rPr>
                <w:rFonts w:ascii="Arial" w:cs="Arial" w:eastAsia="Arial" w:hAnsi="Arial"/>
                <w:sz w:val="18"/>
                <w:szCs w:val="18"/>
                <w:color w:val="auto"/>
              </w:rPr>
              <w:t>(97)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400"/>
              <w:spacing w:after="0"/>
              <w:rPr>
                <w:sz w:val="20"/>
                <w:szCs w:val="20"/>
                <w:color w:val="auto"/>
              </w:rPr>
            </w:pPr>
            <w:r>
              <w:rPr>
                <w:rFonts w:ascii="Arial" w:cs="Arial" w:eastAsia="Arial" w:hAnsi="Arial"/>
                <w:sz w:val="18"/>
                <w:szCs w:val="18"/>
                <w:color w:val="auto"/>
              </w:rPr>
              <w:t>Electricity</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(18)</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5"/>
          </w:tcPr>
          <w:p>
            <w:pPr>
              <w:jc w:val="right"/>
              <w:ind w:right="120"/>
              <w:spacing w:after="0"/>
              <w:rPr>
                <w:sz w:val="20"/>
                <w:szCs w:val="20"/>
                <w:color w:val="auto"/>
              </w:rPr>
            </w:pPr>
            <w:r>
              <w:rPr>
                <w:rFonts w:ascii="Arial" w:cs="Arial" w:eastAsia="Arial" w:hAnsi="Arial"/>
                <w:sz w:val="18"/>
                <w:szCs w:val="18"/>
                <w:color w:val="auto"/>
              </w:rPr>
              <w:t>-20.9%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jc w:val="right"/>
              <w:ind w:right="60"/>
              <w:spacing w:after="0"/>
              <w:rPr>
                <w:sz w:val="20"/>
                <w:szCs w:val="20"/>
                <w:color w:val="auto"/>
              </w:rPr>
            </w:pPr>
            <w:r>
              <w:rPr>
                <w:rFonts w:ascii="Arial" w:cs="Arial" w:eastAsia="Arial" w:hAnsi="Arial"/>
                <w:sz w:val="18"/>
                <w:szCs w:val="18"/>
                <w:color w:val="auto"/>
              </w:rPr>
              <w:t>3</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Fuel surcharges and mandated fees</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(40)</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-28.6%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40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00" w:type="dxa"/>
            <w:vAlign w:val="bottom"/>
          </w:tcPr>
          <w:p>
            <w:pPr>
              <w:ind w:left="20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Borders>
              <w:top w:val="single" w:sz="8" w:color="auto"/>
              <w:bottom w:val="single" w:sz="8" w:color="auto"/>
            </w:tcBorders>
            <w:gridSpan w:val="2"/>
          </w:tcPr>
          <w:p>
            <w:pPr>
              <w:jc w:val="right"/>
              <w:ind w:right="168"/>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5"/>
          </w:tcPr>
          <w:p>
            <w:pPr>
              <w:jc w:val="right"/>
              <w:ind w:right="120"/>
              <w:spacing w:after="0"/>
              <w:rPr>
                <w:sz w:val="20"/>
                <w:szCs w:val="20"/>
                <w:color w:val="auto"/>
              </w:rPr>
            </w:pPr>
            <w:r>
              <w:rPr>
                <w:rFonts w:ascii="Arial" w:cs="Arial" w:eastAsia="Arial" w:hAnsi="Arial"/>
                <w:sz w:val="18"/>
                <w:szCs w:val="18"/>
                <w:color w:val="auto"/>
              </w:rPr>
              <w:t>1.5%</w:t>
            </w:r>
          </w:p>
        </w:tc>
        <w:tc>
          <w:tcPr>
            <w:tcW w:w="460" w:type="dxa"/>
            <w:vAlign w:val="bottom"/>
            <w:gridSpan w:val="3"/>
          </w:tcPr>
          <w:p>
            <w:pPr>
              <w:spacing w:after="0"/>
              <w:rPr>
                <w:sz w:val="19"/>
                <w:szCs w:val="19"/>
                <w:color w:val="auto"/>
              </w:rPr>
            </w:pPr>
          </w:p>
        </w:tc>
        <w:tc>
          <w:tcPr>
            <w:tcW w:w="14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(29)</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3"/>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40" w:type="dxa"/>
            <w:vAlign w:val="bottom"/>
            <w:gridSpan w:val="15"/>
          </w:tcPr>
          <w:p>
            <w:pPr>
              <w:jc w:val="right"/>
              <w:ind w:right="280"/>
              <w:spacing w:after="0"/>
              <w:rPr>
                <w:sz w:val="20"/>
                <w:szCs w:val="20"/>
                <w:color w:val="auto"/>
              </w:rPr>
            </w:pPr>
            <w:r>
              <w:rPr>
                <w:rFonts w:ascii="Arial" w:cs="Arial" w:eastAsia="Arial" w:hAnsi="Arial"/>
                <w:sz w:val="14"/>
                <w:szCs w:val="14"/>
                <w:b w:val="1"/>
                <w:bCs w:val="1"/>
                <w:color w:val="auto"/>
                <w:w w:val="96"/>
              </w:rPr>
              <w:t>Quarters Ended December 31,</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40" w:type="dxa"/>
            <w:vAlign w:val="bottom"/>
            <w:gridSpan w:val="10"/>
          </w:tcPr>
          <w:p>
            <w:pPr>
              <w:jc w:val="right"/>
              <w:ind w:right="300"/>
              <w:spacing w:after="0"/>
              <w:rPr>
                <w:sz w:val="20"/>
                <w:szCs w:val="20"/>
                <w:color w:val="auto"/>
              </w:rPr>
            </w:pPr>
            <w:r>
              <w:rPr>
                <w:rFonts w:ascii="Arial" w:cs="Arial" w:eastAsia="Arial" w:hAnsi="Arial"/>
                <w:sz w:val="14"/>
                <w:szCs w:val="14"/>
                <w:b w:val="1"/>
                <w:bCs w:val="1"/>
                <w:color w:val="auto"/>
                <w:w w:val="95"/>
              </w:rPr>
              <w:t>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gridSpan w:val="2"/>
          </w:tcPr>
          <w:p>
            <w:pPr>
              <w:spacing w:after="0"/>
              <w:rPr>
                <w:sz w:val="12"/>
                <w:szCs w:val="12"/>
                <w:color w:val="auto"/>
              </w:rPr>
            </w:pPr>
          </w:p>
        </w:tc>
        <w:tc>
          <w:tcPr>
            <w:tcW w:w="620" w:type="dxa"/>
            <w:vAlign w:val="bottom"/>
            <w:tcBorders>
              <w:top w:val="single" w:sz="8" w:color="auto"/>
              <w:bottom w:val="single" w:sz="8" w:color="auto"/>
            </w:tcBorders>
            <w:gridSpan w:val="3"/>
          </w:tcPr>
          <w:p>
            <w:pPr>
              <w:jc w:val="right"/>
              <w:ind w:right="50"/>
              <w:spacing w:after="0" w:line="142" w:lineRule="exact"/>
              <w:rPr>
                <w:sz w:val="20"/>
                <w:szCs w:val="20"/>
                <w:color w:val="auto"/>
              </w:rPr>
            </w:pPr>
            <w:r>
              <w:rPr>
                <w:rFonts w:ascii="Arial" w:cs="Arial" w:eastAsia="Arial" w:hAnsi="Arial"/>
                <w:sz w:val="14"/>
                <w:szCs w:val="14"/>
                <w:b w:val="1"/>
                <w:bCs w:val="1"/>
                <w:color w:val="auto"/>
              </w:rPr>
              <w:t>2009</w:t>
            </w:r>
          </w:p>
        </w:tc>
        <w:tc>
          <w:tcPr>
            <w:tcW w:w="8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gridSpan w:val="3"/>
          </w:tcPr>
          <w:p>
            <w:pPr>
              <w:jc w:val="right"/>
              <w:ind w:right="80"/>
              <w:spacing w:after="0" w:line="142" w:lineRule="exact"/>
              <w:rPr>
                <w:sz w:val="20"/>
                <w:szCs w:val="20"/>
                <w:color w:val="auto"/>
              </w:rPr>
            </w:pPr>
            <w:r>
              <w:rPr>
                <w:rFonts w:ascii="Arial" w:cs="Arial" w:eastAsia="Arial" w:hAnsi="Arial"/>
                <w:sz w:val="14"/>
                <w:szCs w:val="14"/>
                <w:b w:val="1"/>
                <w:bCs w:val="1"/>
                <w:color w:val="auto"/>
              </w:rPr>
              <w:t>2008</w:t>
            </w:r>
          </w:p>
        </w:tc>
        <w:tc>
          <w:tcPr>
            <w:tcW w:w="120" w:type="dxa"/>
            <w:vAlign w:val="bottom"/>
            <w:tcBorders>
              <w:top w:val="single" w:sz="8" w:color="auto"/>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14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Free Cash Flow Analysis (b)</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12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Pr>
          <w:p>
            <w:pPr>
              <w:spacing w:after="0"/>
              <w:rPr>
                <w:sz w:val="24"/>
                <w:szCs w:val="24"/>
                <w:color w:val="auto"/>
              </w:rPr>
            </w:pPr>
          </w:p>
        </w:tc>
        <w:tc>
          <w:tcPr>
            <w:tcW w:w="580" w:type="dxa"/>
            <w:vAlign w:val="bottom"/>
            <w:gridSpan w:val="3"/>
          </w:tcPr>
          <w:p>
            <w:pPr>
              <w:jc w:val="right"/>
              <w:ind w:right="108"/>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500" w:type="dxa"/>
            <w:vAlign w:val="bottom"/>
            <w:gridSpan w:val="3"/>
          </w:tcPr>
          <w:p>
            <w:pPr>
              <w:jc w:val="right"/>
              <w:ind w:right="140"/>
              <w:spacing w:after="0"/>
              <w:rPr>
                <w:sz w:val="20"/>
                <w:szCs w:val="20"/>
                <w:color w:val="auto"/>
              </w:rPr>
            </w:pPr>
            <w:r>
              <w:rPr>
                <w:rFonts w:ascii="Arial" w:cs="Arial" w:eastAsia="Arial" w:hAnsi="Arial"/>
                <w:sz w:val="18"/>
                <w:szCs w:val="18"/>
                <w:color w:val="auto"/>
              </w:rPr>
              <w:t>720</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5"/>
          </w:tcPr>
          <w:p>
            <w:pPr>
              <w:jc w:val="right"/>
              <w:ind w:right="160"/>
              <w:spacing w:after="0"/>
              <w:rPr>
                <w:sz w:val="20"/>
                <w:szCs w:val="20"/>
                <w:color w:val="auto"/>
              </w:rPr>
            </w:pPr>
            <w:r>
              <w:rPr>
                <w:rFonts w:ascii="Arial" w:cs="Arial" w:eastAsia="Arial" w:hAnsi="Arial"/>
                <w:sz w:val="18"/>
                <w:szCs w:val="18"/>
                <w:color w:val="auto"/>
              </w:rPr>
              <w:t>673</w:t>
            </w:r>
          </w:p>
        </w:tc>
        <w:tc>
          <w:tcPr>
            <w:tcW w:w="600" w:type="dxa"/>
            <w:vAlign w:val="bottom"/>
            <w:gridSpan w:val="5"/>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4"/>
          </w:tcPr>
          <w:p>
            <w:pPr>
              <w:jc w:val="right"/>
              <w:ind w:right="400"/>
              <w:spacing w:after="0"/>
              <w:rPr>
                <w:sz w:val="20"/>
                <w:szCs w:val="20"/>
                <w:color w:val="auto"/>
              </w:rPr>
            </w:pPr>
            <w:r>
              <w:rPr>
                <w:rFonts w:ascii="Arial" w:cs="Arial" w:eastAsia="Arial" w:hAnsi="Arial"/>
                <w:sz w:val="18"/>
                <w:szCs w:val="18"/>
                <w:color w:val="auto"/>
              </w:rPr>
              <w:t>2,362</w:t>
            </w:r>
          </w:p>
        </w:tc>
        <w:tc>
          <w:tcPr>
            <w:tcW w:w="38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2,575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5"/>
              </w:rPr>
              <w:t>(356)</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(434)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(1,179)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(1,221)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00" w:type="dxa"/>
            <w:vAlign w:val="bottom"/>
          </w:tcPr>
          <w:p>
            <w:pPr>
              <w:spacing w:after="0" w:line="201" w:lineRule="exact"/>
              <w:rPr>
                <w:sz w:val="20"/>
                <w:szCs w:val="20"/>
                <w:color w:val="auto"/>
              </w:rPr>
            </w:pPr>
            <w:r>
              <w:rPr>
                <w:rFonts w:ascii="Arial" w:cs="Arial" w:eastAsia="Arial" w:hAnsi="Arial"/>
                <w:sz w:val="18"/>
                <w:szCs w:val="18"/>
                <w:color w:val="auto"/>
                <w:w w:val="93"/>
              </w:rPr>
              <w:t>Proceeds from divestitures of businesses (net of cash divested) and other sales of</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00" w:type="dxa"/>
            <w:vAlign w:val="bottom"/>
          </w:tcPr>
          <w:p>
            <w:pPr>
              <w:ind w:left="200"/>
              <w:spacing w:after="0"/>
              <w:rPr>
                <w:sz w:val="20"/>
                <w:szCs w:val="20"/>
                <w:color w:val="auto"/>
              </w:rPr>
            </w:pPr>
            <w:r>
              <w:rPr>
                <w:rFonts w:ascii="Arial" w:cs="Arial" w:eastAsia="Arial" w:hAnsi="Arial"/>
                <w:sz w:val="18"/>
                <w:szCs w:val="18"/>
                <w:color w:val="auto"/>
              </w:rPr>
              <w:t>assets</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gridSpan w:val="4"/>
          </w:tcPr>
          <w:p>
            <w:pPr>
              <w:jc w:val="right"/>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4"/>
          </w:tcPr>
          <w:p>
            <w:pPr>
              <w:jc w:val="right"/>
              <w:ind w:right="40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0" w:type="dxa"/>
            <w:vAlign w:val="bottom"/>
            <w:tcBorders>
              <w:right w:val="single" w:sz="8" w:color="auto"/>
            </w:tcBorders>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tcBorders>
              <w:right w:val="single" w:sz="8" w:color="auto"/>
            </w:tcBorders>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Free cash flow</w:t>
            </w: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372</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259</w:t>
            </w:r>
          </w:p>
        </w:tc>
        <w:tc>
          <w:tcPr>
            <w:tcW w:w="6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4"/>
            <w:shd w:val="clear" w:color="auto" w:fill="CCEEFF"/>
          </w:tcPr>
          <w:p>
            <w:pPr>
              <w:jc w:val="right"/>
              <w:ind w:right="400"/>
              <w:spacing w:after="0"/>
              <w:rPr>
                <w:sz w:val="20"/>
                <w:szCs w:val="20"/>
                <w:color w:val="auto"/>
              </w:rPr>
            </w:pPr>
            <w:r>
              <w:rPr>
                <w:rFonts w:ascii="Arial" w:cs="Arial" w:eastAsia="Arial" w:hAnsi="Arial"/>
                <w:sz w:val="18"/>
                <w:szCs w:val="18"/>
                <w:color w:val="auto"/>
              </w:rPr>
              <w:t>1,211</w:t>
            </w:r>
          </w:p>
        </w:tc>
        <w:tc>
          <w:tcPr>
            <w:tcW w:w="3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Intercompany revenues between lines of business are eliminated within the Condensed Consolidated Financial Statements included herein.</w:t>
      </w:r>
    </w:p>
    <w:p>
      <w:pPr>
        <w:spacing w:after="0" w:line="88"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summary of free cash flows has been prepared to highlight and facilitate understanding of the principal cash flow elements. Free cash flow is not a measure of financial performance under generally accepted accounting principles and is not intended to replace the consolidated statement of cash flows that was prepared in accordance with generally accepted accounting principles.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Data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jc w:val="right"/>
              <w:ind w:right="640"/>
              <w:spacing w:after="0"/>
              <w:rPr>
                <w:sz w:val="20"/>
                <w:szCs w:val="20"/>
                <w:color w:val="auto"/>
              </w:rPr>
            </w:pPr>
            <w:r>
              <w:rPr>
                <w:rFonts w:ascii="Arial" w:cs="Arial" w:eastAsia="Arial" w:hAnsi="Arial"/>
                <w:sz w:val="14"/>
                <w:szCs w:val="14"/>
                <w:b w:val="1"/>
                <w:bCs w:val="1"/>
                <w:color w:val="auto"/>
              </w:rPr>
              <w:t>Quarters Ended</w:t>
            </w: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300" w:type="dxa"/>
            <w:vAlign w:val="bottom"/>
          </w:tcPr>
          <w:p>
            <w:pPr>
              <w:spacing w:after="0"/>
              <w:rPr>
                <w:sz w:val="10"/>
                <w:szCs w:val="10"/>
                <w:color w:val="auto"/>
              </w:rPr>
            </w:pPr>
          </w:p>
        </w:tc>
        <w:tc>
          <w:tcPr>
            <w:tcW w:w="122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300" w:type="dxa"/>
            <w:vAlign w:val="bottom"/>
          </w:tcPr>
          <w:p>
            <w:pPr>
              <w:spacing w:after="0"/>
              <w:rPr>
                <w:sz w:val="10"/>
                <w:szCs w:val="10"/>
                <w:color w:val="auto"/>
              </w:rPr>
            </w:pPr>
          </w:p>
        </w:tc>
        <w:tc>
          <w:tcPr>
            <w:tcW w:w="15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8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2009</w:t>
            </w: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2009</w:t>
            </w:r>
          </w:p>
        </w:tc>
        <w:tc>
          <w:tcPr>
            <w:tcW w:w="6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732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1,140</w:t>
            </w:r>
          </w:p>
        </w:tc>
        <w:tc>
          <w:tcPr>
            <w:tcW w:w="5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612</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Debt-to-total capital ratio:</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200"/>
              <w:spacing w:after="0"/>
              <w:rPr>
                <w:sz w:val="20"/>
                <w:szCs w:val="20"/>
                <w:color w:val="auto"/>
              </w:rPr>
            </w:pPr>
            <w:r>
              <w:rPr>
                <w:rFonts w:ascii="Arial" w:cs="Arial" w:eastAsia="Arial" w:hAnsi="Arial"/>
                <w:sz w:val="18"/>
                <w:szCs w:val="18"/>
                <w:color w:val="auto"/>
              </w:rPr>
              <w:t>Long-term indebtedness, including current portion</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8,873</w:t>
            </w:r>
          </w:p>
        </w:tc>
        <w:tc>
          <w:tcPr>
            <w:tcW w:w="5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8,246</w:t>
            </w:r>
          </w:p>
        </w:tc>
        <w:tc>
          <w:tcPr>
            <w:tcW w:w="68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8,326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equity (a)</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6,591</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6,521</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6,185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Pr>
          <w:p>
            <w:pPr>
              <w:ind w:left="400"/>
              <w:spacing w:after="0"/>
              <w:rPr>
                <w:sz w:val="20"/>
                <w:szCs w:val="20"/>
                <w:color w:val="auto"/>
              </w:rPr>
            </w:pPr>
            <w:r>
              <w:rPr>
                <w:rFonts w:ascii="Arial" w:cs="Arial" w:eastAsia="Arial" w:hAnsi="Arial"/>
                <w:sz w:val="18"/>
                <w:szCs w:val="18"/>
                <w:color w:val="auto"/>
              </w:rPr>
              <w:t>Total capital</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15,464</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14,767</w:t>
            </w:r>
          </w:p>
        </w:tc>
        <w:tc>
          <w:tcPr>
            <w:tcW w:w="6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14,511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Debt-to-total capital</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57.4%</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55.8%</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57.4%</w:t>
            </w:r>
          </w:p>
        </w:tc>
        <w:tc>
          <w:tcPr>
            <w:tcW w:w="0" w:type="dxa"/>
            <w:vAlign w:val="bottom"/>
          </w:tcPr>
          <w:p>
            <w:pPr>
              <w:spacing w:after="0"/>
              <w:rPr>
                <w:sz w:val="1"/>
                <w:szCs w:val="1"/>
                <w:color w:val="auto"/>
              </w:rPr>
            </w:pPr>
          </w:p>
        </w:tc>
      </w:tr>
      <w:tr>
        <w:trPr>
          <w:trHeight w:val="20"/>
        </w:trPr>
        <w:tc>
          <w:tcPr>
            <w:tcW w:w="7320" w:type="dxa"/>
            <w:vAlign w:val="bottom"/>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320" w:type="dxa"/>
            <w:vAlign w:val="bottom"/>
            <w:gridSpan w:val="2"/>
          </w:tcPr>
          <w:p>
            <w:pPr>
              <w:spacing w:after="0"/>
              <w:rPr>
                <w:sz w:val="20"/>
                <w:szCs w:val="20"/>
                <w:color w:val="auto"/>
              </w:rPr>
            </w:pPr>
            <w:r>
              <w:rPr>
                <w:rFonts w:ascii="Arial" w:cs="Arial" w:eastAsia="Arial" w:hAnsi="Arial"/>
                <w:sz w:val="18"/>
                <w:szCs w:val="18"/>
                <w:color w:val="auto"/>
              </w:rPr>
              <w:t>Capitalized interest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4</w:t>
            </w:r>
          </w:p>
        </w:tc>
        <w:tc>
          <w:tcPr>
            <w:tcW w:w="5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Acquisition Summary (b)</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300" w:type="dxa"/>
            <w:vAlign w:val="bottom"/>
          </w:tcPr>
          <w:p>
            <w:pPr>
              <w:ind w:left="200"/>
              <w:spacing w:after="0"/>
              <w:rPr>
                <w:sz w:val="20"/>
                <w:szCs w:val="20"/>
                <w:color w:val="auto"/>
              </w:rPr>
            </w:pPr>
            <w:r>
              <w:rPr>
                <w:rFonts w:ascii="Arial" w:cs="Arial" w:eastAsia="Arial" w:hAnsi="Arial"/>
                <w:sz w:val="18"/>
                <w:szCs w:val="18"/>
                <w:color w:val="auto"/>
              </w:rPr>
              <w:t>Gross annualized revenue acquired</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107</w:t>
            </w:r>
          </w:p>
        </w:tc>
        <w:tc>
          <w:tcPr>
            <w:tcW w:w="5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53</w:t>
            </w:r>
          </w:p>
        </w:tc>
        <w:tc>
          <w:tcPr>
            <w:tcW w:w="68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consideration</w:t>
            </w: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6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7300" w:type="dxa"/>
            <w:vAlign w:val="bottom"/>
          </w:tcPr>
          <w:p>
            <w:pPr>
              <w:ind w:left="200"/>
              <w:spacing w:after="0"/>
              <w:rPr>
                <w:sz w:val="20"/>
                <w:szCs w:val="20"/>
                <w:color w:val="auto"/>
              </w:rPr>
            </w:pPr>
            <w:r>
              <w:rPr>
                <w:rFonts w:ascii="Arial" w:cs="Arial" w:eastAsia="Arial" w:hAnsi="Arial"/>
                <w:sz w:val="18"/>
                <w:szCs w:val="18"/>
                <w:color w:val="auto"/>
              </w:rPr>
              <w:t>Cash paid for acquisitions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146</w:t>
            </w:r>
          </w:p>
        </w:tc>
        <w:tc>
          <w:tcPr>
            <w:tcW w:w="5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64</w:t>
            </w:r>
          </w:p>
        </w:tc>
        <w:tc>
          <w:tcPr>
            <w:tcW w:w="68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Operational Data</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7320" w:type="dxa"/>
            <w:vAlign w:val="bottom"/>
            <w:gridSpan w:val="2"/>
          </w:tcPr>
          <w:p>
            <w:pPr>
              <w:spacing w:after="0"/>
              <w:rPr>
                <w:sz w:val="20"/>
                <w:szCs w:val="20"/>
                <w:color w:val="auto"/>
              </w:rPr>
            </w:pPr>
            <w:r>
              <w:rPr>
                <w:rFonts w:ascii="Arial" w:cs="Arial" w:eastAsia="Arial" w:hAnsi="Arial"/>
                <w:sz w:val="18"/>
                <w:szCs w:val="18"/>
                <w:color w:val="auto"/>
              </w:rPr>
              <w:t>Internalization of waste, based on disposal costs</w:t>
            </w:r>
          </w:p>
        </w:tc>
        <w:tc>
          <w:tcPr>
            <w:tcW w:w="180" w:type="dxa"/>
            <w:vAlign w:val="bottom"/>
          </w:tcPr>
          <w:p>
            <w:pPr>
              <w:spacing w:after="0"/>
              <w:rPr>
                <w:sz w:val="24"/>
                <w:szCs w:val="24"/>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68.7%</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69.2%</w:t>
            </w:r>
          </w:p>
        </w:tc>
        <w:tc>
          <w:tcPr>
            <w:tcW w:w="180" w:type="dxa"/>
            <w:vAlign w:val="bottom"/>
          </w:tcPr>
          <w:p>
            <w:pPr>
              <w:spacing w:after="0"/>
              <w:rPr>
                <w:sz w:val="24"/>
                <w:szCs w:val="24"/>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68.4%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Total landfill disposal volumes (tons in millions)</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22.3</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23.9</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Total waste-to-energy disposal volumes (tons in millions)</w:t>
            </w: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6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disposal volumes (tons in millions)</w:t>
            </w: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6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20" w:type="dxa"/>
            <w:vAlign w:val="bottom"/>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320" w:type="dxa"/>
            <w:vAlign w:val="bottom"/>
            <w:gridSpan w:val="2"/>
          </w:tcPr>
          <w:p>
            <w:pPr>
              <w:spacing w:after="0"/>
              <w:rPr>
                <w:sz w:val="20"/>
                <w:szCs w:val="20"/>
                <w:color w:val="auto"/>
              </w:rPr>
            </w:pPr>
            <w:r>
              <w:rPr>
                <w:rFonts w:ascii="Arial" w:cs="Arial" w:eastAsia="Arial" w:hAnsi="Arial"/>
                <w:sz w:val="18"/>
                <w:szCs w:val="18"/>
                <w:color w:val="auto"/>
              </w:rPr>
              <w:t>Active landfills</w:t>
            </w:r>
          </w:p>
        </w:tc>
        <w:tc>
          <w:tcPr>
            <w:tcW w:w="180" w:type="dxa"/>
            <w:vAlign w:val="bottom"/>
          </w:tcPr>
          <w:p>
            <w:pPr>
              <w:spacing w:after="0"/>
              <w:rPr>
                <w:sz w:val="24"/>
                <w:szCs w:val="24"/>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273</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274</w:t>
            </w:r>
          </w:p>
        </w:tc>
        <w:tc>
          <w:tcPr>
            <w:tcW w:w="180" w:type="dxa"/>
            <w:vAlign w:val="bottom"/>
          </w:tcPr>
          <w:p>
            <w:pPr>
              <w:spacing w:after="0"/>
              <w:rPr>
                <w:sz w:val="24"/>
                <w:szCs w:val="2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Landfills reporting volume</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259</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259</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0"/>
        </w:trPr>
        <w:tc>
          <w:tcPr>
            <w:tcW w:w="732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9"/>
              </w:rPr>
              <w:t>Amortization and SFAS No. 143 Expenses for Landfills Included in Operating Groups -</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32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Non — SFAS No. 143 amortization expense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82.5</w:t>
            </w:r>
          </w:p>
        </w:tc>
        <w:tc>
          <w:tcPr>
            <w:tcW w:w="5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86.2</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Amortization expense related to SFAS No. 143 obligations</w:t>
            </w:r>
          </w:p>
        </w:tc>
        <w:tc>
          <w:tcPr>
            <w:tcW w:w="180" w:type="dxa"/>
            <w:vAlign w:val="bottom"/>
          </w:tcPr>
          <w:p>
            <w:pPr>
              <w:spacing w:after="0"/>
              <w:rPr>
                <w:sz w:val="19"/>
                <w:szCs w:val="19"/>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(15.8)</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13.8</w:t>
            </w:r>
          </w:p>
        </w:tc>
        <w:tc>
          <w:tcPr>
            <w:tcW w:w="18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amortization expense (c)(d)</w:t>
            </w: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6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Accretion and other related expense</w:t>
            </w: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w:t>
            </w:r>
          </w:p>
        </w:tc>
        <w:tc>
          <w:tcPr>
            <w:tcW w:w="6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Landfill amortization, accretion and other related expense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84.3</w:t>
            </w:r>
          </w:p>
        </w:tc>
        <w:tc>
          <w:tcPr>
            <w:tcW w:w="5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116.9</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380" w:hanging="452"/>
        <w:spacing w:after="0" w:line="264"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 a result of the Company’s adoption of accounting guidance related to noncontrolling interests in consolidated financial statements on January 1, 2009</w:t>
      </w:r>
      <w:r>
        <w:rPr>
          <w:rFonts w:ascii="Arial" w:cs="Arial" w:eastAsia="Arial" w:hAnsi="Arial"/>
          <w:sz w:val="18"/>
          <w:szCs w:val="18"/>
          <w:i w:val="1"/>
          <w:iCs w:val="1"/>
          <w:color w:val="auto"/>
        </w:rPr>
        <w:t>,</w:t>
      </w:r>
      <w:r>
        <w:rPr>
          <w:rFonts w:ascii="Arial" w:cs="Arial" w:eastAsia="Arial" w:hAnsi="Arial"/>
          <w:sz w:val="18"/>
          <w:szCs w:val="18"/>
          <w:color w:val="auto"/>
        </w:rPr>
        <w:t xml:space="preserve"> noncontrolling interests are now reported as a component of Total equity. Prior year information has been reclassified to conform to 2009 presentation.</w:t>
      </w:r>
    </w:p>
    <w:p>
      <w:pPr>
        <w:spacing w:after="0" w:line="32"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Represents amounts associated with business acquisitions consummated during the indicated periods.</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quarter ended December 31, 2009, as compared with the quarter ended December 31, 2008, reflects a reduction in amortization expense of</w:t>
      </w:r>
    </w:p>
    <w:p>
      <w:pPr>
        <w:spacing w:after="0" w:line="34" w:lineRule="exact"/>
        <w:rPr>
          <w:rFonts w:ascii="Arial" w:cs="Arial" w:eastAsia="Arial" w:hAnsi="Arial"/>
          <w:sz w:val="17"/>
          <w:szCs w:val="17"/>
          <w:color w:val="auto"/>
        </w:rPr>
      </w:pPr>
    </w:p>
    <w:p>
      <w:pPr>
        <w:jc w:val="both"/>
        <w:ind w:left="460" w:right="20"/>
        <w:spacing w:after="0" w:line="255" w:lineRule="auto"/>
        <w:rPr>
          <w:rFonts w:ascii="Arial" w:cs="Arial" w:eastAsia="Arial" w:hAnsi="Arial"/>
          <w:sz w:val="17"/>
          <w:szCs w:val="17"/>
          <w:color w:val="auto"/>
        </w:rPr>
      </w:pPr>
      <w:r>
        <w:rPr>
          <w:rFonts w:ascii="Arial" w:cs="Arial" w:eastAsia="Arial" w:hAnsi="Arial"/>
          <w:sz w:val="18"/>
          <w:szCs w:val="18"/>
          <w:color w:val="auto"/>
        </w:rPr>
        <w:t>$26 million, of which $16 million is primarily due the differences in the annual year-end adjustments of the SFAS 143 landfill capping construction and closure/post-closure obligations identified in our annual review process that occurs in the fourth quarter. The remaining decrease is due to lower landfill volumes.</w:t>
      </w:r>
    </w:p>
    <w:p>
      <w:pPr>
        <w:spacing w:after="0" w:line="41" w:lineRule="exact"/>
        <w:rPr>
          <w:rFonts w:ascii="Arial" w:cs="Arial" w:eastAsia="Arial" w:hAnsi="Arial"/>
          <w:sz w:val="17"/>
          <w:szCs w:val="17"/>
          <w:color w:val="auto"/>
        </w:rPr>
      </w:pPr>
    </w:p>
    <w:p>
      <w:pPr>
        <w:ind w:left="460" w:right="640" w:hanging="452"/>
        <w:spacing w:after="0" w:line="312" w:lineRule="auto"/>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quarter ended December 31, 2009, as compared to the quarter ended September 30, 2009, reflects a reduction in amortization expense of $33 million of which $25 million is attributable to year-end adjustments of the SFAS 143 landfill capping construction and closure/post closure obligations as identified in our annual review process that occurs in the fourth quarter. The remaining decrease is due to lower landfill volumes.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9"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Certain Non-GAAP Measures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80" w:type="dxa"/>
            <w:vAlign w:val="bottom"/>
            <w:gridSpan w:val="4"/>
          </w:tcPr>
          <w:p>
            <w:pPr>
              <w:jc w:val="center"/>
              <w:ind w:left="235"/>
              <w:spacing w:after="0"/>
              <w:rPr>
                <w:sz w:val="20"/>
                <w:szCs w:val="20"/>
                <w:color w:val="auto"/>
              </w:rPr>
            </w:pPr>
            <w:r>
              <w:rPr>
                <w:rFonts w:ascii="Arial" w:cs="Arial" w:eastAsia="Arial" w:hAnsi="Arial"/>
                <w:sz w:val="14"/>
                <w:szCs w:val="14"/>
                <w:b w:val="1"/>
                <w:bCs w:val="1"/>
                <w:color w:val="auto"/>
                <w:w w:val="96"/>
              </w:rPr>
              <w:t>Quarter Ended</w:t>
            </w: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4"/>
          </w:tcPr>
          <w:p>
            <w:pPr>
              <w:jc w:val="center"/>
              <w:ind w:left="134"/>
              <w:spacing w:after="0"/>
              <w:rPr>
                <w:sz w:val="20"/>
                <w:szCs w:val="20"/>
                <w:color w:val="auto"/>
              </w:rPr>
            </w:pPr>
            <w:r>
              <w:rPr>
                <w:rFonts w:ascii="Arial" w:cs="Arial" w:eastAsia="Arial" w:hAnsi="Arial"/>
                <w:sz w:val="14"/>
                <w:szCs w:val="14"/>
                <w:b w:val="1"/>
                <w:bCs w:val="1"/>
                <w:color w:val="auto"/>
                <w:w w:val="96"/>
              </w:rPr>
              <w:t>Quarter Ended</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jc w:val="center"/>
              <w:ind w:left="235"/>
              <w:spacing w:after="0"/>
              <w:rPr>
                <w:sz w:val="20"/>
                <w:szCs w:val="20"/>
                <w:color w:val="auto"/>
              </w:rPr>
            </w:pPr>
            <w:r>
              <w:rPr>
                <w:rFonts w:ascii="Arial" w:cs="Arial" w:eastAsia="Arial" w:hAnsi="Arial"/>
                <w:sz w:val="14"/>
                <w:szCs w:val="14"/>
                <w:b w:val="1"/>
                <w:bCs w:val="1"/>
                <w:color w:val="auto"/>
                <w:w w:val="93"/>
              </w:rPr>
              <w:t>December 31, 2009</w:t>
            </w:r>
          </w:p>
        </w:tc>
        <w:tc>
          <w:tcPr>
            <w:tcW w:w="42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center"/>
              <w:ind w:left="154"/>
              <w:spacing w:after="0"/>
              <w:rPr>
                <w:sz w:val="20"/>
                <w:szCs w:val="20"/>
                <w:color w:val="auto"/>
              </w:rPr>
            </w:pPr>
            <w:r>
              <w:rPr>
                <w:rFonts w:ascii="Arial" w:cs="Arial" w:eastAsia="Arial" w:hAnsi="Arial"/>
                <w:sz w:val="14"/>
                <w:szCs w:val="14"/>
                <w:b w:val="1"/>
                <w:bCs w:val="1"/>
                <w:color w:val="auto"/>
                <w:w w:val="91"/>
              </w:rPr>
              <w:t>December 31, 2008</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80" w:type="dxa"/>
            <w:vAlign w:val="bottom"/>
            <w:gridSpan w:val="4"/>
          </w:tcPr>
          <w:p>
            <w:pPr>
              <w:jc w:val="center"/>
              <w:ind w:right="740"/>
              <w:spacing w:after="0" w:line="119" w:lineRule="exact"/>
              <w:rPr>
                <w:sz w:val="20"/>
                <w:szCs w:val="20"/>
                <w:color w:val="auto"/>
              </w:rPr>
            </w:pPr>
            <w:r>
              <w:rPr>
                <w:rFonts w:ascii="Arial" w:cs="Arial" w:eastAsia="Arial" w:hAnsi="Arial"/>
                <w:sz w:val="13"/>
                <w:szCs w:val="13"/>
                <w:b w:val="1"/>
                <w:bCs w:val="1"/>
                <w:color w:val="auto"/>
              </w:rPr>
              <w:t>After-tax</w:t>
            </w:r>
          </w:p>
        </w:tc>
        <w:tc>
          <w:tcPr>
            <w:tcW w:w="68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Per Share</w:t>
            </w:r>
          </w:p>
        </w:tc>
        <w:tc>
          <w:tcPr>
            <w:tcW w:w="660" w:type="dxa"/>
            <w:vAlign w:val="bottom"/>
          </w:tcPr>
          <w:p>
            <w:pPr>
              <w:spacing w:after="0"/>
              <w:rPr>
                <w:sz w:val="10"/>
                <w:szCs w:val="10"/>
                <w:color w:val="auto"/>
              </w:rPr>
            </w:pPr>
          </w:p>
        </w:tc>
        <w:tc>
          <w:tcPr>
            <w:tcW w:w="1040" w:type="dxa"/>
            <w:vAlign w:val="bottom"/>
            <w:gridSpan w:val="3"/>
          </w:tcPr>
          <w:p>
            <w:pPr>
              <w:jc w:val="center"/>
              <w:ind w:right="360"/>
              <w:spacing w:after="0" w:line="119" w:lineRule="exact"/>
              <w:rPr>
                <w:sz w:val="20"/>
                <w:szCs w:val="20"/>
                <w:color w:val="auto"/>
              </w:rPr>
            </w:pPr>
            <w:r>
              <w:rPr>
                <w:rFonts w:ascii="Arial" w:cs="Arial" w:eastAsia="Arial" w:hAnsi="Arial"/>
                <w:sz w:val="13"/>
                <w:szCs w:val="13"/>
                <w:b w:val="1"/>
                <w:bCs w:val="1"/>
                <w:color w:val="auto"/>
              </w:rPr>
              <w:t>After-tax</w:t>
            </w:r>
          </w:p>
        </w:tc>
        <w:tc>
          <w:tcPr>
            <w:tcW w:w="320" w:type="dxa"/>
            <w:vAlign w:val="bottom"/>
          </w:tcPr>
          <w:p>
            <w:pPr>
              <w:spacing w:after="0"/>
              <w:rPr>
                <w:sz w:val="10"/>
                <w:szCs w:val="10"/>
                <w:color w:val="auto"/>
              </w:rPr>
            </w:pPr>
          </w:p>
        </w:tc>
        <w:tc>
          <w:tcPr>
            <w:tcW w:w="68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Per Share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20" w:type="dxa"/>
            <w:vAlign w:val="bottom"/>
            <w:gridSpan w:val="3"/>
          </w:tcPr>
          <w:p>
            <w:pPr>
              <w:jc w:val="center"/>
              <w:ind w:right="780"/>
              <w:spacing w:after="0"/>
              <w:rPr>
                <w:sz w:val="20"/>
                <w:szCs w:val="20"/>
                <w:color w:val="auto"/>
              </w:rPr>
            </w:pPr>
            <w:r>
              <w:rPr>
                <w:rFonts w:ascii="Arial" w:cs="Arial" w:eastAsia="Arial" w:hAnsi="Arial"/>
                <w:sz w:val="14"/>
                <w:szCs w:val="14"/>
                <w:b w:val="1"/>
                <w:bCs w:val="1"/>
                <w:color w:val="auto"/>
                <w:w w:val="94"/>
              </w:rPr>
              <w:t>Amount</w:t>
            </w:r>
          </w:p>
        </w:tc>
        <w:tc>
          <w:tcPr>
            <w:tcW w:w="134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w w:val="94"/>
              </w:rPr>
              <w:t>Amount</w:t>
            </w:r>
          </w:p>
        </w:tc>
        <w:tc>
          <w:tcPr>
            <w:tcW w:w="104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4"/>
              </w:rPr>
              <w:t>Amount</w:t>
            </w:r>
          </w:p>
        </w:tc>
        <w:tc>
          <w:tcPr>
            <w:tcW w:w="320" w:type="dxa"/>
            <w:vAlign w:val="bottom"/>
          </w:tcPr>
          <w:p>
            <w:pPr>
              <w:spacing w:after="0"/>
              <w:rPr>
                <w:sz w:val="14"/>
                <w:szCs w:val="14"/>
                <w:color w:val="auto"/>
              </w:rPr>
            </w:pPr>
          </w:p>
        </w:tc>
        <w:tc>
          <w:tcPr>
            <w:tcW w:w="7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10"/>
        </w:trPr>
        <w:tc>
          <w:tcPr>
            <w:tcW w:w="65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Adjusted Net income and Diluted Earnings Per Share</w:t>
            </w:r>
          </w:p>
        </w:tc>
        <w:tc>
          <w:tcPr>
            <w:tcW w:w="20" w:type="dxa"/>
            <w:vAlign w:val="bottom"/>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540" w:type="dxa"/>
            <w:vAlign w:val="bottom"/>
          </w:tcPr>
          <w:p>
            <w:pPr>
              <w:ind w:left="220"/>
              <w:spacing w:after="0"/>
              <w:rPr>
                <w:sz w:val="20"/>
                <w:szCs w:val="20"/>
                <w:color w:val="auto"/>
              </w:rPr>
            </w:pPr>
            <w:r>
              <w:rPr>
                <w:rFonts w:ascii="Arial" w:cs="Arial" w:eastAsia="Arial" w:hAnsi="Arial"/>
                <w:sz w:val="18"/>
                <w:szCs w:val="18"/>
                <w:b w:val="1"/>
                <w:bCs w:val="1"/>
                <w:color w:val="auto"/>
              </w:rPr>
              <w:t>Net income and Diluted EPS, as reported</w:t>
            </w:r>
          </w:p>
        </w:tc>
        <w:tc>
          <w:tcPr>
            <w:tcW w:w="80" w:type="dxa"/>
            <w:vAlign w:val="bottom"/>
            <w:gridSpan w:val="2"/>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315</w:t>
            </w:r>
          </w:p>
        </w:tc>
        <w:tc>
          <w:tcPr>
            <w:tcW w:w="680" w:type="dxa"/>
            <w:vAlign w:val="bottom"/>
          </w:tcPr>
          <w:p>
            <w:pPr>
              <w:spacing w:after="0"/>
              <w:rPr>
                <w:sz w:val="24"/>
                <w:szCs w:val="24"/>
                <w:color w:val="auto"/>
              </w:rPr>
            </w:pPr>
          </w:p>
        </w:tc>
        <w:tc>
          <w:tcPr>
            <w:tcW w:w="260" w:type="dxa"/>
            <w:vAlign w:val="bottom"/>
          </w:tcPr>
          <w:p>
            <w:pPr>
              <w:jc w:val="right"/>
              <w:ind w:right="108"/>
              <w:spacing w:after="0"/>
              <w:rPr>
                <w:sz w:val="20"/>
                <w:szCs w:val="20"/>
                <w:color w:val="auto"/>
              </w:rPr>
            </w:pPr>
            <w:r>
              <w:rPr>
                <w:rFonts w:ascii="Arial" w:cs="Arial" w:eastAsia="Arial" w:hAnsi="Arial"/>
                <w:sz w:val="15"/>
                <w:szCs w:val="15"/>
                <w:b w:val="1"/>
                <w:bCs w:val="1"/>
                <w:color w:val="auto"/>
                <w:w w:val="71"/>
              </w:rPr>
              <w:t>$</w:t>
            </w:r>
          </w:p>
        </w:tc>
        <w:tc>
          <w:tcPr>
            <w:tcW w:w="108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0.64</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218</w:t>
            </w:r>
          </w:p>
        </w:tc>
        <w:tc>
          <w:tcPr>
            <w:tcW w:w="580" w:type="dxa"/>
            <w:vAlign w:val="bottom"/>
            <w:gridSpan w:val="2"/>
          </w:tcPr>
          <w:p>
            <w:pPr>
              <w:jc w:val="right"/>
              <w:ind w:right="109"/>
              <w:spacing w:after="0"/>
              <w:rPr>
                <w:sz w:val="20"/>
                <w:szCs w:val="20"/>
                <w:color w:val="auto"/>
              </w:rPr>
            </w:pPr>
            <w:r>
              <w:rPr>
                <w:rFonts w:ascii="Arial" w:cs="Arial" w:eastAsia="Arial" w:hAnsi="Arial"/>
                <w:sz w:val="18"/>
                <w:szCs w:val="18"/>
                <w:b w:val="1"/>
                <w:bCs w:val="1"/>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0.44</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Adjustments to Net income and Diluted EPS: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ind w:left="420"/>
              <w:spacing w:after="0"/>
              <w:rPr>
                <w:sz w:val="20"/>
                <w:szCs w:val="20"/>
                <w:color w:val="auto"/>
              </w:rPr>
            </w:pPr>
            <w:r>
              <w:rPr>
                <w:rFonts w:ascii="Arial" w:cs="Arial" w:eastAsia="Arial" w:hAnsi="Arial"/>
                <w:sz w:val="18"/>
                <w:szCs w:val="18"/>
                <w:color w:val="auto"/>
              </w:rPr>
              <w:t>Benefit from income tax related items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20" w:type="dxa"/>
            <w:vAlign w:val="bottom"/>
            <w:gridSpan w:val="3"/>
          </w:tcPr>
          <w:p>
            <w:pPr>
              <w:jc w:val="right"/>
              <w:ind w:right="640"/>
              <w:spacing w:after="0"/>
              <w:rPr>
                <w:sz w:val="20"/>
                <w:szCs w:val="20"/>
                <w:color w:val="auto"/>
              </w:rPr>
            </w:pPr>
            <w:r>
              <w:rPr>
                <w:rFonts w:ascii="Arial" w:cs="Arial" w:eastAsia="Arial" w:hAnsi="Arial"/>
                <w:sz w:val="18"/>
                <w:szCs w:val="18"/>
                <w:color w:val="auto"/>
              </w:rPr>
              <w:t>(81)</w:t>
            </w:r>
          </w:p>
        </w:tc>
        <w:tc>
          <w:tcPr>
            <w:tcW w:w="26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w w:val="97"/>
              </w:rPr>
              <w:t>(0.17)</w:t>
            </w:r>
          </w:p>
        </w:tc>
        <w:tc>
          <w:tcPr>
            <w:tcW w:w="18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(6)</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(0.01)</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Expense from divestitures, asset impairments and unusual items, net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0.04</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40" w:type="dxa"/>
            <w:vAlign w:val="bottom"/>
          </w:tcPr>
          <w:p>
            <w:pPr>
              <w:ind w:left="420"/>
              <w:spacing w:after="0"/>
              <w:rPr>
                <w:sz w:val="20"/>
                <w:szCs w:val="20"/>
                <w:color w:val="auto"/>
              </w:rPr>
            </w:pPr>
            <w:r>
              <w:rPr>
                <w:rFonts w:ascii="Arial" w:cs="Arial" w:eastAsia="Arial" w:hAnsi="Arial"/>
                <w:sz w:val="18"/>
                <w:szCs w:val="18"/>
                <w:color w:val="auto"/>
              </w:rPr>
              <w:t>Restructuring</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660"/>
              <w:spacing w:after="0"/>
              <w:rPr>
                <w:sz w:val="20"/>
                <w:szCs w:val="20"/>
                <w:color w:val="auto"/>
              </w:rPr>
            </w:pPr>
            <w:r>
              <w:rPr>
                <w:rFonts w:ascii="Arial" w:cs="Arial" w:eastAsia="Arial" w:hAnsi="Arial"/>
                <w:sz w:val="18"/>
                <w:szCs w:val="18"/>
                <w:color w:val="auto"/>
              </w:rPr>
              <w:t>0.01</w:t>
            </w:r>
          </w:p>
        </w:tc>
        <w:tc>
          <w:tcPr>
            <w:tcW w:w="18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Landfill operating costs — changes in risk-free interest rates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30"/>
        </w:trPr>
        <w:tc>
          <w:tcPr>
            <w:tcW w:w="6540" w:type="dxa"/>
            <w:vAlign w:val="bottom"/>
          </w:tcPr>
          <w:p>
            <w:pPr>
              <w:ind w:left="420"/>
              <w:spacing w:after="0"/>
              <w:rPr>
                <w:sz w:val="20"/>
                <w:szCs w:val="20"/>
                <w:color w:val="auto"/>
              </w:rPr>
            </w:pPr>
            <w:r>
              <w:rPr>
                <w:rFonts w:ascii="Arial" w:cs="Arial" w:eastAsia="Arial" w:hAnsi="Arial"/>
                <w:sz w:val="18"/>
                <w:szCs w:val="18"/>
                <w:color w:val="auto"/>
              </w:rPr>
              <w:t>Multi-employer pension withdrawal costs</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20" w:type="dxa"/>
            <w:vAlign w:val="bottom"/>
            <w:gridSpan w:val="3"/>
          </w:tcPr>
          <w:p>
            <w:pPr>
              <w:jc w:val="right"/>
              <w:ind w:right="7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13</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09"/>
        </w:trPr>
        <w:tc>
          <w:tcPr>
            <w:tcW w:w="6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Net income and Diluted EPS, as adjusted (a)</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257</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5"/>
                <w:szCs w:val="15"/>
                <w:b w:val="1"/>
                <w:bCs w:val="1"/>
                <w:color w:val="auto"/>
                <w:w w:val="71"/>
              </w:rPr>
              <w:t>$</w:t>
            </w:r>
          </w:p>
        </w:tc>
        <w:tc>
          <w:tcPr>
            <w:tcW w:w="10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0.</w:t>
            </w:r>
            <w:r>
              <w:rPr>
                <w:rFonts w:ascii="Arial" w:cs="Arial" w:eastAsia="Arial" w:hAnsi="Arial"/>
                <w:sz w:val="18"/>
                <w:szCs w:val="18"/>
                <w:b w:val="1"/>
                <w:bCs w:val="1"/>
                <w:u w:val="single" w:color="auto"/>
                <w:color w:val="auto"/>
              </w:rPr>
              <w:t>52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241</w:t>
            </w:r>
          </w:p>
        </w:tc>
        <w:tc>
          <w:tcPr>
            <w:tcW w:w="580" w:type="dxa"/>
            <w:vAlign w:val="bottom"/>
            <w:gridSpan w:val="2"/>
            <w:shd w:val="clear" w:color="auto" w:fill="CCEEFF"/>
          </w:tcPr>
          <w:p>
            <w:pPr>
              <w:jc w:val="right"/>
              <w:ind w:right="109"/>
              <w:spacing w:after="0"/>
              <w:rPr>
                <w:sz w:val="20"/>
                <w:szCs w:val="20"/>
                <w:color w:val="auto"/>
              </w:rPr>
            </w:pPr>
            <w:r>
              <w:rPr>
                <w:rFonts w:ascii="Arial" w:cs="Arial" w:eastAsia="Arial" w:hAnsi="Arial"/>
                <w:sz w:val="18"/>
                <w:szCs w:val="18"/>
                <w:b w:val="1"/>
                <w:bCs w:val="1"/>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w:t>
            </w:r>
            <w:r>
              <w:rPr>
                <w:rFonts w:ascii="Arial" w:cs="Arial" w:eastAsia="Arial" w:hAnsi="Arial"/>
                <w:sz w:val="18"/>
                <w:szCs w:val="18"/>
                <w:b w:val="1"/>
                <w:bCs w:val="1"/>
                <w:u w:val="single" w:color="auto"/>
                <w:color w:val="auto"/>
              </w:rPr>
              <w:t>49</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6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20" w:type="dxa"/>
            <w:vAlign w:val="bottom"/>
            <w:gridSpan w:val="3"/>
          </w:tcPr>
          <w:p>
            <w:pPr>
              <w:jc w:val="center"/>
              <w:ind w:left="495"/>
              <w:spacing w:after="0"/>
              <w:rPr>
                <w:sz w:val="20"/>
                <w:szCs w:val="20"/>
                <w:color w:val="auto"/>
              </w:rPr>
            </w:pPr>
            <w:r>
              <w:rPr>
                <w:rFonts w:ascii="Arial" w:cs="Arial" w:eastAsia="Arial" w:hAnsi="Arial"/>
                <w:sz w:val="14"/>
                <w:szCs w:val="14"/>
                <w:b w:val="1"/>
                <w:bCs w:val="1"/>
                <w:color w:val="auto"/>
                <w:w w:val="96"/>
              </w:rPr>
              <w:t>Year Ended</w:t>
            </w: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gridSpan w:val="4"/>
          </w:tcPr>
          <w:p>
            <w:pPr>
              <w:jc w:val="center"/>
              <w:ind w:left="154"/>
              <w:spacing w:after="0"/>
              <w:rPr>
                <w:sz w:val="20"/>
                <w:szCs w:val="20"/>
                <w:color w:val="auto"/>
              </w:rPr>
            </w:pPr>
            <w:r>
              <w:rPr>
                <w:rFonts w:ascii="Arial" w:cs="Arial" w:eastAsia="Arial" w:hAnsi="Arial"/>
                <w:sz w:val="14"/>
                <w:szCs w:val="14"/>
                <w:b w:val="1"/>
                <w:bCs w:val="1"/>
                <w:color w:val="auto"/>
                <w:w w:val="93"/>
              </w:rPr>
              <w:t>Year Ended</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jc w:val="center"/>
              <w:ind w:left="235"/>
              <w:spacing w:after="0"/>
              <w:rPr>
                <w:sz w:val="20"/>
                <w:szCs w:val="20"/>
                <w:color w:val="auto"/>
              </w:rPr>
            </w:pPr>
            <w:r>
              <w:rPr>
                <w:rFonts w:ascii="Arial" w:cs="Arial" w:eastAsia="Arial" w:hAnsi="Arial"/>
                <w:sz w:val="14"/>
                <w:szCs w:val="14"/>
                <w:b w:val="1"/>
                <w:bCs w:val="1"/>
                <w:color w:val="auto"/>
                <w:w w:val="93"/>
              </w:rPr>
              <w:t>December 31, 2009</w:t>
            </w:r>
          </w:p>
        </w:tc>
        <w:tc>
          <w:tcPr>
            <w:tcW w:w="42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center"/>
              <w:ind w:left="154"/>
              <w:spacing w:after="0"/>
              <w:rPr>
                <w:sz w:val="20"/>
                <w:szCs w:val="20"/>
                <w:color w:val="auto"/>
              </w:rPr>
            </w:pPr>
            <w:r>
              <w:rPr>
                <w:rFonts w:ascii="Arial" w:cs="Arial" w:eastAsia="Arial" w:hAnsi="Arial"/>
                <w:sz w:val="14"/>
                <w:szCs w:val="14"/>
                <w:b w:val="1"/>
                <w:bCs w:val="1"/>
                <w:color w:val="auto"/>
                <w:w w:val="91"/>
              </w:rPr>
              <w:t>December 31, 2008</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80" w:type="dxa"/>
            <w:vAlign w:val="bottom"/>
            <w:gridSpan w:val="4"/>
          </w:tcPr>
          <w:p>
            <w:pPr>
              <w:jc w:val="center"/>
              <w:ind w:right="740"/>
              <w:spacing w:after="0" w:line="119" w:lineRule="exact"/>
              <w:rPr>
                <w:sz w:val="20"/>
                <w:szCs w:val="20"/>
                <w:color w:val="auto"/>
              </w:rPr>
            </w:pPr>
            <w:r>
              <w:rPr>
                <w:rFonts w:ascii="Arial" w:cs="Arial" w:eastAsia="Arial" w:hAnsi="Arial"/>
                <w:sz w:val="13"/>
                <w:szCs w:val="13"/>
                <w:b w:val="1"/>
                <w:bCs w:val="1"/>
                <w:color w:val="auto"/>
              </w:rPr>
              <w:t>After-tax</w:t>
            </w:r>
          </w:p>
        </w:tc>
        <w:tc>
          <w:tcPr>
            <w:tcW w:w="68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Per Share</w:t>
            </w:r>
          </w:p>
        </w:tc>
        <w:tc>
          <w:tcPr>
            <w:tcW w:w="660" w:type="dxa"/>
            <w:vAlign w:val="bottom"/>
          </w:tcPr>
          <w:p>
            <w:pPr>
              <w:spacing w:after="0"/>
              <w:rPr>
                <w:sz w:val="10"/>
                <w:szCs w:val="10"/>
                <w:color w:val="auto"/>
              </w:rPr>
            </w:pPr>
          </w:p>
        </w:tc>
        <w:tc>
          <w:tcPr>
            <w:tcW w:w="1040" w:type="dxa"/>
            <w:vAlign w:val="bottom"/>
            <w:gridSpan w:val="3"/>
          </w:tcPr>
          <w:p>
            <w:pPr>
              <w:jc w:val="center"/>
              <w:ind w:right="360"/>
              <w:spacing w:after="0" w:line="119" w:lineRule="exact"/>
              <w:rPr>
                <w:sz w:val="20"/>
                <w:szCs w:val="20"/>
                <w:color w:val="auto"/>
              </w:rPr>
            </w:pPr>
            <w:r>
              <w:rPr>
                <w:rFonts w:ascii="Arial" w:cs="Arial" w:eastAsia="Arial" w:hAnsi="Arial"/>
                <w:sz w:val="13"/>
                <w:szCs w:val="13"/>
                <w:b w:val="1"/>
                <w:bCs w:val="1"/>
                <w:color w:val="auto"/>
              </w:rPr>
              <w:t>After-tax</w:t>
            </w:r>
          </w:p>
        </w:tc>
        <w:tc>
          <w:tcPr>
            <w:tcW w:w="320" w:type="dxa"/>
            <w:vAlign w:val="bottom"/>
          </w:tcPr>
          <w:p>
            <w:pPr>
              <w:spacing w:after="0"/>
              <w:rPr>
                <w:sz w:val="10"/>
                <w:szCs w:val="10"/>
                <w:color w:val="auto"/>
              </w:rPr>
            </w:pPr>
          </w:p>
        </w:tc>
        <w:tc>
          <w:tcPr>
            <w:tcW w:w="68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Per Share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20" w:type="dxa"/>
            <w:vAlign w:val="bottom"/>
            <w:gridSpan w:val="3"/>
          </w:tcPr>
          <w:p>
            <w:pPr>
              <w:jc w:val="center"/>
              <w:ind w:right="780"/>
              <w:spacing w:after="0"/>
              <w:rPr>
                <w:sz w:val="20"/>
                <w:szCs w:val="20"/>
                <w:color w:val="auto"/>
              </w:rPr>
            </w:pPr>
            <w:r>
              <w:rPr>
                <w:rFonts w:ascii="Arial" w:cs="Arial" w:eastAsia="Arial" w:hAnsi="Arial"/>
                <w:sz w:val="14"/>
                <w:szCs w:val="14"/>
                <w:b w:val="1"/>
                <w:bCs w:val="1"/>
                <w:color w:val="auto"/>
                <w:w w:val="94"/>
              </w:rPr>
              <w:t>Amount</w:t>
            </w:r>
          </w:p>
        </w:tc>
        <w:tc>
          <w:tcPr>
            <w:tcW w:w="134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w w:val="94"/>
              </w:rPr>
              <w:t>Amount</w:t>
            </w:r>
          </w:p>
        </w:tc>
        <w:tc>
          <w:tcPr>
            <w:tcW w:w="104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4"/>
              </w:rPr>
              <w:t>Amount</w:t>
            </w:r>
          </w:p>
        </w:tc>
        <w:tc>
          <w:tcPr>
            <w:tcW w:w="320" w:type="dxa"/>
            <w:vAlign w:val="bottom"/>
          </w:tcPr>
          <w:p>
            <w:pPr>
              <w:spacing w:after="0"/>
              <w:rPr>
                <w:sz w:val="14"/>
                <w:szCs w:val="14"/>
                <w:color w:val="auto"/>
              </w:rPr>
            </w:pPr>
          </w:p>
        </w:tc>
        <w:tc>
          <w:tcPr>
            <w:tcW w:w="7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10"/>
        </w:trPr>
        <w:tc>
          <w:tcPr>
            <w:tcW w:w="65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Adjusted Net income and Diluted Earnings Per Share</w:t>
            </w:r>
          </w:p>
        </w:tc>
        <w:tc>
          <w:tcPr>
            <w:tcW w:w="20" w:type="dxa"/>
            <w:vAlign w:val="bottom"/>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540" w:type="dxa"/>
            <w:vAlign w:val="bottom"/>
          </w:tcPr>
          <w:p>
            <w:pPr>
              <w:ind w:left="220"/>
              <w:spacing w:after="0"/>
              <w:rPr>
                <w:sz w:val="20"/>
                <w:szCs w:val="20"/>
                <w:color w:val="auto"/>
              </w:rPr>
            </w:pPr>
            <w:r>
              <w:rPr>
                <w:rFonts w:ascii="Arial" w:cs="Arial" w:eastAsia="Arial" w:hAnsi="Arial"/>
                <w:sz w:val="18"/>
                <w:szCs w:val="18"/>
                <w:b w:val="1"/>
                <w:bCs w:val="1"/>
                <w:color w:val="auto"/>
              </w:rPr>
              <w:t>Net income and Diluted EPS, as reported</w:t>
            </w:r>
          </w:p>
        </w:tc>
        <w:tc>
          <w:tcPr>
            <w:tcW w:w="80" w:type="dxa"/>
            <w:vAlign w:val="bottom"/>
            <w:gridSpan w:val="2"/>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994</w:t>
            </w:r>
          </w:p>
        </w:tc>
        <w:tc>
          <w:tcPr>
            <w:tcW w:w="680" w:type="dxa"/>
            <w:vAlign w:val="bottom"/>
          </w:tcPr>
          <w:p>
            <w:pPr>
              <w:spacing w:after="0"/>
              <w:rPr>
                <w:sz w:val="24"/>
                <w:szCs w:val="24"/>
                <w:color w:val="auto"/>
              </w:rPr>
            </w:pPr>
          </w:p>
        </w:tc>
        <w:tc>
          <w:tcPr>
            <w:tcW w:w="260" w:type="dxa"/>
            <w:vAlign w:val="bottom"/>
          </w:tcPr>
          <w:p>
            <w:pPr>
              <w:jc w:val="right"/>
              <w:ind w:right="108"/>
              <w:spacing w:after="0"/>
              <w:rPr>
                <w:sz w:val="20"/>
                <w:szCs w:val="20"/>
                <w:color w:val="auto"/>
              </w:rPr>
            </w:pPr>
            <w:r>
              <w:rPr>
                <w:rFonts w:ascii="Arial" w:cs="Arial" w:eastAsia="Arial" w:hAnsi="Arial"/>
                <w:sz w:val="15"/>
                <w:szCs w:val="15"/>
                <w:b w:val="1"/>
                <w:bCs w:val="1"/>
                <w:color w:val="auto"/>
                <w:w w:val="71"/>
              </w:rPr>
              <w:t>$</w:t>
            </w:r>
          </w:p>
        </w:tc>
        <w:tc>
          <w:tcPr>
            <w:tcW w:w="108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2.01</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1,087</w:t>
            </w:r>
          </w:p>
        </w:tc>
        <w:tc>
          <w:tcPr>
            <w:tcW w:w="580" w:type="dxa"/>
            <w:vAlign w:val="bottom"/>
            <w:gridSpan w:val="2"/>
          </w:tcPr>
          <w:p>
            <w:pPr>
              <w:jc w:val="right"/>
              <w:ind w:right="109"/>
              <w:spacing w:after="0"/>
              <w:rPr>
                <w:sz w:val="20"/>
                <w:szCs w:val="20"/>
                <w:color w:val="auto"/>
              </w:rPr>
            </w:pPr>
            <w:r>
              <w:rPr>
                <w:rFonts w:ascii="Arial" w:cs="Arial" w:eastAsia="Arial" w:hAnsi="Arial"/>
                <w:sz w:val="18"/>
                <w:szCs w:val="18"/>
                <w:b w:val="1"/>
                <w:bCs w:val="1"/>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2.19</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Adjustments to Net income and Diluted EPS: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ind w:left="420"/>
              <w:spacing w:after="0"/>
              <w:rPr>
                <w:sz w:val="20"/>
                <w:szCs w:val="20"/>
                <w:color w:val="auto"/>
              </w:rPr>
            </w:pPr>
            <w:r>
              <w:rPr>
                <w:rFonts w:ascii="Arial" w:cs="Arial" w:eastAsia="Arial" w:hAnsi="Arial"/>
                <w:sz w:val="18"/>
                <w:szCs w:val="18"/>
                <w:color w:val="auto"/>
              </w:rPr>
              <w:t>Tax items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20" w:type="dxa"/>
            <w:vAlign w:val="bottom"/>
            <w:gridSpan w:val="3"/>
          </w:tcPr>
          <w:p>
            <w:pPr>
              <w:jc w:val="right"/>
              <w:ind w:right="640"/>
              <w:spacing w:after="0"/>
              <w:rPr>
                <w:sz w:val="20"/>
                <w:szCs w:val="20"/>
                <w:color w:val="auto"/>
              </w:rPr>
            </w:pPr>
            <w:r>
              <w:rPr>
                <w:rFonts w:ascii="Arial" w:cs="Arial" w:eastAsia="Arial" w:hAnsi="Arial"/>
                <w:sz w:val="18"/>
                <w:szCs w:val="18"/>
                <w:color w:val="auto"/>
              </w:rPr>
              <w:t>(95)</w:t>
            </w:r>
          </w:p>
        </w:tc>
        <w:tc>
          <w:tcPr>
            <w:tcW w:w="26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w w:val="97"/>
              </w:rPr>
              <w:t>(0.19)</w:t>
            </w:r>
          </w:p>
        </w:tc>
        <w:tc>
          <w:tcPr>
            <w:tcW w:w="18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(19)</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(0.03)</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Restructuring</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0.07</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8"/>
        </w:trPr>
        <w:tc>
          <w:tcPr>
            <w:tcW w:w="6540" w:type="dxa"/>
            <w:vAlign w:val="bottom"/>
          </w:tcPr>
          <w:p>
            <w:pPr>
              <w:ind w:left="420"/>
              <w:spacing w:after="0" w:line="198" w:lineRule="exact"/>
              <w:rPr>
                <w:sz w:val="20"/>
                <w:szCs w:val="20"/>
                <w:color w:val="auto"/>
              </w:rPr>
            </w:pPr>
            <w:r>
              <w:rPr>
                <w:rFonts w:ascii="Arial" w:cs="Arial" w:eastAsia="Arial" w:hAnsi="Arial"/>
                <w:sz w:val="18"/>
                <w:szCs w:val="18"/>
                <w:color w:val="auto"/>
              </w:rPr>
              <w:t>(Income) expense from divestitures, asset impairments and unusual items,</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540" w:type="dxa"/>
            <w:vAlign w:val="bottom"/>
          </w:tcPr>
          <w:p>
            <w:pPr>
              <w:ind w:left="620"/>
              <w:spacing w:after="0"/>
              <w:rPr>
                <w:sz w:val="20"/>
                <w:szCs w:val="20"/>
                <w:color w:val="auto"/>
              </w:rPr>
            </w:pPr>
            <w:r>
              <w:rPr>
                <w:rFonts w:ascii="Arial" w:cs="Arial" w:eastAsia="Arial" w:hAnsi="Arial"/>
                <w:sz w:val="18"/>
                <w:szCs w:val="18"/>
                <w:color w:val="auto"/>
              </w:rPr>
              <w:t>net</w:t>
            </w:r>
            <w:r>
              <w:rPr>
                <w:rFonts w:ascii="Arial" w:cs="Arial" w:eastAsia="Arial" w:hAnsi="Arial"/>
                <w:sz w:val="18"/>
                <w:szCs w:val="18"/>
                <w:b w:val="1"/>
                <w:bCs w:val="1"/>
                <w:color w:val="auto"/>
              </w:rPr>
              <w:t>(b)</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660"/>
              <w:spacing w:after="0"/>
              <w:rPr>
                <w:sz w:val="20"/>
                <w:szCs w:val="20"/>
                <w:color w:val="auto"/>
              </w:rPr>
            </w:pPr>
            <w:r>
              <w:rPr>
                <w:rFonts w:ascii="Arial" w:cs="Arial" w:eastAsia="Arial" w:hAnsi="Arial"/>
                <w:sz w:val="18"/>
                <w:szCs w:val="18"/>
                <w:color w:val="auto"/>
              </w:rPr>
              <w:t>0.10</w:t>
            </w:r>
          </w:p>
        </w:tc>
        <w:tc>
          <w:tcPr>
            <w:tcW w:w="180" w:type="dxa"/>
            <w:vAlign w:val="bottom"/>
          </w:tcPr>
          <w:p>
            <w:pPr>
              <w:spacing w:after="0"/>
              <w:rPr>
                <w:sz w:val="20"/>
                <w:szCs w:val="20"/>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(14)</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(0.03)</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Multi-employer pension withdrawal costs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0.01</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16"/>
        </w:trPr>
        <w:tc>
          <w:tcPr>
            <w:tcW w:w="6540" w:type="dxa"/>
            <w:vAlign w:val="bottom"/>
          </w:tcPr>
          <w:p>
            <w:pPr>
              <w:ind w:left="420"/>
              <w:spacing w:after="0"/>
              <w:rPr>
                <w:sz w:val="20"/>
                <w:szCs w:val="20"/>
                <w:color w:val="auto"/>
              </w:rPr>
            </w:pPr>
            <w:r>
              <w:rPr>
                <w:rFonts w:ascii="Arial" w:cs="Arial" w:eastAsia="Arial" w:hAnsi="Arial"/>
                <w:sz w:val="18"/>
                <w:szCs w:val="18"/>
                <w:color w:val="auto"/>
              </w:rPr>
              <w:t>Landfill operating costs — changes in risk-free interest rates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20" w:type="dxa"/>
            <w:vAlign w:val="bottom"/>
            <w:gridSpan w:val="3"/>
          </w:tcPr>
          <w:p>
            <w:pPr>
              <w:jc w:val="right"/>
              <w:ind w:right="7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16</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Labor disruptions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6540" w:type="dxa"/>
            <w:vAlign w:val="bottom"/>
            <w:vMerge w:val="restart"/>
          </w:tcPr>
          <w:p>
            <w:pPr>
              <w:ind w:left="220"/>
              <w:spacing w:after="0"/>
              <w:rPr>
                <w:sz w:val="20"/>
                <w:szCs w:val="20"/>
                <w:color w:val="auto"/>
              </w:rPr>
            </w:pPr>
            <w:r>
              <w:rPr>
                <w:rFonts w:ascii="Arial" w:cs="Arial" w:eastAsia="Arial" w:hAnsi="Arial"/>
                <w:sz w:val="18"/>
                <w:szCs w:val="18"/>
                <w:b w:val="1"/>
                <w:bCs w:val="1"/>
                <w:color w:val="auto"/>
              </w:rPr>
              <w:t>Net income and Diluted EPS, as adjusted</w:t>
            </w:r>
          </w:p>
        </w:tc>
        <w:tc>
          <w:tcPr>
            <w:tcW w:w="80" w:type="dxa"/>
            <w:vAlign w:val="bottom"/>
            <w:gridSpan w:val="2"/>
          </w:tcPr>
          <w:p>
            <w:pPr>
              <w:spacing w:after="0"/>
              <w:rPr>
                <w:sz w:val="18"/>
                <w:szCs w:val="18"/>
                <w:color w:val="auto"/>
              </w:rPr>
            </w:pPr>
          </w:p>
        </w:tc>
        <w:tc>
          <w:tcPr>
            <w:tcW w:w="640" w:type="dxa"/>
            <w:vAlign w:val="bottom"/>
            <w:gridSpan w:val="2"/>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spacing w:after="0"/>
              <w:rPr>
                <w:sz w:val="18"/>
                <w:szCs w:val="18"/>
                <w:color w:val="auto"/>
              </w:rPr>
            </w:pPr>
          </w:p>
        </w:tc>
        <w:tc>
          <w:tcPr>
            <w:tcW w:w="580" w:type="dxa"/>
            <w:vAlign w:val="bottom"/>
            <w:gridSpan w:val="2"/>
          </w:tcPr>
          <w:p>
            <w:pPr>
              <w:spacing w:after="0"/>
              <w:rPr>
                <w:sz w:val="18"/>
                <w:szCs w:val="18"/>
                <w:color w:val="auto"/>
              </w:rPr>
            </w:pPr>
          </w:p>
        </w:tc>
        <w:tc>
          <w:tcPr>
            <w:tcW w:w="5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40" w:type="dxa"/>
            <w:vAlign w:val="bottom"/>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986</w:t>
            </w:r>
          </w:p>
        </w:tc>
        <w:tc>
          <w:tcPr>
            <w:tcW w:w="20" w:type="dxa"/>
            <w:vAlign w:val="bottom"/>
            <w:tcBorders>
              <w:bottom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5"/>
                <w:szCs w:val="15"/>
                <w:b w:val="1"/>
                <w:bCs w:val="1"/>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w:t>
            </w:r>
            <w:r>
              <w:rPr>
                <w:rFonts w:ascii="Arial" w:cs="Arial" w:eastAsia="Arial" w:hAnsi="Arial"/>
                <w:sz w:val="18"/>
                <w:szCs w:val="18"/>
                <w:b w:val="1"/>
                <w:bCs w:val="1"/>
                <w:u w:val="single" w:color="auto"/>
                <w:color w:val="auto"/>
              </w:rPr>
              <w:t>00</w:t>
            </w:r>
          </w:p>
        </w:tc>
        <w:tc>
          <w:tcPr>
            <w:tcW w:w="6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1,099</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5"/>
                <w:szCs w:val="15"/>
                <w:b w:val="1"/>
                <w:bCs w:val="1"/>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540" w:type="dxa"/>
            <w:vAlign w:val="bottom"/>
            <w:gridSpan w:val="8"/>
          </w:tcPr>
          <w:p>
            <w:pPr>
              <w:jc w:val="right"/>
              <w:ind w:right="840"/>
              <w:spacing w:after="0"/>
              <w:rPr>
                <w:sz w:val="20"/>
                <w:szCs w:val="20"/>
                <w:color w:val="auto"/>
              </w:rPr>
            </w:pPr>
            <w:r>
              <w:rPr>
                <w:rFonts w:ascii="Arial" w:cs="Arial" w:eastAsia="Arial" w:hAnsi="Arial"/>
                <w:sz w:val="14"/>
                <w:szCs w:val="14"/>
                <w:b w:val="1"/>
                <w:bCs w:val="1"/>
                <w:color w:val="auto"/>
              </w:rPr>
              <w:t>Quarter Ended December 31, 2009</w:t>
            </w:r>
          </w:p>
        </w:tc>
      </w:tr>
      <w:tr>
        <w:trPr>
          <w:trHeight w:val="119"/>
        </w:trPr>
        <w:tc>
          <w:tcPr>
            <w:tcW w:w="77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gridSpan w:val="2"/>
          </w:tcPr>
          <w:p>
            <w:pPr>
              <w:jc w:val="right"/>
              <w:ind w:right="780"/>
              <w:spacing w:after="0" w:line="119" w:lineRule="exact"/>
              <w:rPr>
                <w:sz w:val="20"/>
                <w:szCs w:val="20"/>
                <w:color w:val="auto"/>
              </w:rPr>
            </w:pPr>
            <w:r>
              <w:rPr>
                <w:rFonts w:ascii="Arial" w:cs="Arial" w:eastAsia="Arial" w:hAnsi="Arial"/>
                <w:sz w:val="13"/>
                <w:szCs w:val="13"/>
                <w:b w:val="1"/>
                <w:bCs w:val="1"/>
                <w:color w:val="auto"/>
              </w:rPr>
              <w:t>Pre-tax</w:t>
            </w:r>
          </w:p>
        </w:tc>
        <w:tc>
          <w:tcPr>
            <w:tcW w:w="16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gridSpan w:val="2"/>
          </w:tcPr>
          <w:p>
            <w:pPr>
              <w:jc w:val="center"/>
              <w:ind w:right="520"/>
              <w:spacing w:after="0" w:line="119" w:lineRule="exact"/>
              <w:rPr>
                <w:sz w:val="20"/>
                <w:szCs w:val="20"/>
                <w:color w:val="auto"/>
              </w:rPr>
            </w:pPr>
            <w:r>
              <w:rPr>
                <w:rFonts w:ascii="Arial" w:cs="Arial" w:eastAsia="Arial" w:hAnsi="Arial"/>
                <w:sz w:val="13"/>
                <w:szCs w:val="13"/>
                <w:b w:val="1"/>
                <w:bCs w:val="1"/>
                <w:color w:val="auto"/>
                <w:w w:val="97"/>
              </w:rPr>
              <w:t>Tax</w:t>
            </w:r>
          </w:p>
        </w:tc>
        <w:tc>
          <w:tcPr>
            <w:tcW w:w="3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right"/>
              <w:ind w:right="33"/>
              <w:spacing w:after="0" w:line="119" w:lineRule="exact"/>
              <w:rPr>
                <w:sz w:val="20"/>
                <w:szCs w:val="20"/>
                <w:color w:val="auto"/>
              </w:rPr>
            </w:pPr>
            <w:r>
              <w:rPr>
                <w:rFonts w:ascii="Arial" w:cs="Arial" w:eastAsia="Arial" w:hAnsi="Arial"/>
                <w:sz w:val="13"/>
                <w:szCs w:val="13"/>
                <w:b w:val="1"/>
                <w:bCs w:val="1"/>
                <w:color w:val="auto"/>
              </w:rPr>
              <w:t>Effective</w:t>
            </w:r>
          </w:p>
        </w:tc>
        <w:tc>
          <w:tcPr>
            <w:tcW w:w="180" w:type="dxa"/>
            <w:vAlign w:val="bottom"/>
          </w:tcPr>
          <w:p>
            <w:pPr>
              <w:spacing w:after="0"/>
              <w:rPr>
                <w:sz w:val="10"/>
                <w:szCs w:val="10"/>
                <w:color w:val="auto"/>
              </w:rPr>
            </w:pPr>
          </w:p>
        </w:tc>
      </w:tr>
      <w:tr>
        <w:trPr>
          <w:trHeight w:val="171"/>
        </w:trPr>
        <w:tc>
          <w:tcPr>
            <w:tcW w:w="7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w w:val="93"/>
              </w:rPr>
              <w:t>Income</w:t>
            </w:r>
          </w:p>
        </w:tc>
        <w:tc>
          <w:tcPr>
            <w:tcW w:w="102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0"/>
              </w:rPr>
              <w:t>Expense</w:t>
            </w:r>
          </w:p>
        </w:tc>
        <w:tc>
          <w:tcPr>
            <w:tcW w:w="126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Tax Rate (c)</w:t>
            </w:r>
          </w:p>
        </w:tc>
      </w:tr>
      <w:tr>
        <w:trPr>
          <w:trHeight w:val="210"/>
        </w:trPr>
        <w:tc>
          <w:tcPr>
            <w:tcW w:w="77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Adjusted effective tax rate</w:t>
            </w: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432"/>
        </w:trPr>
        <w:tc>
          <w:tcPr>
            <w:tcW w:w="7780" w:type="dxa"/>
            <w:vAlign w:val="bottom"/>
          </w:tcPr>
          <w:p>
            <w:pPr>
              <w:ind w:left="220"/>
              <w:spacing w:after="0"/>
              <w:rPr>
                <w:sz w:val="20"/>
                <w:szCs w:val="20"/>
                <w:color w:val="auto"/>
              </w:rPr>
            </w:pPr>
            <w:r>
              <w:rPr>
                <w:rFonts w:ascii="Arial" w:cs="Arial" w:eastAsia="Arial" w:hAnsi="Arial"/>
                <w:sz w:val="18"/>
                <w:szCs w:val="18"/>
                <w:b w:val="1"/>
                <w:bCs w:val="1"/>
                <w:color w:val="auto"/>
              </w:rPr>
              <w:t>As reported amounts</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347</w:t>
            </w:r>
          </w:p>
        </w:tc>
        <w:tc>
          <w:tcPr>
            <w:tcW w:w="680" w:type="dxa"/>
            <w:vAlign w:val="bottom"/>
          </w:tcPr>
          <w:p>
            <w:pPr>
              <w:spacing w:after="0"/>
              <w:rPr>
                <w:sz w:val="24"/>
                <w:szCs w:val="24"/>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b w:val="1"/>
                <w:bCs w:val="1"/>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16</w:t>
            </w:r>
          </w:p>
        </w:tc>
        <w:tc>
          <w:tcPr>
            <w:tcW w:w="340" w:type="dxa"/>
            <w:vAlign w:val="bottom"/>
          </w:tcPr>
          <w:p>
            <w:pPr>
              <w:spacing w:after="0"/>
              <w:rPr>
                <w:sz w:val="24"/>
                <w:szCs w:val="24"/>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b w:val="1"/>
                <w:bCs w:val="1"/>
                <w:color w:val="auto"/>
              </w:rPr>
              <w:t>4.9%</w:t>
            </w:r>
          </w:p>
        </w:tc>
      </w:tr>
      <w:tr>
        <w:trPr>
          <w:trHeight w:val="216"/>
        </w:trPr>
        <w:tc>
          <w:tcPr>
            <w:tcW w:w="7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778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Adjustments to Tax Expense: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7780" w:type="dxa"/>
            <w:vAlign w:val="bottom"/>
          </w:tcPr>
          <w:p>
            <w:pPr>
              <w:ind w:left="420"/>
              <w:spacing w:after="0"/>
              <w:rPr>
                <w:sz w:val="20"/>
                <w:szCs w:val="20"/>
                <w:color w:val="auto"/>
              </w:rPr>
            </w:pPr>
            <w:r>
              <w:rPr>
                <w:rFonts w:ascii="Arial" w:cs="Arial" w:eastAsia="Arial" w:hAnsi="Arial"/>
                <w:sz w:val="18"/>
                <w:szCs w:val="18"/>
                <w:color w:val="auto"/>
              </w:rPr>
              <w:t>Benefit from income tax related items</w:t>
            </w:r>
          </w:p>
        </w:tc>
        <w:tc>
          <w:tcPr>
            <w:tcW w:w="100" w:type="dxa"/>
            <w:vAlign w:val="bottom"/>
          </w:tcPr>
          <w:p>
            <w:pPr>
              <w:spacing w:after="0"/>
              <w:rPr>
                <w:sz w:val="18"/>
                <w:szCs w:val="18"/>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81</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7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Benefit from utilization of state net operating loss and credit carry-forwards</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439"/>
        </w:trPr>
        <w:tc>
          <w:tcPr>
            <w:tcW w:w="7780" w:type="dxa"/>
            <w:vAlign w:val="bottom"/>
          </w:tcPr>
          <w:p>
            <w:pPr>
              <w:ind w:left="220"/>
              <w:spacing w:after="0"/>
              <w:rPr>
                <w:sz w:val="20"/>
                <w:szCs w:val="20"/>
                <w:color w:val="auto"/>
              </w:rPr>
            </w:pPr>
            <w:r>
              <w:rPr>
                <w:rFonts w:ascii="Arial" w:cs="Arial" w:eastAsia="Arial" w:hAnsi="Arial"/>
                <w:sz w:val="18"/>
                <w:szCs w:val="18"/>
                <w:b w:val="1"/>
                <w:bCs w:val="1"/>
                <w:color w:val="auto"/>
              </w:rPr>
              <w:t>As adjusted amounts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347</w:t>
            </w:r>
          </w:p>
        </w:tc>
        <w:tc>
          <w:tcPr>
            <w:tcW w:w="680" w:type="dxa"/>
            <w:vAlign w:val="bottom"/>
          </w:tcPr>
          <w:p>
            <w:pPr>
              <w:spacing w:after="0"/>
              <w:rPr>
                <w:sz w:val="24"/>
                <w:szCs w:val="24"/>
                <w:color w:val="auto"/>
              </w:rPr>
            </w:pPr>
          </w:p>
        </w:tc>
        <w:tc>
          <w:tcPr>
            <w:tcW w:w="1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5"/>
                <w:szCs w:val="15"/>
                <w:b w:val="1"/>
                <w:bCs w:val="1"/>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127</w:t>
            </w:r>
          </w:p>
        </w:tc>
        <w:tc>
          <w:tcPr>
            <w:tcW w:w="340" w:type="dxa"/>
            <w:vAlign w:val="bottom"/>
          </w:tcPr>
          <w:p>
            <w:pPr>
              <w:spacing w:after="0"/>
              <w:rPr>
                <w:sz w:val="24"/>
                <w:szCs w:val="24"/>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b w:val="1"/>
                <w:bCs w:val="1"/>
                <w:color w:val="auto"/>
              </w:rPr>
              <w:t>36.8%</w:t>
            </w:r>
          </w:p>
        </w:tc>
      </w:tr>
      <w:tr>
        <w:trPr>
          <w:trHeight w:val="20"/>
        </w:trPr>
        <w:tc>
          <w:tcPr>
            <w:tcW w:w="7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Increase of 6.1% in Diluted EPS, as adjusted.</w:t>
      </w:r>
    </w:p>
    <w:p>
      <w:pPr>
        <w:spacing w:after="0" w:line="76" w:lineRule="exact"/>
        <w:rPr>
          <w:rFonts w:ascii="Arial" w:cs="Arial" w:eastAsia="Arial" w:hAnsi="Arial"/>
          <w:sz w:val="18"/>
          <w:szCs w:val="18"/>
          <w:b w:val="1"/>
          <w:bCs w:val="1"/>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Adjustments in 2009 included SAP abandonment in the first quarter of $30 million.</w:t>
      </w:r>
    </w:p>
    <w:p>
      <w:pPr>
        <w:spacing w:after="0" w:line="76" w:lineRule="exact"/>
        <w:rPr>
          <w:rFonts w:ascii="Arial" w:cs="Arial" w:eastAsia="Arial" w:hAnsi="Arial"/>
          <w:sz w:val="18"/>
          <w:szCs w:val="18"/>
          <w:b w:val="1"/>
          <w:bCs w:val="1"/>
          <w:color w:val="auto"/>
        </w:rPr>
      </w:pPr>
    </w:p>
    <w:p>
      <w:pPr>
        <w:ind w:left="460" w:right="120" w:hanging="452"/>
        <w:spacing w:after="0" w:line="308" w:lineRule="auto"/>
        <w:tabs>
          <w:tab w:leader="none" w:pos="460" w:val="left"/>
        </w:tabs>
        <w:numPr>
          <w:ilvl w:val="0"/>
          <w:numId w:val="9"/>
        </w:numPr>
        <w:rPr>
          <w:rFonts w:ascii="Arial" w:cs="Arial" w:eastAsia="Arial" w:hAnsi="Arial"/>
          <w:sz w:val="17"/>
          <w:szCs w:val="17"/>
          <w:b w:val="1"/>
          <w:bCs w:val="1"/>
          <w:color w:val="auto"/>
        </w:rPr>
      </w:pPr>
      <w:r>
        <w:rPr>
          <w:rFonts w:ascii="Arial" w:cs="Arial" w:eastAsia="Arial" w:hAnsi="Arial"/>
          <w:sz w:val="17"/>
          <w:szCs w:val="17"/>
          <w:color w:val="auto"/>
        </w:rPr>
        <w:t>The Company calculates its effective tax rate based on actual dollars. Rounding differences occurred when the effective tax rate is calculated using the Pre-tax Income and Tax Expense amounts included in the table above, as these line items have been rounded in millions.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Certain Non-GAAP Measures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9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11"/>
          </w:tcPr>
          <w:p>
            <w:pPr>
              <w:jc w:val="right"/>
              <w:ind w:right="300"/>
              <w:spacing w:after="0"/>
              <w:rPr>
                <w:sz w:val="20"/>
                <w:szCs w:val="20"/>
                <w:color w:val="auto"/>
              </w:rPr>
            </w:pPr>
            <w:r>
              <w:rPr>
                <w:rFonts w:ascii="Arial" w:cs="Arial" w:eastAsia="Arial" w:hAnsi="Arial"/>
                <w:sz w:val="14"/>
                <w:szCs w:val="14"/>
                <w:b w:val="1"/>
                <w:bCs w:val="1"/>
                <w:color w:val="auto"/>
                <w:w w:val="93"/>
              </w:rPr>
              <w:t>Quarters Ended December 31,</w:t>
            </w:r>
          </w:p>
        </w:tc>
      </w:tr>
      <w:tr>
        <w:trPr>
          <w:trHeight w:val="142"/>
        </w:trPr>
        <w:tc>
          <w:tcPr>
            <w:tcW w:w="79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gridSpan w:val="3"/>
          </w:tcPr>
          <w:p>
            <w:pPr>
              <w:jc w:val="right"/>
              <w:ind w:right="110"/>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w w:val="89"/>
              </w:rPr>
              <w:t>2008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0"/>
        </w:trPr>
        <w:tc>
          <w:tcPr>
            <w:tcW w:w="79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Adjusted Operating Expenses as a percent of Revenues</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432"/>
        </w:trPr>
        <w:tc>
          <w:tcPr>
            <w:tcW w:w="7920" w:type="dxa"/>
            <w:vAlign w:val="bottom"/>
          </w:tcPr>
          <w:p>
            <w:pPr>
              <w:ind w:left="220"/>
              <w:spacing w:after="0"/>
              <w:rPr>
                <w:sz w:val="20"/>
                <w:szCs w:val="20"/>
                <w:color w:val="auto"/>
              </w:rPr>
            </w:pPr>
            <w:r>
              <w:rPr>
                <w:rFonts w:ascii="Arial" w:cs="Arial" w:eastAsia="Arial" w:hAnsi="Arial"/>
                <w:sz w:val="18"/>
                <w:szCs w:val="18"/>
                <w:b w:val="1"/>
                <w:bCs w:val="1"/>
                <w:color w:val="auto"/>
              </w:rPr>
              <w:t>As reported:</w:t>
            </w: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7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Operating revenues</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3,006</w:t>
            </w:r>
          </w:p>
        </w:tc>
        <w:tc>
          <w:tcPr>
            <w:tcW w:w="32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3,108</w:t>
            </w:r>
          </w:p>
        </w:tc>
        <w:tc>
          <w:tcPr>
            <w:tcW w:w="100" w:type="dxa"/>
            <w:vAlign w:val="bottom"/>
            <w:shd w:val="clear" w:color="auto" w:fill="CCEEFF"/>
          </w:tcPr>
          <w:p>
            <w:pPr>
              <w:spacing w:after="0"/>
              <w:rPr>
                <w:sz w:val="18"/>
                <w:szCs w:val="18"/>
                <w:color w:val="auto"/>
              </w:rPr>
            </w:pPr>
          </w:p>
        </w:tc>
      </w:tr>
      <w:tr>
        <w:trPr>
          <w:trHeight w:val="230"/>
        </w:trPr>
        <w:tc>
          <w:tcPr>
            <w:tcW w:w="7920" w:type="dxa"/>
            <w:vAlign w:val="bottom"/>
          </w:tcPr>
          <w:p>
            <w:pPr>
              <w:ind w:left="420"/>
              <w:spacing w:after="0"/>
              <w:rPr>
                <w:sz w:val="20"/>
                <w:szCs w:val="20"/>
                <w:color w:val="auto"/>
              </w:rPr>
            </w:pPr>
            <w:r>
              <w:rPr>
                <w:rFonts w:ascii="Arial" w:cs="Arial" w:eastAsia="Arial" w:hAnsi="Arial"/>
                <w:sz w:val="18"/>
                <w:szCs w:val="18"/>
                <w:color w:val="auto"/>
              </w:rPr>
              <w:t>Operating expenses</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1,874</w:t>
            </w:r>
          </w:p>
        </w:tc>
        <w:tc>
          <w:tcPr>
            <w:tcW w:w="320" w:type="dxa"/>
            <w:vAlign w:val="bottom"/>
          </w:tcPr>
          <w:p>
            <w:pPr>
              <w:spacing w:after="0"/>
              <w:rPr>
                <w:sz w:val="20"/>
                <w:szCs w:val="20"/>
                <w:color w:val="auto"/>
              </w:rPr>
            </w:pPr>
          </w:p>
        </w:tc>
        <w:tc>
          <w:tcPr>
            <w:tcW w:w="460" w:type="dxa"/>
            <w:vAlign w:val="bottom"/>
            <w:gridSpan w:val="3"/>
          </w:tcPr>
          <w:p>
            <w:pPr>
              <w:jc w:val="right"/>
              <w:ind w:right="28"/>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1,972</w:t>
            </w:r>
          </w:p>
        </w:tc>
        <w:tc>
          <w:tcPr>
            <w:tcW w:w="100" w:type="dxa"/>
            <w:vAlign w:val="bottom"/>
          </w:tcPr>
          <w:p>
            <w:pPr>
              <w:spacing w:after="0"/>
              <w:rPr>
                <w:sz w:val="20"/>
                <w:szCs w:val="20"/>
                <w:color w:val="auto"/>
              </w:rPr>
            </w:pPr>
          </w:p>
        </w:tc>
      </w:tr>
      <w:tr>
        <w:trPr>
          <w:trHeight w:val="202"/>
        </w:trPr>
        <w:tc>
          <w:tcPr>
            <w:tcW w:w="79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92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Operating Expenses as a percent of Revenues</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62.3%</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63.4%</w:t>
            </w:r>
          </w:p>
        </w:tc>
      </w:tr>
      <w:tr>
        <w:trPr>
          <w:trHeight w:val="432"/>
        </w:trPr>
        <w:tc>
          <w:tcPr>
            <w:tcW w:w="7920" w:type="dxa"/>
            <w:vAlign w:val="bottom"/>
          </w:tcPr>
          <w:p>
            <w:pPr>
              <w:ind w:left="220"/>
              <w:spacing w:after="0"/>
              <w:rPr>
                <w:sz w:val="20"/>
                <w:szCs w:val="20"/>
                <w:color w:val="auto"/>
              </w:rPr>
            </w:pPr>
            <w:r>
              <w:rPr>
                <w:rFonts w:ascii="Arial" w:cs="Arial" w:eastAsia="Arial" w:hAnsi="Arial"/>
                <w:sz w:val="18"/>
                <w:szCs w:val="18"/>
                <w:b w:val="1"/>
                <w:bCs w:val="1"/>
                <w:color w:val="auto"/>
              </w:rPr>
              <w:t>Adjustments</w:t>
            </w: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7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Operating revenues</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460" w:type="dxa"/>
            <w:vAlign w:val="bottom"/>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6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34"/>
        </w:trPr>
        <w:tc>
          <w:tcPr>
            <w:tcW w:w="7920" w:type="dxa"/>
            <w:vAlign w:val="bottom"/>
          </w:tcPr>
          <w:p>
            <w:pPr>
              <w:ind w:left="420"/>
              <w:spacing w:after="0"/>
              <w:rPr>
                <w:sz w:val="20"/>
                <w:szCs w:val="20"/>
                <w:color w:val="auto"/>
              </w:rPr>
            </w:pPr>
            <w:r>
              <w:rPr>
                <w:rFonts w:ascii="Arial" w:cs="Arial" w:eastAsia="Arial" w:hAnsi="Arial"/>
                <w:sz w:val="18"/>
                <w:szCs w:val="18"/>
                <w:color w:val="auto"/>
              </w:rPr>
              <w:t xml:space="preserve">Operating expenses </w:t>
            </w:r>
            <w:r>
              <w:rPr>
                <w:rFonts w:ascii="Arial" w:cs="Arial" w:eastAsia="Arial" w:hAnsi="Arial"/>
                <w:sz w:val="18"/>
                <w:szCs w:val="18"/>
                <w:b w:val="1"/>
                <w:bCs w:val="1"/>
                <w:color w:val="auto"/>
              </w:rPr>
              <w:t>(a)</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460" w:type="dxa"/>
            <w:vAlign w:val="bottom"/>
            <w:gridSpan w:val="3"/>
          </w:tcPr>
          <w:p>
            <w:pPr>
              <w:jc w:val="right"/>
              <w:ind w:right="28"/>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0"/>
                <w:szCs w:val="20"/>
                <w:color w:val="auto"/>
              </w:rPr>
            </w:pPr>
          </w:p>
        </w:tc>
      </w:tr>
      <w:tr>
        <w:trPr>
          <w:trHeight w:val="198"/>
        </w:trPr>
        <w:tc>
          <w:tcPr>
            <w:tcW w:w="79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92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As adjusted:</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20" w:type="dxa"/>
            <w:vAlign w:val="bottom"/>
          </w:tcPr>
          <w:p>
            <w:pPr>
              <w:ind w:left="420"/>
              <w:spacing w:after="0"/>
              <w:rPr>
                <w:sz w:val="20"/>
                <w:szCs w:val="20"/>
                <w:color w:val="auto"/>
              </w:rPr>
            </w:pPr>
            <w:r>
              <w:rPr>
                <w:rFonts w:ascii="Arial" w:cs="Arial" w:eastAsia="Arial" w:hAnsi="Arial"/>
                <w:sz w:val="18"/>
                <w:szCs w:val="18"/>
                <w:color w:val="auto"/>
              </w:rPr>
              <w:t>Operating revenues</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3,006</w:t>
            </w:r>
          </w:p>
        </w:tc>
        <w:tc>
          <w:tcPr>
            <w:tcW w:w="320" w:type="dxa"/>
            <w:vAlign w:val="bottom"/>
          </w:tcPr>
          <w:p>
            <w:pPr>
              <w:spacing w:after="0"/>
              <w:rPr>
                <w:sz w:val="18"/>
                <w:szCs w:val="18"/>
                <w:color w:val="auto"/>
              </w:rPr>
            </w:pPr>
          </w:p>
        </w:tc>
        <w:tc>
          <w:tcPr>
            <w:tcW w:w="460" w:type="dxa"/>
            <w:vAlign w:val="bottom"/>
            <w:gridSpan w:val="3"/>
          </w:tcPr>
          <w:p>
            <w:pPr>
              <w:jc w:val="right"/>
              <w:ind w:right="28"/>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3,108</w:t>
            </w:r>
          </w:p>
        </w:tc>
        <w:tc>
          <w:tcPr>
            <w:tcW w:w="100" w:type="dxa"/>
            <w:vAlign w:val="bottom"/>
          </w:tcPr>
          <w:p>
            <w:pPr>
              <w:spacing w:after="0"/>
              <w:rPr>
                <w:sz w:val="18"/>
                <w:szCs w:val="18"/>
                <w:color w:val="auto"/>
              </w:rPr>
            </w:pPr>
          </w:p>
        </w:tc>
      </w:tr>
      <w:tr>
        <w:trPr>
          <w:trHeight w:val="216"/>
        </w:trPr>
        <w:tc>
          <w:tcPr>
            <w:tcW w:w="7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 xml:space="preserve">Operating expenses </w:t>
            </w:r>
            <w:r>
              <w:rPr>
                <w:rFonts w:ascii="Arial" w:cs="Arial" w:eastAsia="Arial" w:hAnsi="Arial"/>
                <w:sz w:val="18"/>
                <w:szCs w:val="18"/>
                <w:b w:val="1"/>
                <w:bCs w:val="1"/>
                <w:color w:val="auto"/>
              </w:rPr>
              <w:t>(b)</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1,874</w:t>
            </w:r>
          </w:p>
        </w:tc>
        <w:tc>
          <w:tcPr>
            <w:tcW w:w="32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1,918</w:t>
            </w:r>
          </w:p>
        </w:tc>
        <w:tc>
          <w:tcPr>
            <w:tcW w:w="100" w:type="dxa"/>
            <w:vAlign w:val="bottom"/>
            <w:shd w:val="clear" w:color="auto" w:fill="CCEEFF"/>
          </w:tcPr>
          <w:p>
            <w:pPr>
              <w:spacing w:after="0"/>
              <w:rPr>
                <w:sz w:val="18"/>
                <w:szCs w:val="18"/>
                <w:color w:val="auto"/>
              </w:rPr>
            </w:pPr>
          </w:p>
        </w:tc>
      </w:tr>
      <w:tr>
        <w:trPr>
          <w:trHeight w:val="432"/>
        </w:trPr>
        <w:tc>
          <w:tcPr>
            <w:tcW w:w="7920" w:type="dxa"/>
            <w:vAlign w:val="bottom"/>
          </w:tcPr>
          <w:p>
            <w:pPr>
              <w:ind w:left="220"/>
              <w:spacing w:after="0"/>
              <w:rPr>
                <w:sz w:val="20"/>
                <w:szCs w:val="20"/>
                <w:color w:val="auto"/>
              </w:rPr>
            </w:pPr>
            <w:r>
              <w:rPr>
                <w:rFonts w:ascii="Arial" w:cs="Arial" w:eastAsia="Arial" w:hAnsi="Arial"/>
                <w:sz w:val="18"/>
                <w:szCs w:val="18"/>
                <w:b w:val="1"/>
                <w:bCs w:val="1"/>
                <w:color w:val="auto"/>
              </w:rPr>
              <w:t>Adjusted Operating Expenses as a percent of Revenues (c)</w:t>
            </w: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rPr>
              <w:t>62.3%</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b w:val="1"/>
                <w:bCs w:val="1"/>
                <w:color w:val="auto"/>
              </w:rPr>
              <w:t>61.7%</w:t>
            </w:r>
          </w:p>
        </w:tc>
      </w:tr>
      <w:tr>
        <w:trPr>
          <w:trHeight w:val="365"/>
        </w:trPr>
        <w:tc>
          <w:tcPr>
            <w:tcW w:w="79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140" w:type="dxa"/>
            <w:vAlign w:val="bottom"/>
            <w:gridSpan w:val="10"/>
          </w:tcPr>
          <w:p>
            <w:pPr>
              <w:jc w:val="right"/>
              <w:ind w:right="420"/>
              <w:spacing w:after="0"/>
              <w:rPr>
                <w:sz w:val="20"/>
                <w:szCs w:val="20"/>
                <w:color w:val="auto"/>
              </w:rPr>
            </w:pPr>
            <w:r>
              <w:rPr>
                <w:rFonts w:ascii="Arial" w:cs="Arial" w:eastAsia="Arial" w:hAnsi="Arial"/>
                <w:sz w:val="14"/>
                <w:szCs w:val="14"/>
                <w:b w:val="1"/>
                <w:bCs w:val="1"/>
                <w:color w:val="auto"/>
                <w:w w:val="94"/>
              </w:rPr>
              <w:t>Years Ended December 31,</w:t>
            </w:r>
          </w:p>
        </w:tc>
      </w:tr>
      <w:tr>
        <w:trPr>
          <w:trHeight w:val="142"/>
        </w:trPr>
        <w:tc>
          <w:tcPr>
            <w:tcW w:w="79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gridSpan w:val="3"/>
          </w:tcPr>
          <w:p>
            <w:pPr>
              <w:jc w:val="right"/>
              <w:ind w:right="110"/>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w w:val="89"/>
              </w:rPr>
              <w:t>2008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0"/>
        </w:trPr>
        <w:tc>
          <w:tcPr>
            <w:tcW w:w="79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Adjusted Operating Expenses as a percent of Revenues</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432"/>
        </w:trPr>
        <w:tc>
          <w:tcPr>
            <w:tcW w:w="7920" w:type="dxa"/>
            <w:vAlign w:val="bottom"/>
          </w:tcPr>
          <w:p>
            <w:pPr>
              <w:ind w:left="220"/>
              <w:spacing w:after="0"/>
              <w:rPr>
                <w:sz w:val="20"/>
                <w:szCs w:val="20"/>
                <w:color w:val="auto"/>
              </w:rPr>
            </w:pPr>
            <w:r>
              <w:rPr>
                <w:rFonts w:ascii="Arial" w:cs="Arial" w:eastAsia="Arial" w:hAnsi="Arial"/>
                <w:sz w:val="18"/>
                <w:szCs w:val="18"/>
                <w:b w:val="1"/>
                <w:bCs w:val="1"/>
                <w:color w:val="auto"/>
              </w:rPr>
              <w:t>As reported:</w:t>
            </w: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7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Operating revenues</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11,791</w:t>
            </w:r>
          </w:p>
        </w:tc>
        <w:tc>
          <w:tcPr>
            <w:tcW w:w="32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13,388</w:t>
            </w:r>
          </w:p>
        </w:tc>
        <w:tc>
          <w:tcPr>
            <w:tcW w:w="100" w:type="dxa"/>
            <w:vAlign w:val="bottom"/>
            <w:shd w:val="clear" w:color="auto" w:fill="CCEEFF"/>
          </w:tcPr>
          <w:p>
            <w:pPr>
              <w:spacing w:after="0"/>
              <w:rPr>
                <w:sz w:val="18"/>
                <w:szCs w:val="18"/>
                <w:color w:val="auto"/>
              </w:rPr>
            </w:pPr>
          </w:p>
        </w:tc>
      </w:tr>
      <w:tr>
        <w:trPr>
          <w:trHeight w:val="230"/>
        </w:trPr>
        <w:tc>
          <w:tcPr>
            <w:tcW w:w="7920" w:type="dxa"/>
            <w:vAlign w:val="bottom"/>
          </w:tcPr>
          <w:p>
            <w:pPr>
              <w:ind w:left="420"/>
              <w:spacing w:after="0"/>
              <w:rPr>
                <w:sz w:val="20"/>
                <w:szCs w:val="20"/>
                <w:color w:val="auto"/>
              </w:rPr>
            </w:pPr>
            <w:r>
              <w:rPr>
                <w:rFonts w:ascii="Arial" w:cs="Arial" w:eastAsia="Arial" w:hAnsi="Arial"/>
                <w:sz w:val="18"/>
                <w:szCs w:val="18"/>
                <w:color w:val="auto"/>
              </w:rPr>
              <w:t>Operating expenses</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7,241</w:t>
            </w:r>
          </w:p>
        </w:tc>
        <w:tc>
          <w:tcPr>
            <w:tcW w:w="320" w:type="dxa"/>
            <w:vAlign w:val="bottom"/>
          </w:tcPr>
          <w:p>
            <w:pPr>
              <w:spacing w:after="0"/>
              <w:rPr>
                <w:sz w:val="20"/>
                <w:szCs w:val="20"/>
                <w:color w:val="auto"/>
              </w:rPr>
            </w:pPr>
          </w:p>
        </w:tc>
        <w:tc>
          <w:tcPr>
            <w:tcW w:w="460" w:type="dxa"/>
            <w:vAlign w:val="bottom"/>
            <w:gridSpan w:val="3"/>
          </w:tcPr>
          <w:p>
            <w:pPr>
              <w:jc w:val="right"/>
              <w:ind w:right="28"/>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8,466</w:t>
            </w:r>
          </w:p>
        </w:tc>
        <w:tc>
          <w:tcPr>
            <w:tcW w:w="100" w:type="dxa"/>
            <w:vAlign w:val="bottom"/>
          </w:tcPr>
          <w:p>
            <w:pPr>
              <w:spacing w:after="0"/>
              <w:rPr>
                <w:sz w:val="20"/>
                <w:szCs w:val="20"/>
                <w:color w:val="auto"/>
              </w:rPr>
            </w:pPr>
          </w:p>
        </w:tc>
      </w:tr>
      <w:tr>
        <w:trPr>
          <w:trHeight w:val="202"/>
        </w:trPr>
        <w:tc>
          <w:tcPr>
            <w:tcW w:w="79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2"/>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92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Operating Expenses as a percent of Revenues</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61.4%</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63.2%</w:t>
            </w:r>
          </w:p>
        </w:tc>
      </w:tr>
      <w:tr>
        <w:trPr>
          <w:trHeight w:val="432"/>
        </w:trPr>
        <w:tc>
          <w:tcPr>
            <w:tcW w:w="7920" w:type="dxa"/>
            <w:vAlign w:val="bottom"/>
          </w:tcPr>
          <w:p>
            <w:pPr>
              <w:ind w:left="220"/>
              <w:spacing w:after="0"/>
              <w:rPr>
                <w:sz w:val="20"/>
                <w:szCs w:val="20"/>
                <w:color w:val="auto"/>
              </w:rPr>
            </w:pPr>
            <w:r>
              <w:rPr>
                <w:rFonts w:ascii="Arial" w:cs="Arial" w:eastAsia="Arial" w:hAnsi="Arial"/>
                <w:sz w:val="18"/>
                <w:szCs w:val="18"/>
                <w:b w:val="1"/>
                <w:bCs w:val="1"/>
                <w:color w:val="auto"/>
              </w:rPr>
              <w:t>Adjustments</w:t>
            </w: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7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Operating revenues</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460" w:type="dxa"/>
            <w:vAlign w:val="bottom"/>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6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34"/>
        </w:trPr>
        <w:tc>
          <w:tcPr>
            <w:tcW w:w="7920" w:type="dxa"/>
            <w:vAlign w:val="bottom"/>
          </w:tcPr>
          <w:p>
            <w:pPr>
              <w:ind w:left="420"/>
              <w:spacing w:after="0"/>
              <w:rPr>
                <w:sz w:val="20"/>
                <w:szCs w:val="20"/>
                <w:color w:val="auto"/>
              </w:rPr>
            </w:pPr>
            <w:r>
              <w:rPr>
                <w:rFonts w:ascii="Arial" w:cs="Arial" w:eastAsia="Arial" w:hAnsi="Arial"/>
                <w:sz w:val="18"/>
                <w:szCs w:val="18"/>
                <w:color w:val="auto"/>
              </w:rPr>
              <w:t xml:space="preserve">Operating expenses </w:t>
            </w:r>
            <w:r>
              <w:rPr>
                <w:rFonts w:ascii="Arial" w:cs="Arial" w:eastAsia="Arial" w:hAnsi="Arial"/>
                <w:sz w:val="18"/>
                <w:szCs w:val="18"/>
                <w:b w:val="1"/>
                <w:bCs w:val="1"/>
                <w:color w:val="auto"/>
              </w:rPr>
              <w:t>(d)</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320" w:type="dxa"/>
            <w:vAlign w:val="bottom"/>
          </w:tcPr>
          <w:p>
            <w:pPr>
              <w:spacing w:after="0"/>
              <w:rPr>
                <w:sz w:val="20"/>
                <w:szCs w:val="20"/>
                <w:color w:val="auto"/>
              </w:rPr>
            </w:pPr>
          </w:p>
        </w:tc>
        <w:tc>
          <w:tcPr>
            <w:tcW w:w="460" w:type="dxa"/>
            <w:vAlign w:val="bottom"/>
            <w:gridSpan w:val="3"/>
          </w:tcPr>
          <w:p>
            <w:pPr>
              <w:jc w:val="right"/>
              <w:ind w:right="28"/>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0"/>
                <w:szCs w:val="20"/>
                <w:color w:val="auto"/>
              </w:rPr>
            </w:pPr>
          </w:p>
        </w:tc>
      </w:tr>
      <w:tr>
        <w:trPr>
          <w:trHeight w:val="198"/>
        </w:trPr>
        <w:tc>
          <w:tcPr>
            <w:tcW w:w="79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92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As adjusted:</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20" w:type="dxa"/>
            <w:vAlign w:val="bottom"/>
          </w:tcPr>
          <w:p>
            <w:pPr>
              <w:ind w:left="420"/>
              <w:spacing w:after="0"/>
              <w:rPr>
                <w:sz w:val="20"/>
                <w:szCs w:val="20"/>
                <w:color w:val="auto"/>
              </w:rPr>
            </w:pPr>
            <w:r>
              <w:rPr>
                <w:rFonts w:ascii="Arial" w:cs="Arial" w:eastAsia="Arial" w:hAnsi="Arial"/>
                <w:sz w:val="18"/>
                <w:szCs w:val="18"/>
                <w:color w:val="auto"/>
              </w:rPr>
              <w:t>Operating revenues</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4"/>
          </w:tcPr>
          <w:p>
            <w:pPr>
              <w:jc w:val="right"/>
              <w:ind w:right="160"/>
              <w:spacing w:after="0"/>
              <w:rPr>
                <w:sz w:val="20"/>
                <w:szCs w:val="20"/>
                <w:color w:val="auto"/>
              </w:rPr>
            </w:pPr>
            <w:r>
              <w:rPr>
                <w:rFonts w:ascii="Arial" w:cs="Arial" w:eastAsia="Arial" w:hAnsi="Arial"/>
                <w:sz w:val="18"/>
                <w:szCs w:val="18"/>
                <w:color w:val="auto"/>
              </w:rPr>
              <w:t>11,791</w:t>
            </w:r>
          </w:p>
        </w:tc>
        <w:tc>
          <w:tcPr>
            <w:tcW w:w="320" w:type="dxa"/>
            <w:vAlign w:val="bottom"/>
          </w:tcPr>
          <w:p>
            <w:pPr>
              <w:spacing w:after="0"/>
              <w:rPr>
                <w:sz w:val="18"/>
                <w:szCs w:val="18"/>
                <w:color w:val="auto"/>
              </w:rPr>
            </w:pPr>
          </w:p>
        </w:tc>
        <w:tc>
          <w:tcPr>
            <w:tcW w:w="460" w:type="dxa"/>
            <w:vAlign w:val="bottom"/>
            <w:gridSpan w:val="3"/>
          </w:tcPr>
          <w:p>
            <w:pPr>
              <w:jc w:val="right"/>
              <w:ind w:right="28"/>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13,388</w:t>
            </w:r>
          </w:p>
        </w:tc>
        <w:tc>
          <w:tcPr>
            <w:tcW w:w="100" w:type="dxa"/>
            <w:vAlign w:val="bottom"/>
          </w:tcPr>
          <w:p>
            <w:pPr>
              <w:spacing w:after="0"/>
              <w:rPr>
                <w:sz w:val="18"/>
                <w:szCs w:val="18"/>
                <w:color w:val="auto"/>
              </w:rPr>
            </w:pPr>
          </w:p>
        </w:tc>
      </w:tr>
      <w:tr>
        <w:trPr>
          <w:trHeight w:val="216"/>
        </w:trPr>
        <w:tc>
          <w:tcPr>
            <w:tcW w:w="7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 xml:space="preserve">Operating expenses </w:t>
            </w:r>
            <w:r>
              <w:rPr>
                <w:rFonts w:ascii="Arial" w:cs="Arial" w:eastAsia="Arial" w:hAnsi="Arial"/>
                <w:sz w:val="18"/>
                <w:szCs w:val="18"/>
                <w:b w:val="1"/>
                <w:bCs w:val="1"/>
                <w:color w:val="auto"/>
              </w:rPr>
              <w:t>(e)</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7,232</w:t>
            </w:r>
          </w:p>
        </w:tc>
        <w:tc>
          <w:tcPr>
            <w:tcW w:w="32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8,386</w:t>
            </w:r>
          </w:p>
        </w:tc>
        <w:tc>
          <w:tcPr>
            <w:tcW w:w="100" w:type="dxa"/>
            <w:vAlign w:val="bottom"/>
            <w:shd w:val="clear" w:color="auto" w:fill="CCEEFF"/>
          </w:tcPr>
          <w:p>
            <w:pPr>
              <w:spacing w:after="0"/>
              <w:rPr>
                <w:sz w:val="18"/>
                <w:szCs w:val="18"/>
                <w:color w:val="auto"/>
              </w:rPr>
            </w:pPr>
          </w:p>
        </w:tc>
      </w:tr>
      <w:tr>
        <w:trPr>
          <w:trHeight w:val="432"/>
        </w:trPr>
        <w:tc>
          <w:tcPr>
            <w:tcW w:w="7920" w:type="dxa"/>
            <w:vAlign w:val="bottom"/>
          </w:tcPr>
          <w:p>
            <w:pPr>
              <w:ind w:left="220"/>
              <w:spacing w:after="0"/>
              <w:rPr>
                <w:sz w:val="20"/>
                <w:szCs w:val="20"/>
                <w:color w:val="auto"/>
              </w:rPr>
            </w:pPr>
            <w:r>
              <w:rPr>
                <w:rFonts w:ascii="Arial" w:cs="Arial" w:eastAsia="Arial" w:hAnsi="Arial"/>
                <w:sz w:val="18"/>
                <w:szCs w:val="18"/>
                <w:b w:val="1"/>
                <w:bCs w:val="1"/>
                <w:color w:val="auto"/>
              </w:rPr>
              <w:t>Adjusted Operating Expenses as a percent of Revenues (e)</w:t>
            </w: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rPr>
              <w:t>61.3%</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b w:val="1"/>
                <w:bCs w:val="1"/>
                <w:color w:val="auto"/>
              </w:rPr>
              <w:t>62.6%</w:t>
            </w:r>
          </w:p>
        </w:tc>
      </w:tr>
      <w:tr>
        <w:trPr>
          <w:trHeight w:val="365"/>
        </w:trPr>
        <w:tc>
          <w:tcPr>
            <w:tcW w:w="79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w w:val="90"/>
              </w:rPr>
              <w:t>Scenario 1</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w w:val="90"/>
              </w:rPr>
              <w:t>Scenario 2</w:t>
            </w:r>
          </w:p>
        </w:tc>
      </w:tr>
      <w:tr>
        <w:trPr>
          <w:trHeight w:val="210"/>
        </w:trPr>
        <w:tc>
          <w:tcPr>
            <w:tcW w:w="79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 xml:space="preserve">Full Year 2010 Free Cash Flow Reconciliation </w:t>
            </w:r>
            <w:r>
              <w:rPr>
                <w:rFonts w:ascii="Arial" w:cs="Arial" w:eastAsia="Arial" w:hAnsi="Arial"/>
                <w:sz w:val="18"/>
                <w:szCs w:val="18"/>
                <w:b w:val="1"/>
                <w:bCs w:val="1"/>
                <w:color w:val="auto"/>
              </w:rPr>
              <w:t>(f)</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432"/>
        </w:trPr>
        <w:tc>
          <w:tcPr>
            <w:tcW w:w="7920" w:type="dxa"/>
            <w:vAlign w:val="bottom"/>
          </w:tcPr>
          <w:p>
            <w:pPr>
              <w:ind w:left="420"/>
              <w:spacing w:after="0"/>
              <w:rPr>
                <w:sz w:val="20"/>
                <w:szCs w:val="20"/>
                <w:color w:val="auto"/>
              </w:rPr>
            </w:pPr>
            <w:r>
              <w:rPr>
                <w:rFonts w:ascii="Arial" w:cs="Arial" w:eastAsia="Arial" w:hAnsi="Arial"/>
                <w:sz w:val="18"/>
                <w:szCs w:val="18"/>
                <w:color w:val="auto"/>
              </w:rPr>
              <w:t>Net cash provided by operating activities</w:t>
            </w: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320"/>
              <w:spacing w:after="0"/>
              <w:rPr>
                <w:sz w:val="20"/>
                <w:szCs w:val="20"/>
                <w:color w:val="auto"/>
              </w:rPr>
            </w:pPr>
            <w:r>
              <w:rPr>
                <w:rFonts w:ascii="Arial" w:cs="Arial" w:eastAsia="Arial" w:hAnsi="Arial"/>
                <w:sz w:val="18"/>
                <w:szCs w:val="18"/>
                <w:color w:val="auto"/>
              </w:rPr>
              <w:t>2,375</w:t>
            </w: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rPr>
              <w:t>2,450</w:t>
            </w:r>
          </w:p>
        </w:tc>
      </w:tr>
      <w:tr>
        <w:trPr>
          <w:trHeight w:val="216"/>
        </w:trPr>
        <w:tc>
          <w:tcPr>
            <w:tcW w:w="7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Capital expenditures</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(1,200)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(1,200)</w:t>
            </w:r>
          </w:p>
        </w:tc>
      </w:tr>
      <w:tr>
        <w:trPr>
          <w:trHeight w:val="216"/>
        </w:trPr>
        <w:tc>
          <w:tcPr>
            <w:tcW w:w="7920" w:type="dxa"/>
            <w:vAlign w:val="bottom"/>
          </w:tcPr>
          <w:p>
            <w:pPr>
              <w:ind w:left="420"/>
              <w:spacing w:after="0"/>
              <w:rPr>
                <w:sz w:val="20"/>
                <w:szCs w:val="20"/>
                <w:color w:val="auto"/>
              </w:rPr>
            </w:pPr>
            <w:r>
              <w:rPr>
                <w:rFonts w:ascii="Arial" w:cs="Arial" w:eastAsia="Arial" w:hAnsi="Arial"/>
                <w:sz w:val="18"/>
                <w:szCs w:val="18"/>
                <w:color w:val="auto"/>
              </w:rPr>
              <w:t>Proceeds from divestitures of businesses (net of cash divested) and other sales of assets</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320"/>
              <w:spacing w:after="0"/>
              <w:rPr>
                <w:sz w:val="20"/>
                <w:szCs w:val="20"/>
                <w:color w:val="auto"/>
              </w:rPr>
            </w:pPr>
            <w:r>
              <w:rPr>
                <w:rFonts w:ascii="Arial" w:cs="Arial" w:eastAsia="Arial" w:hAnsi="Arial"/>
                <w:sz w:val="18"/>
                <w:szCs w:val="18"/>
                <w:color w:val="auto"/>
              </w:rPr>
              <w:t>25</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rPr>
              <w:t>50</w:t>
            </w:r>
          </w:p>
        </w:tc>
      </w:tr>
      <w:tr>
        <w:trPr>
          <w:trHeight w:val="223"/>
        </w:trPr>
        <w:tc>
          <w:tcPr>
            <w:tcW w:w="79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792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Free cash flow</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1,200</w:t>
            </w: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1,300</w:t>
            </w:r>
          </w:p>
        </w:tc>
      </w:tr>
      <w:tr>
        <w:trPr>
          <w:trHeight w:val="20"/>
        </w:trPr>
        <w:tc>
          <w:tcPr>
            <w:tcW w:w="79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200" w:hanging="452"/>
        <w:spacing w:after="0" w:line="277" w:lineRule="auto"/>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Adjustments in 2008 included: $33 million charge to landfill operating costs associated with changes in risk-free interest rates and $21 million charge related to multi-employer pension withdrawal costs.</w:t>
      </w:r>
    </w:p>
    <w:p>
      <w:pPr>
        <w:spacing w:after="0" w:line="21" w:lineRule="exact"/>
        <w:rPr>
          <w:rFonts w:ascii="Arial" w:cs="Arial" w:eastAsia="Arial" w:hAnsi="Arial"/>
          <w:sz w:val="18"/>
          <w:szCs w:val="18"/>
          <w:b w:val="1"/>
          <w:bCs w:val="1"/>
          <w:color w:val="auto"/>
        </w:rPr>
      </w:pPr>
    </w:p>
    <w:p>
      <w:pPr>
        <w:ind w:left="460" w:hanging="452"/>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Decrease in Operating Expenses on a dollar basis, as adjusted, of $44 million.</w:t>
      </w:r>
    </w:p>
    <w:p>
      <w:pPr>
        <w:spacing w:after="0" w:line="76" w:lineRule="exact"/>
        <w:rPr>
          <w:rFonts w:ascii="Arial" w:cs="Arial" w:eastAsia="Arial" w:hAnsi="Arial"/>
          <w:sz w:val="18"/>
          <w:szCs w:val="18"/>
          <w:b w:val="1"/>
          <w:bCs w:val="1"/>
          <w:color w:val="auto"/>
        </w:rPr>
      </w:pPr>
    </w:p>
    <w:p>
      <w:pPr>
        <w:ind w:left="460" w:hanging="452"/>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Increase in Operating Expenses as a percent of revenue, as adjusted, of 60 basis points.</w:t>
      </w:r>
    </w:p>
    <w:p>
      <w:pPr>
        <w:spacing w:after="0" w:line="76" w:lineRule="exact"/>
        <w:rPr>
          <w:rFonts w:ascii="Arial" w:cs="Arial" w:eastAsia="Arial" w:hAnsi="Arial"/>
          <w:sz w:val="18"/>
          <w:szCs w:val="18"/>
          <w:b w:val="1"/>
          <w:bCs w:val="1"/>
          <w:color w:val="auto"/>
        </w:rPr>
      </w:pPr>
    </w:p>
    <w:p>
      <w:pPr>
        <w:ind w:left="460" w:right="60" w:hanging="452"/>
        <w:spacing w:after="0" w:line="264" w:lineRule="auto"/>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Adjustments in 2009 include $9 million charge related to multi-employer pension withdrawal costs. Adjustments in 2008 included: $33 million charge to landfill operating costs associated with changes in risk-free interest rates; $39 million charge related to multi-employer pension withdrawal costs and $8 million related to the cost of a labor disruption.</w:t>
      </w:r>
    </w:p>
    <w:p>
      <w:pPr>
        <w:spacing w:after="0" w:line="32" w:lineRule="exact"/>
        <w:rPr>
          <w:rFonts w:ascii="Arial" w:cs="Arial" w:eastAsia="Arial" w:hAnsi="Arial"/>
          <w:sz w:val="18"/>
          <w:szCs w:val="18"/>
          <w:b w:val="1"/>
          <w:bCs w:val="1"/>
          <w:color w:val="auto"/>
        </w:rPr>
      </w:pPr>
    </w:p>
    <w:p>
      <w:pPr>
        <w:ind w:left="460" w:hanging="452"/>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Decrease in full year 2009 Operating Expenses on a dollar basis, as adjusted, of $1,154 million, or 130 basis points.</w:t>
      </w:r>
    </w:p>
    <w:p>
      <w:pPr>
        <w:spacing w:after="0" w:line="76" w:lineRule="exact"/>
        <w:rPr>
          <w:rFonts w:ascii="Arial" w:cs="Arial" w:eastAsia="Arial" w:hAnsi="Arial"/>
          <w:sz w:val="18"/>
          <w:szCs w:val="18"/>
          <w:b w:val="1"/>
          <w:bCs w:val="1"/>
          <w:color w:val="auto"/>
        </w:rPr>
      </w:pPr>
    </w:p>
    <w:p>
      <w:pPr>
        <w:ind w:left="460" w:right="180" w:hanging="452"/>
        <w:spacing w:after="0" w:line="308" w:lineRule="auto"/>
        <w:tabs>
          <w:tab w:leader="none" w:pos="460" w:val="left"/>
        </w:tabs>
        <w:numPr>
          <w:ilvl w:val="0"/>
          <w:numId w:val="10"/>
        </w:numPr>
        <w:rPr>
          <w:rFonts w:ascii="Arial" w:cs="Arial" w:eastAsia="Arial" w:hAnsi="Arial"/>
          <w:sz w:val="17"/>
          <w:szCs w:val="17"/>
          <w:b w:val="1"/>
          <w:bCs w:val="1"/>
          <w:color w:val="auto"/>
        </w:rPr>
      </w:pPr>
      <w:r>
        <w:rPr>
          <w:rFonts w:ascii="Arial" w:cs="Arial" w:eastAsia="Arial" w:hAnsi="Arial"/>
          <w:sz w:val="17"/>
          <w:szCs w:val="17"/>
          <w:color w:val="auto"/>
        </w:rPr>
        <w:t>The reconciliation illustrates two scenarios that show our projected Free Cash Flow range. The amounts used in the reconciliation are subject to many variables, some of which are not in our control and therefore are not necessarily indicative of what actual results will be.</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sectPr>
      <w:pgSz w:w="11900" w:h="16838" w:orient="portrait"/>
      <w:cols w:equalWidth="0" w:num="1">
        <w:col w:w="11420"/>
      </w:cols>
      <w:pgMar w:left="240" w:top="958" w:right="239" w:bottom="788"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o"/>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1)"/>
      <w:numFmt w:val="lowerLetter"/>
    </w:lvl>
    <w:lvl w:ilvl="1">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1)"/>
      <w:numFmt w:val="lowerLetter"/>
      <w:start w:val="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1"/>
    </w:lvl>
  </w:abstractNum>
  <w:abstractNum w:abstractNumId="9">
    <w:nsid w:val="4DB127F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2019-12-10T07:51:52Z</dcterms:created>
  <dcterms:modified xsi:type="dcterms:W3CDTF">2019-12-10T07:51:52Z</dcterms:modified>
</cp:coreProperties>
</file>