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Pursuant to Rule 433</w:t>
      </w:r>
    </w:p>
    <w:p>
      <w:pPr>
        <w:spacing w:after="0" w:line="23" w:lineRule="exact"/>
        <w:rPr>
          <w:sz w:val="24"/>
          <w:szCs w:val="24"/>
          <w:color w:val="auto"/>
        </w:rPr>
      </w:pPr>
    </w:p>
    <w:p>
      <w:pPr>
        <w:jc w:val="right"/>
        <w:ind w:right="40"/>
        <w:spacing w:after="0"/>
        <w:rPr>
          <w:sz w:val="20"/>
          <w:szCs w:val="20"/>
          <w:color w:val="auto"/>
        </w:rPr>
      </w:pPr>
      <w:r>
        <w:rPr>
          <w:rFonts w:ascii="Arial" w:cs="Arial" w:eastAsia="Arial" w:hAnsi="Arial"/>
          <w:sz w:val="18"/>
          <w:szCs w:val="18"/>
          <w:color w:val="auto"/>
        </w:rPr>
        <w:t>Issuer Free Writing Prospectus dated April 28, 2022 relating to the</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Preliminary Prospectus Supplement dated April 28, 2022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to Prospectus dated April 26, 2022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Statement No. 333-264493</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7920" w:type="dxa"/>
            <w:vAlign w:val="bottom"/>
          </w:tcPr>
          <w:p>
            <w:pPr>
              <w:ind w:left="1560"/>
              <w:spacing w:after="0"/>
              <w:rPr>
                <w:sz w:val="20"/>
                <w:szCs w:val="20"/>
                <w:color w:val="auto"/>
              </w:rPr>
            </w:pPr>
            <w:r>
              <w:rPr>
                <w:rFonts w:ascii="Arial" w:cs="Arial" w:eastAsia="Arial" w:hAnsi="Arial"/>
                <w:sz w:val="18"/>
                <w:szCs w:val="18"/>
                <w:b w:val="1"/>
                <w:bCs w:val="1"/>
                <w:color w:val="auto"/>
              </w:rPr>
              <w:t>Pricing Term Sheet</w:t>
            </w:r>
          </w:p>
        </w:tc>
      </w:tr>
      <w:tr>
        <w:trPr>
          <w:trHeight w:val="432"/>
        </w:trPr>
        <w:tc>
          <w:tcPr>
            <w:tcW w:w="3320" w:type="dxa"/>
            <w:vAlign w:val="bottom"/>
          </w:tcPr>
          <w:p>
            <w:pPr>
              <w:spacing w:after="0"/>
              <w:rPr>
                <w:sz w:val="24"/>
                <w:szCs w:val="24"/>
                <w:color w:val="auto"/>
              </w:rPr>
            </w:pPr>
          </w:p>
        </w:tc>
        <w:tc>
          <w:tcPr>
            <w:tcW w:w="7920" w:type="dxa"/>
            <w:vAlign w:val="bottom"/>
          </w:tcPr>
          <w:p>
            <w:pPr>
              <w:ind w:left="600"/>
              <w:spacing w:after="0"/>
              <w:rPr>
                <w:sz w:val="20"/>
                <w:szCs w:val="20"/>
                <w:color w:val="auto"/>
              </w:rPr>
            </w:pPr>
            <w:r>
              <w:rPr>
                <w:rFonts w:ascii="Arial" w:cs="Arial" w:eastAsia="Arial" w:hAnsi="Arial"/>
                <w:sz w:val="18"/>
                <w:szCs w:val="18"/>
                <w:b w:val="1"/>
                <w:bCs w:val="1"/>
                <w:color w:val="auto"/>
              </w:rPr>
              <w:t>$1,000,000,000 4.15% Senior Notes due 2032</w:t>
            </w:r>
          </w:p>
        </w:tc>
      </w:tr>
      <w:tr>
        <w:trPr>
          <w:trHeight w:val="432"/>
        </w:trPr>
        <w:tc>
          <w:tcPr>
            <w:tcW w:w="3320" w:type="dxa"/>
            <w:vAlign w:val="bottom"/>
          </w:tcPr>
          <w:p>
            <w:pPr>
              <w:spacing w:after="0"/>
              <w:rPr>
                <w:sz w:val="20"/>
                <w:szCs w:val="20"/>
                <w:color w:val="auto"/>
              </w:rPr>
            </w:pPr>
            <w:r>
              <w:rPr>
                <w:rFonts w:ascii="Arial" w:cs="Arial" w:eastAsia="Arial" w:hAnsi="Arial"/>
                <w:sz w:val="18"/>
                <w:szCs w:val="18"/>
                <w:color w:val="auto"/>
              </w:rPr>
              <w:t>Issuer:</w:t>
            </w:r>
          </w:p>
        </w:tc>
        <w:tc>
          <w:tcPr>
            <w:tcW w:w="7920" w:type="dxa"/>
            <w:vAlign w:val="bottom"/>
          </w:tcPr>
          <w:p>
            <w:pPr>
              <w:ind w:left="1420"/>
              <w:spacing w:after="0"/>
              <w:rPr>
                <w:sz w:val="20"/>
                <w:szCs w:val="20"/>
                <w:color w:val="auto"/>
              </w:rPr>
            </w:pPr>
            <w:r>
              <w:rPr>
                <w:rFonts w:ascii="Arial" w:cs="Arial" w:eastAsia="Arial" w:hAnsi="Arial"/>
                <w:sz w:val="18"/>
                <w:szCs w:val="18"/>
                <w:color w:val="auto"/>
              </w:rPr>
              <w:t>Waste Management, Inc.</w:t>
            </w:r>
          </w:p>
        </w:tc>
      </w:tr>
      <w:tr>
        <w:trPr>
          <w:trHeight w:val="432"/>
        </w:trPr>
        <w:tc>
          <w:tcPr>
            <w:tcW w:w="3320" w:type="dxa"/>
            <w:vAlign w:val="bottom"/>
          </w:tcPr>
          <w:p>
            <w:pPr>
              <w:spacing w:after="0"/>
              <w:rPr>
                <w:sz w:val="20"/>
                <w:szCs w:val="20"/>
                <w:color w:val="auto"/>
              </w:rPr>
            </w:pPr>
            <w:r>
              <w:rPr>
                <w:rFonts w:ascii="Arial" w:cs="Arial" w:eastAsia="Arial" w:hAnsi="Arial"/>
                <w:sz w:val="18"/>
                <w:szCs w:val="18"/>
                <w:color w:val="auto"/>
              </w:rPr>
              <w:t>Guarantor:</w:t>
            </w:r>
          </w:p>
        </w:tc>
        <w:tc>
          <w:tcPr>
            <w:tcW w:w="7920" w:type="dxa"/>
            <w:vAlign w:val="bottom"/>
          </w:tcPr>
          <w:p>
            <w:pPr>
              <w:ind w:left="1420"/>
              <w:spacing w:after="0"/>
              <w:rPr>
                <w:sz w:val="20"/>
                <w:szCs w:val="20"/>
                <w:color w:val="auto"/>
              </w:rPr>
            </w:pPr>
            <w:r>
              <w:rPr>
                <w:rFonts w:ascii="Arial" w:cs="Arial" w:eastAsia="Arial" w:hAnsi="Arial"/>
                <w:sz w:val="18"/>
                <w:szCs w:val="18"/>
                <w:color w:val="auto"/>
              </w:rPr>
              <w:t>Waste Management Holdings, Inc.</w:t>
            </w:r>
          </w:p>
        </w:tc>
      </w:tr>
      <w:tr>
        <w:trPr>
          <w:trHeight w:val="418"/>
        </w:trPr>
        <w:tc>
          <w:tcPr>
            <w:tcW w:w="3320" w:type="dxa"/>
            <w:vAlign w:val="bottom"/>
          </w:tcPr>
          <w:p>
            <w:pPr>
              <w:spacing w:after="0"/>
              <w:rPr>
                <w:sz w:val="20"/>
                <w:szCs w:val="20"/>
                <w:color w:val="auto"/>
              </w:rPr>
            </w:pPr>
            <w:r>
              <w:rPr>
                <w:rFonts w:ascii="Arial" w:cs="Arial" w:eastAsia="Arial" w:hAnsi="Arial"/>
                <w:sz w:val="18"/>
                <w:szCs w:val="18"/>
                <w:color w:val="auto"/>
              </w:rPr>
              <w:t>Ratings:*</w:t>
            </w:r>
          </w:p>
        </w:tc>
        <w:tc>
          <w:tcPr>
            <w:tcW w:w="7920" w:type="dxa"/>
            <w:vAlign w:val="bottom"/>
          </w:tcPr>
          <w:p>
            <w:pPr>
              <w:ind w:left="1420"/>
              <w:spacing w:after="0"/>
              <w:rPr>
                <w:sz w:val="20"/>
                <w:szCs w:val="20"/>
                <w:color w:val="auto"/>
              </w:rPr>
            </w:pPr>
            <w:r>
              <w:rPr>
                <w:rFonts w:ascii="Arial" w:cs="Arial" w:eastAsia="Arial" w:hAnsi="Arial"/>
                <w:sz w:val="18"/>
                <w:szCs w:val="18"/>
                <w:color w:val="auto"/>
              </w:rPr>
              <w:t>Moody’s: Baa1</w:t>
            </w:r>
          </w:p>
        </w:tc>
      </w:tr>
      <w:tr>
        <w:trPr>
          <w:trHeight w:val="216"/>
        </w:trPr>
        <w:tc>
          <w:tcPr>
            <w:tcW w:w="3320" w:type="dxa"/>
            <w:vAlign w:val="bottom"/>
          </w:tcPr>
          <w:p>
            <w:pPr>
              <w:spacing w:after="0"/>
              <w:rPr>
                <w:sz w:val="18"/>
                <w:szCs w:val="18"/>
                <w:color w:val="auto"/>
              </w:rPr>
            </w:pPr>
          </w:p>
        </w:tc>
        <w:tc>
          <w:tcPr>
            <w:tcW w:w="7920" w:type="dxa"/>
            <w:vAlign w:val="bottom"/>
          </w:tcPr>
          <w:p>
            <w:pPr>
              <w:ind w:left="1420"/>
              <w:spacing w:after="0"/>
              <w:rPr>
                <w:sz w:val="20"/>
                <w:szCs w:val="20"/>
                <w:color w:val="auto"/>
              </w:rPr>
            </w:pPr>
            <w:r>
              <w:rPr>
                <w:rFonts w:ascii="Arial" w:cs="Arial" w:eastAsia="Arial" w:hAnsi="Arial"/>
                <w:sz w:val="18"/>
                <w:szCs w:val="18"/>
                <w:color w:val="auto"/>
              </w:rPr>
              <w:t>S&amp;P: A-</w:t>
            </w:r>
          </w:p>
        </w:tc>
      </w:tr>
      <w:tr>
        <w:trPr>
          <w:trHeight w:val="230"/>
        </w:trPr>
        <w:tc>
          <w:tcPr>
            <w:tcW w:w="3320" w:type="dxa"/>
            <w:vAlign w:val="bottom"/>
          </w:tcPr>
          <w:p>
            <w:pPr>
              <w:spacing w:after="0"/>
              <w:rPr>
                <w:sz w:val="20"/>
                <w:szCs w:val="20"/>
                <w:color w:val="auto"/>
              </w:rPr>
            </w:pPr>
          </w:p>
        </w:tc>
        <w:tc>
          <w:tcPr>
            <w:tcW w:w="7920" w:type="dxa"/>
            <w:vAlign w:val="bottom"/>
          </w:tcPr>
          <w:p>
            <w:pPr>
              <w:ind w:left="1420"/>
              <w:spacing w:after="0"/>
              <w:rPr>
                <w:sz w:val="20"/>
                <w:szCs w:val="20"/>
                <w:color w:val="auto"/>
              </w:rPr>
            </w:pPr>
            <w:r>
              <w:rPr>
                <w:rFonts w:ascii="Arial" w:cs="Arial" w:eastAsia="Arial" w:hAnsi="Arial"/>
                <w:sz w:val="18"/>
                <w:szCs w:val="18"/>
                <w:color w:val="auto"/>
              </w:rPr>
              <w:t>Fitch: BBB+</w:t>
            </w:r>
          </w:p>
        </w:tc>
      </w:tr>
      <w:tr>
        <w:trPr>
          <w:trHeight w:val="432"/>
        </w:trPr>
        <w:tc>
          <w:tcPr>
            <w:tcW w:w="3320" w:type="dxa"/>
            <w:vAlign w:val="bottom"/>
          </w:tcPr>
          <w:p>
            <w:pPr>
              <w:spacing w:after="0"/>
              <w:rPr>
                <w:sz w:val="20"/>
                <w:szCs w:val="20"/>
                <w:color w:val="auto"/>
              </w:rPr>
            </w:pPr>
            <w:r>
              <w:rPr>
                <w:rFonts w:ascii="Arial" w:cs="Arial" w:eastAsia="Arial" w:hAnsi="Arial"/>
                <w:sz w:val="18"/>
                <w:szCs w:val="18"/>
                <w:color w:val="auto"/>
              </w:rPr>
              <w:t>Trade Date:</w:t>
            </w:r>
          </w:p>
        </w:tc>
        <w:tc>
          <w:tcPr>
            <w:tcW w:w="7920" w:type="dxa"/>
            <w:vAlign w:val="bottom"/>
          </w:tcPr>
          <w:p>
            <w:pPr>
              <w:ind w:left="1420"/>
              <w:spacing w:after="0"/>
              <w:rPr>
                <w:sz w:val="20"/>
                <w:szCs w:val="20"/>
                <w:color w:val="auto"/>
              </w:rPr>
            </w:pPr>
            <w:r>
              <w:rPr>
                <w:rFonts w:ascii="Arial" w:cs="Arial" w:eastAsia="Arial" w:hAnsi="Arial"/>
                <w:sz w:val="18"/>
                <w:szCs w:val="18"/>
                <w:color w:val="auto"/>
              </w:rPr>
              <w:t>April 28, 2022</w:t>
            </w:r>
          </w:p>
        </w:tc>
      </w:tr>
      <w:tr>
        <w:trPr>
          <w:trHeight w:val="432"/>
        </w:trPr>
        <w:tc>
          <w:tcPr>
            <w:tcW w:w="3320" w:type="dxa"/>
            <w:vAlign w:val="bottom"/>
          </w:tcPr>
          <w:p>
            <w:pPr>
              <w:spacing w:after="0"/>
              <w:rPr>
                <w:sz w:val="20"/>
                <w:szCs w:val="20"/>
                <w:color w:val="auto"/>
              </w:rPr>
            </w:pPr>
            <w:r>
              <w:rPr>
                <w:rFonts w:ascii="Arial" w:cs="Arial" w:eastAsia="Arial" w:hAnsi="Arial"/>
                <w:sz w:val="18"/>
                <w:szCs w:val="18"/>
                <w:color w:val="auto"/>
              </w:rPr>
              <w:t>Settlement Date:**</w:t>
            </w:r>
          </w:p>
        </w:tc>
        <w:tc>
          <w:tcPr>
            <w:tcW w:w="7920" w:type="dxa"/>
            <w:vAlign w:val="bottom"/>
          </w:tcPr>
          <w:p>
            <w:pPr>
              <w:ind w:left="1420"/>
              <w:spacing w:after="0"/>
              <w:rPr>
                <w:sz w:val="20"/>
                <w:szCs w:val="20"/>
                <w:color w:val="auto"/>
              </w:rPr>
            </w:pPr>
            <w:r>
              <w:rPr>
                <w:rFonts w:ascii="Arial" w:cs="Arial" w:eastAsia="Arial" w:hAnsi="Arial"/>
                <w:sz w:val="18"/>
                <w:szCs w:val="18"/>
                <w:color w:val="auto"/>
              </w:rPr>
              <w:t>T+10; May 12, 2022</w:t>
            </w:r>
          </w:p>
        </w:tc>
      </w:tr>
      <w:tr>
        <w:trPr>
          <w:trHeight w:val="432"/>
        </w:trPr>
        <w:tc>
          <w:tcPr>
            <w:tcW w:w="3320" w:type="dxa"/>
            <w:vAlign w:val="bottom"/>
          </w:tcPr>
          <w:p>
            <w:pPr>
              <w:spacing w:after="0"/>
              <w:rPr>
                <w:sz w:val="20"/>
                <w:szCs w:val="20"/>
                <w:color w:val="auto"/>
              </w:rPr>
            </w:pPr>
            <w:r>
              <w:rPr>
                <w:rFonts w:ascii="Arial" w:cs="Arial" w:eastAsia="Arial" w:hAnsi="Arial"/>
                <w:sz w:val="18"/>
                <w:szCs w:val="18"/>
                <w:color w:val="auto"/>
              </w:rPr>
              <w:t>Principal Amount:</w:t>
            </w:r>
          </w:p>
        </w:tc>
        <w:tc>
          <w:tcPr>
            <w:tcW w:w="7920" w:type="dxa"/>
            <w:vAlign w:val="bottom"/>
          </w:tcPr>
          <w:p>
            <w:pPr>
              <w:ind w:left="1420"/>
              <w:spacing w:after="0"/>
              <w:rPr>
                <w:sz w:val="20"/>
                <w:szCs w:val="20"/>
                <w:color w:val="auto"/>
              </w:rPr>
            </w:pPr>
            <w:r>
              <w:rPr>
                <w:rFonts w:ascii="Arial" w:cs="Arial" w:eastAsia="Arial" w:hAnsi="Arial"/>
                <w:sz w:val="18"/>
                <w:szCs w:val="18"/>
                <w:color w:val="auto"/>
              </w:rPr>
              <w:t>$1,000,000,000</w:t>
            </w:r>
          </w:p>
        </w:tc>
      </w:tr>
      <w:tr>
        <w:trPr>
          <w:trHeight w:val="432"/>
        </w:trPr>
        <w:tc>
          <w:tcPr>
            <w:tcW w:w="3320" w:type="dxa"/>
            <w:vAlign w:val="bottom"/>
          </w:tcPr>
          <w:p>
            <w:pPr>
              <w:spacing w:after="0"/>
              <w:rPr>
                <w:sz w:val="20"/>
                <w:szCs w:val="20"/>
                <w:color w:val="auto"/>
              </w:rPr>
            </w:pPr>
            <w:r>
              <w:rPr>
                <w:rFonts w:ascii="Arial" w:cs="Arial" w:eastAsia="Arial" w:hAnsi="Arial"/>
                <w:sz w:val="18"/>
                <w:szCs w:val="18"/>
                <w:color w:val="auto"/>
              </w:rPr>
              <w:t>Maturity Date:</w:t>
            </w:r>
          </w:p>
        </w:tc>
        <w:tc>
          <w:tcPr>
            <w:tcW w:w="7920" w:type="dxa"/>
            <w:vAlign w:val="bottom"/>
          </w:tcPr>
          <w:p>
            <w:pPr>
              <w:ind w:left="1420"/>
              <w:spacing w:after="0"/>
              <w:rPr>
                <w:sz w:val="20"/>
                <w:szCs w:val="20"/>
                <w:color w:val="auto"/>
              </w:rPr>
            </w:pPr>
            <w:r>
              <w:rPr>
                <w:rFonts w:ascii="Arial" w:cs="Arial" w:eastAsia="Arial" w:hAnsi="Arial"/>
                <w:sz w:val="18"/>
                <w:szCs w:val="18"/>
                <w:color w:val="auto"/>
              </w:rPr>
              <w:t>April 15, 2032</w:t>
            </w:r>
          </w:p>
        </w:tc>
      </w:tr>
      <w:tr>
        <w:trPr>
          <w:trHeight w:val="432"/>
        </w:trPr>
        <w:tc>
          <w:tcPr>
            <w:tcW w:w="3320" w:type="dxa"/>
            <w:vAlign w:val="bottom"/>
          </w:tcPr>
          <w:p>
            <w:pPr>
              <w:spacing w:after="0"/>
              <w:rPr>
                <w:sz w:val="20"/>
                <w:szCs w:val="20"/>
                <w:color w:val="auto"/>
              </w:rPr>
            </w:pPr>
            <w:r>
              <w:rPr>
                <w:rFonts w:ascii="Arial" w:cs="Arial" w:eastAsia="Arial" w:hAnsi="Arial"/>
                <w:sz w:val="18"/>
                <w:szCs w:val="18"/>
                <w:color w:val="auto"/>
              </w:rPr>
              <w:t>Coupon:</w:t>
            </w:r>
          </w:p>
        </w:tc>
        <w:tc>
          <w:tcPr>
            <w:tcW w:w="7920" w:type="dxa"/>
            <w:vAlign w:val="bottom"/>
          </w:tcPr>
          <w:p>
            <w:pPr>
              <w:ind w:left="1420"/>
              <w:spacing w:after="0"/>
              <w:rPr>
                <w:sz w:val="20"/>
                <w:szCs w:val="20"/>
                <w:color w:val="auto"/>
              </w:rPr>
            </w:pPr>
            <w:r>
              <w:rPr>
                <w:rFonts w:ascii="Arial" w:cs="Arial" w:eastAsia="Arial" w:hAnsi="Arial"/>
                <w:sz w:val="18"/>
                <w:szCs w:val="18"/>
                <w:color w:val="auto"/>
              </w:rPr>
              <w:t>4.15%</w:t>
            </w:r>
          </w:p>
        </w:tc>
      </w:tr>
      <w:tr>
        <w:trPr>
          <w:trHeight w:val="432"/>
        </w:trPr>
        <w:tc>
          <w:tcPr>
            <w:tcW w:w="3320" w:type="dxa"/>
            <w:vAlign w:val="bottom"/>
          </w:tcPr>
          <w:p>
            <w:pPr>
              <w:spacing w:after="0"/>
              <w:rPr>
                <w:sz w:val="20"/>
                <w:szCs w:val="20"/>
                <w:color w:val="auto"/>
              </w:rPr>
            </w:pPr>
            <w:r>
              <w:rPr>
                <w:rFonts w:ascii="Arial" w:cs="Arial" w:eastAsia="Arial" w:hAnsi="Arial"/>
                <w:sz w:val="18"/>
                <w:szCs w:val="18"/>
                <w:color w:val="auto"/>
              </w:rPr>
              <w:t>Benchmark Treasury:</w:t>
            </w:r>
          </w:p>
        </w:tc>
        <w:tc>
          <w:tcPr>
            <w:tcW w:w="7920" w:type="dxa"/>
            <w:vAlign w:val="bottom"/>
          </w:tcPr>
          <w:p>
            <w:pPr>
              <w:ind w:left="1420"/>
              <w:spacing w:after="0"/>
              <w:rPr>
                <w:sz w:val="20"/>
                <w:szCs w:val="20"/>
                <w:color w:val="auto"/>
              </w:rPr>
            </w:pPr>
            <w:r>
              <w:rPr>
                <w:rFonts w:ascii="Arial" w:cs="Arial" w:eastAsia="Arial" w:hAnsi="Arial"/>
                <w:sz w:val="18"/>
                <w:szCs w:val="18"/>
                <w:color w:val="auto"/>
              </w:rPr>
              <w:t>1.875% due February 15, 2032</w:t>
            </w:r>
          </w:p>
        </w:tc>
      </w:tr>
      <w:tr>
        <w:trPr>
          <w:trHeight w:val="432"/>
        </w:trPr>
        <w:tc>
          <w:tcPr>
            <w:tcW w:w="3320" w:type="dxa"/>
            <w:vAlign w:val="bottom"/>
          </w:tcPr>
          <w:p>
            <w:pPr>
              <w:spacing w:after="0"/>
              <w:rPr>
                <w:sz w:val="20"/>
                <w:szCs w:val="20"/>
                <w:color w:val="auto"/>
              </w:rPr>
            </w:pPr>
            <w:r>
              <w:rPr>
                <w:rFonts w:ascii="Arial" w:cs="Arial" w:eastAsia="Arial" w:hAnsi="Arial"/>
                <w:sz w:val="18"/>
                <w:szCs w:val="18"/>
                <w:color w:val="auto"/>
              </w:rPr>
              <w:t>Benchmark Treasury Price and Yield:</w:t>
            </w:r>
          </w:p>
        </w:tc>
        <w:tc>
          <w:tcPr>
            <w:tcW w:w="7920" w:type="dxa"/>
            <w:vAlign w:val="bottom"/>
          </w:tcPr>
          <w:p>
            <w:pPr>
              <w:ind w:left="1420"/>
              <w:spacing w:after="0"/>
              <w:rPr>
                <w:sz w:val="20"/>
                <w:szCs w:val="20"/>
                <w:color w:val="auto"/>
              </w:rPr>
            </w:pPr>
            <w:r>
              <w:rPr>
                <w:rFonts w:ascii="Arial" w:cs="Arial" w:eastAsia="Arial" w:hAnsi="Arial"/>
                <w:sz w:val="18"/>
                <w:szCs w:val="18"/>
                <w:color w:val="auto"/>
              </w:rPr>
              <w:t>91-18 / 2.869%</w:t>
            </w:r>
          </w:p>
        </w:tc>
      </w:tr>
      <w:tr>
        <w:trPr>
          <w:trHeight w:val="432"/>
        </w:trPr>
        <w:tc>
          <w:tcPr>
            <w:tcW w:w="3320" w:type="dxa"/>
            <w:vAlign w:val="bottom"/>
          </w:tcPr>
          <w:p>
            <w:pPr>
              <w:spacing w:after="0"/>
              <w:rPr>
                <w:sz w:val="20"/>
                <w:szCs w:val="20"/>
                <w:color w:val="auto"/>
              </w:rPr>
            </w:pPr>
            <w:r>
              <w:rPr>
                <w:rFonts w:ascii="Arial" w:cs="Arial" w:eastAsia="Arial" w:hAnsi="Arial"/>
                <w:sz w:val="18"/>
                <w:szCs w:val="18"/>
                <w:color w:val="auto"/>
              </w:rPr>
              <w:t>Spread to Benchmark Treasury:</w:t>
            </w:r>
          </w:p>
        </w:tc>
        <w:tc>
          <w:tcPr>
            <w:tcW w:w="7920" w:type="dxa"/>
            <w:vAlign w:val="bottom"/>
          </w:tcPr>
          <w:p>
            <w:pPr>
              <w:ind w:left="1420"/>
              <w:spacing w:after="0"/>
              <w:rPr>
                <w:sz w:val="20"/>
                <w:szCs w:val="20"/>
                <w:color w:val="auto"/>
              </w:rPr>
            </w:pPr>
            <w:r>
              <w:rPr>
                <w:rFonts w:ascii="Arial" w:cs="Arial" w:eastAsia="Arial" w:hAnsi="Arial"/>
                <w:sz w:val="18"/>
                <w:szCs w:val="18"/>
                <w:color w:val="auto"/>
              </w:rPr>
              <w:t>+130 basis points</w:t>
            </w:r>
          </w:p>
        </w:tc>
      </w:tr>
      <w:tr>
        <w:trPr>
          <w:trHeight w:val="432"/>
        </w:trPr>
        <w:tc>
          <w:tcPr>
            <w:tcW w:w="3320" w:type="dxa"/>
            <w:vAlign w:val="bottom"/>
          </w:tcPr>
          <w:p>
            <w:pPr>
              <w:spacing w:after="0"/>
              <w:rPr>
                <w:sz w:val="20"/>
                <w:szCs w:val="20"/>
                <w:color w:val="auto"/>
              </w:rPr>
            </w:pPr>
            <w:r>
              <w:rPr>
                <w:rFonts w:ascii="Arial" w:cs="Arial" w:eastAsia="Arial" w:hAnsi="Arial"/>
                <w:sz w:val="18"/>
                <w:szCs w:val="18"/>
                <w:color w:val="auto"/>
              </w:rPr>
              <w:t>Yield to Maturity:</w:t>
            </w:r>
          </w:p>
        </w:tc>
        <w:tc>
          <w:tcPr>
            <w:tcW w:w="7920" w:type="dxa"/>
            <w:vAlign w:val="bottom"/>
          </w:tcPr>
          <w:p>
            <w:pPr>
              <w:ind w:left="1420"/>
              <w:spacing w:after="0"/>
              <w:rPr>
                <w:sz w:val="20"/>
                <w:szCs w:val="20"/>
                <w:color w:val="auto"/>
              </w:rPr>
            </w:pPr>
            <w:r>
              <w:rPr>
                <w:rFonts w:ascii="Arial" w:cs="Arial" w:eastAsia="Arial" w:hAnsi="Arial"/>
                <w:sz w:val="18"/>
                <w:szCs w:val="18"/>
                <w:color w:val="auto"/>
              </w:rPr>
              <w:t>4.169%</w:t>
            </w:r>
          </w:p>
        </w:tc>
      </w:tr>
      <w:tr>
        <w:trPr>
          <w:trHeight w:val="432"/>
        </w:trPr>
        <w:tc>
          <w:tcPr>
            <w:tcW w:w="3320" w:type="dxa"/>
            <w:vAlign w:val="bottom"/>
          </w:tcPr>
          <w:p>
            <w:pPr>
              <w:spacing w:after="0"/>
              <w:rPr>
                <w:sz w:val="20"/>
                <w:szCs w:val="20"/>
                <w:color w:val="auto"/>
              </w:rPr>
            </w:pPr>
            <w:r>
              <w:rPr>
                <w:rFonts w:ascii="Arial" w:cs="Arial" w:eastAsia="Arial" w:hAnsi="Arial"/>
                <w:sz w:val="18"/>
                <w:szCs w:val="18"/>
                <w:color w:val="auto"/>
              </w:rPr>
              <w:t>Price to Public:</w:t>
            </w:r>
          </w:p>
        </w:tc>
        <w:tc>
          <w:tcPr>
            <w:tcW w:w="7920" w:type="dxa"/>
            <w:vAlign w:val="bottom"/>
          </w:tcPr>
          <w:p>
            <w:pPr>
              <w:ind w:left="1420"/>
              <w:spacing w:after="0"/>
              <w:rPr>
                <w:sz w:val="20"/>
                <w:szCs w:val="20"/>
                <w:color w:val="auto"/>
              </w:rPr>
            </w:pPr>
            <w:r>
              <w:rPr>
                <w:rFonts w:ascii="Arial" w:cs="Arial" w:eastAsia="Arial" w:hAnsi="Arial"/>
                <w:sz w:val="18"/>
                <w:szCs w:val="18"/>
                <w:color w:val="auto"/>
              </w:rPr>
              <w:t>99.850% of face amount</w:t>
            </w:r>
          </w:p>
        </w:tc>
      </w:tr>
      <w:tr>
        <w:trPr>
          <w:trHeight w:val="432"/>
        </w:trPr>
        <w:tc>
          <w:tcPr>
            <w:tcW w:w="3320" w:type="dxa"/>
            <w:vAlign w:val="bottom"/>
          </w:tcPr>
          <w:p>
            <w:pPr>
              <w:spacing w:after="0"/>
              <w:rPr>
                <w:sz w:val="20"/>
                <w:szCs w:val="20"/>
                <w:color w:val="auto"/>
              </w:rPr>
            </w:pPr>
            <w:r>
              <w:rPr>
                <w:rFonts w:ascii="Arial" w:cs="Arial" w:eastAsia="Arial" w:hAnsi="Arial"/>
                <w:sz w:val="18"/>
                <w:szCs w:val="18"/>
                <w:color w:val="auto"/>
              </w:rPr>
              <w:t>Net Proceeds (before expenses):</w:t>
            </w:r>
          </w:p>
        </w:tc>
        <w:tc>
          <w:tcPr>
            <w:tcW w:w="7920" w:type="dxa"/>
            <w:vAlign w:val="bottom"/>
          </w:tcPr>
          <w:p>
            <w:pPr>
              <w:ind w:left="1420"/>
              <w:spacing w:after="0"/>
              <w:rPr>
                <w:sz w:val="20"/>
                <w:szCs w:val="20"/>
                <w:color w:val="auto"/>
              </w:rPr>
            </w:pPr>
            <w:r>
              <w:rPr>
                <w:rFonts w:ascii="Arial" w:cs="Arial" w:eastAsia="Arial" w:hAnsi="Arial"/>
                <w:sz w:val="18"/>
                <w:szCs w:val="18"/>
                <w:color w:val="auto"/>
              </w:rPr>
              <w:t>$992,000,000</w:t>
            </w:r>
          </w:p>
        </w:tc>
      </w:tr>
      <w:tr>
        <w:trPr>
          <w:trHeight w:val="432"/>
        </w:trPr>
        <w:tc>
          <w:tcPr>
            <w:tcW w:w="3320" w:type="dxa"/>
            <w:vAlign w:val="bottom"/>
          </w:tcPr>
          <w:p>
            <w:pPr>
              <w:spacing w:after="0"/>
              <w:rPr>
                <w:sz w:val="20"/>
                <w:szCs w:val="20"/>
                <w:color w:val="auto"/>
              </w:rPr>
            </w:pPr>
            <w:r>
              <w:rPr>
                <w:rFonts w:ascii="Arial" w:cs="Arial" w:eastAsia="Arial" w:hAnsi="Arial"/>
                <w:sz w:val="18"/>
                <w:szCs w:val="18"/>
                <w:color w:val="auto"/>
              </w:rPr>
              <w:t>Interest Payment Dates:</w:t>
            </w:r>
          </w:p>
        </w:tc>
        <w:tc>
          <w:tcPr>
            <w:tcW w:w="7920" w:type="dxa"/>
            <w:vAlign w:val="bottom"/>
          </w:tcPr>
          <w:p>
            <w:pPr>
              <w:ind w:left="1420"/>
              <w:spacing w:after="0"/>
              <w:rPr>
                <w:sz w:val="20"/>
                <w:szCs w:val="20"/>
                <w:color w:val="auto"/>
              </w:rPr>
            </w:pPr>
            <w:r>
              <w:rPr>
                <w:rFonts w:ascii="Arial" w:cs="Arial" w:eastAsia="Arial" w:hAnsi="Arial"/>
                <w:sz w:val="18"/>
                <w:szCs w:val="18"/>
                <w:color w:val="auto"/>
              </w:rPr>
              <w:t>Semi-annually on April 15 and October 15, commencing on October 15, 2022</w:t>
            </w:r>
          </w:p>
        </w:tc>
      </w:tr>
      <w:tr>
        <w:trPr>
          <w:trHeight w:val="891"/>
        </w:trPr>
        <w:tc>
          <w:tcPr>
            <w:tcW w:w="332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76" w:right="339" w:bottom="1440"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t>Optional Redemption:</w:t>
      </w:r>
    </w:p>
    <w:p>
      <w:pPr>
        <w:spacing w:after="0" w:line="20" w:lineRule="exact"/>
        <w:rPr>
          <w:sz w:val="20"/>
          <w:szCs w:val="20"/>
          <w:color w:val="auto"/>
        </w:rPr>
      </w:pPr>
      <w:r>
        <w:rPr>
          <w:sz w:val="20"/>
          <w:szCs w:val="20"/>
          <w:color w:val="auto"/>
        </w:rPr>
        <w:br w:type="column"/>
      </w:r>
    </w:p>
    <w:p>
      <w:pPr>
        <w:jc w:val="both"/>
        <w:spacing w:after="0" w:line="270" w:lineRule="auto"/>
        <w:rPr>
          <w:sz w:val="20"/>
          <w:szCs w:val="20"/>
          <w:color w:val="auto"/>
        </w:rPr>
      </w:pPr>
      <w:r>
        <w:rPr>
          <w:rFonts w:ascii="Arial" w:cs="Arial" w:eastAsia="Arial" w:hAnsi="Arial"/>
          <w:sz w:val="17"/>
          <w:szCs w:val="17"/>
          <w:color w:val="auto"/>
        </w:rPr>
        <w:t>Prior to January 15, 2032 (three months prior to the maturity date), the notes are redeemable at the option of the issuer, in whole or in part, at any time and from time to time, at a redemption price equal to the greater of: (1) (a) the sum of the present values of the remaining scheduled payments of principal and interest thereon discounted to the redemption date (assuming the notes matured on January 15, 2032) on a semi-annual basis (assuming a 360-day year consisting of twelve 30-day months) at the Treasury Rate plus 20 basis points less (b) interest accrued to the date of redemption, and (2) 100% of the principal amount of the notes to be redeemed, plus, in either case, accrued and unpaid interest thereon to the redemption date.</w:t>
      </w:r>
    </w:p>
    <w:p>
      <w:pPr>
        <w:spacing w:after="0" w:line="181" w:lineRule="exact"/>
        <w:rPr>
          <w:sz w:val="20"/>
          <w:szCs w:val="20"/>
          <w:color w:val="auto"/>
        </w:rPr>
      </w:pPr>
    </w:p>
    <w:p>
      <w:pPr>
        <w:sectPr>
          <w:pgSz w:w="11900" w:h="16838" w:orient="portrait"/>
          <w:cols w:equalWidth="0" w:num="2">
            <w:col w:w="4020" w:space="720"/>
            <w:col w:w="6500"/>
          </w:cols>
          <w:pgMar w:left="320" w:top="908" w:right="339" w:bottom="1440" w:gutter="0" w:footer="0" w:header="0"/>
        </w:sectPr>
      </w:pPr>
    </w:p>
    <w:p>
      <w:pPr>
        <w:jc w:val="both"/>
        <w:ind w:left="4740"/>
        <w:spacing w:after="0" w:line="279" w:lineRule="auto"/>
        <w:rPr>
          <w:sz w:val="20"/>
          <w:szCs w:val="20"/>
          <w:color w:val="auto"/>
        </w:rPr>
      </w:pPr>
      <w:r>
        <w:rPr>
          <w:rFonts w:ascii="Arial" w:cs="Arial" w:eastAsia="Arial" w:hAnsi="Arial"/>
          <w:sz w:val="17"/>
          <w:szCs w:val="17"/>
          <w:color w:val="auto"/>
        </w:rPr>
        <w:t>On or after January 15, 2032 (three months prior to the maturity date), the notes are redeemable at the option of the issuer, in whole or in part, at any time and from time to time, at a redemption price equal to 100% of the principal amount of the notes to be redeemed, plus accrued and unpaid interest thereon to the redemption date.</w:t>
      </w:r>
    </w:p>
    <w:p>
      <w:pPr>
        <w:sectPr>
          <w:pgSz w:w="11900" w:h="16838" w:orient="portrait"/>
          <w:cols w:equalWidth="0" w:num="1">
            <w:col w:w="11240"/>
          </w:cols>
          <w:pgMar w:left="320" w:top="908" w:right="339" w:bottom="1440" w:gutter="0" w:footer="0" w:header="0"/>
          <w:type w:val="continuous"/>
        </w:sectPr>
      </w:pP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CUSIP/ISIN:</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94106L BS7 / US94106LBS79</w:t>
      </w:r>
    </w:p>
    <w:p>
      <w:pPr>
        <w:spacing w:after="0" w:line="211" w:lineRule="exact"/>
        <w:rPr>
          <w:sz w:val="20"/>
          <w:szCs w:val="20"/>
          <w:color w:val="auto"/>
        </w:rPr>
      </w:pPr>
    </w:p>
    <w:p>
      <w:pPr>
        <w:sectPr>
          <w:pgSz w:w="11900" w:h="16838" w:orient="portrait"/>
          <w:cols w:equalWidth="0" w:num="2">
            <w:col w:w="4020" w:space="720"/>
            <w:col w:w="6500"/>
          </w:cols>
          <w:pgMar w:left="320" w:top="908" w:right="3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Joint Book-Running Managers: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BofA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MUFG Securities Americas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Scotia Capital (USA)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Mizuho Securities USA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BNP Paribas Securities Corp.</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SMBC Nikko Securities America, Inc.</w:t>
      </w:r>
    </w:p>
    <w:p>
      <w:pPr>
        <w:spacing w:after="0" w:line="200" w:lineRule="exact"/>
        <w:rPr>
          <w:sz w:val="20"/>
          <w:szCs w:val="20"/>
          <w:color w:val="auto"/>
        </w:rPr>
      </w:pPr>
    </w:p>
    <w:p>
      <w:pPr>
        <w:sectPr>
          <w:pgSz w:w="11900" w:h="16838" w:orient="portrait"/>
          <w:cols w:equalWidth="0" w:num="2">
            <w:col w:w="4020" w:space="720"/>
            <w:col w:w="6500"/>
          </w:cols>
          <w:pgMar w:left="320" w:top="908" w:right="339"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Co-Managers:</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Truist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U.S. Bancorp Investments,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Academy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Cabrera Capital Markets,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CastleOak Securities,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CAVU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MFR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Stern Brothers &amp; Co.</w:t>
      </w:r>
    </w:p>
    <w:p>
      <w:pPr>
        <w:spacing w:after="0" w:line="200" w:lineRule="exact"/>
        <w:rPr>
          <w:sz w:val="20"/>
          <w:szCs w:val="20"/>
          <w:color w:val="auto"/>
        </w:rPr>
      </w:pPr>
    </w:p>
    <w:p>
      <w:pPr>
        <w:sectPr>
          <w:pgSz w:w="11900" w:h="16838" w:orient="portrait"/>
          <w:cols w:equalWidth="0" w:num="2">
            <w:col w:w="4020" w:space="720"/>
            <w:col w:w="6500"/>
          </w:cols>
          <w:pgMar w:left="320" w:top="908" w:right="3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 Note: A securities rating is not a recommendation to buy, sell or hold securities and may be subject to review or withdrawal at any time.</w:t>
      </w:r>
    </w:p>
    <w:p>
      <w:pPr>
        <w:spacing w:after="0" w:line="225" w:lineRule="exact"/>
        <w:rPr>
          <w:sz w:val="20"/>
          <w:szCs w:val="20"/>
          <w:color w:val="auto"/>
        </w:rPr>
      </w:pPr>
    </w:p>
    <w:p>
      <w:pPr>
        <w:ind w:right="100" w:firstLine="8"/>
        <w:spacing w:after="0" w:line="296" w:lineRule="auto"/>
        <w:tabs>
          <w:tab w:leader="none" w:pos="225"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issuer expects delivery of the notes will be made against payment therefor on or about May 12, 2022, which is the tenth business day following the date of pricing of the notes (such settlement being referred to as “T+10”). Under Rule 15c6-1 of the Exchange Act, trades in the secondary market generally are required to settle in two business days unless the parties to any such trade expressly agree otherwise. Accordingly, purchasers who wish to trade the notes on the date of pricing of the notes or the next succeeding seven business days will be required, by virtue of the fact that the notes initially will settle in T+10, to specify an alternate settlement cycle at the time of any such trade to prevent failed settlement and should consult their own advisers.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386080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2" w:name="page3"/>
    <w:bookmarkEnd w:id="2"/>
    <w:p>
      <w:pPr>
        <w:ind w:right="520"/>
        <w:spacing w:after="0" w:line="263" w:lineRule="auto"/>
        <w:rPr>
          <w:sz w:val="20"/>
          <w:szCs w:val="20"/>
          <w:color w:val="auto"/>
        </w:rPr>
      </w:pPr>
      <w:r>
        <w:rPr>
          <w:rFonts w:ascii="Arial" w:cs="Arial" w:eastAsia="Arial" w:hAnsi="Arial"/>
          <w:sz w:val="18"/>
          <w:szCs w:val="18"/>
          <w:color w:val="auto"/>
        </w:rPr>
        <w:t>MiFID II professionals/ECPs-only/No PRIIPs KID – in the European Economic Area (EEA), the manufacturer target market (MiFID II product governance) is eligible counterparties and professional clients only (all distribution channels). No PRIIPs key information document (KID) has been prepared as not available to retail in the EEA.</w:t>
      </w:r>
    </w:p>
    <w:p>
      <w:pPr>
        <w:spacing w:after="0" w:line="184"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The information in this term sheet supplements the information provided in the preliminary prospectus supplement dated April 28, 2022. To the extent information in this term sheet conflicts with information in the preliminary prospectus supplement, this term sheet controls. All capitalized terms used in this term sheet shall have the meaning ascribed to them in the preliminary prospectus supplement.</w:t>
      </w:r>
    </w:p>
    <w:p>
      <w:pPr>
        <w:spacing w:after="0" w:line="18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issuer has filed a registration statement (including a prospectus) and prospectus supplement with the SEC for the offering to which this communication relates. Before you invest, you should read the prospectus in that registration statement and the prospectus supplement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if you request it by contacting: (1) Barclays Capital Inc. toll-free at 1-888-603-5847; (2) BofA Securities, Inc. toll-free at 1 (800) 294-1322; (3) Deutsche Bank Securities Inc. toll-free at 1-800-503-4611; (4) MUFG Securities Americas Inc. toll-free at 1-877-649-6848; or (5) Scotia Capital (USA) Inc. toll-free at 1 (800) 372-3930.</w:t>
      </w:r>
    </w:p>
    <w:p>
      <w:pPr>
        <w:spacing w:after="0" w:line="19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Any disclaimers or other notices that may appear below are not applicable to this communication and should be disregarded. Such disclaimers were automatically generated as a result of this communication being sent via email or another communication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00"/>
      </w:cols>
      <w:pgMar w:left="320" w:top="88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2022-04-28T18:40:33Z</dcterms:created>
  <dcterms:modified xsi:type="dcterms:W3CDTF">2022-04-28T18:40:33Z</dcterms:modified>
</cp:coreProperties>
</file>