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140335</wp:posOffset>
            </wp:positionH>
            <wp:positionV relativeFrom="page">
              <wp:posOffset>140335</wp:posOffset>
            </wp:positionV>
            <wp:extent cx="72809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910" cy="26035"/>
                    </a:xfrm>
                    <a:prstGeom prst="rect">
                      <a:avLst/>
                    </a:prstGeom>
                    <a:noFill/>
                  </pic:spPr>
                </pic:pic>
              </a:graphicData>
            </a:graphic>
          </wp:anchor>
        </w:drawing>
        <w:drawing>
          <wp:anchor simplePos="0" relativeHeight="251657728" behindDoc="1" locked="0" layoutInCell="0" allowOverlap="1">
            <wp:simplePos x="0" y="0"/>
            <wp:positionH relativeFrom="page">
              <wp:posOffset>140335</wp:posOffset>
            </wp:positionH>
            <wp:positionV relativeFrom="page">
              <wp:posOffset>191770</wp:posOffset>
            </wp:positionV>
            <wp:extent cx="72809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0910" cy="635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May 30, 2019</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Waste Management,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ectPr>
          <w:pgSz w:w="11900" w:h="16838" w:orient="portrait"/>
          <w:cols w:equalWidth="0" w:num="1">
            <w:col w:w="11460"/>
          </w:cols>
          <w:pgMar w:left="220" w:top="443" w:right="219" w:bottom="1440" w:gutter="0" w:footer="0" w:header="0"/>
        </w:sectPr>
      </w:pPr>
    </w:p>
    <w:p>
      <w:pPr>
        <w:spacing w:after="0" w:line="150"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Delaware</w:t>
      </w:r>
    </w:p>
    <w:p>
      <w:pPr>
        <w:spacing w:after="0" w:line="14" w:lineRule="exact"/>
        <w:rPr>
          <w:sz w:val="24"/>
          <w:szCs w:val="24"/>
          <w:color w:val="auto"/>
        </w:rPr>
      </w:pPr>
    </w:p>
    <w:p>
      <w:pPr>
        <w:ind w:left="1100"/>
        <w:spacing w:after="0"/>
        <w:rPr>
          <w:sz w:val="20"/>
          <w:szCs w:val="20"/>
          <w:color w:val="auto"/>
        </w:rPr>
      </w:pPr>
      <w:r>
        <w:rPr>
          <w:rFonts w:ascii="Arial" w:cs="Arial" w:eastAsia="Arial" w:hAnsi="Arial"/>
          <w:sz w:val="12"/>
          <w:szCs w:val="12"/>
          <w:color w:val="auto"/>
        </w:rPr>
        <w:t>(State or Other Jurisdiction</w:t>
      </w:r>
    </w:p>
    <w:p>
      <w:pPr>
        <w:spacing w:after="0" w:line="24" w:lineRule="exact"/>
        <w:rPr>
          <w:sz w:val="24"/>
          <w:szCs w:val="24"/>
          <w:color w:val="auto"/>
        </w:rPr>
      </w:pPr>
    </w:p>
    <w:p>
      <w:pPr>
        <w:ind w:left="138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1-12154</w:t>
      </w:r>
    </w:p>
    <w:p>
      <w:pPr>
        <w:spacing w:after="0" w:line="14" w:lineRule="exact"/>
        <w:rPr>
          <w:sz w:val="24"/>
          <w:szCs w:val="24"/>
          <w:color w:val="auto"/>
        </w:rPr>
      </w:pPr>
    </w:p>
    <w:p>
      <w:pPr>
        <w:jc w:val="center"/>
        <w:ind w:right="1920"/>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1320"/>
        <w:spacing w:after="0"/>
        <w:rPr>
          <w:sz w:val="20"/>
          <w:szCs w:val="20"/>
          <w:color w:val="auto"/>
        </w:rPr>
      </w:pPr>
      <w:r>
        <w:rPr>
          <w:rFonts w:ascii="Arial" w:cs="Arial" w:eastAsia="Arial" w:hAnsi="Arial"/>
          <w:sz w:val="14"/>
          <w:szCs w:val="14"/>
          <w:b w:val="1"/>
          <w:bCs w:val="1"/>
          <w:color w:val="auto"/>
        </w:rPr>
        <w:t>73-1309529</w:t>
      </w:r>
    </w:p>
    <w:p>
      <w:pPr>
        <w:spacing w:after="0" w:line="14"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1320"/>
        <w:spacing w:after="0"/>
        <w:rPr>
          <w:sz w:val="20"/>
          <w:szCs w:val="20"/>
          <w:color w:val="auto"/>
        </w:rPr>
      </w:pPr>
      <w:r>
        <w:rPr>
          <w:rFonts w:ascii="Arial" w:cs="Arial" w:eastAsia="Arial" w:hAnsi="Arial"/>
          <w:sz w:val="12"/>
          <w:szCs w:val="12"/>
          <w:color w:val="auto"/>
        </w:rPr>
        <w:t>Identification No.)</w:t>
      </w:r>
    </w:p>
    <w:p>
      <w:pPr>
        <w:spacing w:after="0" w:line="175" w:lineRule="exact"/>
        <w:rPr>
          <w:sz w:val="24"/>
          <w:szCs w:val="24"/>
          <w:color w:val="auto"/>
        </w:rPr>
      </w:pPr>
    </w:p>
    <w:p>
      <w:pPr>
        <w:sectPr>
          <w:pgSz w:w="11900" w:h="16838" w:orient="portrait"/>
          <w:cols w:equalWidth="0" w:num="3">
            <w:col w:w="4280" w:space="720"/>
            <w:col w:w="3420" w:space="720"/>
            <w:col w:w="2320"/>
          </w:cols>
          <w:pgMar w:left="220" w:top="443" w:right="219" w:bottom="1440" w:gutter="0" w:footer="0" w:header="0"/>
          <w:type w:val="continuous"/>
        </w:sectPr>
      </w:pPr>
    </w:p>
    <w:p>
      <w:pPr>
        <w:jc w:val="center"/>
        <w:ind w:right="2000"/>
        <w:spacing w:after="0"/>
        <w:rPr>
          <w:sz w:val="20"/>
          <w:szCs w:val="20"/>
          <w:color w:val="auto"/>
        </w:rPr>
      </w:pPr>
      <w:r>
        <w:rPr>
          <w:rFonts w:ascii="Arial" w:cs="Arial" w:eastAsia="Arial" w:hAnsi="Arial"/>
          <w:sz w:val="14"/>
          <w:szCs w:val="14"/>
          <w:b w:val="1"/>
          <w:bCs w:val="1"/>
          <w:color w:val="auto"/>
        </w:rPr>
        <w:t>1001 Fannin, Houston, Texas</w:t>
      </w:r>
    </w:p>
    <w:p>
      <w:pPr>
        <w:spacing w:after="0" w:line="14" w:lineRule="exact"/>
        <w:rPr>
          <w:sz w:val="24"/>
          <w:szCs w:val="24"/>
          <w:color w:val="auto"/>
        </w:rPr>
      </w:pPr>
    </w:p>
    <w:p>
      <w:pPr>
        <w:jc w:val="center"/>
        <w:ind w:right="200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Arial" w:cs="Arial" w:eastAsia="Arial" w:hAnsi="Arial"/>
          <w:sz w:val="14"/>
          <w:szCs w:val="14"/>
          <w:b w:val="1"/>
          <w:bCs w:val="1"/>
          <w:color w:val="auto"/>
        </w:rPr>
        <w:t>77002</w:t>
      </w:r>
    </w:p>
    <w:p>
      <w:pPr>
        <w:spacing w:after="0" w:line="14" w:lineRule="exact"/>
        <w:rPr>
          <w:sz w:val="24"/>
          <w:szCs w:val="24"/>
          <w:color w:val="auto"/>
        </w:rPr>
      </w:pPr>
    </w:p>
    <w:p>
      <w:pPr>
        <w:jc w:val="center"/>
        <w:ind w:right="2500"/>
        <w:spacing w:after="0"/>
        <w:rPr>
          <w:sz w:val="20"/>
          <w:szCs w:val="20"/>
          <w:color w:val="auto"/>
        </w:rPr>
      </w:pPr>
      <w:r>
        <w:rPr>
          <w:rFonts w:ascii="Arial" w:cs="Arial" w:eastAsia="Arial" w:hAnsi="Arial"/>
          <w:sz w:val="12"/>
          <w:szCs w:val="12"/>
          <w:color w:val="auto"/>
        </w:rPr>
        <w:t>(Zip Code)</w:t>
      </w:r>
    </w:p>
    <w:p>
      <w:pPr>
        <w:spacing w:after="0" w:line="175" w:lineRule="exact"/>
        <w:rPr>
          <w:sz w:val="24"/>
          <w:szCs w:val="24"/>
          <w:color w:val="auto"/>
        </w:rPr>
      </w:pPr>
    </w:p>
    <w:p>
      <w:pPr>
        <w:sectPr>
          <w:pgSz w:w="11900" w:h="16838" w:orient="portrait"/>
          <w:cols w:equalWidth="0" w:num="2">
            <w:col w:w="7640" w:space="720"/>
            <w:col w:w="3100"/>
          </w:cols>
          <w:pgMar w:left="220" w:top="443" w:right="21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(713) 512-6200</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440" w:hanging="439"/>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rFonts w:ascii="Arial" w:cs="Arial" w:eastAsia="Arial" w:hAnsi="Arial"/>
          <w:sz w:val="14"/>
          <w:szCs w:val="14"/>
          <w:color w:val="auto"/>
        </w:rPr>
      </w:pPr>
    </w:p>
    <w:p>
      <w:pPr>
        <w:ind w:left="440" w:hanging="439"/>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Arial" w:cs="Arial" w:eastAsia="Arial" w:hAnsi="Arial"/>
          <w:sz w:val="14"/>
          <w:szCs w:val="14"/>
          <w:color w:val="auto"/>
        </w:rPr>
      </w:pPr>
    </w:p>
    <w:p>
      <w:pPr>
        <w:ind w:left="440" w:hanging="439"/>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63" w:lineRule="exact"/>
        <w:rPr>
          <w:rFonts w:ascii="Arial" w:cs="Arial" w:eastAsia="Arial" w:hAnsi="Arial"/>
          <w:sz w:val="14"/>
          <w:szCs w:val="14"/>
          <w:color w:val="auto"/>
        </w:rPr>
      </w:pPr>
    </w:p>
    <w:p>
      <w:pPr>
        <w:ind w:right="4980" w:firstLine="1"/>
        <w:spacing w:after="0" w:line="479" w:lineRule="auto"/>
        <w:tabs>
          <w:tab w:leader="none" w:pos="433"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660" w:type="dxa"/>
            <w:vAlign w:val="bottom"/>
            <w:tcBorders>
              <w:bottom w:val="single" w:sz="8" w:color="auto"/>
            </w:tcBorders>
          </w:tcPr>
          <w:p>
            <w:pPr>
              <w:ind w:left="1420"/>
              <w:spacing w:after="0"/>
              <w:rPr>
                <w:sz w:val="20"/>
                <w:szCs w:val="20"/>
                <w:color w:val="auto"/>
              </w:rPr>
            </w:pPr>
            <w:r>
              <w:rPr>
                <w:rFonts w:ascii="Arial" w:cs="Arial" w:eastAsia="Arial" w:hAnsi="Arial"/>
                <w:sz w:val="11"/>
                <w:szCs w:val="11"/>
                <w:b w:val="1"/>
                <w:bCs w:val="1"/>
                <w:color w:val="auto"/>
              </w:rPr>
              <w:t>Title of each class</w:t>
            </w:r>
          </w:p>
        </w:tc>
        <w:tc>
          <w:tcPr>
            <w:tcW w:w="2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Trading Symbol(s)</w:t>
            </w:r>
          </w:p>
        </w:tc>
        <w:tc>
          <w:tcPr>
            <w:tcW w:w="220" w:type="dxa"/>
            <w:vAlign w:val="bottom"/>
          </w:tcPr>
          <w:p>
            <w:pPr>
              <w:spacing w:after="0"/>
              <w:rPr>
                <w:sz w:val="11"/>
                <w:szCs w:val="11"/>
                <w:color w:val="auto"/>
              </w:rPr>
            </w:pPr>
          </w:p>
        </w:tc>
        <w:tc>
          <w:tcPr>
            <w:tcW w:w="3660" w:type="dxa"/>
            <w:vAlign w:val="bottom"/>
            <w:tcBorders>
              <w:bottom w:val="single" w:sz="8" w:color="auto"/>
            </w:tcBorders>
          </w:tcPr>
          <w:p>
            <w:pPr>
              <w:ind w:left="820"/>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63"/>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Common Stock, $0.01 par value</w:t>
            </w:r>
          </w:p>
        </w:tc>
        <w:tc>
          <w:tcPr>
            <w:tcW w:w="2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WM</w:t>
            </w: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New York Stock Exchange</w:t>
            </w:r>
          </w:p>
        </w:tc>
      </w:tr>
    </w:tbl>
    <w:p>
      <w:pPr>
        <w:spacing w:after="0" w:line="142" w:lineRule="exact"/>
        <w:rPr>
          <w:sz w:val="24"/>
          <w:szCs w:val="24"/>
          <w:color w:val="auto"/>
        </w:rPr>
      </w:pPr>
    </w:p>
    <w:p>
      <w:pPr>
        <w:ind w:right="280"/>
        <w:spacing w:after="0" w:line="25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 o</w:t>
      </w:r>
    </w:p>
    <w:p>
      <w:pPr>
        <w:spacing w:after="0" w:line="164" w:lineRule="exact"/>
        <w:rPr>
          <w:sz w:val="24"/>
          <w:szCs w:val="24"/>
          <w:color w:val="auto"/>
        </w:rPr>
      </w:pPr>
    </w:p>
    <w:p>
      <w:pPr>
        <w:ind w:right="360"/>
        <w:spacing w:after="0" w:line="25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95885</wp:posOffset>
            </wp:positionV>
            <wp:extent cx="72809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091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72809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91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305435</wp:posOffset>
            </wp:positionV>
            <wp:extent cx="729996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960" cy="25400"/>
                    </a:xfrm>
                    <a:prstGeom prst="rect">
                      <a:avLst/>
                    </a:prstGeom>
                    <a:noFill/>
                  </pic:spPr>
                </pic:pic>
              </a:graphicData>
            </a:graphic>
          </wp:anchor>
        </w:drawing>
      </w:r>
    </w:p>
    <w:p>
      <w:pPr>
        <w:sectPr>
          <w:pgSz w:w="11900" w:h="16838" w:orient="portrait"/>
          <w:cols w:equalWidth="0" w:num="1">
            <w:col w:w="11460"/>
          </w:cols>
          <w:pgMar w:left="220" w:top="443" w:right="2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66" w:lineRule="exact"/>
        <w:rPr>
          <w:sz w:val="20"/>
          <w:szCs w:val="20"/>
          <w:color w:val="auto"/>
        </w:rPr>
      </w:pPr>
    </w:p>
    <w:p>
      <w:pPr>
        <w:ind w:right="200" w:firstLine="488"/>
        <w:spacing w:after="0" w:line="248" w:lineRule="auto"/>
        <w:rPr>
          <w:sz w:val="20"/>
          <w:szCs w:val="20"/>
          <w:color w:val="auto"/>
        </w:rPr>
      </w:pPr>
      <w:r>
        <w:rPr>
          <w:rFonts w:ascii="Arial" w:cs="Arial" w:eastAsia="Arial" w:hAnsi="Arial"/>
          <w:sz w:val="14"/>
          <w:szCs w:val="14"/>
          <w:color w:val="auto"/>
        </w:rPr>
        <w:t>On May 30, 2019, Waste Management, Inc. issued a press release providing additional information in connection with its previously-announced investor day at the New York Stock Exchange. The press release and the presentation may contain material information that has not been publicly disseminated before today. The presentation begins this morning at 8:30 am EDT, and a live webcast of the presentation will be available during the event and for replay from http://investors.wm.com under Events &amp; Presentations. A copy of the press release and the presentation are also attached to this Form 8-K as Exhibit 99.1 and Exhibit 99.2, respectively, and are incorporated herein by reference.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66" w:lineRule="exact"/>
        <w:rPr>
          <w:sz w:val="20"/>
          <w:szCs w:val="20"/>
          <w:color w:val="auto"/>
        </w:rPr>
      </w:pPr>
    </w:p>
    <w:p>
      <w:pPr>
        <w:ind w:left="500" w:hanging="499"/>
        <w:spacing w:after="0"/>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20" w:type="dxa"/>
            <w:vAlign w:val="bottom"/>
            <w:gridSpan w:val="2"/>
          </w:tcPr>
          <w:p>
            <w:pPr>
              <w:jc w:val="center"/>
              <w:ind w:right="5266"/>
              <w:spacing w:after="0"/>
              <w:rPr>
                <w:sz w:val="20"/>
                <w:szCs w:val="20"/>
                <w:color w:val="auto"/>
              </w:rPr>
            </w:pPr>
            <w:r>
              <w:rPr>
                <w:rFonts w:ascii="Arial" w:cs="Arial" w:eastAsia="Arial" w:hAnsi="Arial"/>
                <w:sz w:val="14"/>
                <w:szCs w:val="14"/>
                <w:b w:val="1"/>
                <w:bCs w:val="1"/>
                <w:color w:val="auto"/>
                <w:w w:val="91"/>
              </w:rPr>
              <w:t>Exhibit Index</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53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Description</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11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Number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32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140" w:type="dxa"/>
            <w:vAlign w:val="bottom"/>
          </w:tcPr>
          <w:p>
            <w:pPr>
              <w:spacing w:after="0"/>
              <w:rPr>
                <w:sz w:val="20"/>
                <w:szCs w:val="20"/>
                <w:color w:val="auto"/>
              </w:rPr>
            </w:pPr>
            <w:r>
              <w:rPr>
                <w:rFonts w:ascii="Arial" w:cs="Arial" w:eastAsia="Arial" w:hAnsi="Arial"/>
                <w:sz w:val="14"/>
                <w:szCs w:val="14"/>
                <w:color w:val="auto"/>
              </w:rPr>
              <w:t>99.1</w:t>
            </w:r>
          </w:p>
        </w:tc>
        <w:tc>
          <w:tcPr>
            <w:tcW w:w="360" w:type="dxa"/>
            <w:vAlign w:val="bottom"/>
          </w:tcPr>
          <w:p>
            <w:pPr>
              <w:spacing w:after="0"/>
              <w:rPr>
                <w:sz w:val="24"/>
                <w:szCs w:val="24"/>
                <w:color w:val="auto"/>
              </w:rPr>
            </w:pPr>
          </w:p>
        </w:tc>
        <w:tc>
          <w:tcPr>
            <w:tcW w:w="1900" w:type="dxa"/>
            <w:vAlign w:val="bottom"/>
            <w:tcBorders>
              <w:bottom w:val="single" w:sz="8" w:color="0000EE"/>
            </w:tcBorders>
            <w:gridSpan w:val="2"/>
          </w:tcPr>
          <w:p>
            <w:pPr>
              <w:spacing w:after="0"/>
              <w:rPr>
                <w:rFonts w:ascii="Arial" w:cs="Arial" w:eastAsia="Arial" w:hAnsi="Arial"/>
                <w:sz w:val="14"/>
                <w:szCs w:val="14"/>
                <w:color w:val="0000EE"/>
                <w:w w:val="83"/>
              </w:rPr>
            </w:pPr>
            <w:hyperlink w:anchor="page3">
              <w:r>
                <w:rPr>
                  <w:rFonts w:ascii="Arial" w:cs="Arial" w:eastAsia="Arial" w:hAnsi="Arial"/>
                  <w:sz w:val="14"/>
                  <w:szCs w:val="14"/>
                  <w:color w:val="0000EE"/>
                  <w:w w:val="83"/>
                </w:rPr>
                <w:t>Press Release issued May 30, 2019</w:t>
              </w:r>
            </w:hyperlink>
          </w:p>
        </w:tc>
        <w:tc>
          <w:tcPr>
            <w:tcW w:w="80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line="143" w:lineRule="exact"/>
              <w:rPr>
                <w:sz w:val="20"/>
                <w:szCs w:val="20"/>
                <w:color w:val="auto"/>
              </w:rPr>
            </w:pPr>
            <w:r>
              <w:rPr>
                <w:rFonts w:ascii="Arial" w:cs="Arial" w:eastAsia="Arial" w:hAnsi="Arial"/>
                <w:sz w:val="14"/>
                <w:szCs w:val="14"/>
                <w:color w:val="auto"/>
              </w:rPr>
              <w:t>99.2</w:t>
            </w:r>
          </w:p>
        </w:tc>
        <w:tc>
          <w:tcPr>
            <w:tcW w:w="360" w:type="dxa"/>
            <w:vAlign w:val="bottom"/>
          </w:tcPr>
          <w:p>
            <w:pPr>
              <w:spacing w:after="0"/>
              <w:rPr>
                <w:sz w:val="12"/>
                <w:szCs w:val="12"/>
                <w:color w:val="auto"/>
              </w:rPr>
            </w:pPr>
          </w:p>
        </w:tc>
        <w:tc>
          <w:tcPr>
            <w:tcW w:w="9960" w:type="dxa"/>
            <w:vAlign w:val="bottom"/>
            <w:gridSpan w:val="6"/>
          </w:tcPr>
          <w:p>
            <w:pPr>
              <w:spacing w:after="0" w:line="143" w:lineRule="exact"/>
              <w:rPr>
                <w:rFonts w:ascii="Arial" w:cs="Arial" w:eastAsia="Arial" w:hAnsi="Arial"/>
                <w:sz w:val="14"/>
                <w:szCs w:val="14"/>
                <w:color w:val="0000EE"/>
              </w:rPr>
            </w:pPr>
            <w:hyperlink w:anchor="page5">
              <w:r>
                <w:rPr>
                  <w:rFonts w:ascii="Arial" w:cs="Arial" w:eastAsia="Arial" w:hAnsi="Arial"/>
                  <w:sz w:val="14"/>
                  <w:szCs w:val="14"/>
                  <w:color w:val="0000EE"/>
                </w:rPr>
                <w:t>Waste Management Investor Day presentation dated May 30, 2019</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114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3600" w:type="dxa"/>
            <w:vAlign w:val="bottom"/>
            <w:tcBorders>
              <w:top w:val="single" w:sz="8" w:color="0000EE"/>
            </w:tcBorders>
            <w:gridSpan w:val="2"/>
          </w:tcPr>
          <w:p>
            <w:pPr>
              <w:spacing w:after="0"/>
              <w:rPr>
                <w:sz w:val="24"/>
                <w:szCs w:val="24"/>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4"/>
                <w:szCs w:val="14"/>
                <w:color w:val="auto"/>
              </w:rPr>
              <w:t>2</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3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7284720</wp:posOffset>
            </wp:positionH>
            <wp:positionV relativeFrom="paragraph">
              <wp:posOffset>-24765</wp:posOffset>
            </wp:positionV>
            <wp:extent cx="1270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127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5400"/>
                    </a:xfrm>
                    <a:prstGeom prst="rect">
                      <a:avLst/>
                    </a:prstGeom>
                    <a:noFill/>
                  </pic:spPr>
                </pic:pic>
              </a:graphicData>
            </a:graphic>
          </wp:anchor>
        </w:drawing>
      </w:r>
    </w:p>
    <w:p>
      <w:pPr>
        <w:sectPr>
          <w:pgSz w:w="11900" w:h="16838" w:orient="portrait"/>
          <w:cols w:equalWidth="0" w:num="1">
            <w:col w:w="11500"/>
          </w:cols>
          <w:pgMar w:left="220" w:top="289" w:right="17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4"/>
          <w:szCs w:val="14"/>
          <w:b w:val="1"/>
          <w:bCs w:val="1"/>
          <w:color w:val="auto"/>
        </w:rPr>
        <w:t>SIGNATURES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8060" w:type="dxa"/>
            <w:vAlign w:val="bottom"/>
            <w:gridSpan w:val="2"/>
          </w:tcPr>
          <w:p>
            <w:pPr>
              <w:ind w:left="2340"/>
              <w:spacing w:after="0"/>
              <w:rPr>
                <w:sz w:val="20"/>
                <w:szCs w:val="20"/>
                <w:color w:val="auto"/>
              </w:rPr>
            </w:pPr>
            <w:r>
              <w:rPr>
                <w:rFonts w:ascii="Arial" w:cs="Arial" w:eastAsia="Arial" w:hAnsi="Arial"/>
                <w:sz w:val="14"/>
                <w:szCs w:val="14"/>
                <w:color w:val="auto"/>
              </w:rPr>
              <w:t>WASTE MANAGEMENT, INC.</w:t>
            </w:r>
          </w:p>
        </w:tc>
        <w:tc>
          <w:tcPr>
            <w:tcW w:w="40" w:type="dxa"/>
            <w:vAlign w:val="bottom"/>
          </w:tcPr>
          <w:p>
            <w:pPr>
              <w:spacing w:after="0"/>
              <w:rPr>
                <w:sz w:val="15"/>
                <w:szCs w:val="15"/>
                <w:color w:val="auto"/>
              </w:rPr>
            </w:pPr>
          </w:p>
        </w:tc>
      </w:tr>
      <w:tr>
        <w:trPr>
          <w:trHeight w:val="488"/>
        </w:trPr>
        <w:tc>
          <w:tcPr>
            <w:tcW w:w="3400" w:type="dxa"/>
            <w:vAlign w:val="bottom"/>
          </w:tcPr>
          <w:p>
            <w:pPr>
              <w:spacing w:after="0"/>
              <w:rPr>
                <w:sz w:val="20"/>
                <w:szCs w:val="20"/>
                <w:color w:val="auto"/>
              </w:rPr>
            </w:pPr>
            <w:r>
              <w:rPr>
                <w:rFonts w:ascii="Arial" w:cs="Arial" w:eastAsia="Arial" w:hAnsi="Arial"/>
                <w:sz w:val="14"/>
                <w:szCs w:val="14"/>
                <w:color w:val="auto"/>
              </w:rPr>
              <w:t>Date: May 30, 2019</w:t>
            </w:r>
          </w:p>
        </w:tc>
        <w:tc>
          <w:tcPr>
            <w:tcW w:w="2820" w:type="dxa"/>
            <w:vAlign w:val="bottom"/>
          </w:tcPr>
          <w:p>
            <w:pPr>
              <w:ind w:left="2340"/>
              <w:spacing w:after="0"/>
              <w:rPr>
                <w:sz w:val="20"/>
                <w:szCs w:val="20"/>
                <w:color w:val="auto"/>
              </w:rPr>
            </w:pPr>
            <w:r>
              <w:rPr>
                <w:rFonts w:ascii="Arial" w:cs="Arial" w:eastAsia="Arial" w:hAnsi="Arial"/>
                <w:sz w:val="14"/>
                <w:szCs w:val="14"/>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/s/ Charles C. Boettcher</w:t>
            </w:r>
          </w:p>
        </w:tc>
        <w:tc>
          <w:tcPr>
            <w:tcW w:w="40" w:type="dxa"/>
            <w:vAlign w:val="bottom"/>
          </w:tcPr>
          <w:p>
            <w:pPr>
              <w:spacing w:after="0"/>
              <w:rPr>
                <w:sz w:val="24"/>
                <w:szCs w:val="24"/>
                <w:color w:val="auto"/>
              </w:rPr>
            </w:pPr>
          </w:p>
        </w:tc>
      </w:tr>
      <w:tr>
        <w:trPr>
          <w:trHeight w:val="142"/>
        </w:trPr>
        <w:tc>
          <w:tcPr>
            <w:tcW w:w="34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Arial" w:cs="Arial" w:eastAsia="Arial" w:hAnsi="Arial"/>
                <w:sz w:val="14"/>
                <w:szCs w:val="14"/>
                <w:color w:val="auto"/>
              </w:rPr>
              <w:t>Charles C. Boettcher</w:t>
            </w:r>
          </w:p>
        </w:tc>
        <w:tc>
          <w:tcPr>
            <w:tcW w:w="40" w:type="dxa"/>
            <w:vAlign w:val="bottom"/>
          </w:tcPr>
          <w:p>
            <w:pPr>
              <w:spacing w:after="0"/>
              <w:rPr>
                <w:sz w:val="12"/>
                <w:szCs w:val="12"/>
                <w:color w:val="auto"/>
              </w:rPr>
            </w:pPr>
          </w:p>
        </w:tc>
      </w:tr>
      <w:tr>
        <w:trPr>
          <w:trHeight w:val="162"/>
        </w:trPr>
        <w:tc>
          <w:tcPr>
            <w:tcW w:w="34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Senior Vice President, Corporate Development and</w:t>
            </w:r>
          </w:p>
        </w:tc>
        <w:tc>
          <w:tcPr>
            <w:tcW w:w="40" w:type="dxa"/>
            <w:vAlign w:val="bottom"/>
          </w:tcPr>
          <w:p>
            <w:pPr>
              <w:spacing w:after="0"/>
              <w:rPr>
                <w:sz w:val="14"/>
                <w:szCs w:val="14"/>
                <w:color w:val="auto"/>
              </w:rPr>
            </w:pPr>
          </w:p>
        </w:tc>
      </w:tr>
      <w:tr>
        <w:trPr>
          <w:trHeight w:val="173"/>
        </w:trPr>
        <w:tc>
          <w:tcPr>
            <w:tcW w:w="3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Chief Legal Officer</w:t>
            </w:r>
          </w:p>
        </w:tc>
        <w:tc>
          <w:tcPr>
            <w:tcW w:w="40" w:type="dxa"/>
            <w:vAlign w:val="bottom"/>
          </w:tcPr>
          <w:p>
            <w:pPr>
              <w:spacing w:after="0"/>
              <w:rPr>
                <w:sz w:val="15"/>
                <w:szCs w:val="15"/>
                <w:color w:val="auto"/>
              </w:rPr>
            </w:pPr>
          </w:p>
        </w:tc>
      </w:tr>
      <w:tr>
        <w:trPr>
          <w:trHeight w:val="325"/>
        </w:trPr>
        <w:tc>
          <w:tcPr>
            <w:tcW w:w="3400" w:type="dxa"/>
            <w:vAlign w:val="bottom"/>
          </w:tcPr>
          <w:p>
            <w:pPr>
              <w:spacing w:after="0"/>
              <w:rPr>
                <w:sz w:val="24"/>
                <w:szCs w:val="24"/>
                <w:color w:val="auto"/>
              </w:rPr>
            </w:pPr>
          </w:p>
        </w:tc>
        <w:tc>
          <w:tcPr>
            <w:tcW w:w="2820" w:type="dxa"/>
            <w:vAlign w:val="bottom"/>
          </w:tcPr>
          <w:p>
            <w:pPr>
              <w:jc w:val="right"/>
              <w:ind w:right="392"/>
              <w:spacing w:after="0"/>
              <w:rPr>
                <w:sz w:val="20"/>
                <w:szCs w:val="20"/>
                <w:color w:val="auto"/>
              </w:rPr>
            </w:pPr>
            <w:r>
              <w:rPr>
                <w:rFonts w:ascii="Arial" w:cs="Arial" w:eastAsia="Arial" w:hAnsi="Arial"/>
                <w:sz w:val="14"/>
                <w:szCs w:val="14"/>
                <w:color w:val="auto"/>
              </w:rPr>
              <w:t>3</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7"/>
        </w:trPr>
        <w:tc>
          <w:tcPr>
            <w:tcW w:w="340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52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7284720</wp:posOffset>
            </wp:positionH>
            <wp:positionV relativeFrom="paragraph">
              <wp:posOffset>-24765</wp:posOffset>
            </wp:positionV>
            <wp:extent cx="127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1270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5400"/>
                    </a:xfrm>
                    <a:prstGeom prst="rect">
                      <a:avLst/>
                    </a:prstGeom>
                    <a:noFill/>
                  </pic:spPr>
                </pic:pic>
              </a:graphicData>
            </a:graphic>
          </wp:anchor>
        </w:drawing>
      </w:r>
    </w:p>
    <w:p>
      <w:pPr>
        <w:sectPr>
          <w:pgSz w:w="11900" w:h="16838" w:orient="portrait"/>
          <w:cols w:equalWidth="0" w:num="1">
            <w:col w:w="11500"/>
          </w:cols>
          <w:pgMar w:left="220" w:top="289" w:right="17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00693C"/>
        </w:rPr>
        <w:t>FOR IMMEDIATE RELEASE</w:t>
      </w:r>
    </w:p>
    <w:p>
      <w:pPr>
        <w:sectPr>
          <w:pgSz w:w="11900" w:h="16838" w:orient="portrait"/>
          <w:cols w:equalWidth="0" w:num="1">
            <w:col w:w="11460"/>
          </w:cols>
          <w:pgMar w:left="220" w:top="124" w:right="2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line="248" w:lineRule="auto"/>
        <w:rPr>
          <w:sz w:val="20"/>
          <w:szCs w:val="20"/>
          <w:color w:val="auto"/>
        </w:rPr>
      </w:pPr>
      <w:r>
        <w:rPr>
          <w:rFonts w:ascii="Arial" w:cs="Arial" w:eastAsia="Arial" w:hAnsi="Arial"/>
          <w:sz w:val="30"/>
          <w:szCs w:val="30"/>
          <w:color w:val="7AB800"/>
        </w:rPr>
        <w:t>Waste Management Hosts 2019 Investor Day in New York City</w:t>
      </w:r>
    </w:p>
    <w:p>
      <w:pPr>
        <w:spacing w:after="0" w:line="49" w:lineRule="exact"/>
        <w:rPr>
          <w:sz w:val="20"/>
          <w:szCs w:val="20"/>
          <w:color w:val="auto"/>
        </w:rPr>
      </w:pPr>
    </w:p>
    <w:p>
      <w:pPr>
        <w:jc w:val="center"/>
        <w:spacing w:after="0" w:line="252" w:lineRule="auto"/>
        <w:rPr>
          <w:sz w:val="20"/>
          <w:szCs w:val="20"/>
          <w:color w:val="auto"/>
        </w:rPr>
      </w:pPr>
      <w:r>
        <w:rPr>
          <w:rFonts w:ascii="Arial" w:cs="Arial" w:eastAsia="Arial" w:hAnsi="Arial"/>
          <w:sz w:val="16"/>
          <w:szCs w:val="16"/>
          <w:color w:val="57584F"/>
        </w:rPr>
        <w:t>The Company Outlines Strategy to Accelerate Growth; Reaffirms 2019 Full-Year Guidance, Excluding Acquisition-Related Considerations; and Establishes 2021 Financial Growth Rates</w:t>
      </w:r>
    </w:p>
    <w:p>
      <w:pPr>
        <w:spacing w:after="0" w:line="349"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 xml:space="preserve">HOUSTON </w:t>
      </w:r>
      <w:r>
        <w:rPr>
          <w:rFonts w:ascii="Arial" w:cs="Arial" w:eastAsia="Arial" w:hAnsi="Arial"/>
          <w:sz w:val="13"/>
          <w:szCs w:val="13"/>
          <w:color w:val="auto"/>
        </w:rPr>
        <w:t>— May 30, 2019 —</w:t>
      </w:r>
      <w:r>
        <w:rPr>
          <w:rFonts w:ascii="Arial" w:cs="Arial" w:eastAsia="Arial" w:hAnsi="Arial"/>
          <w:sz w:val="12"/>
          <w:szCs w:val="12"/>
          <w:color w:val="auto"/>
        </w:rPr>
        <w:t xml:space="preserve"> </w:t>
      </w:r>
      <w:r>
        <w:rPr>
          <w:rFonts w:ascii="Arial" w:cs="Arial" w:eastAsia="Arial" w:hAnsi="Arial"/>
          <w:sz w:val="13"/>
          <w:szCs w:val="13"/>
          <w:color w:val="57584F"/>
        </w:rPr>
        <w:t>Waste Management, Inc. (NYSE: WM) will host its Investor Day at the New York Stock Exchange today</w:t>
      </w:r>
      <w:r>
        <w:rPr>
          <w:rFonts w:ascii="Arial" w:cs="Arial" w:eastAsia="Arial" w:hAnsi="Arial"/>
          <w:sz w:val="12"/>
          <w:szCs w:val="12"/>
          <w:color w:val="auto"/>
        </w:rPr>
        <w:t xml:space="preserve"> </w:t>
      </w:r>
      <w:r>
        <w:rPr>
          <w:rFonts w:ascii="Arial" w:cs="Arial" w:eastAsia="Arial" w:hAnsi="Arial"/>
          <w:sz w:val="13"/>
          <w:szCs w:val="13"/>
          <w:color w:val="57584F"/>
        </w:rPr>
        <w:t>beginning at 8:30 a.m. EDT to provide an in-depth review of the Company’s long-term vision, growth strategies, capital allocation framework, and operational and financial objectives. The event will feature presentations and question and answer sessions with every member of the Company’s senior leadership team.</w:t>
      </w:r>
    </w:p>
    <w:p>
      <w:pPr>
        <w:spacing w:after="0" w:line="136" w:lineRule="exact"/>
        <w:rPr>
          <w:sz w:val="20"/>
          <w:szCs w:val="20"/>
          <w:color w:val="auto"/>
        </w:rPr>
      </w:pPr>
    </w:p>
    <w:p>
      <w:pPr>
        <w:jc w:val="both"/>
        <w:ind w:right="20"/>
        <w:spacing w:after="0" w:line="229" w:lineRule="auto"/>
        <w:rPr>
          <w:sz w:val="20"/>
          <w:szCs w:val="20"/>
          <w:color w:val="auto"/>
        </w:rPr>
      </w:pPr>
      <w:r>
        <w:rPr>
          <w:rFonts w:ascii="Arial" w:cs="Arial" w:eastAsia="Arial" w:hAnsi="Arial"/>
          <w:sz w:val="14"/>
          <w:szCs w:val="14"/>
          <w:color w:val="57584F"/>
        </w:rPr>
        <w:t>“In recent years, we have extended our leadership position by executing several key strategic initiatives, including attracting top senior-level talent, optimizing our business, investing in technology and strengthening our balance sheet.” said Jim Fish, President and Chief Executive Officer of Waste Management. “Today, Waste Management is better positioned than ever and our team is excited to use our Investor Day as a platform to outline the next phase of our strategy to create shareholder value. Our plan is grounded in cultivating a purpose-led culture and offering differentiated service through our integrated use of technology and data analytics to provide a better experience for our customers,” added Fish.</w:t>
      </w:r>
    </w:p>
    <w:p>
      <w:pPr>
        <w:spacing w:after="0" w:line="145" w:lineRule="exact"/>
        <w:rPr>
          <w:sz w:val="20"/>
          <w:szCs w:val="20"/>
          <w:color w:val="auto"/>
        </w:rPr>
      </w:pPr>
    </w:p>
    <w:p>
      <w:pPr>
        <w:jc w:val="both"/>
        <w:ind w:right="20"/>
        <w:spacing w:after="0" w:line="230" w:lineRule="auto"/>
        <w:rPr>
          <w:sz w:val="20"/>
          <w:szCs w:val="20"/>
          <w:color w:val="auto"/>
        </w:rPr>
      </w:pPr>
      <w:r>
        <w:rPr>
          <w:rFonts w:ascii="Arial" w:cs="Arial" w:eastAsia="Arial" w:hAnsi="Arial"/>
          <w:sz w:val="14"/>
          <w:szCs w:val="14"/>
          <w:color w:val="57584F"/>
        </w:rPr>
        <w:t>Today, the Company reaffirms its 2019 financial outlook, excluding Advanced Disposal Services, Inc. (“Advanced Disposal”) acquisition-related financing costs and revisions in outlook for capital allocated to share repurchases. The Company will also announce long-term growth targets that reflect confidence in its ability to execute on strategic priorities to grow the business. These long-term growth targets, which are outlined below, also exclude the expected revenue, earnings and free cash flow contributions expected from the acquisition of Advanced Disposal.</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57584F"/>
        </w:rPr>
        <w:t>2019 — 2021 LONG-TERM AVERAGE ANNUAL GROWTH TARGETS</w:t>
      </w:r>
    </w:p>
    <w:p>
      <w:pPr>
        <w:spacing w:after="0" w:line="160" w:lineRule="exact"/>
        <w:rPr>
          <w:sz w:val="20"/>
          <w:szCs w:val="20"/>
          <w:color w:val="auto"/>
        </w:rPr>
      </w:pPr>
    </w:p>
    <w:p>
      <w:pPr>
        <w:ind w:left="480" w:hanging="235"/>
        <w:spacing w:after="0"/>
        <w:tabs>
          <w:tab w:leader="none" w:pos="480" w:val="left"/>
        </w:tabs>
        <w:numPr>
          <w:ilvl w:val="0"/>
          <w:numId w:val="3"/>
        </w:numPr>
        <w:rPr>
          <w:rFonts w:ascii="Arial" w:cs="Arial" w:eastAsia="Arial" w:hAnsi="Arial"/>
          <w:sz w:val="14"/>
          <w:szCs w:val="14"/>
          <w:color w:val="57584F"/>
        </w:rPr>
      </w:pPr>
      <w:r>
        <w:rPr>
          <w:rFonts w:ascii="Arial" w:cs="Arial" w:eastAsia="Arial" w:hAnsi="Arial"/>
          <w:sz w:val="14"/>
          <w:szCs w:val="14"/>
          <w:color w:val="57584F"/>
        </w:rPr>
        <w:t>Revenue growth in the collection and disposal business of between 4% and 6%.</w:t>
      </w:r>
    </w:p>
    <w:p>
      <w:pPr>
        <w:spacing w:after="0" w:line="1" w:lineRule="exact"/>
        <w:rPr>
          <w:rFonts w:ascii="Arial" w:cs="Arial" w:eastAsia="Arial" w:hAnsi="Arial"/>
          <w:sz w:val="14"/>
          <w:szCs w:val="14"/>
          <w:color w:val="57584F"/>
        </w:rPr>
      </w:pPr>
    </w:p>
    <w:p>
      <w:pPr>
        <w:ind w:left="480" w:hanging="235"/>
        <w:spacing w:after="0"/>
        <w:tabs>
          <w:tab w:leader="none" w:pos="480" w:val="left"/>
        </w:tabs>
        <w:numPr>
          <w:ilvl w:val="0"/>
          <w:numId w:val="3"/>
        </w:numPr>
        <w:rPr>
          <w:rFonts w:ascii="Arial" w:cs="Arial" w:eastAsia="Arial" w:hAnsi="Arial"/>
          <w:sz w:val="14"/>
          <w:szCs w:val="14"/>
          <w:color w:val="57584F"/>
        </w:rPr>
      </w:pPr>
      <w:r>
        <w:rPr>
          <w:rFonts w:ascii="Arial" w:cs="Arial" w:eastAsia="Arial" w:hAnsi="Arial"/>
          <w:sz w:val="14"/>
          <w:szCs w:val="14"/>
          <w:color w:val="57584F"/>
        </w:rPr>
        <w:t>Adjusted Operating EBITDA growth of between 5% and 7%.</w:t>
      </w:r>
      <w:r>
        <w:rPr>
          <w:rFonts w:ascii="Arial" w:cs="Arial" w:eastAsia="Arial" w:hAnsi="Arial"/>
          <w:sz w:val="14"/>
          <w:szCs w:val="14"/>
          <w:color w:val="57584F"/>
          <w:vertAlign w:val="superscript"/>
        </w:rPr>
        <w:t>(a)</w:t>
      </w:r>
    </w:p>
    <w:p>
      <w:pPr>
        <w:spacing w:after="0" w:line="1" w:lineRule="exact"/>
        <w:rPr>
          <w:rFonts w:ascii="Arial" w:cs="Arial" w:eastAsia="Arial" w:hAnsi="Arial"/>
          <w:sz w:val="14"/>
          <w:szCs w:val="14"/>
          <w:color w:val="57584F"/>
        </w:rPr>
      </w:pPr>
    </w:p>
    <w:p>
      <w:pPr>
        <w:ind w:left="480" w:hanging="235"/>
        <w:spacing w:after="0"/>
        <w:tabs>
          <w:tab w:leader="none" w:pos="480" w:val="left"/>
        </w:tabs>
        <w:numPr>
          <w:ilvl w:val="0"/>
          <w:numId w:val="3"/>
        </w:numPr>
        <w:rPr>
          <w:rFonts w:ascii="Arial" w:cs="Arial" w:eastAsia="Arial" w:hAnsi="Arial"/>
          <w:sz w:val="14"/>
          <w:szCs w:val="14"/>
          <w:color w:val="57584F"/>
        </w:rPr>
      </w:pPr>
      <w:r>
        <w:rPr>
          <w:rFonts w:ascii="Arial" w:cs="Arial" w:eastAsia="Arial" w:hAnsi="Arial"/>
          <w:sz w:val="14"/>
          <w:szCs w:val="14"/>
          <w:color w:val="57584F"/>
        </w:rPr>
        <w:t>Free Cash Flow growth of between 5% and 7%.</w:t>
      </w:r>
      <w:r>
        <w:rPr>
          <w:rFonts w:ascii="Arial" w:cs="Arial" w:eastAsia="Arial" w:hAnsi="Arial"/>
          <w:sz w:val="14"/>
          <w:szCs w:val="14"/>
          <w:color w:val="57584F"/>
          <w:vertAlign w:val="superscript"/>
        </w:rPr>
        <w:t>(a)</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57584F"/>
        </w:rPr>
        <w:t>EVENT WEBCAST DETAILS</w:t>
      </w:r>
    </w:p>
    <w:p>
      <w:pPr>
        <w:spacing w:after="0" w:line="7" w:lineRule="exact"/>
        <w:rPr>
          <w:sz w:val="20"/>
          <w:szCs w:val="20"/>
          <w:color w:val="auto"/>
        </w:rPr>
      </w:pPr>
    </w:p>
    <w:p>
      <w:pPr>
        <w:jc w:val="both"/>
        <w:ind w:right="20"/>
        <w:spacing w:after="0" w:line="232" w:lineRule="auto"/>
        <w:rPr>
          <w:sz w:val="20"/>
          <w:szCs w:val="20"/>
          <w:color w:val="auto"/>
        </w:rPr>
      </w:pPr>
      <w:r>
        <w:rPr>
          <w:rFonts w:ascii="Arial" w:cs="Arial" w:eastAsia="Arial" w:hAnsi="Arial"/>
          <w:sz w:val="14"/>
          <w:szCs w:val="14"/>
          <w:color w:val="57584F"/>
        </w:rPr>
        <w:t xml:space="preserve">The live webcast of Waste Management’s Investor Day, including question and answer sessions, will begin at 8:30 a.m. EDT and conclude at approximately 12:30 p.m. The presentations and webcast can be accessed from Waste Management’s Investor Relations website at </w:t>
      </w:r>
      <w:r>
        <w:rPr>
          <w:rFonts w:ascii="Arial" w:cs="Arial" w:eastAsia="Arial" w:hAnsi="Arial"/>
          <w:sz w:val="14"/>
          <w:szCs w:val="14"/>
          <w:u w:val="single" w:color="auto"/>
          <w:color w:val="0000FF"/>
        </w:rPr>
        <w:t>http://investors.wm.com/events/event-details/2019-investor-day</w:t>
      </w:r>
      <w:r>
        <w:rPr>
          <w:rFonts w:ascii="Arial" w:cs="Arial" w:eastAsia="Arial" w:hAnsi="Arial"/>
          <w:sz w:val="14"/>
          <w:szCs w:val="14"/>
          <w:color w:val="0000FF"/>
        </w:rPr>
        <w:t xml:space="preserve"> </w:t>
      </w:r>
      <w:r>
        <w:rPr>
          <w:rFonts w:ascii="Arial" w:cs="Arial" w:eastAsia="Arial" w:hAnsi="Arial"/>
          <w:sz w:val="14"/>
          <w:szCs w:val="14"/>
          <w:color w:val="57584F"/>
        </w:rPr>
        <w:t>and will be available for replay following the event.</w:t>
      </w:r>
    </w:p>
    <w:p>
      <w:pPr>
        <w:spacing w:after="0" w:line="145" w:lineRule="exact"/>
        <w:rPr>
          <w:sz w:val="20"/>
          <w:szCs w:val="20"/>
          <w:color w:val="auto"/>
        </w:rPr>
      </w:pPr>
    </w:p>
    <w:p>
      <w:pPr>
        <w:jc w:val="both"/>
        <w:ind w:left="480" w:right="20" w:hanging="235"/>
        <w:spacing w:after="0" w:line="250" w:lineRule="auto"/>
        <w:tabs>
          <w:tab w:leader="none" w:pos="507" w:val="left"/>
        </w:tabs>
        <w:numPr>
          <w:ilvl w:val="0"/>
          <w:numId w:val="4"/>
        </w:numPr>
        <w:rPr>
          <w:rFonts w:ascii="Arial" w:cs="Arial" w:eastAsia="Arial" w:hAnsi="Arial"/>
          <w:sz w:val="12"/>
          <w:szCs w:val="12"/>
          <w:color w:val="57584F"/>
        </w:rPr>
      </w:pPr>
      <w:r>
        <w:rPr>
          <w:rFonts w:ascii="Arial" w:cs="Arial" w:eastAsia="Arial" w:hAnsi="Arial"/>
          <w:sz w:val="12"/>
          <w:szCs w:val="12"/>
          <w:color w:val="57584F"/>
        </w:rPr>
        <w:t>Adjusted operating EBITDA and free cash flow are non-GAAP measures. Please see the May 30, 2019 Investor Day presentation, available at the website identified in the prior paragraph, for definitions of these terms and additional information about the Company’s use of non-GAAP measures. Due to the uncertainty of the likelihood, amount and timing of future items that may impact these measures, the Company is unable to provide a quantitative reconciliation of long-term projected adjusted operating EBITDA growth or long-term projected free cash flow growth to the comparable GAAP measures</w:t>
      </w:r>
      <w:r>
        <w:rPr>
          <w:rFonts w:ascii="Arial" w:cs="Arial" w:eastAsia="Arial" w:hAnsi="Arial"/>
          <w:sz w:val="10"/>
          <w:szCs w:val="10"/>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29996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9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b w:val="1"/>
          <w:bCs w:val="1"/>
          <w:color w:val="00693C"/>
        </w:rPr>
        <w:t>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Waste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Web site</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0000FF"/>
        </w:rPr>
        <w:t>www.wm.com</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Analysts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57584F"/>
        </w:rPr>
        <w:t>Ed Egl</w:t>
      </w:r>
    </w:p>
    <w:p>
      <w:pPr>
        <w:spacing w:after="0" w:line="227" w:lineRule="auto"/>
        <w:rPr>
          <w:sz w:val="20"/>
          <w:szCs w:val="20"/>
          <w:color w:val="auto"/>
        </w:rPr>
      </w:pPr>
      <w:r>
        <w:rPr>
          <w:rFonts w:ascii="Arial" w:cs="Arial" w:eastAsia="Arial" w:hAnsi="Arial"/>
          <w:sz w:val="14"/>
          <w:szCs w:val="14"/>
          <w:color w:val="57584F"/>
        </w:rPr>
        <w:t>713.265.1656</w:t>
      </w:r>
    </w:p>
    <w:p>
      <w:pPr>
        <w:spacing w:after="0"/>
        <w:rPr>
          <w:sz w:val="20"/>
          <w:szCs w:val="20"/>
          <w:color w:val="auto"/>
        </w:rPr>
      </w:pPr>
      <w:r>
        <w:rPr>
          <w:rFonts w:ascii="Arial" w:cs="Arial" w:eastAsia="Arial" w:hAnsi="Arial"/>
          <w:sz w:val="14"/>
          <w:szCs w:val="14"/>
          <w:u w:val="single" w:color="auto"/>
          <w:color w:val="0000FF"/>
        </w:rPr>
        <w:t>eegl@wm.com</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57584F"/>
        </w:rPr>
        <w:t>Andy Izquierdo</w:t>
      </w:r>
    </w:p>
    <w:p>
      <w:pPr>
        <w:spacing w:after="0" w:line="227" w:lineRule="auto"/>
        <w:rPr>
          <w:sz w:val="20"/>
          <w:szCs w:val="20"/>
          <w:color w:val="auto"/>
        </w:rPr>
      </w:pPr>
      <w:r>
        <w:rPr>
          <w:rFonts w:ascii="Arial" w:cs="Arial" w:eastAsia="Arial" w:hAnsi="Arial"/>
          <w:sz w:val="14"/>
          <w:szCs w:val="14"/>
          <w:color w:val="57584F"/>
        </w:rPr>
        <w:t>832.710.5287</w:t>
      </w:r>
    </w:p>
    <w:p>
      <w:pPr>
        <w:spacing w:after="0"/>
        <w:rPr>
          <w:sz w:val="20"/>
          <w:szCs w:val="20"/>
          <w:color w:val="auto"/>
        </w:rPr>
      </w:pPr>
      <w:r>
        <w:rPr>
          <w:rFonts w:ascii="Arial" w:cs="Arial" w:eastAsia="Arial" w:hAnsi="Arial"/>
          <w:sz w:val="14"/>
          <w:szCs w:val="14"/>
          <w:u w:val="single" w:color="auto"/>
          <w:color w:val="0000FF"/>
        </w:rPr>
        <w:t>aizquierdo@wm.com</w:t>
      </w:r>
    </w:p>
    <w:p>
      <w:pPr>
        <w:sectPr>
          <w:pgSz w:w="11900" w:h="16838" w:orient="portrait"/>
          <w:cols w:equalWidth="0" w:num="2">
            <w:col w:w="8500" w:space="300"/>
            <w:col w:w="2660"/>
          </w:cols>
          <w:pgMar w:left="220" w:top="124" w:right="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2"/>
          <w:szCs w:val="12"/>
          <w:b w:val="1"/>
          <w:bCs w:val="1"/>
          <w:color w:val="auto"/>
        </w:rPr>
        <w:t>FORWARD-LOOKING STATEMENTS</w:t>
      </w:r>
    </w:p>
    <w:p>
      <w:pPr>
        <w:spacing w:after="0" w:line="28" w:lineRule="exact"/>
        <w:rPr>
          <w:sz w:val="20"/>
          <w:szCs w:val="20"/>
          <w:color w:val="auto"/>
        </w:rPr>
      </w:pPr>
    </w:p>
    <w:p>
      <w:pPr>
        <w:jc w:val="both"/>
        <w:ind w:right="1759"/>
        <w:spacing w:after="0" w:line="249" w:lineRule="auto"/>
        <w:rPr>
          <w:sz w:val="20"/>
          <w:szCs w:val="20"/>
          <w:color w:val="auto"/>
        </w:rPr>
      </w:pPr>
      <w:r>
        <w:rPr>
          <w:rFonts w:ascii="Arial" w:cs="Arial" w:eastAsia="Arial" w:hAnsi="Arial"/>
          <w:sz w:val="12"/>
          <w:szCs w:val="12"/>
          <w:color w:val="57584F"/>
        </w:rPr>
        <w:t>This press release contains forward-looking statements that involve risks and uncertainties, including all statements about future performance, 2019 financial outlook, achievement of long-term growth targets and the acquisition of Advanced Disposal. You should view these statements with caution. These statements are not guarantees of future performance, circumstances or events. They are based on the facts and circumstances known to the company as of the date the statements are made. Factors that could cause actual results to differ materially from those expressed or implied by the forward-looking statements in this press release are discussed in our Annual Report on Form 10-K for the year ended December 31, 2018, and our Quarterly Report on Form 10-Q for the period ended March 31, 2019. The company assumes no obligation to update any forward-looking statement, including financial estimates and forecasts, whether as a result of future events, circumstances or developments or otherwise.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WASTE MANAGEMENT</w:t>
      </w:r>
    </w:p>
    <w:p>
      <w:pPr>
        <w:spacing w:after="0" w:line="38" w:lineRule="exact"/>
        <w:rPr>
          <w:sz w:val="20"/>
          <w:szCs w:val="20"/>
          <w:color w:val="auto"/>
        </w:rPr>
      </w:pPr>
    </w:p>
    <w:p>
      <w:pPr>
        <w:jc w:val="both"/>
        <w:ind w:right="1759"/>
        <w:spacing w:after="0" w:line="252" w:lineRule="auto"/>
        <w:rPr>
          <w:sz w:val="20"/>
          <w:szCs w:val="20"/>
          <w:color w:val="auto"/>
        </w:rPr>
      </w:pPr>
      <w:r>
        <w:rPr>
          <w:rFonts w:ascii="Arial" w:cs="Arial" w:eastAsia="Arial" w:hAnsi="Arial"/>
          <w:sz w:val="12"/>
          <w:szCs w:val="12"/>
          <w:color w:val="57584F"/>
        </w:rPr>
        <w:t>Waste Management, based in Houston, Texas, is the leading provider of comprehensive waste management environmental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www.wm.com or www.thinkgreen.com.</w:t>
      </w:r>
    </w:p>
    <w:p>
      <w:pPr>
        <w:spacing w:after="0" w:line="139" w:lineRule="exact"/>
        <w:rPr>
          <w:sz w:val="20"/>
          <w:szCs w:val="20"/>
          <w:color w:val="auto"/>
        </w:rPr>
      </w:pPr>
    </w:p>
    <w:p>
      <w:pPr>
        <w:ind w:left="4140"/>
        <w:spacing w:after="0"/>
        <w:rPr>
          <w:sz w:val="20"/>
          <w:szCs w:val="20"/>
          <w:color w:val="auto"/>
        </w:rPr>
      </w:pPr>
      <w:r>
        <w:rPr>
          <w:rFonts w:ascii="Arial" w:cs="Arial" w:eastAsia="Arial" w:hAnsi="Arial"/>
          <w:sz w:val="14"/>
          <w:szCs w:val="14"/>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9996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960" cy="25400"/>
                    </a:xfrm>
                    <a:prstGeom prst="rect">
                      <a:avLst/>
                    </a:prstGeom>
                    <a:noFill/>
                  </pic:spPr>
                </pic:pic>
              </a:graphicData>
            </a:graphic>
          </wp:anchor>
        </w:drawing>
      </w:r>
    </w:p>
    <w:p>
      <w:pPr>
        <w:sectPr>
          <w:pgSz w:w="11900" w:h="16838" w:orient="portrait"/>
          <w:cols w:equalWidth="0" w:num="1">
            <w:col w:w="10239"/>
          </w:cols>
          <w:pgMar w:left="220" w:top="289" w:right="1440" w:bottom="1440" w:gutter="0" w:footer="0" w:header="0"/>
        </w:sectPr>
      </w:pPr>
    </w:p>
    <w:bookmarkStart w:id="5" w:name="page6"/>
    <w:bookmarkEnd w:id="5"/>
    <w:p>
      <w:pPr>
        <w:ind w:left="9540"/>
        <w:spacing w:after="0"/>
        <w:rPr>
          <w:sz w:val="20"/>
          <w:szCs w:val="20"/>
          <w:color w:val="auto"/>
        </w:rPr>
      </w:pPr>
      <w:r>
        <w:rPr>
          <w:rFonts w:ascii="Arial" w:cs="Arial" w:eastAsia="Arial" w:hAnsi="Arial"/>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133350</wp:posOffset>
            </wp:positionV>
            <wp:extent cx="7327265" cy="4120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7265" cy="4120515"/>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5995" cy="4114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325995" cy="411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5995" cy="4114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325995" cy="411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5995" cy="4114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325995" cy="411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5995" cy="4114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325995" cy="411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280910" cy="40951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280910"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95250</wp:posOffset>
            </wp:positionV>
            <wp:extent cx="7327265" cy="40951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327265" cy="4095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2019-12-28T11:16:14Z</dcterms:created>
  <dcterms:modified xsi:type="dcterms:W3CDTF">2019-12-28T11:16:14Z</dcterms:modified>
</cp:coreProperties>
</file>