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7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17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Commission file number 1-12154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WASTE MANAGEMENT RETIREMENT SAVINGS PLAN</w:t>
      </w:r>
    </w:p>
    <w:p>
      <w:pPr>
        <w:spacing w:after="0" w:line="2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320" w:type="dxa"/>
            <w:vAlign w:val="bottom"/>
            <w:gridSpan w:val="7"/>
          </w:tcPr>
          <w:p>
            <w:pPr>
              <w:jc w:val="center"/>
              <w:ind w:right="1980"/>
              <w:spacing w:after="0"/>
              <w:rPr>
                <w:sz w:val="20"/>
                <w:szCs w:val="20"/>
                <w:color w:val="auto"/>
              </w:rPr>
            </w:pPr>
            <w:r>
              <w:rPr>
                <w:rFonts w:ascii="Arial" w:cs="Arial" w:eastAsia="Arial" w:hAnsi="Arial"/>
                <w:sz w:val="18"/>
                <w:szCs w:val="18"/>
                <w:color w:val="auto"/>
                <w:w w:val="94"/>
              </w:rPr>
              <w:t>WASTE MANAGEMENT RETIREMENT SAVINGS PLAN</w:t>
            </w:r>
          </w:p>
        </w:tc>
        <w:tc>
          <w:tcPr>
            <w:tcW w:w="146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20" w:type="dxa"/>
            <w:vAlign w:val="bottom"/>
            <w:gridSpan w:val="8"/>
          </w:tcPr>
          <w:p>
            <w:pPr>
              <w:jc w:val="center"/>
              <w:ind w:right="1280"/>
              <w:spacing w:after="0"/>
              <w:rPr>
                <w:sz w:val="20"/>
                <w:szCs w:val="20"/>
                <w:color w:val="auto"/>
              </w:rPr>
            </w:pPr>
            <w:r>
              <w:rPr>
                <w:rFonts w:ascii="Arial" w:cs="Arial" w:eastAsia="Arial" w:hAnsi="Arial"/>
                <w:sz w:val="18"/>
                <w:szCs w:val="18"/>
                <w:color w:val="auto"/>
                <w:w w:val="94"/>
              </w:rPr>
              <w:t>INDEX TO FINANCIAL STATEMENTS AND SUPPLEMENTAL SCHEDULE</w:t>
            </w:r>
          </w:p>
        </w:tc>
        <w:tc>
          <w:tcPr>
            <w:tcW w:w="146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99"/>
        </w:trPr>
        <w:tc>
          <w:tcPr>
            <w:tcW w:w="986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43"/>
        </w:trPr>
        <w:tc>
          <w:tcPr>
            <w:tcW w:w="41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Audited Financial Statements</w:t>
            </w:r>
          </w:p>
        </w:tc>
        <w:tc>
          <w:tcPr>
            <w:tcW w:w="5740" w:type="dxa"/>
            <w:vAlign w:val="bottom"/>
            <w:gridSpan w:val="6"/>
          </w:tcPr>
          <w:p>
            <w:pPr>
              <w:spacing w:after="0"/>
              <w:rPr>
                <w:sz w:val="24"/>
                <w:szCs w:val="24"/>
                <w:color w:val="auto"/>
              </w:rPr>
            </w:pPr>
          </w:p>
        </w:tc>
        <w:tc>
          <w:tcPr>
            <w:tcW w:w="146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942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 as of December 31, 2012 and 2011</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420" w:type="dxa"/>
            <w:vAlign w:val="bottom"/>
            <w:gridSpan w:val="1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Statement of Changes in Net Assets Available for Benefits for the Year Ended December 31, 2012</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69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520" w:type="dxa"/>
            <w:vAlign w:val="bottom"/>
            <w:gridSpan w:val="3"/>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43"/>
        </w:trPr>
        <w:tc>
          <w:tcPr>
            <w:tcW w:w="9860" w:type="dxa"/>
            <w:vAlign w:val="bottom"/>
            <w:gridSpan w:val="11"/>
          </w:tcPr>
          <w:p>
            <w:pPr>
              <w:spacing w:after="0"/>
              <w:rPr>
                <w:sz w:val="20"/>
                <w:szCs w:val="20"/>
                <w:color w:val="auto"/>
              </w:rPr>
            </w:pPr>
            <w:r>
              <w:rPr>
                <w:rFonts w:ascii="Arial" w:cs="Arial" w:eastAsia="Arial" w:hAnsi="Arial"/>
                <w:sz w:val="18"/>
                <w:szCs w:val="18"/>
                <w:color w:val="auto"/>
              </w:rPr>
              <w:t>Supplemental Schedule</w:t>
            </w:r>
          </w:p>
        </w:tc>
        <w:tc>
          <w:tcPr>
            <w:tcW w:w="146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46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Schedule H, Line 4(i)—Schedule of Assets (Held At End of Year)</w:t>
              </w:r>
            </w:hyperlink>
          </w:p>
        </w:tc>
        <w:tc>
          <w:tcPr>
            <w:tcW w:w="4780" w:type="dxa"/>
            <w:vAlign w:val="bottom"/>
            <w:gridSpan w:val="5"/>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165" w:lineRule="exact"/>
        <w:rPr>
          <w:sz w:val="20"/>
          <w:szCs w:val="20"/>
          <w:color w:val="auto"/>
        </w:rPr>
      </w:pPr>
    </w:p>
    <w:p>
      <w:pPr>
        <w:ind w:right="360"/>
        <w:spacing w:after="0" w:line="335" w:lineRule="auto"/>
        <w:rPr>
          <w:sz w:val="20"/>
          <w:szCs w:val="20"/>
          <w:color w:val="auto"/>
        </w:rPr>
      </w:pPr>
      <w:r>
        <w:rPr>
          <w:rFonts w:ascii="Arial" w:cs="Arial" w:eastAsia="Arial" w:hAnsi="Arial"/>
          <w:sz w:val="15"/>
          <w:szCs w:val="15"/>
          <w:color w:val="auto"/>
        </w:rPr>
        <w:t>We have audited the accompanying statements of net assets available for benefits of the Waste Management Retirement Savings Plan (the Plan) as of December 31, 2012 and 2011, and the related statement of changes in net assets available for benefits for the year ended December 31, 2012. These financial statements are the responsibility of Plan management. Our responsibility is to express an opinion on these financial statements based on our audits.</w:t>
      </w:r>
    </w:p>
    <w:p>
      <w:pPr>
        <w:spacing w:after="0" w:line="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2012 and 2011, and the changes in net assets available for benefits for the year ended December 31, 2012, in conformity with accounting principles generally accepted in the United States of America.</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supplemental schedule of assets (held at end of year) as of December 31, 2012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Plan management. The supplemental schedule has been subjected to the auditing procedures applied in the audit of the basic financial statements and, in our opinion, is fairly stated in all material respects in relation to the basic financial statements taken as a whole.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2012 and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1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124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Plan interest in the Master Trust (Note 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1,612,941,957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1,450,035,365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Total investments</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1,612,941,957</w:t>
            </w:r>
          </w:p>
        </w:tc>
        <w:tc>
          <w:tcPr>
            <w:tcW w:w="200" w:type="dxa"/>
            <w:vAlign w:val="bottom"/>
          </w:tcPr>
          <w:p>
            <w:pPr>
              <w:spacing w:after="0"/>
              <w:rPr>
                <w:sz w:val="20"/>
                <w:szCs w:val="20"/>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1,450,035,365</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Employee contributions</w:t>
            </w:r>
          </w:p>
        </w:tc>
        <w:tc>
          <w:tcPr>
            <w:tcW w:w="1100" w:type="dxa"/>
            <w:vAlign w:val="bottom"/>
          </w:tcPr>
          <w:p>
            <w:pPr>
              <w:jc w:val="right"/>
              <w:spacing w:after="0"/>
              <w:rPr>
                <w:sz w:val="20"/>
                <w:szCs w:val="20"/>
                <w:color w:val="auto"/>
              </w:rPr>
            </w:pPr>
            <w:r>
              <w:rPr>
                <w:rFonts w:ascii="Arial" w:cs="Arial" w:eastAsia="Arial" w:hAnsi="Arial"/>
                <w:sz w:val="18"/>
                <w:szCs w:val="18"/>
                <w:color w:val="auto"/>
              </w:rPr>
              <w:t>802,080</w:t>
            </w:r>
          </w:p>
        </w:tc>
        <w:tc>
          <w:tcPr>
            <w:tcW w:w="2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736,151</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559,420</w:t>
            </w: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514,990</w:t>
            </w:r>
          </w:p>
        </w:tc>
      </w:tr>
      <w:tr>
        <w:trPr>
          <w:trHeight w:val="223"/>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Notes receivable from participants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66,131,034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64,898,032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receivables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67,492,534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66,149,173</w:t>
            </w:r>
          </w:p>
        </w:tc>
        <w:tc>
          <w:tcPr>
            <w:tcW w:w="100" w:type="dxa"/>
            <w:vAlign w:val="bottom"/>
            <w:shd w:val="clear" w:color="auto" w:fill="CCEEFF"/>
          </w:tcPr>
          <w:p>
            <w:pPr>
              <w:spacing w:after="0"/>
              <w:rPr>
                <w:sz w:val="18"/>
                <w:szCs w:val="18"/>
                <w:color w:val="auto"/>
              </w:rPr>
            </w:pPr>
          </w:p>
        </w:tc>
      </w:tr>
      <w:tr>
        <w:trPr>
          <w:trHeight w:val="222"/>
        </w:trPr>
        <w:tc>
          <w:tcPr>
            <w:tcW w:w="8780" w:type="dxa"/>
            <w:vAlign w:val="bottom"/>
            <w:gridSpan w:val="2"/>
          </w:tcPr>
          <w:p>
            <w:pPr>
              <w:spacing w:after="0"/>
              <w:rPr>
                <w:sz w:val="20"/>
                <w:szCs w:val="20"/>
                <w:color w:val="auto"/>
              </w:rPr>
            </w:pPr>
            <w:r>
              <w:rPr>
                <w:rFonts w:ascii="Arial" w:cs="Arial" w:eastAsia="Arial" w:hAnsi="Arial"/>
                <w:sz w:val="18"/>
                <w:szCs w:val="18"/>
                <w:color w:val="auto"/>
              </w:rPr>
              <w:t>Net assets, reflecting investments at fair value</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1,680,434,491</w:t>
            </w:r>
          </w:p>
        </w:tc>
        <w:tc>
          <w:tcPr>
            <w:tcW w:w="20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1,516,184,538</w:t>
            </w: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(15,711,713)</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(13,621,451)</w:t>
            </w:r>
          </w:p>
        </w:tc>
      </w:tr>
      <w:tr>
        <w:trPr>
          <w:trHeight w:val="222"/>
        </w:trPr>
        <w:tc>
          <w:tcPr>
            <w:tcW w:w="878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1,664,722,778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1,502,563,087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200" w:type="dxa"/>
            <w:vAlign w:val="bottom"/>
          </w:tcPr>
          <w:p>
            <w:pPr>
              <w:jc w:val="center"/>
              <w:ind w:left="1112"/>
              <w:spacing w:after="0"/>
              <w:rPr>
                <w:sz w:val="20"/>
                <w:szCs w:val="20"/>
                <w:color w:val="auto"/>
              </w:rPr>
            </w:pPr>
            <w:r>
              <w:rPr>
                <w:rFonts w:ascii="Arial" w:cs="Arial" w:eastAsia="Arial" w:hAnsi="Arial"/>
                <w:sz w:val="18"/>
                <w:szCs w:val="18"/>
                <w:color w:val="auto"/>
                <w:w w:val="86"/>
              </w:rPr>
              <w:t>Waste Management Retirement Savings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200" w:type="dxa"/>
            <w:vAlign w:val="bottom"/>
          </w:tcPr>
          <w:p>
            <w:pPr>
              <w:jc w:val="center"/>
              <w:ind w:left="1112"/>
              <w:spacing w:after="0"/>
              <w:rPr>
                <w:sz w:val="20"/>
                <w:szCs w:val="20"/>
                <w:color w:val="auto"/>
              </w:rPr>
            </w:pPr>
            <w:r>
              <w:rPr>
                <w:rFonts w:ascii="Arial" w:cs="Arial" w:eastAsia="Arial" w:hAnsi="Arial"/>
                <w:sz w:val="18"/>
                <w:szCs w:val="18"/>
                <w:color w:val="auto"/>
                <w:w w:val="88"/>
              </w:rPr>
              <w:t>Statement of Changes in Net Assets Available for Benefits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200" w:type="dxa"/>
            <w:vAlign w:val="bottom"/>
          </w:tcPr>
          <w:p>
            <w:pPr>
              <w:jc w:val="center"/>
              <w:ind w:left="1112"/>
              <w:spacing w:after="0"/>
              <w:rPr>
                <w:sz w:val="20"/>
                <w:szCs w:val="20"/>
                <w:color w:val="auto"/>
              </w:rPr>
            </w:pPr>
            <w:r>
              <w:rPr>
                <w:rFonts w:ascii="Arial" w:cs="Arial" w:eastAsia="Arial" w:hAnsi="Arial"/>
                <w:sz w:val="18"/>
                <w:szCs w:val="18"/>
                <w:color w:val="auto"/>
                <w:w w:val="86"/>
              </w:rPr>
              <w:t>Year Ended December 31, 2012</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87,925,885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tcPr>
          <w:p>
            <w:pPr>
              <w:ind w:left="860"/>
              <w:spacing w:after="0"/>
              <w:rPr>
                <w:sz w:val="20"/>
                <w:szCs w:val="20"/>
                <w:color w:val="auto"/>
              </w:rPr>
            </w:pPr>
            <w:r>
              <w:rPr>
                <w:rFonts w:ascii="Arial" w:cs="Arial" w:eastAsia="Arial" w:hAnsi="Arial"/>
                <w:sz w:val="18"/>
                <w:szCs w:val="18"/>
                <w:color w:val="auto"/>
              </w:rPr>
              <w:t>Rollover</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5,531,274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Employer</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53,756,747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147,213,906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investment gain from the Master Trust (Note 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165,073,008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0" w:type="dxa"/>
            <w:vAlign w:val="bottom"/>
          </w:tcPr>
          <w:p>
            <w:pPr>
              <w:ind w:left="420"/>
              <w:spacing w:after="0"/>
              <w:rPr>
                <w:sz w:val="20"/>
                <w:szCs w:val="20"/>
                <w:color w:val="auto"/>
              </w:rPr>
            </w:pPr>
            <w:r>
              <w:rPr>
                <w:rFonts w:ascii="Arial" w:cs="Arial" w:eastAsia="Arial" w:hAnsi="Arial"/>
                <w:sz w:val="18"/>
                <w:szCs w:val="18"/>
                <w:color w:val="auto"/>
              </w:rPr>
              <w:t>Interest income on notes receivable from participants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additions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315,349,494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20" w:type="dxa"/>
            <w:vAlign w:val="bottom"/>
            <w:gridSpan w:val="2"/>
          </w:tcPr>
          <w:p>
            <w:pPr>
              <w:spacing w:after="0"/>
              <w:rPr>
                <w:sz w:val="20"/>
                <w:szCs w:val="20"/>
                <w:color w:val="auto"/>
              </w:rPr>
            </w:pPr>
            <w:r>
              <w:rPr>
                <w:rFonts w:ascii="Arial" w:cs="Arial" w:eastAsia="Arial" w:hAnsi="Arial"/>
                <w:sz w:val="18"/>
                <w:szCs w:val="18"/>
                <w:color w:val="auto"/>
              </w:rPr>
              <w:t>DEDUCTIONS FROM NET ASSETS AVAILABLE FOR BENEFITS: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 to participants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160,308,354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0" w:type="dxa"/>
            <w:vAlign w:val="bottom"/>
          </w:tcPr>
          <w:p>
            <w:pPr>
              <w:ind w:left="1280"/>
              <w:spacing w:after="0"/>
              <w:rPr>
                <w:sz w:val="20"/>
                <w:szCs w:val="20"/>
                <w:color w:val="auto"/>
              </w:rPr>
            </w:pPr>
            <w:r>
              <w:rPr>
                <w:rFonts w:ascii="Arial" w:cs="Arial" w:eastAsia="Arial" w:hAnsi="Arial"/>
                <w:sz w:val="18"/>
                <w:szCs w:val="18"/>
                <w:color w:val="auto"/>
              </w:rPr>
              <w:t>Total deductions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160,308,354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BEFORE TRANSFERS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155,041,140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TRANSFERS TO THE PLAN</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7,118,551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162,159,691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1,502,563,087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0" w:type="dxa"/>
            <w:vAlign w:val="bottom"/>
          </w:tcPr>
          <w:p>
            <w:pPr>
              <w:ind w:left="420"/>
              <w:spacing w:after="0"/>
              <w:rPr>
                <w:sz w:val="20"/>
                <w:szCs w:val="20"/>
                <w:color w:val="auto"/>
              </w:rPr>
            </w:pPr>
            <w:r>
              <w:rPr>
                <w:rFonts w:ascii="Arial" w:cs="Arial" w:eastAsia="Arial" w:hAnsi="Arial"/>
                <w:sz w:val="18"/>
                <w:szCs w:val="18"/>
                <w:color w:val="auto"/>
              </w:rPr>
              <w:t>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1,664,722,778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Plan is a defined contribution plan available to all eligible employees, and their beneficiaries, of Waste Management, Inc. (the “Company” or “WM”), and subsidiaries (collectively “Waste Management”). The Plan is subject to the provisions of the Employee Retirement Income Security Act of 1974, as amended (“ERISA”).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Board of Directors of the Company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ING Institutional Plan Services, LLC serves as recordkeeper.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Employees (as defined by the Plan) are eligible to participate in the Plan following completion of a 90-day period of service (as defined by the Plan).</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Individuals who are ineligible to participate in the Plan consist of (a) leased employees; (b) employees whose employment is governed by a collective bargaining agreement under which retirement benefits are the subject of good faith bargaining, unless such agreement expressly provides for participation in the Plan;</w:t>
      </w:r>
    </w:p>
    <w:p>
      <w:pPr>
        <w:ind w:right="280" w:firstLine="8"/>
        <w:spacing w:after="0" w:line="295" w:lineRule="auto"/>
        <w:tabs>
          <w:tab w:leader="none" w:pos="23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individuals providing services to the Company as independent contractors; (d) employees performing services on a seasonal or temporary basis; (e) certain nonresident aliens who have no earned income from sources within the United States of America; and (f) individuals who are participants in certain other pension, retirement, profit-sharing, stock bonus, thrift or savings plans maintained by Waste Management. Certain United States citizens employed by foreign affiliates of the Company may participate in the Plan under certain provisions specified by the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Participants may contribute from one percent to 25 percent of their pre-tax compensation, as defined by the Plan, not to exceed certain limits as described in the plan document (“Employee Contribution”). In addition, participants that are age 50 or older are eligible to make pre-tax catch-up contributions not to exceed certain limits described in the Plan document. After-tax contributions are not permitted by the Plan. Participants may also contribute amounts representing distributions from other qualified plans (“Rollover Contributions”). Waste Management matches 100 percent of each participant’s Employee Contribution up to three percent of the participant’s compensation, as defined by the Plan, plus 50 percent of the participant’s Employee Contribution in excess of three percent of the participant’s compensation up to six percent of the participant’s compensation (“Employer Contribution”).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Plan, through its investments in the Master Trust, offered participants (a) two common collective trust funds; (b) a Company common stock fund (which is an Employee Stock Ownership Plan); (c) a self-managed account, which allows participants to select various securities sold on the New York Stock Exchange, American Stock Exchange and NASDAQ; (d) ten target retirement-date funds, which are also common collective trust funds; (e) a stable value fund, which includes direct investments and investments in common collective trust funds, managed by Galliard Capital Management (“Galliard”) and (f) five mutual funds. Participants direct investment of their accounts among the investment options offered under the Plan. A participant may make such an election on any business day. The Plan utilizes cash equivalents to temporarily hold monies pending settlement for transactions initiated by participants.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If a participant invests in the Company common stock fund, the participant can elect to receive in cash any dividends paid on the common stock in the participant’s account. If a participant does not make such an election, dividends will automatically be reinvested in the Company common stock fund. Each participant who has invested in the Company common stock fund has the right to vote the shares of stock in his or her account with respect to any matter that comes before the shareholders for a vote.</w:t>
      </w:r>
    </w:p>
    <w:p>
      <w:pPr>
        <w:spacing w:after="0" w:line="14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With respect to the self-managed account, several restrictions apply and a minimum balance is required to participate. Additionally, if a participant invests in the self-managed account, the participant has the right to vote the shares of any common stock held in the participant’s account.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Contributions, Rollover Contributions and Employer Contributions, plus earnings thereon.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Employer Contribution and an allocation of investment income and loss and expenses. Investment income and loss is allocated to a participant’s account based upon a participant’s proportionate share of the funds within the Master Trust.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9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their accounts. Distributions are made by a single lump-sum payment or direct rollover. Distribution of accounts invested in Company common stock may be taken in whole shares of common stock or cash.</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Participants may make withdrawals from their contributions, including certain earnings on those contributions, in the event of proven financial hardship of the participant. Not more than one hardship withdrawal is permitted in any 12-month period, and the participant is not permitted to contribute to the Plan or any other plans maintained by Waste Management for six months after receiving the hardship distribution.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2012 and 2011.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percent of a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 (b)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The Administrative Committee requires that: (a) repayments be made no less frequently than quarterly; (b) loans be repaid over a period not to exceed 54 months; and (c) 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Master Trust administrative expenses, including trustee, recordkeeping and investment management fees, are allocated in proportion to the investment balances of the underlying plans and are netted against investment income. Loan administration fees are charged directly to the account balance of the participant requesting the loan. Administrative expenses are reflected as a reduction of Master Trust investment income and are included in “Net investment loss from the Master Trust” in the accompanying Statement of Changes in Net Assets Available for Benefits. In 2012, Waste Management elected to pay certain audit and legal fees of the Plan.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80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spacing w:after="0" w:line="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(“GAAP”). Benefits are recorded when paid to participants.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the Plan’s management to make estimates and assumptions that affect the reported amounts of net assets available for benefits at the date of the financial statements and the changes in net assets available for benefits during the reporting period and, when applicable, disclosures of contingent assets and liabilities at the date of the financial statements. Actual results could differ materially from the estimates and assumptions used in the preparation of the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purpose of the Master Trust is the collective investment of the assets of participating employee benefit plans of Waste Management. The Master Trust’s assets are allocated among participating plans by assigning to each plan those transactions (primarily contributions, benefit payments and certain administrative expenses) that can be specifically identified, and by allocating among participating plans, in proportion to the fair value of the assets assigned to each plan, income and expenses resulting from the collective investment of the assets of the Master Trust.</w:t>
      </w:r>
    </w:p>
    <w:p>
      <w:pPr>
        <w:spacing w:after="0" w:line="11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Corporate stocks, mutual funds and publicly-traded partnership interests held by the Master Trust are stated at fair value based on quoted market prices as of the financial statement date. The fair values of the common collective trust funds held by the Master Trust are generally based on net asset values established by the issuer of the common collective trust funds based on fair values of the underlying assets. The investment options available within the Plan include a stable value fund that invests in fully benefit-responsive guaranteed investment contracts (“GICs”) and synthetic investment contracts (“Synthetic GICs”). In accordance with authoritative guidance issued by the Financial Accounting Standards Board (“FASB”), the fully benefit-responsive investment contracts held by the Stable Value Fund are reported at fair value. However, contract value is the relevant measurement attribute for fully benefit-responsive investment contracts because contract value is the amount participants would receive if they were to initiate permitted transactions under the terms of the Plan. Accordingly, the Statements of Net Assets Available for Benefits present both the fair value of the fully benefit-responsive investment contracts and an adjustment from fair value to contract value to arrive at Net Assets Available for Benefits. The fair value measurement of these investments is discussed further in Note 5. Short-term investments (included in amounts reported as common collective trust funds herein) are stated at cost, which approximates fair value.</w:t>
      </w:r>
    </w:p>
    <w:p>
      <w:pPr>
        <w:spacing w:after="0" w:line="12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Master Trust records purchases and sales of securities on a trade-date basis and dividends on the ex-dividend date. Interest income is recorded on the accrual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96"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The Plan investments are held in the Master Trust along with the Waste Management Retirement Savings Plan for Bargaining Unit Employees (the “Union Plan”). As of December 31, 2012 and 2011, the Plan’s beneficial interest in the net assets of the Master Trust was 99.05% and 99.17%, respectively.</w:t>
      </w:r>
    </w:p>
    <w:p>
      <w:pPr>
        <w:spacing w:after="0" w:line="6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Neither the Plan nor the 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6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w w:val="85"/>
              </w:rPr>
              <w:t>December 31, 2012</w:t>
            </w:r>
          </w:p>
        </w:tc>
        <w:tc>
          <w:tcPr>
            <w:tcW w:w="620" w:type="dxa"/>
            <w:vAlign w:val="bottom"/>
          </w:tcPr>
          <w:p>
            <w:pPr>
              <w:spacing w:after="0"/>
              <w:rPr>
                <w:sz w:val="14"/>
                <w:szCs w:val="14"/>
                <w:color w:val="auto"/>
              </w:rPr>
            </w:pPr>
          </w:p>
        </w:tc>
        <w:tc>
          <w:tcPr>
            <w:tcW w:w="18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85"/>
              </w:rPr>
              <w:t>December 31,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020" w:type="dxa"/>
            <w:vAlign w:val="bottom"/>
            <w:tcBorders>
              <w:top w:val="single" w:sz="8" w:color="auto"/>
            </w:tcBorders>
            <w:gridSpan w:val="2"/>
          </w:tcPr>
          <w:p>
            <w:pPr>
              <w:jc w:val="right"/>
              <w:ind w:right="512"/>
              <w:spacing w:after="0" w:line="129" w:lineRule="exact"/>
              <w:rPr>
                <w:sz w:val="20"/>
                <w:szCs w:val="20"/>
                <w:color w:val="auto"/>
              </w:rPr>
            </w:pPr>
            <w:r>
              <w:rPr>
                <w:rFonts w:ascii="Arial" w:cs="Arial" w:eastAsia="Arial" w:hAnsi="Arial"/>
                <w:sz w:val="14"/>
                <w:szCs w:val="14"/>
                <w:b w:val="1"/>
                <w:bCs w:val="1"/>
                <w:color w:val="auto"/>
              </w:rPr>
              <w:t>Plan</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tcBorders>
              <w:top w:val="single" w:sz="8" w:color="auto"/>
            </w:tcBorders>
            <w:gridSpan w:val="2"/>
          </w:tcPr>
          <w:p>
            <w:pPr>
              <w:jc w:val="right"/>
              <w:ind w:right="732"/>
              <w:spacing w:after="0" w:line="129" w:lineRule="exact"/>
              <w:rPr>
                <w:sz w:val="20"/>
                <w:szCs w:val="20"/>
                <w:color w:val="auto"/>
              </w:rPr>
            </w:pPr>
            <w:r>
              <w:rPr>
                <w:rFonts w:ascii="Arial" w:cs="Arial" w:eastAsia="Arial" w:hAnsi="Arial"/>
                <w:sz w:val="14"/>
                <w:szCs w:val="14"/>
                <w:b w:val="1"/>
                <w:bCs w:val="1"/>
                <w:color w:val="auto"/>
              </w:rPr>
              <w:t>Plan</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w w:val="89"/>
              </w:rPr>
              <w:t>Interest %</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7"/>
              </w:rPr>
              <w:t>Master Trust</w:t>
            </w:r>
          </w:p>
        </w:tc>
        <w:tc>
          <w:tcPr>
            <w:tcW w:w="124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w w:val="89"/>
              </w:rPr>
              <w:t>Interest %</w:t>
            </w:r>
          </w:p>
        </w:tc>
        <w:tc>
          <w:tcPr>
            <w:tcW w:w="10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Master Trust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Investments, at fair value:</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Common collective trust funds</w:t>
            </w:r>
          </w:p>
        </w:tc>
        <w:tc>
          <w:tcPr>
            <w:tcW w:w="10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587,915,255</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505,108,820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Stable value fund</w:t>
            </w:r>
          </w:p>
        </w:tc>
        <w:tc>
          <w:tcPr>
            <w:tcW w:w="1020" w:type="dxa"/>
            <w:vAlign w:val="bottom"/>
            <w:gridSpan w:val="2"/>
          </w:tcPr>
          <w:p>
            <w:pPr>
              <w:jc w:val="right"/>
              <w:ind w:right="172"/>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370,384,053</w:t>
            </w: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363,860,603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WM common stock</w:t>
            </w:r>
          </w:p>
        </w:tc>
        <w:tc>
          <w:tcPr>
            <w:tcW w:w="10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98,044,955</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102,153,934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Corporate stocks – other than WM common stock</w:t>
            </w:r>
          </w:p>
        </w:tc>
        <w:tc>
          <w:tcPr>
            <w:tcW w:w="1020" w:type="dxa"/>
            <w:vAlign w:val="bottom"/>
            <w:gridSpan w:val="2"/>
          </w:tcPr>
          <w:p>
            <w:pPr>
              <w:jc w:val="right"/>
              <w:ind w:right="172"/>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19,063,086</w:t>
            </w: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16,796,395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Mutual funds</w:t>
            </w:r>
          </w:p>
        </w:tc>
        <w:tc>
          <w:tcPr>
            <w:tcW w:w="10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551,799,069</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473,237,299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Publicly-traded partnership interests and other</w:t>
            </w:r>
          </w:p>
        </w:tc>
        <w:tc>
          <w:tcPr>
            <w:tcW w:w="1020" w:type="dxa"/>
            <w:vAlign w:val="bottom"/>
            <w:gridSpan w:val="2"/>
          </w:tcPr>
          <w:p>
            <w:pPr>
              <w:jc w:val="right"/>
              <w:ind w:right="172"/>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1,193,947</w:t>
            </w:r>
          </w:p>
        </w:tc>
        <w:tc>
          <w:tcPr>
            <w:tcW w:w="520" w:type="dxa"/>
            <w:vAlign w:val="bottom"/>
          </w:tcPr>
          <w:p>
            <w:pPr>
              <w:spacing w:after="0"/>
              <w:rPr>
                <w:sz w:val="19"/>
                <w:szCs w:val="19"/>
                <w:color w:val="auto"/>
              </w:rPr>
            </w:pP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investments</w:t>
            </w:r>
          </w:p>
        </w:tc>
        <w:tc>
          <w:tcPr>
            <w:tcW w:w="10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1,628,400,365</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1,462,139,601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Interest receivable</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204,333</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224,653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non-interest bearing</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3,110</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Securities sold receivable, net</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191,949</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1,628,799,757</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1,462,451,764</w:t>
            </w:r>
          </w:p>
        </w:tc>
        <w:tc>
          <w:tcPr>
            <w:tcW w:w="0" w:type="dxa"/>
            <w:vAlign w:val="bottom"/>
          </w:tcPr>
          <w:p>
            <w:pPr>
              <w:spacing w:after="0"/>
              <w:rPr>
                <w:sz w:val="1"/>
                <w:szCs w:val="1"/>
                <w:color w:val="auto"/>
              </w:rPr>
            </w:pP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 payable</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381,142</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381,142</w:t>
            </w: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assets reflecting investments at fair value</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1,628,418,615</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1,462,142,269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Adjustment from fair value to contract value for fully</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40" w:type="dxa"/>
            <w:vAlign w:val="bottom"/>
          </w:tcPr>
          <w:p>
            <w:pPr>
              <w:ind w:left="640"/>
              <w:spacing w:after="0"/>
              <w:rPr>
                <w:sz w:val="20"/>
                <w:szCs w:val="20"/>
                <w:color w:val="auto"/>
              </w:rPr>
            </w:pPr>
            <w:r>
              <w:rPr>
                <w:rFonts w:ascii="Arial" w:cs="Arial" w:eastAsia="Arial" w:hAnsi="Arial"/>
                <w:sz w:val="18"/>
                <w:szCs w:val="18"/>
                <w:color w:val="auto"/>
              </w:rPr>
              <w:t>benefit-responsive investment contracts</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(15,844,799)</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(13,712,956)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5"/>
              </w:rPr>
              <w:t>Net assets, fully benefit-responsive investment contracts at contract</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w:t>
            </w: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1,612,573,816</w:t>
            </w: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1,448,429,313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20" w:type="dxa"/>
            <w:vAlign w:val="bottom"/>
            <w:vMerge w:val="restart"/>
          </w:tcPr>
          <w:p>
            <w:pPr>
              <w:jc w:val="right"/>
              <w:ind w:right="396"/>
              <w:spacing w:after="0"/>
              <w:rPr>
                <w:sz w:val="20"/>
                <w:szCs w:val="20"/>
                <w:color w:val="auto"/>
              </w:rPr>
            </w:pPr>
            <w:r>
              <w:rPr>
                <w:rFonts w:ascii="Arial" w:cs="Arial" w:eastAsia="Arial" w:hAnsi="Arial"/>
                <w:sz w:val="18"/>
                <w:szCs w:val="18"/>
                <w:color w:val="auto"/>
              </w:rPr>
              <w:t>7</w:t>
            </w: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Respective interests in the net assets of the Master Trust by the Plan and the Union Plan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6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364"/>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33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assets reflecting investments at fair value: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Plan interest</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$1,612,941,957</w:t>
            </w:r>
          </w:p>
        </w:tc>
        <w:tc>
          <w:tcPr>
            <w:tcW w:w="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$1,450,035,365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Union Plan interest</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15,476,658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12,106,904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5560" w:type="dxa"/>
            <w:vAlign w:val="bottom"/>
          </w:tcPr>
          <w:p>
            <w:pPr>
              <w:ind w:left="860"/>
              <w:spacing w:after="0"/>
              <w:rPr>
                <w:sz w:val="20"/>
                <w:szCs w:val="20"/>
                <w:color w:val="auto"/>
              </w:rPr>
            </w:pPr>
            <w:r>
              <w:rPr>
                <w:rFonts w:ascii="Arial" w:cs="Arial" w:eastAsia="Arial" w:hAnsi="Arial"/>
                <w:sz w:val="18"/>
                <w:szCs w:val="18"/>
                <w:color w:val="auto"/>
              </w:rPr>
              <w:t>Total</w:t>
            </w:r>
          </w:p>
        </w:tc>
        <w:tc>
          <w:tcPr>
            <w:tcW w:w="14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1,628,418,615</w:t>
            </w:r>
          </w:p>
        </w:tc>
        <w:tc>
          <w:tcPr>
            <w:tcW w:w="8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1,462,142,269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5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8"/>
              </w:rPr>
              <w:t>Adjustment from fair value to contract value for fully benefit-responsive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contracts:</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Plan interest</w:t>
            </w:r>
          </w:p>
        </w:tc>
        <w:tc>
          <w:tcPr>
            <w:tcW w:w="5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(15,711,713)</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w w:val="99"/>
              </w:rPr>
              <w:t>(13,621,451)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Union Plan interest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(133,086)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(91,505)</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60" w:type="dxa"/>
            <w:vAlign w:val="bottom"/>
            <w:vMerge w:val="restart"/>
          </w:tcPr>
          <w:p>
            <w:pPr>
              <w:ind w:left="130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8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(15,844,799)</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w w:val="99"/>
              </w:rPr>
              <w:t>(13,712,956)</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3"/>
              </w:rPr>
              <w:t>Net assets, fully benefit-responsive investment contracts at contract value: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Plan interest</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$1,597,230,244</w:t>
            </w:r>
          </w:p>
        </w:tc>
        <w:tc>
          <w:tcPr>
            <w:tcW w:w="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$1,436,413,914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Union Plan interest</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15,343,572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12,015,399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560" w:type="dxa"/>
            <w:vAlign w:val="bottom"/>
          </w:tcPr>
          <w:p>
            <w:pPr>
              <w:ind w:left="860"/>
              <w:spacing w:after="0"/>
              <w:rPr>
                <w:sz w:val="20"/>
                <w:szCs w:val="20"/>
                <w:color w:val="auto"/>
              </w:rPr>
            </w:pPr>
            <w:r>
              <w:rPr>
                <w:rFonts w:ascii="Arial" w:cs="Arial" w:eastAsia="Arial" w:hAnsi="Arial"/>
                <w:sz w:val="18"/>
                <w:szCs w:val="18"/>
                <w:color w:val="auto"/>
              </w:rPr>
              <w:t>Total</w:t>
            </w:r>
          </w:p>
        </w:tc>
        <w:tc>
          <w:tcPr>
            <w:tcW w:w="14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1,612,573,816</w:t>
            </w:r>
          </w:p>
        </w:tc>
        <w:tc>
          <w:tcPr>
            <w:tcW w:w="8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1,448,429,313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w w:val="97"/>
              </w:rPr>
              <w:t>The Master Trust’s investments that represented 5% or more of net assets are as follows:</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9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top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WM Common Stock</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$ 98,044,955</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$102,153,934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Stable Value Fund (at contract value) (a)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354,539,254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7"/>
              </w:rPr>
              <w:t>350,147,647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Vanguard S&amp;P Small Cap 600 Fund (b)</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85,023,042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Vanguard Institutional Total Stock Market Index Fund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236,975,969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7"/>
              </w:rPr>
              <w:t>207,321,065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Vanguard Total Bond Market Index Institutional Plus Fund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100,390,107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Vanguard Total Bond Market Index Fund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89,037,623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SmartRetirement 2020 Fund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156,592,456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142,119,248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JPMorgan Chase Bank SmartRetirement 2030 Fund</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174,388,687</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7"/>
              </w:rPr>
              <w:t>152,725,372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fair value of the Master Trust’s investment in the Stable Value Fund was $370,384,053 and $363,860,603 at December 31, 2012 and 2011, respectively.</w:t>
      </w:r>
    </w:p>
    <w:p>
      <w:pPr>
        <w:spacing w:after="0" w:line="49"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amount represents less than 5% of the Master Trust’s net assets at December 31,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60" w:type="dxa"/>
            <w:vAlign w:val="bottom"/>
            <w:gridSpan w:val="2"/>
          </w:tcPr>
          <w:p>
            <w:pPr>
              <w:spacing w:after="0"/>
              <w:rPr>
                <w:sz w:val="20"/>
                <w:szCs w:val="20"/>
                <w:color w:val="auto"/>
              </w:rPr>
            </w:pPr>
            <w:r>
              <w:rPr>
                <w:rFonts w:ascii="Arial" w:cs="Arial" w:eastAsia="Arial" w:hAnsi="Arial"/>
                <w:sz w:val="18"/>
                <w:szCs w:val="18"/>
                <w:color w:val="auto"/>
                <w:w w:val="97"/>
              </w:rPr>
              <w:t>Changes in net assets of the Master Trust for the year ended December 31, 2012, are as follows: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4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appreciation in fair value of investments: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collective trust funds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80,058,908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ind w:left="440"/>
              <w:spacing w:after="0"/>
              <w:rPr>
                <w:sz w:val="20"/>
                <w:szCs w:val="20"/>
                <w:color w:val="auto"/>
              </w:rPr>
            </w:pPr>
            <w:r>
              <w:rPr>
                <w:rFonts w:ascii="Arial" w:cs="Arial" w:eastAsia="Arial" w:hAnsi="Arial"/>
                <w:sz w:val="18"/>
                <w:szCs w:val="18"/>
                <w:color w:val="auto"/>
              </w:rPr>
              <w:t>Stable value fund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9,927,236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WM common stock</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ind w:left="440"/>
              <w:spacing w:after="0"/>
              <w:rPr>
                <w:sz w:val="20"/>
                <w:szCs w:val="20"/>
                <w:color w:val="auto"/>
              </w:rPr>
            </w:pPr>
            <w:r>
              <w:rPr>
                <w:rFonts w:ascii="Arial" w:cs="Arial" w:eastAsia="Arial" w:hAnsi="Arial"/>
                <w:sz w:val="18"/>
                <w:szCs w:val="18"/>
                <w:color w:val="auto"/>
              </w:rPr>
              <w:t>Corporate stocks – other than WM common stock</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1,587,277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Mutual funds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57,147,776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5720" w:type="dxa"/>
            <w:vAlign w:val="bottom"/>
          </w:tcPr>
          <w:p>
            <w:pPr>
              <w:ind w:left="440"/>
              <w:spacing w:after="0"/>
              <w:rPr>
                <w:sz w:val="20"/>
                <w:szCs w:val="20"/>
                <w:color w:val="auto"/>
              </w:rPr>
            </w:pPr>
            <w:r>
              <w:rPr>
                <w:rFonts w:ascii="Arial" w:cs="Arial" w:eastAsia="Arial" w:hAnsi="Arial"/>
                <w:sz w:val="18"/>
                <w:szCs w:val="18"/>
                <w:color w:val="auto"/>
              </w:rPr>
              <w:t>Publicly-traded partnership interests and other</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(91,702)</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net appreciation in fair value of investments</w:t>
            </w:r>
          </w:p>
        </w:tc>
        <w:tc>
          <w:tcPr>
            <w:tcW w:w="8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152,114,661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Interest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Dividends – WM common stock</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4,213,885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Dividends – other than WM common stock</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12,317,601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720" w:type="dxa"/>
            <w:vAlign w:val="bottom"/>
          </w:tcPr>
          <w:p>
            <w:pPr>
              <w:ind w:left="1300"/>
              <w:spacing w:after="0"/>
              <w:rPr>
                <w:sz w:val="20"/>
                <w:szCs w:val="20"/>
                <w:color w:val="auto"/>
              </w:rPr>
            </w:pPr>
            <w:r>
              <w:rPr>
                <w:rFonts w:ascii="Arial" w:cs="Arial" w:eastAsia="Arial" w:hAnsi="Arial"/>
                <w:sz w:val="18"/>
                <w:szCs w:val="18"/>
                <w:color w:val="auto"/>
              </w:rPr>
              <w:t>Total additions</w:t>
            </w:r>
          </w:p>
        </w:tc>
        <w:tc>
          <w:tcPr>
            <w:tcW w:w="8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168,857,208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Administrative fees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(2,509,055)</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deductions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(2,509,055)</w:t>
            </w:r>
          </w:p>
        </w:tc>
        <w:tc>
          <w:tcPr>
            <w:tcW w:w="0" w:type="dxa"/>
            <w:vAlign w:val="bottom"/>
          </w:tcPr>
          <w:p>
            <w:pPr>
              <w:spacing w:after="0"/>
              <w:rPr>
                <w:sz w:val="1"/>
                <w:szCs w:val="1"/>
                <w:color w:val="auto"/>
              </w:rPr>
            </w:pPr>
          </w:p>
        </w:tc>
      </w:tr>
      <w:tr>
        <w:trPr>
          <w:trHeight w:val="221"/>
        </w:trPr>
        <w:tc>
          <w:tcPr>
            <w:tcW w:w="7560" w:type="dxa"/>
            <w:vAlign w:val="bottom"/>
            <w:gridSpan w:val="2"/>
          </w:tcPr>
          <w:p>
            <w:pPr>
              <w:ind w:left="1840"/>
              <w:spacing w:after="0"/>
              <w:rPr>
                <w:sz w:val="20"/>
                <w:szCs w:val="20"/>
                <w:color w:val="auto"/>
              </w:rPr>
            </w:pPr>
            <w:r>
              <w:rPr>
                <w:rFonts w:ascii="Arial" w:cs="Arial" w:eastAsia="Arial" w:hAnsi="Arial"/>
                <w:sz w:val="18"/>
                <w:szCs w:val="18"/>
                <w:color w:val="auto"/>
              </w:rPr>
              <w:t>NET INCREASE BEFORE TRANSFERS</w:t>
            </w:r>
          </w:p>
        </w:tc>
        <w:tc>
          <w:tcPr>
            <w:tcW w:w="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166,348,153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TRANSFERS IN (a)</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159,034,527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TRANSFERS OUT (b)</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(161,238,177)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w:t>
            </w:r>
          </w:p>
        </w:tc>
        <w:tc>
          <w:tcPr>
            <w:tcW w:w="8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164,144,503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ASSETS: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Beginning of year</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1,448,429,313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5720" w:type="dxa"/>
            <w:vAlign w:val="bottom"/>
          </w:tcPr>
          <w:p>
            <w:pPr>
              <w:ind w:left="440"/>
              <w:spacing w:after="0"/>
              <w:rPr>
                <w:sz w:val="20"/>
                <w:szCs w:val="20"/>
                <w:color w:val="auto"/>
              </w:rPr>
            </w:pPr>
            <w:r>
              <w:rPr>
                <w:rFonts w:ascii="Arial" w:cs="Arial" w:eastAsia="Arial" w:hAnsi="Arial"/>
                <w:sz w:val="18"/>
                <w:szCs w:val="18"/>
                <w:color w:val="auto"/>
              </w:rPr>
              <w:t>End of year</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1,612,573,816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Plan interest in net investment gain from the Master Trust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165,073,008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Union Plan interest in net investment gain from the Master Trust</w:t>
            </w:r>
          </w:p>
        </w:tc>
        <w:tc>
          <w:tcPr>
            <w:tcW w:w="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166,348,153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contributions, rollovers, transfers and participant net note repayments/withdrawals of principal and interest.</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benefit payments to participants.</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45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Plan’s investments that represented 5% or more of the Plan’s net assets available for benefits as of December 31, 2012 and 2011 are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560" w:type="dxa"/>
            <w:vAlign w:val="bottom"/>
            <w:gridSpan w:val="4"/>
          </w:tcPr>
          <w:p>
            <w:pPr>
              <w:ind w:left="8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Borders>
              <w:top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2012</w:t>
            </w:r>
          </w:p>
        </w:tc>
        <w:tc>
          <w:tcPr>
            <w:tcW w:w="1480" w:type="dxa"/>
            <w:vAlign w:val="bottom"/>
            <w:tcBorders>
              <w:top w:val="single" w:sz="8" w:color="auto"/>
            </w:tcBorders>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WM Common Stock</w:t>
            </w:r>
          </w:p>
        </w:tc>
        <w:tc>
          <w:tcPr>
            <w:tcW w:w="10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$ 97,514,764</w:t>
            </w: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$101,729,473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Stable Value Fund (at contract value) (a)</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351,561,362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347,811,153</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Vanguard S&amp;P Small Cap 600 Fund (b)</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84,510,245</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n/a</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Vanguard Institutional Total Stock Market Index Fund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235,781,854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206,391,687</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Vanguard Total Bond Market Index Institutional Plus Fund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99,486,998</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Vanguard Total Bond Market Index Fund</w:t>
            </w:r>
          </w:p>
        </w:tc>
        <w:tc>
          <w:tcPr>
            <w:tcW w:w="1000" w:type="dxa"/>
            <w:vAlign w:val="bottom"/>
          </w:tcPr>
          <w:p>
            <w:pPr>
              <w:spacing w:after="0"/>
              <w:rPr>
                <w:sz w:val="18"/>
                <w:szCs w:val="18"/>
                <w:color w:val="auto"/>
              </w:rPr>
            </w:pPr>
          </w:p>
        </w:tc>
        <w:tc>
          <w:tcPr>
            <w:tcW w:w="9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88,359,674</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SmartRetirement 2020 Fund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153,053,174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139,343,317</w:t>
            </w:r>
          </w:p>
        </w:tc>
        <w:tc>
          <w:tcPr>
            <w:tcW w:w="100" w:type="dxa"/>
            <w:vAlign w:val="bottom"/>
            <w:shd w:val="clear" w:color="auto" w:fill="CCEEFF"/>
          </w:tcPr>
          <w:p>
            <w:pPr>
              <w:spacing w:after="0"/>
              <w:rPr>
                <w:sz w:val="18"/>
                <w:szCs w:val="18"/>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JPMorgan Chase Bank SmartRetirement 2030 Fund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172,140,822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151,071,343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of the Plan’s investment in the Stable Value Fund was $367,273,075 and $361,432,604 at December 31, 2012 and 2011, respectively.</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amount represents less than 5% of the Plan’s net assets available for benefits at December 31, 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Contracts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trust funds held by the Master Trust include a stable value fund that invests in fully benefit-responsive GICs and Synthetic GICs. The following disclosures provide information about the nature of these investments and how fair values of these investments are measured.</w:t>
      </w:r>
    </w:p>
    <w:p>
      <w:pPr>
        <w:spacing w:after="0" w:line="132"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i w:val="1"/>
          <w:iCs w:val="1"/>
          <w:color w:val="auto"/>
        </w:rPr>
        <w:t xml:space="preserve">Guaranteed Investment Contracts </w:t>
      </w:r>
      <w:r>
        <w:rPr>
          <w:rFonts w:ascii="Arial" w:cs="Arial" w:eastAsia="Arial" w:hAnsi="Arial"/>
          <w:sz w:val="16"/>
          <w:szCs w:val="16"/>
          <w:color w:val="auto"/>
        </w:rPr>
        <w:t>- GICs are contracts that provide a specified rate of return for a specific period of time. The fair values of the GICs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Plan’s Stable Value Fund are measured by the investment manager using a discounted cash flow methodology at market rates.</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Synthetic Guaranteed Investment Contracts </w:t>
      </w:r>
      <w:r>
        <w:rPr>
          <w:rFonts w:ascii="Arial" w:cs="Arial" w:eastAsia="Arial" w:hAnsi="Arial"/>
          <w:sz w:val="18"/>
          <w:szCs w:val="18"/>
          <w:color w:val="auto"/>
        </w:rPr>
        <w:t>- Synthetic GICs are comprised of (a) individual assets or investments placed in a trust and (b) wrapper contracts that</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that participant transactions will be executed at contract value. The investment portfolio of a Synthetic GIC when coupled with a wrapper contract attempts to replicate the investment characteristics of traditional GICs.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Synthetic GICs included in the Plan’s stable value fund are measured as follows:</w:t>
      </w:r>
    </w:p>
    <w:p>
      <w:pPr>
        <w:spacing w:after="0" w:line="90" w:lineRule="exact"/>
        <w:rPr>
          <w:sz w:val="20"/>
          <w:szCs w:val="20"/>
          <w:color w:val="auto"/>
        </w:rPr>
      </w:pPr>
    </w:p>
    <w:p>
      <w:pPr>
        <w:ind w:left="440" w:hanging="324"/>
        <w:spacing w:after="0" w:line="294"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Fair value of individual assets and investments </w:t>
      </w:r>
      <w:r>
        <w:rPr>
          <w:rFonts w:ascii="Arial" w:cs="Arial" w:eastAsia="Arial" w:hAnsi="Arial"/>
          <w:sz w:val="16"/>
          <w:szCs w:val="16"/>
          <w:color w:val="auto"/>
        </w:rPr>
        <w:t>- Individual assets and investments are valued at representative quoted market prices when available. 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34" w:lineRule="exact"/>
        <w:rPr>
          <w:rFonts w:ascii="Arial" w:cs="Arial" w:eastAsia="Arial" w:hAnsi="Arial"/>
          <w:sz w:val="16"/>
          <w:szCs w:val="16"/>
          <w:color w:val="auto"/>
        </w:rPr>
      </w:pPr>
    </w:p>
    <w:p>
      <w:pPr>
        <w:ind w:left="440" w:right="100" w:hanging="324"/>
        <w:spacing w:after="0" w:line="306"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Fair value of wrapper contracts </w:t>
      </w:r>
      <w:r>
        <w:rPr>
          <w:rFonts w:ascii="Arial" w:cs="Arial" w:eastAsia="Arial" w:hAnsi="Arial"/>
          <w:sz w:val="16"/>
          <w:szCs w:val="16"/>
          <w:color w:val="auto"/>
        </w:rPr>
        <w:t>- The fair value of wrapper contracts is determined using the income approach discounting methodology that incorporates</w:t>
      </w:r>
      <w:r>
        <w:rPr>
          <w:rFonts w:ascii="Arial" w:cs="Arial" w:eastAsia="Arial" w:hAnsi="Arial"/>
          <w:sz w:val="16"/>
          <w:szCs w:val="16"/>
          <w:i w:val="1"/>
          <w:iCs w:val="1"/>
          <w:color w:val="auto"/>
        </w:rPr>
        <w:t xml:space="preserve"> </w:t>
      </w:r>
      <w:r>
        <w:rPr>
          <w:rFonts w:ascii="Arial" w:cs="Arial" w:eastAsia="Arial" w:hAnsi="Arial"/>
          <w:sz w:val="16"/>
          <w:szCs w:val="16"/>
          <w:color w:val="auto"/>
        </w:rPr>
        <w:t>the difference between current market level rates for contract level wrap fees and the wrap fee being charged for the Synthetic GIC. This difference is calculated as a dollar value and discounted by the prevailing discount rate as of the appropriate measurement date.</w:t>
      </w:r>
    </w:p>
    <w:p>
      <w:pPr>
        <w:spacing w:after="0" w:line="10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interest crediting rates for the traditional GICs are agreed to in advance with the issuer. The interest crediting rates for Synthetic GICs are calculated on a quarterly basis using the contract value, market value, yield and duration of the underlying securities, but cannot be less than zero.</w:t>
      </w:r>
    </w:p>
    <w:p>
      <w:pPr>
        <w:spacing w:after="0" w:line="8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stable value fund’s average yield based on actual earnings was 1.15% and 1.86% during 2012 and 2011, respectively, and its average yield based on the interest rate credited to participants was 2.74% and 3.08% during 2012 and 2011, respectively.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There are certain events not initiated by the Plan participants that could limit the ability of the Plan to transact with the issuer at GIC or Synthetic GIC contract value. Examples of such events include, but are not limited to: material amendments to the Plan documents or administration; changes to the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Contract issuers are generally not allowed to terminate GICs and settle at an amount different from contract value unless there is a breach of contract which is not corrected within the time permitted by the contract. Synthetic GICs generally are evergreen contracts that contain termination provisions, allowing the fund or the contract issuer to terminate with notice, at any time at fair value, and providing for automatic termination of the contract if the contract value or the fair value of the underlying portfolio equals zero. The issuer is obligated to pay the excess contract value when the fair value of the underlying portfolio equals zero.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Plan defines fair value as the price that would be received from selling an asset or paid to transfer a liability in an orderly transaction between market participants at the measurement date. When measuring assets and liabilities that are required to be recorded at fair value, the Plan considers the principal or most advantageous market in which the Plan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90" w:lineRule="exact"/>
        <w:rPr>
          <w:sz w:val="20"/>
          <w:szCs w:val="20"/>
          <w:color w:val="auto"/>
        </w:rPr>
      </w:pPr>
    </w:p>
    <w:p>
      <w:pPr>
        <w:jc w:val="both"/>
        <w:ind w:left="460" w:right="26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59"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the Plan’s estimate of assumptions that market participants would use in pricing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 The Plan had no Level 3 assets at December 31, 2012 or 2011.</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by level, within the fair value hierarchy, a summary of investments of the Master Trust measured at fair value on a recurring basis: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ind w:left="7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2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Quoted Prices in Active Markets (Level 1):</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5240" w:type="dxa"/>
            <w:vAlign w:val="bottom"/>
          </w:tcPr>
          <w:p>
            <w:pPr>
              <w:ind w:left="440"/>
              <w:spacing w:after="0"/>
              <w:rPr>
                <w:sz w:val="20"/>
                <w:szCs w:val="20"/>
                <w:color w:val="auto"/>
              </w:rPr>
            </w:pPr>
            <w:r>
              <w:rPr>
                <w:rFonts w:ascii="Arial" w:cs="Arial" w:eastAsia="Arial" w:hAnsi="Arial"/>
                <w:sz w:val="18"/>
                <w:szCs w:val="18"/>
                <w:color w:val="auto"/>
              </w:rPr>
              <w:t>WM common stock</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98,044,955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102,153,934</w:t>
            </w:r>
          </w:p>
        </w:tc>
        <w:tc>
          <w:tcPr>
            <w:tcW w:w="100" w:type="dxa"/>
            <w:vAlign w:val="bottom"/>
          </w:tcPr>
          <w:p>
            <w:pPr>
              <w:spacing w:after="0"/>
              <w:rPr>
                <w:sz w:val="19"/>
                <w:szCs w:val="19"/>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stocks – other than WM common stock</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19,063,086</w:t>
            </w: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16,796,395</w:t>
            </w:r>
          </w:p>
        </w:tc>
        <w:tc>
          <w:tcPr>
            <w:tcW w:w="100" w:type="dxa"/>
            <w:vAlign w:val="bottom"/>
            <w:shd w:val="clear" w:color="auto" w:fill="CCEEFF"/>
          </w:tcPr>
          <w:p>
            <w:pPr>
              <w:spacing w:after="0"/>
              <w:rPr>
                <w:sz w:val="18"/>
                <w:szCs w:val="18"/>
                <w:color w:val="auto"/>
              </w:rPr>
            </w:pPr>
          </w:p>
        </w:tc>
      </w:tr>
      <w:tr>
        <w:trPr>
          <w:trHeight w:val="222"/>
        </w:trPr>
        <w:tc>
          <w:tcPr>
            <w:tcW w:w="5240" w:type="dxa"/>
            <w:vAlign w:val="bottom"/>
          </w:tcPr>
          <w:p>
            <w:pPr>
              <w:ind w:left="440"/>
              <w:spacing w:after="0"/>
              <w:rPr>
                <w:sz w:val="20"/>
                <w:szCs w:val="20"/>
                <w:color w:val="auto"/>
              </w:rPr>
            </w:pPr>
            <w:r>
              <w:rPr>
                <w:rFonts w:ascii="Arial" w:cs="Arial" w:eastAsia="Arial" w:hAnsi="Arial"/>
                <w:sz w:val="18"/>
                <w:szCs w:val="18"/>
                <w:color w:val="auto"/>
              </w:rPr>
              <w:t>Mutual Funds –</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EuroPacific growth fund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63,616,281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47,170,865</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860"/>
              <w:spacing w:after="0"/>
              <w:rPr>
                <w:sz w:val="20"/>
                <w:szCs w:val="20"/>
                <w:color w:val="auto"/>
              </w:rPr>
            </w:pPr>
            <w:r>
              <w:rPr>
                <w:rFonts w:ascii="Arial" w:cs="Arial" w:eastAsia="Arial" w:hAnsi="Arial"/>
                <w:sz w:val="18"/>
                <w:szCs w:val="18"/>
                <w:color w:val="auto"/>
              </w:rPr>
              <w:t>Emerging markets fund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48,555,638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41,267,020</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Small cap investment fund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85,023,042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72,278,732</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860"/>
              <w:spacing w:after="0"/>
              <w:rPr>
                <w:sz w:val="20"/>
                <w:szCs w:val="20"/>
                <w:color w:val="auto"/>
              </w:rPr>
            </w:pPr>
            <w:r>
              <w:rPr>
                <w:rFonts w:ascii="Arial" w:cs="Arial" w:eastAsia="Arial" w:hAnsi="Arial"/>
                <w:sz w:val="18"/>
                <w:szCs w:val="18"/>
                <w:color w:val="auto"/>
              </w:rPr>
              <w:t>Stock market index fund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236,975,969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207,321,065</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Bond market index fund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100,390,107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89,037,623</w:t>
            </w:r>
          </w:p>
        </w:tc>
        <w:tc>
          <w:tcPr>
            <w:tcW w:w="100" w:type="dxa"/>
            <w:vAlign w:val="bottom"/>
            <w:shd w:val="clear" w:color="auto" w:fill="CCEEFF"/>
          </w:tcPr>
          <w:p>
            <w:pPr>
              <w:spacing w:after="0"/>
              <w:rPr>
                <w:sz w:val="18"/>
                <w:szCs w:val="18"/>
                <w:color w:val="auto"/>
              </w:rPr>
            </w:pPr>
          </w:p>
        </w:tc>
      </w:tr>
      <w:tr>
        <w:trPr>
          <w:trHeight w:val="223"/>
        </w:trPr>
        <w:tc>
          <w:tcPr>
            <w:tcW w:w="5240" w:type="dxa"/>
            <w:vAlign w:val="bottom"/>
          </w:tcPr>
          <w:p>
            <w:pPr>
              <w:ind w:left="860"/>
              <w:spacing w:after="0"/>
              <w:rPr>
                <w:sz w:val="20"/>
                <w:szCs w:val="20"/>
                <w:color w:val="auto"/>
              </w:rPr>
            </w:pPr>
            <w:r>
              <w:rPr>
                <w:rFonts w:ascii="Arial" w:cs="Arial" w:eastAsia="Arial" w:hAnsi="Arial"/>
                <w:sz w:val="18"/>
                <w:szCs w:val="18"/>
                <w:color w:val="auto"/>
              </w:rPr>
              <w:t>Self-directed mutual funds</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17,238,032</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16,161,994</w:t>
            </w:r>
          </w:p>
        </w:tc>
        <w:tc>
          <w:tcPr>
            <w:tcW w:w="100" w:type="dxa"/>
            <w:vAlign w:val="bottom"/>
          </w:tcPr>
          <w:p>
            <w:pPr>
              <w:spacing w:after="0"/>
              <w:rPr>
                <w:sz w:val="19"/>
                <w:szCs w:val="19"/>
                <w:color w:val="auto"/>
              </w:rPr>
            </w:pPr>
          </w:p>
        </w:tc>
      </w:tr>
      <w:tr>
        <w:trPr>
          <w:trHeight w:val="216"/>
        </w:trPr>
        <w:tc>
          <w:tcPr>
            <w:tcW w:w="5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551,799,069</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473,237,299</w:t>
            </w:r>
          </w:p>
        </w:tc>
        <w:tc>
          <w:tcPr>
            <w:tcW w:w="100" w:type="dxa"/>
            <w:vAlign w:val="bottom"/>
            <w:shd w:val="clear" w:color="auto" w:fill="CCEEFF"/>
          </w:tcPr>
          <w:p>
            <w:pPr>
              <w:spacing w:after="0"/>
              <w:rPr>
                <w:sz w:val="18"/>
                <w:szCs w:val="18"/>
                <w:color w:val="auto"/>
              </w:rPr>
            </w:pPr>
          </w:p>
        </w:tc>
      </w:tr>
      <w:tr>
        <w:trPr>
          <w:trHeight w:val="230"/>
        </w:trPr>
        <w:tc>
          <w:tcPr>
            <w:tcW w:w="5240" w:type="dxa"/>
            <w:vAlign w:val="bottom"/>
          </w:tcPr>
          <w:p>
            <w:pPr>
              <w:ind w:left="440"/>
              <w:spacing w:after="0"/>
              <w:rPr>
                <w:sz w:val="20"/>
                <w:szCs w:val="20"/>
                <w:color w:val="auto"/>
              </w:rPr>
            </w:pPr>
            <w:r>
              <w:rPr>
                <w:rFonts w:ascii="Arial" w:cs="Arial" w:eastAsia="Arial" w:hAnsi="Arial"/>
                <w:sz w:val="18"/>
                <w:szCs w:val="18"/>
                <w:color w:val="auto"/>
              </w:rPr>
              <w:t>Publicly–traded partnership interests and other</w:t>
            </w:r>
          </w:p>
        </w:tc>
        <w:tc>
          <w:tcPr>
            <w:tcW w:w="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1,193,947</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982,550</w:t>
            </w:r>
          </w:p>
        </w:tc>
        <w:tc>
          <w:tcPr>
            <w:tcW w:w="100" w:type="dxa"/>
            <w:vAlign w:val="bottom"/>
          </w:tcPr>
          <w:p>
            <w:pPr>
              <w:spacing w:after="0"/>
              <w:rPr>
                <w:sz w:val="20"/>
                <w:szCs w:val="20"/>
                <w:color w:val="auto"/>
              </w:rPr>
            </w:pPr>
          </w:p>
        </w:tc>
      </w:tr>
      <w:tr>
        <w:trPr>
          <w:trHeight w:val="216"/>
        </w:trPr>
        <w:tc>
          <w:tcPr>
            <w:tcW w:w="52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Subtotal Level 1</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670,101,057</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593,170,178</w:t>
            </w:r>
          </w:p>
        </w:tc>
        <w:tc>
          <w:tcPr>
            <w:tcW w:w="100" w:type="dxa"/>
            <w:vAlign w:val="bottom"/>
            <w:shd w:val="clear" w:color="auto" w:fill="CCEEFF"/>
          </w:tcPr>
          <w:p>
            <w:pPr>
              <w:spacing w:after="0"/>
              <w:rPr>
                <w:sz w:val="18"/>
                <w:szCs w:val="18"/>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b w:val="1"/>
                <w:bCs w:val="1"/>
                <w:color w:val="auto"/>
              </w:rPr>
              <w:t>Significant Other Observable Inputs (Level 2):</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collective trust funds –</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860"/>
              <w:spacing w:after="0"/>
              <w:rPr>
                <w:sz w:val="20"/>
                <w:szCs w:val="20"/>
                <w:color w:val="auto"/>
              </w:rPr>
            </w:pPr>
            <w:r>
              <w:rPr>
                <w:rFonts w:ascii="Arial" w:cs="Arial" w:eastAsia="Arial" w:hAnsi="Arial"/>
                <w:sz w:val="18"/>
                <w:szCs w:val="18"/>
                <w:color w:val="auto"/>
              </w:rPr>
              <w:t>Short-term investment fund (a)</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1,629,354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1,305,176</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income investment fund (b)</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47,781,369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38,515,869</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860"/>
              <w:spacing w:after="0"/>
              <w:rPr>
                <w:sz w:val="20"/>
                <w:szCs w:val="20"/>
                <w:color w:val="auto"/>
              </w:rPr>
            </w:pPr>
            <w:r>
              <w:rPr>
                <w:rFonts w:ascii="Arial" w:cs="Arial" w:eastAsia="Arial" w:hAnsi="Arial"/>
                <w:sz w:val="18"/>
                <w:szCs w:val="18"/>
                <w:color w:val="auto"/>
              </w:rPr>
              <w:t>Growth investment fund (c)</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55,473,718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40,815,024</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Target date retirement funds (d)</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483,030,814</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424,472,751</w:t>
            </w:r>
          </w:p>
        </w:tc>
        <w:tc>
          <w:tcPr>
            <w:tcW w:w="100" w:type="dxa"/>
            <w:vAlign w:val="bottom"/>
            <w:shd w:val="clear" w:color="auto" w:fill="CCEEFF"/>
          </w:tcPr>
          <w:p>
            <w:pPr>
              <w:spacing w:after="0"/>
              <w:rPr>
                <w:sz w:val="18"/>
                <w:szCs w:val="18"/>
                <w:color w:val="auto"/>
              </w:rPr>
            </w:pPr>
          </w:p>
        </w:tc>
      </w:tr>
      <w:tr>
        <w:trPr>
          <w:trHeight w:val="222"/>
        </w:trPr>
        <w:tc>
          <w:tcPr>
            <w:tcW w:w="5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587,915,255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505,108,820</w:t>
            </w:r>
          </w:p>
        </w:tc>
        <w:tc>
          <w:tcPr>
            <w:tcW w:w="100" w:type="dxa"/>
            <w:vAlign w:val="bottom"/>
          </w:tcPr>
          <w:p>
            <w:pPr>
              <w:spacing w:after="0"/>
              <w:rPr>
                <w:sz w:val="19"/>
                <w:szCs w:val="19"/>
                <w:color w:val="auto"/>
              </w:rPr>
            </w:pPr>
          </w:p>
        </w:tc>
      </w:tr>
      <w:tr>
        <w:trPr>
          <w:trHeight w:val="217"/>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Stable value fund (e)</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370,384,053</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363,860,603</w:t>
            </w:r>
          </w:p>
        </w:tc>
        <w:tc>
          <w:tcPr>
            <w:tcW w:w="100" w:type="dxa"/>
            <w:vAlign w:val="bottom"/>
            <w:shd w:val="clear" w:color="auto" w:fill="CCEEFF"/>
          </w:tcPr>
          <w:p>
            <w:pPr>
              <w:spacing w:after="0"/>
              <w:rPr>
                <w:sz w:val="18"/>
                <w:szCs w:val="18"/>
                <w:color w:val="auto"/>
              </w:rPr>
            </w:pPr>
          </w:p>
        </w:tc>
      </w:tr>
      <w:tr>
        <w:trPr>
          <w:trHeight w:val="230"/>
        </w:trPr>
        <w:tc>
          <w:tcPr>
            <w:tcW w:w="5240" w:type="dxa"/>
            <w:vAlign w:val="bottom"/>
          </w:tcPr>
          <w:p>
            <w:pPr>
              <w:ind w:left="1300"/>
              <w:spacing w:after="0"/>
              <w:rPr>
                <w:sz w:val="20"/>
                <w:szCs w:val="20"/>
                <w:color w:val="auto"/>
              </w:rPr>
            </w:pPr>
            <w:r>
              <w:rPr>
                <w:rFonts w:ascii="Arial" w:cs="Arial" w:eastAsia="Arial" w:hAnsi="Arial"/>
                <w:sz w:val="18"/>
                <w:szCs w:val="18"/>
                <w:color w:val="auto"/>
              </w:rPr>
              <w:t>Subtotal Level 2</w:t>
            </w:r>
          </w:p>
        </w:tc>
        <w:tc>
          <w:tcPr>
            <w:tcW w:w="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958,299,308</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868,969,423</w:t>
            </w:r>
          </w:p>
        </w:tc>
        <w:tc>
          <w:tcPr>
            <w:tcW w:w="100" w:type="dxa"/>
            <w:vAlign w:val="bottom"/>
          </w:tcPr>
          <w:p>
            <w:pPr>
              <w:spacing w:after="0"/>
              <w:rPr>
                <w:sz w:val="20"/>
                <w:szCs w:val="20"/>
                <w:color w:val="auto"/>
              </w:rPr>
            </w:pPr>
          </w:p>
        </w:tc>
      </w:tr>
      <w:tr>
        <w:trPr>
          <w:trHeight w:val="216"/>
        </w:trPr>
        <w:tc>
          <w:tcPr>
            <w:tcW w:w="52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Investments of the Master Trust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1,628,400,365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1,462,139,601</w:t>
            </w:r>
          </w:p>
        </w:tc>
        <w:tc>
          <w:tcPr>
            <w:tcW w:w="100" w:type="dxa"/>
            <w:vAlign w:val="bottom"/>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00" w:hanging="452"/>
        <w:spacing w:after="0" w:line="284"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category represents a common collective trust that seeks to provide safety of principal, daily liquidity, and a competitive yield by investing in high quality money market instruments. The fund’s trust document requires fifteen days advance notice prior to redemption, and authorizes the fund’s trustee to shorten this notice period at its sole discretion. At December 31, 2012 and December 31, 2011, the trustee had waived the notice period.</w:t>
      </w:r>
    </w:p>
    <w:p>
      <w:pPr>
        <w:spacing w:after="0" w:line="1" w:lineRule="exact"/>
        <w:rPr>
          <w:rFonts w:ascii="Arial" w:cs="Arial" w:eastAsia="Arial" w:hAnsi="Arial"/>
          <w:sz w:val="16"/>
          <w:szCs w:val="16"/>
          <w:color w:val="auto"/>
        </w:rPr>
      </w:pPr>
    </w:p>
    <w:p>
      <w:pPr>
        <w:ind w:left="460" w:right="12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category represents a common collective trust that seeks to provide substantial dividend income and long-term growth of capital through investments in the common stocks of established companies. Under normal conditions, the fund will invest at least 80% of assets in common stocks and, in particular, those that appear to be undervalued and may be temporarily out of favor but have good prospects for capital appreciation and dividend growth. The fund’s trust document requires ninety days advance notice prior to redemption, and authorizes the fund’s trustee to shorten or waive this notice period at its sole discretion. As of December 31, 2012 and December 31, 2011, the trustee had waived the notice period for participants.</w:t>
      </w:r>
    </w:p>
    <w:p>
      <w:pPr>
        <w:spacing w:after="0" w:line="3" w:lineRule="exact"/>
        <w:rPr>
          <w:rFonts w:ascii="Arial" w:cs="Arial" w:eastAsia="Arial" w:hAnsi="Arial"/>
          <w:sz w:val="16"/>
          <w:szCs w:val="16"/>
          <w:color w:val="auto"/>
        </w:rPr>
      </w:pPr>
    </w:p>
    <w:p>
      <w:pPr>
        <w:ind w:left="460" w:right="18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category represents a common collective trust that seeks to provide long-term capital growth and, secondarily, income. Under normal conditions, the fund will invest at least 80% of net assets in the common stocks of large and medium-sized blue chip growth companies. The fund’s trust document requires ninety days advance notice prior to a redemption, and authorizes the fund’s trustee to shorten or waive this notice period at its sole discretion. As of December 31, 2012 and December 31, 2011, the trustee had waived the notice period for participants.</w:t>
      </w:r>
    </w:p>
    <w:p>
      <w:pPr>
        <w:spacing w:after="0" w:line="2"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category represents common collective trusts, and the objective of each individual fund is to produce risk-appropriate investment returns by using the following major asset classes: stocks, bonds, real estate, and cash or cash equivalents. Diversification is primarily achieved by investing in other collective trust funds maintained by JPMorgan Chase Bank, but may also be achieved by investing in exchange traded funds, exchange traded notes, derivatives, and other securities. Except for the target date income fund, the funds are age-based funds for investors retiring approximately at or near the year identified by each fund as its target retirement date. At December 31, 2012 and December 31, 2011, there were no redemption restrictions on these funds for participants but each fund requires the Plan to provide sixty days advance notice to liquidate its entire share.</w:t>
      </w:r>
    </w:p>
    <w:p>
      <w:pPr>
        <w:spacing w:after="0" w:line="4"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investment objective of this fund is to protect principal while providing a higher rate of return than shorter maturity investments, such as money market funds or certificates of deposit. To achieve this, the fund invests in instruments which are not expected to experience significant price fluctuation in most economic or interest rate environments. The fund primarily invests in investment contracts, including fully benefit-responsive GICS and Synthetic GICs. The fund also invests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in the Wells Fargo Stable Return Fund G (“Wells Fargo Fund”), which has an investment objective similar to that of the fund. The fund uses its investment in the Wells Fargo Fund for daily liquidity needs. The participants in this fund have daily liquidity at contract value (except as discussed in Note 5), however, the trustee of the Wells Fargo Fund reserves the right to require a one-year redemption notice for the Plan to liquidate its entire share in that Fund. See Note 5 for additional information related to the Stable Value Fund.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Federal Income Taxes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Plan has received a determination letter from the Internal Revenue Service (“the IRS”) dated June 20, 2002, stating that the Plan, as then designed, was then in compliance with the applicable requirements of the Internal Revenue Code (the “Code”). The Plan has been amended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On January 11, 2010, Waste Management filed an application for a renewed favorable determination letter.</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Generally accepted accounting principles in the United States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2012, there are no uncertain tax positions taken or expected to be taken.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Reconciliation of Financial Statements to Form 5500</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per the financial statements to the Form 5500 as of December 31, 2012 and 2011:</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12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130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assets available for benefits per the financial statements</w:t>
            </w: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$1,664,722,788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$1,502,563,087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Amounts pending distribution to participants</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(1,059,836)</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(583,661)</w:t>
            </w:r>
          </w:p>
        </w:tc>
      </w:tr>
      <w:tr>
        <w:trPr>
          <w:trHeight w:val="208"/>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Adjustment from fair value to contract value for fully benefit-responsive</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5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investment contracts</w:t>
            </w:r>
          </w:p>
        </w:tc>
        <w:tc>
          <w:tcPr>
            <w:tcW w:w="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15,711,713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13,621,451</w:t>
            </w:r>
          </w:p>
        </w:tc>
        <w:tc>
          <w:tcPr>
            <w:tcW w:w="120" w:type="dxa"/>
            <w:vAlign w:val="bottom"/>
            <w:shd w:val="clear" w:color="auto" w:fill="CCEEFF"/>
          </w:tcPr>
          <w:p>
            <w:pPr>
              <w:spacing w:after="0"/>
              <w:rPr>
                <w:sz w:val="19"/>
                <w:szCs w:val="19"/>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1,679,374,665</w:t>
            </w: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1,515,600,877</w:t>
            </w:r>
          </w:p>
        </w:tc>
        <w:tc>
          <w:tcPr>
            <w:tcW w:w="12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net increase in net assets available for benefits per the financial statements to the Form 5500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21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financial statements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$ 162,159,691</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Amounts pending distribution to participants at December 31, 2011</w:t>
            </w:r>
          </w:p>
        </w:tc>
        <w:tc>
          <w:tcPr>
            <w:tcW w:w="1020" w:type="dxa"/>
            <w:vAlign w:val="bottom"/>
          </w:tcPr>
          <w:p>
            <w:pPr>
              <w:jc w:val="right"/>
              <w:spacing w:after="0"/>
              <w:rPr>
                <w:sz w:val="20"/>
                <w:szCs w:val="20"/>
                <w:color w:val="auto"/>
              </w:rPr>
            </w:pPr>
            <w:r>
              <w:rPr>
                <w:rFonts w:ascii="Arial" w:cs="Arial" w:eastAsia="Arial" w:hAnsi="Arial"/>
                <w:sz w:val="18"/>
                <w:szCs w:val="18"/>
                <w:color w:val="auto"/>
              </w:rPr>
              <w:t>583,661</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pending distribution to participants at December 31, 2012</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(1,059,836)</w:t>
            </w:r>
          </w:p>
        </w:tc>
      </w:tr>
      <w:tr>
        <w:trPr>
          <w:trHeight w:val="208"/>
        </w:trPr>
        <w:tc>
          <w:tcPr>
            <w:tcW w:w="6620" w:type="dxa"/>
            <w:vAlign w:val="bottom"/>
          </w:tcPr>
          <w:p>
            <w:pPr>
              <w:ind w:left="440"/>
              <w:spacing w:after="0"/>
              <w:rPr>
                <w:sz w:val="20"/>
                <w:szCs w:val="20"/>
                <w:color w:val="auto"/>
              </w:rPr>
            </w:pPr>
            <w:r>
              <w:rPr>
                <w:rFonts w:ascii="Arial" w:cs="Arial" w:eastAsia="Arial" w:hAnsi="Arial"/>
                <w:sz w:val="18"/>
                <w:szCs w:val="18"/>
                <w:color w:val="auto"/>
                <w:w w:val="94"/>
              </w:rPr>
              <w:t>Adjustment from fair value to contract value for fully benefit-responsive investment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6620" w:type="dxa"/>
            <w:vAlign w:val="bottom"/>
          </w:tcPr>
          <w:p>
            <w:pPr>
              <w:ind w:left="640"/>
              <w:spacing w:after="0"/>
              <w:rPr>
                <w:sz w:val="20"/>
                <w:szCs w:val="20"/>
                <w:color w:val="auto"/>
              </w:rPr>
            </w:pPr>
            <w:r>
              <w:rPr>
                <w:rFonts w:ascii="Arial" w:cs="Arial" w:eastAsia="Arial" w:hAnsi="Arial"/>
                <w:sz w:val="18"/>
                <w:szCs w:val="18"/>
                <w:color w:val="auto"/>
              </w:rPr>
              <w:t>contracts at December 31, 2011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(13,621,451)</w:t>
            </w:r>
          </w:p>
        </w:tc>
      </w:tr>
      <w:tr>
        <w:trPr>
          <w:trHeight w:val="209"/>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Adjustment from fair value to contract value for fully benefit-responsive investment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6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contracts at December 31, 2012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15,711,713</w:t>
            </w:r>
          </w:p>
        </w:tc>
        <w:tc>
          <w:tcPr>
            <w:tcW w:w="120" w:type="dxa"/>
            <w:vAlign w:val="bottom"/>
            <w:shd w:val="clear" w:color="auto" w:fill="CCEEFF"/>
          </w:tcPr>
          <w:p>
            <w:pPr>
              <w:spacing w:after="0"/>
              <w:rPr>
                <w:sz w:val="19"/>
                <w:szCs w:val="19"/>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Net increase in assets available for benefits per the Form 5500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$ 163,773,778</w:t>
            </w:r>
          </w:p>
        </w:tc>
        <w:tc>
          <w:tcPr>
            <w:tcW w:w="12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Amounts pending distribution are recorded as benefits paid to participants on the Form 5500 for benefit claims that have been processed and approved for payment prior to December 31, but which have not yet been paid as of that date.</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accompanying financial statements present fully benefit-responsive investment contracts at contract value. The Form 5500 requires fully benefit-responsive investment contracts to be reported at fair value. Therefore, the adjustment from fair value to contract value for fully benefit-responsive investment contracts represents a reconciling item.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Plan Termination</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In April 2002, certain former participants in the ERISA plans of WM Holdings, Inc. (“WM Holdings”), a wholly-owned subsidiary of the Company, filed a lawsuit in the U.S. District Court for the District of Columbia in a case entitled </w:t>
      </w:r>
      <w:r>
        <w:rPr>
          <w:rFonts w:ascii="Arial" w:cs="Arial" w:eastAsia="Arial" w:hAnsi="Arial"/>
          <w:sz w:val="16"/>
          <w:szCs w:val="16"/>
          <w:i w:val="1"/>
          <w:iCs w:val="1"/>
          <w:color w:val="auto"/>
        </w:rPr>
        <w:t>William S. Harris, et al. v. James E. Koenig, et al</w:t>
      </w:r>
      <w:r>
        <w:rPr>
          <w:rFonts w:ascii="Arial" w:cs="Arial" w:eastAsia="Arial" w:hAnsi="Arial"/>
          <w:sz w:val="16"/>
          <w:szCs w:val="16"/>
          <w:color w:val="auto"/>
        </w:rPr>
        <w:t>. The lawsuit attempted to increase the recovery of a class of ERISA plan participants on behalf of the Plan based on allegations related to both the events alleged in, and the settlements relating to, the securities class action against WM Holdings that was settled in 1998, the litigation against WM in Texas that was settled in 2002, as well as the decision to offer WM common stock as an investment option within the Plan beginning in 1990, despite alleged knowledge by at least two members of the investment committee of financial misstatement by WM during the relevant time period.</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second quarter of 2010, the Court dismissed certain claims against individual defendants, including all claims against each of the current members of the Board of Directors of WM. Previously, plaintiffs dismissed all claims related to the settlement of the securities class action against WM that was settled in 2002, and the court certified a limited class of participants who may bring claims on behalf of the plan, but not individually. During the third quarter of 2011, the Court ruled in favor of WM and two former employees dismissing all claims brought by the plaintiffs related to the decision to offer WM stock as an investment option within the Plan. WM has since settled with the plaintiffs on their remaining claims, and the proposed class settlement agreement was given final approval by the Court on March 18, 2013. The proceeds to be received by the Plan in connection with this settlement are not material.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Certain investments of the Plan are managed by State Street, which is the trustee of the Plan. The Plan also holds notes receivable representing participant loans. The stable value fund is managed by Galliard, a subsidiary of Wells Fargo Bank, N.A., custodian for the fund. These transactions qualify as party-in-interest transactions. Additionally, a portion of the Plan’s assets are invested in the Company’s common stock. Because the Company is the Plan sponsor, transactions involving the Company’s common stock also qualify as party-in-interest transactions. All of these transactions are exempt from the prohibited transactions rules.</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Retirement Savings Plan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Schedule H, Line 4(i)—Schedule of Assets (Held at End of Year)</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EIN: 73-1309529 Plan: 001</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December 31, 2012</w:t>
      </w:r>
    </w:p>
    <w:p>
      <w:pPr>
        <w:sectPr>
          <w:pgSz w:w="11900" w:h="16838" w:orient="portrait"/>
          <w:cols w:equalWidth="0" w:num="1">
            <w:col w:w="10219"/>
          </w:cols>
          <w:pgMar w:left="240" w:top="459" w:right="1440" w:bottom="1440" w:gutter="0" w:footer="0" w:header="0"/>
        </w:sectPr>
      </w:pPr>
    </w:p>
    <w:p>
      <w:pPr>
        <w:spacing w:after="0" w:line="207"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Identity of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6261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jc w:val="right"/>
        <w:ind w:right="900"/>
        <w:spacing w:after="0"/>
        <w:rPr>
          <w:sz w:val="20"/>
          <w:szCs w:val="20"/>
          <w:color w:val="auto"/>
        </w:rPr>
      </w:pPr>
      <w:r>
        <w:rPr>
          <w:rFonts w:ascii="Arial" w:cs="Arial" w:eastAsia="Arial" w:hAnsi="Arial"/>
          <w:sz w:val="18"/>
          <w:szCs w:val="18"/>
          <w:color w:val="auto"/>
        </w:rPr>
        <w:t>*Notes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Description of Investment</w:t>
            </w:r>
          </w:p>
        </w:tc>
        <w:tc>
          <w:tcPr>
            <w:tcW w:w="7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Current Value</w:t>
            </w:r>
          </w:p>
        </w:tc>
      </w:tr>
      <w:tr>
        <w:trPr>
          <w:trHeight w:val="201"/>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w w:val="87"/>
              </w:rPr>
              <w:t>Various maturity dates with interest rates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6"/>
        </w:trPr>
        <w:tc>
          <w:tcPr>
            <w:tcW w:w="2880" w:type="dxa"/>
            <w:vAlign w:val="bottom"/>
            <w:gridSpan w:val="2"/>
          </w:tcPr>
          <w:p>
            <w:pPr>
              <w:spacing w:after="0"/>
              <w:rPr>
                <w:sz w:val="20"/>
                <w:szCs w:val="20"/>
                <w:color w:val="auto"/>
              </w:rPr>
            </w:pPr>
            <w:r>
              <w:rPr>
                <w:rFonts w:ascii="Arial" w:cs="Arial" w:eastAsia="Arial" w:hAnsi="Arial"/>
                <w:sz w:val="18"/>
                <w:szCs w:val="18"/>
                <w:color w:val="auto"/>
              </w:rPr>
              <w:t>ranging from 4.25% to 9.25%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$66,131,034</w:t>
            </w:r>
          </w:p>
        </w:tc>
      </w:tr>
      <w:tr>
        <w:trPr>
          <w:trHeight w:val="729"/>
        </w:trPr>
        <w:tc>
          <w:tcPr>
            <w:tcW w:w="2880" w:type="dxa"/>
            <w:vAlign w:val="bottom"/>
            <w:gridSpan w:val="2"/>
          </w:tcPr>
          <w:p>
            <w:pPr>
              <w:jc w:val="right"/>
              <w:ind w:right="2502"/>
              <w:spacing w:after="0"/>
              <w:rPr>
                <w:sz w:val="20"/>
                <w:szCs w:val="20"/>
                <w:color w:val="auto"/>
              </w:rPr>
            </w:pPr>
            <w:r>
              <w:rPr>
                <w:rFonts w:ascii="Arial" w:cs="Arial" w:eastAsia="Arial" w:hAnsi="Arial"/>
                <w:sz w:val="18"/>
                <w:szCs w:val="18"/>
                <w:color w:val="auto"/>
              </w:rPr>
              <w:t>15</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-752475</wp:posOffset>
            </wp:positionV>
            <wp:extent cx="5505450"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05450" cy="291465"/>
                    </a:xfrm>
                    <a:prstGeom prst="rect">
                      <a:avLst/>
                    </a:prstGeom>
                    <a:noFill/>
                  </pic:spPr>
                </pic:pic>
              </a:graphicData>
            </a:graphic>
          </wp:anchor>
        </w:drawing>
      </w:r>
    </w:p>
    <w:p>
      <w:pPr>
        <w:sectPr>
          <w:pgSz w:w="11900" w:h="16838" w:orient="portrait"/>
          <w:cols w:equalWidth="0" w:num="2">
            <w:col w:w="4780" w:space="720"/>
            <w:col w:w="4719"/>
          </w:cols>
          <w:pgMar w:left="240" w:top="45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 caused this annual report to be signed on</w:t>
      </w:r>
      <w:r>
        <w:rPr>
          <w:rFonts w:ascii="Arial" w:cs="Arial" w:eastAsia="Arial" w:hAnsi="Arial"/>
          <w:sz w:val="18"/>
          <w:szCs w:val="18"/>
          <w:i w:val="1"/>
          <w:iCs w:val="1"/>
          <w:color w:val="auto"/>
        </w:rPr>
        <w:t xml:space="preserve"> </w:t>
      </w:r>
      <w:r>
        <w:rPr>
          <w:rFonts w:ascii="Arial" w:cs="Arial" w:eastAsia="Arial" w:hAnsi="Arial"/>
          <w:sz w:val="18"/>
          <w:szCs w:val="18"/>
          <w:color w:val="auto"/>
        </w:rPr>
        <w:t>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spacing w:after="0"/>
              <w:rPr>
                <w:sz w:val="19"/>
                <w:szCs w:val="19"/>
                <w:color w:val="auto"/>
              </w:rPr>
            </w:pPr>
          </w:p>
        </w:tc>
        <w:tc>
          <w:tcPr>
            <w:tcW w:w="7900" w:type="dxa"/>
            <w:vAlign w:val="bottom"/>
            <w:gridSpan w:val="2"/>
          </w:tcPr>
          <w:p>
            <w:pPr>
              <w:ind w:left="2400"/>
              <w:spacing w:after="0"/>
              <w:rPr>
                <w:sz w:val="20"/>
                <w:szCs w:val="20"/>
                <w:color w:val="auto"/>
              </w:rPr>
            </w:pPr>
            <w:r>
              <w:rPr>
                <w:rFonts w:ascii="Arial" w:cs="Arial" w:eastAsia="Arial" w:hAnsi="Arial"/>
                <w:sz w:val="18"/>
                <w:szCs w:val="18"/>
                <w:color w:val="auto"/>
              </w:rPr>
              <w:t>WASTE MANAGEMENT RETIREMENT SAVINGS PLAN</w:t>
            </w:r>
          </w:p>
        </w:tc>
      </w:tr>
      <w:tr>
        <w:trPr>
          <w:trHeight w:val="433"/>
        </w:trPr>
        <w:tc>
          <w:tcPr>
            <w:tcW w:w="3520" w:type="dxa"/>
            <w:vAlign w:val="bottom"/>
          </w:tcPr>
          <w:p>
            <w:pPr>
              <w:spacing w:after="0"/>
              <w:rPr>
                <w:sz w:val="20"/>
                <w:szCs w:val="20"/>
                <w:color w:val="auto"/>
              </w:rPr>
            </w:pPr>
            <w:r>
              <w:rPr>
                <w:rFonts w:ascii="Arial" w:cs="Arial" w:eastAsia="Arial" w:hAnsi="Arial"/>
                <w:sz w:val="18"/>
                <w:szCs w:val="18"/>
                <w:color w:val="auto"/>
              </w:rPr>
              <w:t>Date: May 31, 2013</w:t>
            </w:r>
          </w:p>
        </w:tc>
        <w:tc>
          <w:tcPr>
            <w:tcW w:w="7900" w:type="dxa"/>
            <w:vAlign w:val="bottom"/>
            <w:gridSpan w:val="2"/>
          </w:tcPr>
          <w:p>
            <w:pPr>
              <w:ind w:left="2400"/>
              <w:spacing w:after="0"/>
              <w:rPr>
                <w:sz w:val="20"/>
                <w:szCs w:val="20"/>
                <w:color w:val="auto"/>
              </w:rPr>
            </w:pPr>
            <w:r>
              <w:rPr>
                <w:rFonts w:ascii="Arial" w:cs="Arial" w:eastAsia="Arial" w:hAnsi="Arial"/>
                <w:sz w:val="18"/>
                <w:szCs w:val="18"/>
                <w:color w:val="auto"/>
              </w:rPr>
              <w:t>By: /s/ Krista DelSota</w:t>
            </w:r>
          </w:p>
        </w:tc>
      </w:tr>
      <w:tr>
        <w:trPr>
          <w:trHeight w:val="202"/>
        </w:trPr>
        <w:tc>
          <w:tcPr>
            <w:tcW w:w="35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Krista DelSota</w:t>
            </w:r>
          </w:p>
        </w:tc>
      </w:tr>
      <w:tr>
        <w:trPr>
          <w:trHeight w:val="216"/>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 Talent Acquisition, Learning and</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Organizational Development</w:t>
            </w:r>
          </w:p>
        </w:tc>
      </w:tr>
      <w:tr>
        <w:trPr>
          <w:trHeight w:val="230"/>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Waste Management, Inc.</w:t>
            </w:r>
          </w:p>
        </w:tc>
      </w:tr>
      <w:tr>
        <w:trPr>
          <w:trHeight w:val="318"/>
        </w:trPr>
        <w:tc>
          <w:tcPr>
            <w:tcW w:w="3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Member, Administrative Committee of the Waste</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Management Employee Benefit Plans</w:t>
            </w:r>
          </w:p>
        </w:tc>
      </w:tr>
      <w:tr>
        <w:trPr>
          <w:trHeight w:val="378"/>
        </w:trPr>
        <w:tc>
          <w:tcPr>
            <w:tcW w:w="3520" w:type="dxa"/>
            <w:vAlign w:val="bottom"/>
          </w:tcPr>
          <w:p>
            <w:pPr>
              <w:spacing w:after="0"/>
              <w:rPr>
                <w:sz w:val="24"/>
                <w:szCs w:val="24"/>
                <w:color w:val="auto"/>
              </w:rPr>
            </w:pPr>
          </w:p>
        </w:tc>
        <w:tc>
          <w:tcPr>
            <w:tcW w:w="2660" w:type="dxa"/>
            <w:vAlign w:val="bottom"/>
          </w:tcPr>
          <w:p>
            <w:pPr>
              <w:jc w:val="right"/>
              <w:ind w:right="292"/>
              <w:spacing w:after="0"/>
              <w:rPr>
                <w:sz w:val="20"/>
                <w:szCs w:val="20"/>
                <w:color w:val="auto"/>
              </w:rPr>
            </w:pPr>
            <w:r>
              <w:rPr>
                <w:rFonts w:ascii="Arial" w:cs="Arial" w:eastAsia="Arial" w:hAnsi="Arial"/>
                <w:sz w:val="18"/>
                <w:szCs w:val="18"/>
                <w:color w:val="auto"/>
              </w:rPr>
              <w:t>16</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jc w:val="center"/>
              <w:ind w:right="979"/>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10340" w:type="dxa"/>
            <w:vAlign w:val="bottom"/>
          </w:tcPr>
          <w:p>
            <w:pPr>
              <w:spacing w:after="0"/>
              <w:rPr>
                <w:sz w:val="24"/>
                <w:szCs w:val="2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4"/>
                <w:szCs w:val="14"/>
                <w:color w:val="auto"/>
              </w:rPr>
            </w:pPr>
          </w:p>
        </w:tc>
        <w:tc>
          <w:tcPr>
            <w:tcW w:w="10340" w:type="dxa"/>
            <w:vAlign w:val="bottom"/>
          </w:tcPr>
          <w:p>
            <w:pPr>
              <w:ind w:left="48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340" w:type="dxa"/>
            <w:vAlign w:val="bottom"/>
            <w:tcBorders>
              <w:bottom w:val="single" w:sz="8" w:color="auto"/>
            </w:tcBorders>
          </w:tcPr>
          <w:p>
            <w:pPr>
              <w:spacing w:after="0" w:line="20" w:lineRule="exact"/>
              <w:rPr>
                <w:sz w:val="1"/>
                <w:szCs w:val="1"/>
                <w:color w:val="auto"/>
              </w:rPr>
            </w:pPr>
          </w:p>
        </w:tc>
      </w:tr>
      <w:tr>
        <w:trPr>
          <w:trHeight w:val="289"/>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9"/>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459"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333-184156) pertaining to the Waste Management Retirement Savings Plan of our report dated May 31, 2013, with respect to the financial statements and schedule of the Waste Management Retirement Savings Plan included in this Annual Report (Form 11-K) for the year ended December 31, 2012.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3"/>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2019-12-06T01:58:53Z</dcterms:created>
  <dcterms:modified xsi:type="dcterms:W3CDTF">2019-12-06T01:58:53Z</dcterms:modified>
</cp:coreProperties>
</file>