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FORM 10-Q</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178" w:lineRule="exact"/>
        <w:rPr>
          <w:sz w:val="24"/>
          <w:szCs w:val="24"/>
          <w:color w:val="auto"/>
        </w:rPr>
      </w:pPr>
    </w:p>
    <w:p>
      <w:pPr>
        <w:ind w:left="448" w:right="3819" w:hanging="448"/>
        <w:spacing w:after="0" w:line="243"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JUNE 30, 1997</w:t>
      </w:r>
    </w:p>
    <w:p>
      <w:pPr>
        <w:spacing w:after="0" w:line="177"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448" w:right="3739" w:hanging="448"/>
        <w:spacing w:after="0" w:line="243" w:lineRule="auto"/>
        <w:tabs>
          <w:tab w:leader="none" w:pos="17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27"/>
          </w:cols>
          <w:pgMar w:left="232" w:top="233" w:right="1440" w:bottom="1440" w:gutter="0" w:footer="0" w:header="0"/>
        </w:sectPr>
      </w:pPr>
    </w:p>
    <w:p>
      <w:pPr>
        <w:spacing w:after="0" w:line="176" w:lineRule="exact"/>
        <w:rPr>
          <w:sz w:val="24"/>
          <w:szCs w:val="24"/>
          <w:color w:val="auto"/>
        </w:rPr>
      </w:pPr>
    </w:p>
    <w:p>
      <w:pPr>
        <w:ind w:left="448"/>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177" w:lineRule="exact"/>
        <w:rPr>
          <w:sz w:val="24"/>
          <w:szCs w:val="24"/>
          <w:color w:val="auto"/>
        </w:rPr>
      </w:pPr>
    </w:p>
    <w:p>
      <w:pPr>
        <w:sectPr>
          <w:pgSz w:w="11900" w:h="16838" w:orient="portrait"/>
          <w:cols w:equalWidth="0" w:num="4">
            <w:col w:w="3148" w:space="180"/>
            <w:col w:w="1180" w:space="180"/>
            <w:col w:w="180" w:space="180"/>
            <w:col w:w="5179"/>
          </w:cols>
          <w:pgMar w:left="232" w:top="233" w:right="1440" w:bottom="1440" w:gutter="0" w:footer="0" w:header="0"/>
          <w:type w:val="continuous"/>
        </w:sectPr>
      </w:pPr>
    </w:p>
    <w:p>
      <w:pPr>
        <w:ind w:left="2168"/>
        <w:spacing w:after="0"/>
        <w:rPr>
          <w:sz w:val="20"/>
          <w:szCs w:val="20"/>
          <w:color w:val="auto"/>
        </w:rPr>
      </w:pPr>
      <w:r>
        <w:rPr>
          <w:rFonts w:ascii="Courier New" w:cs="Courier New" w:eastAsia="Courier New" w:hAnsi="Courier New"/>
          <w:sz w:val="15"/>
          <w:szCs w:val="15"/>
          <w:color w:val="auto"/>
        </w:rPr>
        <w:t>COMMISSION FILE NUMBER: 1-12154</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233" w:right="1440" w:bottom="1440" w:gutter="0" w:footer="0" w:header="0"/>
          <w:type w:val="continuous"/>
        </w:sectPr>
      </w:pPr>
    </w:p>
    <w:p>
      <w:pPr>
        <w:spacing w:after="0" w:line="177" w:lineRule="exact"/>
        <w:rPr>
          <w:sz w:val="24"/>
          <w:szCs w:val="24"/>
          <w:color w:val="auto"/>
        </w:rPr>
      </w:pPr>
    </w:p>
    <w:p>
      <w:pPr>
        <w:ind w:left="728"/>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7" w:lineRule="exact"/>
        <w:rPr>
          <w:sz w:val="24"/>
          <w:szCs w:val="24"/>
          <w:color w:val="auto"/>
        </w:rPr>
      </w:pPr>
    </w:p>
    <w:p>
      <w:pPr>
        <w:sectPr>
          <w:pgSz w:w="11900" w:h="16838" w:orient="portrait"/>
          <w:cols w:equalWidth="0" w:num="2">
            <w:col w:w="4428" w:space="720"/>
            <w:col w:w="5079"/>
          </w:cols>
          <w:pgMar w:left="232" w:top="233" w:right="1440" w:bottom="1440" w:gutter="0" w:footer="0" w:header="0"/>
          <w:type w:val="continuous"/>
        </w:sectPr>
      </w:pPr>
    </w:p>
    <w:p>
      <w:pPr>
        <w:ind w:left="3068"/>
        <w:spacing w:after="0"/>
        <w:rPr>
          <w:sz w:val="20"/>
          <w:szCs w:val="20"/>
          <w:color w:val="auto"/>
        </w:rPr>
      </w:pPr>
      <w:r>
        <w:rPr>
          <w:rFonts w:ascii="Courier New" w:cs="Courier New" w:eastAsia="Courier New" w:hAnsi="Courier New"/>
          <w:sz w:val="15"/>
          <w:szCs w:val="15"/>
          <w:color w:val="auto"/>
        </w:rPr>
        <w:t>1001 FANNIN</w:t>
      </w:r>
    </w:p>
    <w:p>
      <w:pPr>
        <w:spacing w:after="0" w:line="3"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SUITE 4000</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(713) 512-6200</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7"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NO CHANGE</w:t>
      </w:r>
    </w:p>
    <w:p>
      <w:pPr>
        <w:spacing w:after="0" w:line="3"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(Former name, former address, and former fiscal year,</w:t>
      </w:r>
    </w:p>
    <w:p>
      <w:pPr>
        <w:spacing w:after="0" w:line="3"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if changed since last report)</w:t>
      </w:r>
    </w:p>
    <w:p>
      <w:pPr>
        <w:spacing w:after="0" w:line="177"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left="88" w:right="3199" w:firstLine="541"/>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3148"/>
        <w:spacing w:after="0"/>
        <w:tabs>
          <w:tab w:leader="none" w:pos="3847" w:val="left"/>
        </w:tabs>
        <w:rPr>
          <w:sz w:val="20"/>
          <w:szCs w:val="20"/>
          <w:color w:val="auto"/>
        </w:rPr>
      </w:pPr>
      <w:r>
        <w:rPr>
          <w:rFonts w:ascii="Courier New" w:cs="Courier New" w:eastAsia="Courier New" w:hAnsi="Courier New"/>
          <w:sz w:val="15"/>
          <w:szCs w:val="15"/>
          <w:color w:val="auto"/>
        </w:rPr>
        <w:t>YES X</w:t>
        <w:tab/>
        <w:t>NO</w:t>
      </w:r>
    </w:p>
    <w:p>
      <w:pPr>
        <w:spacing w:after="0" w:line="3" w:lineRule="exact"/>
        <w:rPr>
          <w:sz w:val="24"/>
          <w:szCs w:val="24"/>
          <w:color w:val="auto"/>
        </w:rPr>
      </w:pPr>
    </w:p>
    <w:p>
      <w:pPr>
        <w:ind w:left="3428"/>
        <w:spacing w:after="0"/>
        <w:tabs>
          <w:tab w:leader="none" w:pos="40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8" w:lineRule="exact"/>
        <w:rPr>
          <w:sz w:val="24"/>
          <w:szCs w:val="24"/>
          <w:color w:val="auto"/>
        </w:rPr>
      </w:pPr>
    </w:p>
    <w:p>
      <w:pPr>
        <w:ind w:left="8" w:right="3199" w:firstLine="631"/>
        <w:spacing w:after="0" w:line="243"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August 12, 1997, was 162,769,036.</w:t>
      </w:r>
    </w:p>
    <w:p>
      <w:pPr>
        <w:sectPr>
          <w:pgSz w:w="11900" w:h="16838" w:orient="portrait"/>
          <w:cols w:equalWidth="0" w:num="1">
            <w:col w:w="10227"/>
          </w:cols>
          <w:pgMar w:left="232"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w:t>
        <w:tab/>
        <w:t>FINANCIAL INFORMATION</w:t>
      </w:r>
    </w:p>
    <w:p>
      <w:pPr>
        <w:spacing w:after="0" w:line="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 THOUSANDS, EXCEPT SHARE AND PAR VALUE AMOUNTS)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June 30,</w:t>
            </w:r>
          </w:p>
        </w:tc>
        <w:tc>
          <w:tcPr>
            <w:tcW w:w="11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December 31,</w:t>
            </w:r>
          </w:p>
        </w:tc>
      </w:tr>
      <w:tr>
        <w:trPr>
          <w:trHeight w:val="173"/>
        </w:trPr>
        <w:tc>
          <w:tcPr>
            <w:tcW w:w="1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1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Cash and cash equivalents</w:t>
            </w:r>
          </w:p>
        </w:tc>
        <w:tc>
          <w:tcPr>
            <w:tcW w:w="86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43,937</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23,511</w:t>
            </w: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Accounts receivable, net</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327,707</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210,038</w:t>
            </w: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Notes and other receivables</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61,206</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25,579</w:t>
            </w: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Deferred income taxes</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31,980</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39,714</w:t>
            </w: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Prepaid expenses and other</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56,628</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41,139</w:t>
            </w:r>
          </w:p>
        </w:tc>
      </w:tr>
      <w:tr>
        <w:trPr>
          <w:trHeight w:val="173"/>
        </w:trPr>
        <w:tc>
          <w:tcPr>
            <w:tcW w:w="1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Total current assets</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521,458</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339,981</w:t>
            </w:r>
          </w:p>
        </w:tc>
      </w:tr>
      <w:tr>
        <w:trPr>
          <w:trHeight w:val="347"/>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Notes and other receivables</w:t>
            </w:r>
          </w:p>
        </w:tc>
        <w:tc>
          <w:tcPr>
            <w:tcW w:w="860" w:type="dxa"/>
            <w:vAlign w:val="bottom"/>
          </w:tcPr>
          <w:p>
            <w:pPr>
              <w:spacing w:after="0"/>
              <w:rPr>
                <w:sz w:val="24"/>
                <w:szCs w:val="2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56,345</w:t>
            </w:r>
          </w:p>
        </w:tc>
        <w:tc>
          <w:tcPr>
            <w:tcW w:w="22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49,059</w:t>
            </w:r>
          </w:p>
        </w:tc>
      </w:tr>
      <w:tr>
        <w:trPr>
          <w:trHeight w:val="173"/>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net</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2,917,497</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1,810,251</w:t>
            </w:r>
          </w:p>
        </w:tc>
      </w:tr>
      <w:tr>
        <w:trPr>
          <w:trHeight w:val="173"/>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Excess of cost over net assets of acquired businesses, net</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873,189</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433,913</w:t>
            </w:r>
          </w:p>
        </w:tc>
      </w:tr>
      <w:tr>
        <w:trPr>
          <w:trHeight w:val="173"/>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Other intangible assets, net</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85,146</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83,486</w:t>
            </w: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164,207</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113,815</w:t>
            </w:r>
          </w:p>
        </w:tc>
      </w:tr>
      <w:tr>
        <w:trPr>
          <w:trHeight w:val="173"/>
        </w:trPr>
        <w:tc>
          <w:tcPr>
            <w:tcW w:w="1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Total assets</w:t>
            </w: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$ 4,617,842</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$ 2,830,505</w:t>
            </w:r>
          </w:p>
        </w:tc>
      </w:tr>
      <w:tr>
        <w:trPr>
          <w:trHeight w:val="173"/>
        </w:trPr>
        <w:tc>
          <w:tcPr>
            <w:tcW w:w="1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Accounts payable</w:t>
            </w:r>
          </w:p>
        </w:tc>
        <w:tc>
          <w:tcPr>
            <w:tcW w:w="86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153,231</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94,900</w:t>
            </w: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Accrued liabilities</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145,121</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172,916</w:t>
            </w: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Deferred revenues</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38,968</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23,450</w:t>
            </w: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Current maturities of long-term debt</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49,520</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28,695</w:t>
            </w:r>
          </w:p>
        </w:tc>
      </w:tr>
      <w:tr>
        <w:trPr>
          <w:trHeight w:val="173"/>
        </w:trPr>
        <w:tc>
          <w:tcPr>
            <w:tcW w:w="1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Total current liabilities</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386,840</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319,961</w:t>
            </w:r>
          </w:p>
        </w:tc>
      </w:tr>
      <w:tr>
        <w:trPr>
          <w:trHeight w:val="347"/>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860" w:type="dxa"/>
            <w:vAlign w:val="bottom"/>
          </w:tcPr>
          <w:p>
            <w:pPr>
              <w:spacing w:after="0"/>
              <w:rPr>
                <w:sz w:val="24"/>
                <w:szCs w:val="2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1,996,958</w:t>
            </w:r>
          </w:p>
        </w:tc>
        <w:tc>
          <w:tcPr>
            <w:tcW w:w="22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1,158,305</w:t>
            </w: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132,478</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8,786</w:t>
            </w:r>
          </w:p>
        </w:tc>
      </w:tr>
      <w:tr>
        <w:trPr>
          <w:trHeight w:val="173"/>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235,429</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188,177</w:t>
            </w:r>
          </w:p>
        </w:tc>
      </w:tr>
      <w:tr>
        <w:trPr>
          <w:trHeight w:val="173"/>
        </w:trPr>
        <w:tc>
          <w:tcPr>
            <w:tcW w:w="1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Total liabilities</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2,751,705</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1,675,229</w:t>
            </w:r>
          </w:p>
        </w:tc>
      </w:tr>
      <w:tr>
        <w:trPr>
          <w:trHeight w:val="173"/>
        </w:trPr>
        <w:tc>
          <w:tcPr>
            <w:tcW w:w="1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47"/>
        </w:trPr>
        <w:tc>
          <w:tcPr>
            <w:tcW w:w="1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Preferred stock, $1.00 par value; 10,000,000</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1940" w:type="dxa"/>
            <w:vAlign w:val="bottom"/>
          </w:tcPr>
          <w:p>
            <w:pPr>
              <w:ind w:left="1340"/>
              <w:spacing w:after="0"/>
              <w:rPr>
                <w:sz w:val="20"/>
                <w:szCs w:val="20"/>
                <w:color w:val="auto"/>
              </w:rPr>
            </w:pPr>
            <w:r>
              <w:rPr>
                <w:rFonts w:ascii="Courier New" w:cs="Courier New" w:eastAsia="Courier New" w:hAnsi="Courier New"/>
                <w:sz w:val="15"/>
                <w:szCs w:val="15"/>
                <w:color w:val="auto"/>
              </w:rPr>
              <w:t>shares</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authorized; none issued</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940" w:type="dxa"/>
            <w:vAlign w:val="bottom"/>
          </w:tcPr>
          <w:p>
            <w:pPr>
              <w:ind w:left="620"/>
              <w:spacing w:after="0"/>
              <w:rPr>
                <w:sz w:val="20"/>
                <w:szCs w:val="20"/>
                <w:color w:val="auto"/>
              </w:rPr>
            </w:pPr>
            <w:r>
              <w:rPr>
                <w:rFonts w:ascii="Courier New" w:cs="Courier New" w:eastAsia="Courier New" w:hAnsi="Courier New"/>
                <w:sz w:val="15"/>
                <w:szCs w:val="15"/>
                <w:color w:val="auto"/>
              </w:rPr>
              <w:t>Common stock,</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$.01 par value;</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1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300,000,000 shares authorized; 160,702,719 and</w:t>
            </w: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1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139,609,250 shares issued, respectively</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1,607</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1,396</w:t>
            </w: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Additional paid-in capital</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1,845,112</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1,255,856</w:t>
            </w: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Retained earnings (accumulated deficit)</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35,760</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(85,649)</w:t>
            </w: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Foreign currency translation adjustment</w:t>
            </w:r>
          </w:p>
        </w:tc>
        <w:tc>
          <w:tcPr>
            <w:tcW w:w="86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(15,858)</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(15,843)</w:t>
            </w:r>
          </w:p>
        </w:tc>
      </w:tr>
      <w:tr>
        <w:trPr>
          <w:trHeight w:val="173"/>
        </w:trPr>
        <w:tc>
          <w:tcPr>
            <w:tcW w:w="6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Less treasury stock at cost, 23,485 shares</w:t>
            </w:r>
          </w:p>
        </w:tc>
        <w:tc>
          <w:tcPr>
            <w:tcW w:w="86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(484)</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3"/>
        </w:trPr>
        <w:tc>
          <w:tcPr>
            <w:tcW w:w="1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Total stockholders' equity</w:t>
            </w:r>
          </w:p>
        </w:tc>
        <w:tc>
          <w:tcPr>
            <w:tcW w:w="86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1,866,137</w:t>
            </w:r>
          </w:p>
        </w:tc>
        <w:tc>
          <w:tcPr>
            <w:tcW w:w="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1,155,276</w:t>
            </w:r>
          </w:p>
        </w:tc>
      </w:tr>
      <w:tr>
        <w:trPr>
          <w:trHeight w:val="173"/>
        </w:trPr>
        <w:tc>
          <w:tcPr>
            <w:tcW w:w="1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$ 4,617,842</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$ 2,830,505</w:t>
            </w:r>
          </w:p>
        </w:tc>
      </w:tr>
      <w:tr>
        <w:trPr>
          <w:trHeight w:val="173"/>
        </w:trPr>
        <w:tc>
          <w:tcPr>
            <w:tcW w:w="1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1980" w:right="3819" w:hanging="1171"/>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432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94"/>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USA WASTE SERVICES, INC.</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5800" w:type="dxa"/>
            <w:vAlign w:val="bottom"/>
            <w:gridSpan w:val="3"/>
          </w:tcPr>
          <w:p>
            <w:pPr>
              <w:jc w:val="right"/>
              <w:ind w:right="45"/>
              <w:spacing w:after="0"/>
              <w:rPr>
                <w:sz w:val="20"/>
                <w:szCs w:val="20"/>
                <w:color w:val="auto"/>
              </w:rPr>
            </w:pPr>
            <w:r>
              <w:rPr>
                <w:rFonts w:ascii="Courier New" w:cs="Courier New" w:eastAsia="Courier New" w:hAnsi="Courier New"/>
                <w:sz w:val="15"/>
                <w:szCs w:val="15"/>
                <w:color w:val="auto"/>
              </w:rPr>
              <w:t>CONDENSED CONSOLIDATED STATEMENTS OF OPERATIONS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80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(IN THOUSANDS, EXCEPT PER SHARE AMOUNTS)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320" w:type="dxa"/>
            <w:vAlign w:val="bottom"/>
          </w:tcPr>
          <w:p>
            <w:pPr>
              <w:ind w:left="306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520"/>
        </w:trPr>
        <w:tc>
          <w:tcPr>
            <w:tcW w:w="4320" w:type="dxa"/>
            <w:vAlign w:val="bottom"/>
          </w:tcPr>
          <w:p>
            <w:pPr>
              <w:spacing w:after="0"/>
              <w:rPr>
                <w:sz w:val="24"/>
                <w:szCs w:val="24"/>
                <w:color w:val="auto"/>
              </w:rPr>
            </w:pPr>
          </w:p>
        </w:tc>
        <w:tc>
          <w:tcPr>
            <w:tcW w:w="280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Three months ended June 30,</w:t>
            </w:r>
          </w:p>
        </w:tc>
        <w:tc>
          <w:tcPr>
            <w:tcW w:w="2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3"/>
        </w:trPr>
        <w:tc>
          <w:tcPr>
            <w:tcW w:w="4320" w:type="dxa"/>
            <w:vAlign w:val="bottom"/>
          </w:tcPr>
          <w:p>
            <w:pPr>
              <w:spacing w:after="0"/>
              <w:rPr>
                <w:sz w:val="15"/>
                <w:szCs w:val="15"/>
                <w:color w:val="auto"/>
              </w:rPr>
            </w:pPr>
          </w:p>
        </w:tc>
        <w:tc>
          <w:tcPr>
            <w:tcW w:w="280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2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5"/>
                <w:szCs w:val="15"/>
                <w:color w:val="auto"/>
              </w:rPr>
            </w:pPr>
          </w:p>
        </w:tc>
        <w:tc>
          <w:tcPr>
            <w:tcW w:w="10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5"/>
                <w:szCs w:val="15"/>
                <w:color w:val="auto"/>
              </w:rPr>
            </w:pPr>
          </w:p>
        </w:tc>
        <w:tc>
          <w:tcPr>
            <w:tcW w:w="9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(restated)</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(restated)</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$ 535,185</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$ 327,742</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$ 900,090</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$ 610,267</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Operating (exclusive of depreciation</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320" w:type="dxa"/>
            <w:vAlign w:val="bottom"/>
          </w:tcPr>
          <w:p>
            <w:pPr>
              <w:ind w:left="980"/>
              <w:spacing w:after="0"/>
              <w:rPr>
                <w:sz w:val="20"/>
                <w:szCs w:val="20"/>
                <w:color w:val="auto"/>
              </w:rPr>
            </w:pPr>
            <w:r>
              <w:rPr>
                <w:rFonts w:ascii="Courier New" w:cs="Courier New" w:eastAsia="Courier New" w:hAnsi="Courier New"/>
                <w:sz w:val="15"/>
                <w:szCs w:val="15"/>
                <w:color w:val="auto"/>
              </w:rPr>
              <w:t>and amortization shown below)</w:t>
            </w:r>
          </w:p>
        </w:tc>
        <w:tc>
          <w:tcPr>
            <w:tcW w:w="4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275,680</w:t>
            </w:r>
          </w:p>
        </w:tc>
        <w:tc>
          <w:tcPr>
            <w:tcW w:w="28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177,255</w:t>
            </w:r>
          </w:p>
        </w:tc>
        <w:tc>
          <w:tcPr>
            <w:tcW w:w="32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463,403</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336,211</w:t>
            </w: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General and administrative</w:t>
            </w:r>
          </w:p>
        </w:tc>
        <w:tc>
          <w:tcPr>
            <w:tcW w:w="4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59,820</w:t>
            </w:r>
          </w:p>
        </w:tc>
        <w:tc>
          <w:tcPr>
            <w:tcW w:w="28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40,149</w:t>
            </w:r>
          </w:p>
        </w:tc>
        <w:tc>
          <w:tcPr>
            <w:tcW w:w="32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102,614</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76,853</w:t>
            </w: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4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62,614</w:t>
            </w:r>
          </w:p>
        </w:tc>
        <w:tc>
          <w:tcPr>
            <w:tcW w:w="28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37,103</w:t>
            </w:r>
          </w:p>
        </w:tc>
        <w:tc>
          <w:tcPr>
            <w:tcW w:w="32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108,203</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69,804</w:t>
            </w: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Merger costs</w:t>
            </w:r>
          </w:p>
        </w:tc>
        <w:tc>
          <w:tcPr>
            <w:tcW w:w="4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38,100</w:t>
            </w:r>
          </w:p>
        </w:tc>
        <w:tc>
          <w:tcPr>
            <w:tcW w:w="32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38,100</w:t>
            </w: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Unusual items</w:t>
            </w:r>
          </w:p>
        </w:tc>
        <w:tc>
          <w:tcPr>
            <w:tcW w:w="4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12,952</w:t>
            </w:r>
          </w:p>
        </w:tc>
        <w:tc>
          <w:tcPr>
            <w:tcW w:w="32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12,952</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398,114</w:t>
            </w:r>
          </w:p>
        </w:tc>
        <w:tc>
          <w:tcPr>
            <w:tcW w:w="28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305,559</w:t>
            </w:r>
          </w:p>
        </w:tc>
        <w:tc>
          <w:tcPr>
            <w:tcW w:w="32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674,220</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533,920</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4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137,071</w:t>
            </w:r>
          </w:p>
        </w:tc>
        <w:tc>
          <w:tcPr>
            <w:tcW w:w="28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22,183</w:t>
            </w:r>
          </w:p>
        </w:tc>
        <w:tc>
          <w:tcPr>
            <w:tcW w:w="32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225,870</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76,347</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5"/>
                <w:szCs w:val="15"/>
                <w:color w:val="auto"/>
              </w:rPr>
            </w:pPr>
          </w:p>
        </w:tc>
        <w:tc>
          <w:tcPr>
            <w:tcW w:w="10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(21,416)</w:t>
            </w:r>
          </w:p>
        </w:tc>
        <w:tc>
          <w:tcPr>
            <w:tcW w:w="28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(11,230)</w:t>
            </w:r>
          </w:p>
        </w:tc>
        <w:tc>
          <w:tcPr>
            <w:tcW w:w="32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(33,373)</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(22,457)</w:t>
            </w: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Interest and other income, net</w:t>
            </w:r>
          </w:p>
        </w:tc>
        <w:tc>
          <w:tcPr>
            <w:tcW w:w="4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4,815</w:t>
            </w:r>
          </w:p>
        </w:tc>
        <w:tc>
          <w:tcPr>
            <w:tcW w:w="28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2,395</w:t>
            </w:r>
          </w:p>
        </w:tc>
        <w:tc>
          <w:tcPr>
            <w:tcW w:w="32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9,852</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5,540</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(16,601)</w:t>
            </w:r>
          </w:p>
        </w:tc>
        <w:tc>
          <w:tcPr>
            <w:tcW w:w="28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(8,835)</w:t>
            </w:r>
          </w:p>
        </w:tc>
        <w:tc>
          <w:tcPr>
            <w:tcW w:w="32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(23,521)</w:t>
            </w: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(16,917)</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00" w:type="dxa"/>
            <w:vAlign w:val="bottom"/>
          </w:tcPr>
          <w:p>
            <w:pPr>
              <w:spacing w:after="0"/>
              <w:rPr>
                <w:sz w:val="24"/>
                <w:szCs w:val="2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120,470</w:t>
            </w:r>
          </w:p>
        </w:tc>
        <w:tc>
          <w:tcPr>
            <w:tcW w:w="280" w:type="dxa"/>
            <w:vAlign w:val="bottom"/>
          </w:tcPr>
          <w:p>
            <w:pPr>
              <w:spacing w:after="0"/>
              <w:rPr>
                <w:sz w:val="24"/>
                <w:szCs w:val="2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13,348</w:t>
            </w:r>
          </w:p>
        </w:tc>
        <w:tc>
          <w:tcPr>
            <w:tcW w:w="320" w:type="dxa"/>
            <w:vAlign w:val="bottom"/>
          </w:tcPr>
          <w:p>
            <w:pPr>
              <w:spacing w:after="0"/>
              <w:rPr>
                <w:sz w:val="24"/>
                <w:szCs w:val="24"/>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202,349</w:t>
            </w:r>
          </w:p>
        </w:tc>
        <w:tc>
          <w:tcPr>
            <w:tcW w:w="36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59,430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48,188</w:t>
            </w:r>
          </w:p>
        </w:tc>
        <w:tc>
          <w:tcPr>
            <w:tcW w:w="28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15,416</w:t>
            </w:r>
          </w:p>
        </w:tc>
        <w:tc>
          <w:tcPr>
            <w:tcW w:w="32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80,940</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33,846</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72,282</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(2,068)</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$ 121,409</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25,584</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4320" w:type="dxa"/>
            <w:vAlign w:val="bottom"/>
          </w:tcPr>
          <w:p>
            <w:pPr>
              <w:spacing w:after="0"/>
              <w:rPr>
                <w:sz w:val="20"/>
                <w:szCs w:val="20"/>
                <w:color w:val="auto"/>
              </w:rPr>
            </w:pPr>
            <w:r>
              <w:rPr>
                <w:rFonts w:ascii="Courier New" w:cs="Courier New" w:eastAsia="Courier New" w:hAnsi="Courier New"/>
                <w:sz w:val="15"/>
                <w:szCs w:val="15"/>
                <w:color w:val="auto"/>
              </w:rPr>
              <w:t>Primary earnings (loss) per common share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0.43</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(0.02)</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Fully diluted earnings (loss) per common share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0.43</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(0.02)</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Primary weighted average number of common</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and common equivalent shares</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outstanding</w:t>
            </w:r>
          </w:p>
        </w:tc>
        <w:tc>
          <w:tcPr>
            <w:tcW w:w="4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174,808</w:t>
            </w:r>
          </w:p>
        </w:tc>
        <w:tc>
          <w:tcPr>
            <w:tcW w:w="28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132,887</w:t>
            </w:r>
          </w:p>
        </w:tc>
        <w:tc>
          <w:tcPr>
            <w:tcW w:w="32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167,861</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135,790</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Fully diluted weighted average number of</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common and common equivalent shares</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320" w:type="dxa"/>
            <w:vAlign w:val="bottom"/>
          </w:tcPr>
          <w:p>
            <w:pPr>
              <w:ind w:left="540"/>
              <w:spacing w:after="0"/>
              <w:rPr>
                <w:sz w:val="20"/>
                <w:szCs w:val="20"/>
                <w:color w:val="auto"/>
              </w:rPr>
            </w:pPr>
            <w:r>
              <w:rPr>
                <w:rFonts w:ascii="Courier New" w:cs="Courier New" w:eastAsia="Courier New" w:hAnsi="Courier New"/>
                <w:sz w:val="15"/>
                <w:szCs w:val="15"/>
                <w:color w:val="auto"/>
              </w:rPr>
              <w:t>outstanding</w:t>
            </w:r>
          </w:p>
        </w:tc>
        <w:tc>
          <w:tcPr>
            <w:tcW w:w="400" w:type="dxa"/>
            <w:vAlign w:val="bottom"/>
          </w:tcPr>
          <w:p>
            <w:pPr>
              <w:spacing w:after="0"/>
              <w:rPr>
                <w:sz w:val="15"/>
                <w:szCs w:val="15"/>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179,080</w:t>
            </w:r>
          </w:p>
        </w:tc>
        <w:tc>
          <w:tcPr>
            <w:tcW w:w="28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132,887</w:t>
            </w:r>
          </w:p>
        </w:tc>
        <w:tc>
          <w:tcPr>
            <w:tcW w:w="320" w:type="dxa"/>
            <w:vAlign w:val="bottom"/>
          </w:tcPr>
          <w:p>
            <w:pPr>
              <w:spacing w:after="0"/>
              <w:rPr>
                <w:sz w:val="15"/>
                <w:szCs w:val="15"/>
                <w:color w:val="auto"/>
              </w:rPr>
            </w:pP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171,995</w:t>
            </w:r>
          </w:p>
        </w:tc>
        <w:tc>
          <w:tcPr>
            <w:tcW w:w="36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136,074</w:t>
            </w:r>
          </w:p>
        </w:tc>
      </w:tr>
      <w:tr>
        <w:trPr>
          <w:trHeight w:val="173"/>
        </w:trPr>
        <w:tc>
          <w:tcPr>
            <w:tcW w:w="4320" w:type="dxa"/>
            <w:vAlign w:val="bottom"/>
          </w:tcPr>
          <w:p>
            <w:pPr>
              <w:spacing w:after="0"/>
              <w:rPr>
                <w:sz w:val="15"/>
                <w:szCs w:val="15"/>
                <w:color w:val="auto"/>
              </w:rPr>
            </w:pP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1980" w:right="3819" w:hanging="1171"/>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20"/>
        </w:trPr>
        <w:tc>
          <w:tcPr>
            <w:tcW w:w="4720" w:type="dxa"/>
            <w:vAlign w:val="bottom"/>
            <w:gridSpan w:val="2"/>
          </w:tcPr>
          <w:p>
            <w:pPr>
              <w:jc w:val="center"/>
              <w:ind w:left="2405"/>
              <w:spacing w:after="0"/>
              <w:rPr>
                <w:sz w:val="20"/>
                <w:szCs w:val="20"/>
                <w:color w:val="auto"/>
              </w:rPr>
            </w:pPr>
            <w:r>
              <w:rPr>
                <w:rFonts w:ascii="Courier New" w:cs="Courier New" w:eastAsia="Courier New" w:hAnsi="Courier New"/>
                <w:sz w:val="15"/>
                <w:szCs w:val="15"/>
                <w:color w:val="auto"/>
                <w:w w:val="99"/>
              </w:rPr>
              <w:t>USA WASTE SERVICES, INC.</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3"/>
        </w:trPr>
        <w:tc>
          <w:tcPr>
            <w:tcW w:w="6800" w:type="dxa"/>
            <w:vAlign w:val="bottom"/>
            <w:gridSpan w:val="4"/>
          </w:tcPr>
          <w:p>
            <w:pPr>
              <w:jc w:val="center"/>
              <w:ind w:left="325"/>
              <w:spacing w:after="0"/>
              <w:rPr>
                <w:sz w:val="20"/>
                <w:szCs w:val="20"/>
                <w:color w:val="auto"/>
              </w:rPr>
            </w:pPr>
            <w:r>
              <w:rPr>
                <w:rFonts w:ascii="Courier New" w:cs="Courier New" w:eastAsia="Courier New" w:hAnsi="Courier New"/>
                <w:sz w:val="15"/>
                <w:szCs w:val="15"/>
                <w:color w:val="auto"/>
                <w:w w:val="99"/>
              </w:rPr>
              <w:t>CONDENSED CONSOLIDATED STATEMENT OF STOCKHOLDERS' EQUITY</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4360" w:type="dxa"/>
            <w:vAlign w:val="bottom"/>
          </w:tcPr>
          <w:p>
            <w:pPr>
              <w:jc w:val="center"/>
              <w:ind w:left="2745"/>
              <w:spacing w:after="0"/>
              <w:rPr>
                <w:sz w:val="20"/>
                <w:szCs w:val="20"/>
                <w:color w:val="auto"/>
              </w:rPr>
            </w:pPr>
            <w:r>
              <w:rPr>
                <w:rFonts w:ascii="Courier New" w:cs="Courier New" w:eastAsia="Courier New" w:hAnsi="Courier New"/>
                <w:sz w:val="15"/>
                <w:szCs w:val="15"/>
                <w:color w:val="auto"/>
                <w:w w:val="99"/>
              </w:rPr>
              <w:t>(IN THOUSANDS)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4360" w:type="dxa"/>
            <w:vAlign w:val="bottom"/>
          </w:tcPr>
          <w:p>
            <w:pPr>
              <w:ind w:left="3060"/>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694"/>
        </w:trPr>
        <w:tc>
          <w:tcPr>
            <w:tcW w:w="4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Retained</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Foreign</w:t>
            </w:r>
          </w:p>
        </w:tc>
        <w:tc>
          <w:tcPr>
            <w:tcW w:w="840" w:type="dxa"/>
            <w:vAlign w:val="bottom"/>
          </w:tcPr>
          <w:p>
            <w:pPr>
              <w:spacing w:after="0"/>
              <w:rPr>
                <w:sz w:val="24"/>
                <w:szCs w:val="24"/>
                <w:color w:val="auto"/>
              </w:rPr>
            </w:pPr>
          </w:p>
        </w:tc>
      </w:tr>
      <w:tr>
        <w:trPr>
          <w:trHeight w:val="173"/>
        </w:trPr>
        <w:tc>
          <w:tcPr>
            <w:tcW w:w="4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Earnings</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Currency</w:t>
            </w:r>
          </w:p>
        </w:tc>
        <w:tc>
          <w:tcPr>
            <w:tcW w:w="840" w:type="dxa"/>
            <w:vAlign w:val="bottom"/>
          </w:tcPr>
          <w:p>
            <w:pPr>
              <w:spacing w:after="0"/>
              <w:rPr>
                <w:sz w:val="15"/>
                <w:szCs w:val="15"/>
                <w:color w:val="auto"/>
              </w:rPr>
            </w:pPr>
          </w:p>
        </w:tc>
      </w:tr>
      <w:tr>
        <w:trPr>
          <w:trHeight w:val="173"/>
        </w:trPr>
        <w:tc>
          <w:tcPr>
            <w:tcW w:w="4360" w:type="dxa"/>
            <w:vAlign w:val="bottom"/>
          </w:tcPr>
          <w:p>
            <w:pPr>
              <w:spacing w:after="0"/>
              <w:rPr>
                <w:sz w:val="15"/>
                <w:szCs w:val="15"/>
                <w:color w:val="auto"/>
              </w:rPr>
            </w:pP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Preferred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Common</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Paid-in</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(Accumulated</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Translation</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Treasury</w:t>
            </w:r>
          </w:p>
        </w:tc>
      </w:tr>
      <w:tr>
        <w:trPr>
          <w:trHeight w:val="173"/>
        </w:trPr>
        <w:tc>
          <w:tcPr>
            <w:tcW w:w="4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Stock</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Capital</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Deficit)</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Stock</w:t>
            </w:r>
          </w:p>
        </w:tc>
      </w:tr>
      <w:tr>
        <w:trPr>
          <w:trHeight w:val="173"/>
        </w:trPr>
        <w:tc>
          <w:tcPr>
            <w:tcW w:w="4360" w:type="dxa"/>
            <w:vAlign w:val="bottom"/>
          </w:tcPr>
          <w:p>
            <w:pPr>
              <w:spacing w:after="0"/>
              <w:rPr>
                <w:sz w:val="15"/>
                <w:szCs w:val="15"/>
                <w:color w:val="auto"/>
              </w:rPr>
            </w:pPr>
          </w:p>
        </w:tc>
        <w:tc>
          <w:tcPr>
            <w:tcW w:w="13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6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$1,396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$1,255,856</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(85,649)</w:t>
            </w:r>
          </w:p>
        </w:tc>
        <w:tc>
          <w:tcPr>
            <w:tcW w:w="1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$(15,843)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(484)</w:t>
            </w:r>
          </w:p>
        </w:tc>
      </w:tr>
      <w:tr>
        <w:trPr>
          <w:trHeight w:val="347"/>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Common stock options and warrants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3"/>
        </w:trPr>
        <w:tc>
          <w:tcPr>
            <w:tcW w:w="4360" w:type="dxa"/>
            <w:vAlign w:val="bottom"/>
          </w:tcPr>
          <w:p>
            <w:pPr>
              <w:ind w:left="620"/>
              <w:spacing w:after="0"/>
              <w:rPr>
                <w:sz w:val="20"/>
                <w:szCs w:val="20"/>
                <w:color w:val="auto"/>
              </w:rPr>
            </w:pPr>
            <w:r>
              <w:rPr>
                <w:rFonts w:ascii="Courier New" w:cs="Courier New" w:eastAsia="Courier New" w:hAnsi="Courier New"/>
                <w:sz w:val="15"/>
                <w:szCs w:val="15"/>
                <w:color w:val="auto"/>
              </w:rPr>
              <w:t>exercised, including tax benefits</w:t>
            </w:r>
          </w:p>
        </w:tc>
        <w:tc>
          <w:tcPr>
            <w:tcW w:w="360" w:type="dxa"/>
            <w:vAlign w:val="bottom"/>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37,772</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7"/>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Common stock issued in purchase</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3"/>
        </w:trPr>
        <w:tc>
          <w:tcPr>
            <w:tcW w:w="4360" w:type="dxa"/>
            <w:vAlign w:val="bottom"/>
          </w:tcPr>
          <w:p>
            <w:pPr>
              <w:ind w:left="620"/>
              <w:spacing w:after="0"/>
              <w:rPr>
                <w:sz w:val="20"/>
                <w:szCs w:val="20"/>
                <w:color w:val="auto"/>
              </w:rPr>
            </w:pPr>
            <w:r>
              <w:rPr>
                <w:rFonts w:ascii="Courier New" w:cs="Courier New" w:eastAsia="Courier New" w:hAnsi="Courier New"/>
                <w:sz w:val="15"/>
                <w:szCs w:val="15"/>
                <w:color w:val="auto"/>
              </w:rPr>
              <w:t>acquisitions and development projects</w:t>
            </w:r>
          </w:p>
        </w:tc>
        <w:tc>
          <w:tcPr>
            <w:tcW w:w="360" w:type="dxa"/>
            <w:vAlign w:val="bottom"/>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135,455</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7"/>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Common stock issued for acquisitions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3"/>
        </w:trPr>
        <w:tc>
          <w:tcPr>
            <w:tcW w:w="4360" w:type="dxa"/>
            <w:vAlign w:val="bottom"/>
          </w:tcPr>
          <w:p>
            <w:pPr>
              <w:ind w:left="620"/>
              <w:spacing w:after="0"/>
              <w:rPr>
                <w:sz w:val="20"/>
                <w:szCs w:val="20"/>
                <w:color w:val="auto"/>
              </w:rPr>
            </w:pPr>
            <w:r>
              <w:rPr>
                <w:rFonts w:ascii="Courier New" w:cs="Courier New" w:eastAsia="Courier New" w:hAnsi="Courier New"/>
                <w:sz w:val="15"/>
                <w:szCs w:val="15"/>
                <w:color w:val="auto"/>
              </w:rPr>
              <w:t>accounted for as poolings of interests</w:t>
            </w:r>
          </w:p>
        </w:tc>
        <w:tc>
          <w:tcPr>
            <w:tcW w:w="360" w:type="dxa"/>
            <w:vAlign w:val="bottom"/>
          </w:tcPr>
          <w:p>
            <w:pPr>
              <w:spacing w:after="0"/>
              <w:rPr>
                <w:sz w:val="15"/>
                <w:szCs w:val="15"/>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15,986</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7"/>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Common stock issued in public offering</w:t>
            </w:r>
          </w:p>
        </w:tc>
        <w:tc>
          <w:tcPr>
            <w:tcW w:w="360" w:type="dxa"/>
            <w:vAlign w:val="bottom"/>
          </w:tcPr>
          <w:p>
            <w:pPr>
              <w:spacing w:after="0"/>
              <w:rPr>
                <w:sz w:val="24"/>
                <w:szCs w:val="24"/>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387,323</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7"/>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360" w:type="dxa"/>
            <w:vAlign w:val="bottom"/>
          </w:tcPr>
          <w:p>
            <w:pPr>
              <w:spacing w:after="0"/>
              <w:rPr>
                <w:sz w:val="24"/>
                <w:szCs w:val="24"/>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7"/>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24"/>
                <w:szCs w:val="24"/>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12,720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7"/>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24"/>
                <w:szCs w:val="24"/>
                <w:color w:val="auto"/>
              </w:rPr>
            </w:pP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121,409</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4360" w:type="dxa"/>
            <w:vAlign w:val="bottom"/>
          </w:tcPr>
          <w:p>
            <w:pPr>
              <w:spacing w:after="0"/>
              <w:rPr>
                <w:sz w:val="15"/>
                <w:szCs w:val="15"/>
                <w:color w:val="auto"/>
              </w:rPr>
            </w:pPr>
          </w:p>
        </w:tc>
        <w:tc>
          <w:tcPr>
            <w:tcW w:w="13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7"/>
        </w:trPr>
        <w:tc>
          <w:tcPr>
            <w:tcW w:w="4360" w:type="dxa"/>
            <w:vAlign w:val="bottom"/>
          </w:tcPr>
          <w:p>
            <w:pPr>
              <w:spacing w:after="0"/>
              <w:rPr>
                <w:sz w:val="20"/>
                <w:szCs w:val="20"/>
                <w:color w:val="auto"/>
              </w:rPr>
            </w:pPr>
            <w:r>
              <w:rPr>
                <w:rFonts w:ascii="Courier New" w:cs="Courier New" w:eastAsia="Courier New" w:hAnsi="Courier New"/>
                <w:sz w:val="15"/>
                <w:szCs w:val="15"/>
                <w:color w:val="auto"/>
              </w:rPr>
              <w:t>Balance, June 30, 1997</w:t>
            </w:r>
          </w:p>
        </w:tc>
        <w:tc>
          <w:tcPr>
            <w:tcW w:w="3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$1,607</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$1,845,112</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35,760</w:t>
            </w:r>
          </w:p>
        </w:tc>
        <w:tc>
          <w:tcPr>
            <w:tcW w:w="1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$(15,858)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$(484)</w:t>
            </w:r>
          </w:p>
        </w:tc>
      </w:tr>
      <w:tr>
        <w:trPr>
          <w:trHeight w:val="173"/>
        </w:trPr>
        <w:tc>
          <w:tcPr>
            <w:tcW w:w="4360" w:type="dxa"/>
            <w:vAlign w:val="bottom"/>
          </w:tcPr>
          <w:p>
            <w:pPr>
              <w:spacing w:after="0"/>
              <w:rPr>
                <w:sz w:val="15"/>
                <w:szCs w:val="15"/>
                <w:color w:val="auto"/>
              </w:rPr>
            </w:pPr>
          </w:p>
        </w:tc>
        <w:tc>
          <w:tcPr>
            <w:tcW w:w="13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accompanying notes are an integral part of these condensed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291" w:right="13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ind w:left="306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4"/>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(restated)</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121,409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25,584</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cash provided by operating activities: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108,203</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69,804</w:t>
            </w: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31,097</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12,944</w:t>
            </w: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 net of</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ind w:left="620"/>
              <w:spacing w:after="0"/>
              <w:rPr>
                <w:sz w:val="20"/>
                <w:szCs w:val="20"/>
                <w:color w:val="auto"/>
              </w:rPr>
            </w:pPr>
            <w:r>
              <w:rPr>
                <w:rFonts w:ascii="Courier New" w:cs="Courier New" w:eastAsia="Courier New" w:hAnsi="Courier New"/>
                <w:sz w:val="15"/>
                <w:szCs w:val="15"/>
                <w:color w:val="auto"/>
              </w:rPr>
              <w:t>effects of acquisitions and divestitures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(205,648)</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(33,976)</w:t>
            </w:r>
          </w:p>
        </w:tc>
      </w:tr>
      <w:tr>
        <w:trPr>
          <w:trHeight w:val="173"/>
        </w:trPr>
        <w:tc>
          <w:tcPr>
            <w:tcW w:w="4600" w:type="dxa"/>
            <w:vAlign w:val="bottom"/>
          </w:tcPr>
          <w:p>
            <w:pPr>
              <w:spacing w:after="0"/>
              <w:rPr>
                <w:sz w:val="15"/>
                <w:szCs w:val="15"/>
                <w:color w:val="auto"/>
              </w:rPr>
            </w:pP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80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55,061</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74,356</w:t>
            </w:r>
          </w:p>
        </w:tc>
      </w:tr>
      <w:tr>
        <w:trPr>
          <w:trHeight w:val="173"/>
        </w:trPr>
        <w:tc>
          <w:tcPr>
            <w:tcW w:w="4600" w:type="dxa"/>
            <w:vAlign w:val="bottom"/>
          </w:tcPr>
          <w:p>
            <w:pPr>
              <w:spacing w:after="0"/>
              <w:rPr>
                <w:sz w:val="15"/>
                <w:szCs w:val="15"/>
                <w:color w:val="auto"/>
              </w:rPr>
            </w:pP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Acquisitions of businesses, net of</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cash acquired</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(1,093,185)</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(139,795)</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(180,676)</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(151,585)</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Loans and advances to others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(37,732)</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(15,086)</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Collection of loans to others</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6,336</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1,472</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107,654</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3,347</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Change in restricted funds</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5,435</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(16,077)</w:t>
            </w:r>
          </w:p>
        </w:tc>
      </w:tr>
      <w:tr>
        <w:trPr>
          <w:trHeight w:val="173"/>
        </w:trPr>
        <w:tc>
          <w:tcPr>
            <w:tcW w:w="4600" w:type="dxa"/>
            <w:vAlign w:val="bottom"/>
          </w:tcPr>
          <w:p>
            <w:pPr>
              <w:spacing w:after="0"/>
              <w:rPr>
                <w:sz w:val="15"/>
                <w:szCs w:val="15"/>
                <w:color w:val="auto"/>
              </w:rPr>
            </w:pP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(1,192,168)</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(317,724)</w:t>
            </w:r>
          </w:p>
        </w:tc>
      </w:tr>
      <w:tr>
        <w:trPr>
          <w:trHeight w:val="173"/>
        </w:trPr>
        <w:tc>
          <w:tcPr>
            <w:tcW w:w="4600" w:type="dxa"/>
            <w:vAlign w:val="bottom"/>
          </w:tcPr>
          <w:p>
            <w:pPr>
              <w:spacing w:after="0"/>
              <w:rPr>
                <w:sz w:val="15"/>
                <w:szCs w:val="15"/>
                <w:color w:val="auto"/>
              </w:rPr>
            </w:pP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Proceeds from issuance of long-term debt</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1,640,995</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659,905</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long-term debt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(882,409)</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(417,448)</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387,438</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2,033</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Proceeds from exercise of common stock</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options and warrants</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19,743</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11,311</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(8,108)</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1,134</w:t>
            </w:r>
          </w:p>
        </w:tc>
      </w:tr>
      <w:tr>
        <w:trPr>
          <w:trHeight w:val="173"/>
        </w:trPr>
        <w:tc>
          <w:tcPr>
            <w:tcW w:w="4600" w:type="dxa"/>
            <w:vAlign w:val="bottom"/>
          </w:tcPr>
          <w:p>
            <w:pPr>
              <w:spacing w:after="0"/>
              <w:rPr>
                <w:sz w:val="15"/>
                <w:szCs w:val="15"/>
                <w:color w:val="auto"/>
              </w:rPr>
            </w:pP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1,157,659</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256,935</w:t>
            </w:r>
          </w:p>
        </w:tc>
      </w:tr>
      <w:tr>
        <w:trPr>
          <w:trHeight w:val="173"/>
        </w:trPr>
        <w:tc>
          <w:tcPr>
            <w:tcW w:w="4600" w:type="dxa"/>
            <w:vAlign w:val="bottom"/>
          </w:tcPr>
          <w:p>
            <w:pPr>
              <w:spacing w:after="0"/>
              <w:rPr>
                <w:sz w:val="15"/>
                <w:szCs w:val="15"/>
                <w:color w:val="auto"/>
              </w:rPr>
            </w:pP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cash equivalents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w:t>
            </w:r>
          </w:p>
        </w:tc>
        <w:tc>
          <w:tcPr>
            <w:tcW w:w="2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w:t>
            </w:r>
          </w:p>
        </w:tc>
      </w:tr>
      <w:tr>
        <w:trPr>
          <w:trHeight w:val="173"/>
        </w:trPr>
        <w:tc>
          <w:tcPr>
            <w:tcW w:w="4600" w:type="dxa"/>
            <w:vAlign w:val="bottom"/>
          </w:tcPr>
          <w:p>
            <w:pPr>
              <w:spacing w:after="0"/>
              <w:rPr>
                <w:sz w:val="15"/>
                <w:szCs w:val="15"/>
                <w:color w:val="auto"/>
              </w:rPr>
            </w:pP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Increase in cash and cash equivalents</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20,426</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13,568</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23,511</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21,058</w:t>
            </w:r>
          </w:p>
        </w:tc>
      </w:tr>
      <w:tr>
        <w:trPr>
          <w:trHeight w:val="173"/>
        </w:trPr>
        <w:tc>
          <w:tcPr>
            <w:tcW w:w="4600" w:type="dxa"/>
            <w:vAlign w:val="bottom"/>
          </w:tcPr>
          <w:p>
            <w:pPr>
              <w:spacing w:after="0"/>
              <w:rPr>
                <w:sz w:val="15"/>
                <w:szCs w:val="15"/>
                <w:color w:val="auto"/>
              </w:rPr>
            </w:pP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43,937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34,626</w:t>
            </w:r>
          </w:p>
        </w:tc>
      </w:tr>
      <w:tr>
        <w:trPr>
          <w:trHeight w:val="173"/>
        </w:trPr>
        <w:tc>
          <w:tcPr>
            <w:tcW w:w="4600" w:type="dxa"/>
            <w:vAlign w:val="bottom"/>
          </w:tcPr>
          <w:p>
            <w:pPr>
              <w:spacing w:after="0"/>
              <w:rPr>
                <w:sz w:val="15"/>
                <w:szCs w:val="15"/>
                <w:color w:val="auto"/>
              </w:rPr>
            </w:pPr>
          </w:p>
        </w:tc>
        <w:tc>
          <w:tcPr>
            <w:tcW w:w="1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1980" w:right="3819" w:hanging="1171"/>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91"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(UNAUDITED)</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condensed consolidated balance sheets of USA Waste Services, Inc. and subsidiaries (the "Company") as of June 30, 1997 and December 31, 1996, the condensed consolidated statements of operations for the three and six months ended June 30, 1997 and 1996, the condensed consolidated statement of stockholders' equity for the six months ended June 30, 1997, and the condensed consolidated statements of cash flows for the six months ended June 30, 1997 and 1996 are unaudited. In the opinion of management, such financial statements include all adjustments, consisting only of normal recurring adjustments, necessary for a fair presentation of financial position, results of operations, and cash flows for the periods presented. The condensed consolidated balance sheet as of December 31, 1996 was derived from audited financial statements, but does not include all disclosures required by generally accepted accounting principles. The financial statements presented herein should be read in connection with the Company's Annual Report on Form 10-K for the year ended December 31, 1996, as amended on Form 10-K/A filed April 30, 1997.</w:t>
      </w:r>
    </w:p>
    <w:p>
      <w:pPr>
        <w:spacing w:after="0" w:line="182" w:lineRule="exact"/>
        <w:rPr>
          <w:sz w:val="20"/>
          <w:szCs w:val="20"/>
          <w:color w:val="auto"/>
        </w:rPr>
      </w:pPr>
    </w:p>
    <w:p>
      <w:pPr>
        <w:ind w:left="368" w:hanging="368"/>
        <w:spacing w:after="0"/>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8"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On March 12, 1997, the Company acquired all of the Canadian solid waste subsidiaries of Allied Waste Industries, Inc., representing 41 collection businesses, seven landfills, and eight transfer stations in the provinces of Alberta, British Columbia, Manitoba, Ontario, Quebec, and Saskatchewan for approximately $518,000,000 in cash. The acquisition was accounted for as a purchase.</w:t>
      </w:r>
    </w:p>
    <w:p>
      <w:pPr>
        <w:spacing w:after="0" w:line="177" w:lineRule="exact"/>
        <w:rPr>
          <w:sz w:val="20"/>
          <w:szCs w:val="20"/>
          <w:color w:val="auto"/>
        </w:rPr>
      </w:pPr>
    </w:p>
    <w:p>
      <w:pPr>
        <w:ind w:left="8" w:right="3199"/>
        <w:spacing w:after="0" w:line="266" w:lineRule="auto"/>
        <w:rPr>
          <w:sz w:val="20"/>
          <w:szCs w:val="20"/>
          <w:color w:val="auto"/>
        </w:rPr>
      </w:pPr>
      <w:r>
        <w:rPr>
          <w:rFonts w:ascii="Courier New" w:cs="Courier New" w:eastAsia="Courier New" w:hAnsi="Courier New"/>
          <w:sz w:val="14"/>
          <w:szCs w:val="14"/>
          <w:color w:val="auto"/>
        </w:rPr>
        <w:t>On April 1, 1997, the Company acquired substantially all of the assets of Mid-American Waste Systems, Inc. for approximately $201,000,000, consisting primarily of cash and a limited amount of debt assumption. The assets acquired include 11 collection businesses, 11 landfills, six transfer stations, and three recycling businesses. The acquisition was accounted for as a purchase.</w:t>
      </w:r>
    </w:p>
    <w:p>
      <w:pPr>
        <w:spacing w:after="0" w:line="16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On June 10, 1997, the Company acquired the majority of the Waste Management, Inc. Canadian solid waste businesses for $124,000,000 in cash and 1,705,757 shares of the Company's common stock. The assets acquired include 13 collection businesses, one landfill, and three transfer stations in the provinces of Alberta, British Columbia, Ontario, and Quebec. The acquisition was accounted for as a purchase.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During the six months ended June 30, 1997, in addition to the above described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transactions, the Company acquired seven landfills, 61 collection businesses,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seven transfer stations, and 1 recycling business for approximately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$308,403,000 in cash, $35,943,000 in liabilities incurred or debt assumed,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2,242,337 shares of the Company's common stock. These acquisitions were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accounted for as purchases.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unaudited pro forma information set forth below assumes all first and second quarter 1997 acquisitions accounted for as purchases and all 1996 acquisitions accounted for as purchases occurred at the beginning of 1996. The unaudited pro forma information is presented for informational purposes only and is not necessarily indicative of the results of operations that actually would have been achieved had the purchase acquisitions been consummated at that time (in thousands, except per share amounts):</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91" w:right="1440" w:bottom="1440" w:gutter="0" w:footer="0" w:header="0"/>
        </w:sectPr>
      </w:pPr>
    </w:p>
    <w:bookmarkStart w:id="6" w:name="page7"/>
    <w:bookmarkEnd w:id="6"/>
    <w:tbl>
      <w:tblPr>
        <w:tblLayout w:type="fixed"/>
        <w:tblInd w:w="8" w:type="dxa"/>
        <w:tblCellMar>
          <w:top w:w="0" w:type="dxa"/>
          <w:left w:w="0" w:type="dxa"/>
          <w:bottom w:w="0" w:type="dxa"/>
          <w:right w:w="0" w:type="dxa"/>
        </w:tblCellMar>
      </w:tblPr>
      <w:tr>
        <w:trPr>
          <w:trHeight w:val="170"/>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25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94"/>
        </w:trPr>
        <w:tc>
          <w:tcPr>
            <w:tcW w:w="4900" w:type="dxa"/>
            <w:vAlign w:val="bottom"/>
          </w:tcPr>
          <w:p>
            <w:pPr>
              <w:spacing w:after="0"/>
              <w:rPr>
                <w:sz w:val="24"/>
                <w:szCs w:val="24"/>
                <w:color w:val="auto"/>
              </w:rPr>
            </w:pPr>
          </w:p>
        </w:tc>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3"/>
        </w:trPr>
        <w:tc>
          <w:tcPr>
            <w:tcW w:w="4900" w:type="dxa"/>
            <w:vAlign w:val="bottom"/>
          </w:tcPr>
          <w:p>
            <w:pPr>
              <w:spacing w:after="0"/>
              <w:rPr>
                <w:sz w:val="15"/>
                <w:szCs w:val="15"/>
                <w:color w:val="auto"/>
              </w:rPr>
            </w:pPr>
          </w:p>
        </w:tc>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15"/>
                <w:szCs w:val="15"/>
                <w:color w:val="auto"/>
              </w:rPr>
            </w:pPr>
          </w:p>
        </w:tc>
        <w:tc>
          <w:tcPr>
            <w:tcW w:w="2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900" w:type="dxa"/>
            <w:vAlign w:val="bottom"/>
          </w:tcPr>
          <w:p>
            <w:pPr>
              <w:spacing w:after="0"/>
              <w:rPr>
                <w:sz w:val="15"/>
                <w:szCs w:val="15"/>
                <w:color w:val="auto"/>
              </w:rPr>
            </w:pPr>
          </w:p>
        </w:tc>
        <w:tc>
          <w:tcPr>
            <w:tcW w:w="2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9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$ 1,140,512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$ 1,131,218</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130,709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51,287</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2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Fully diluted earnings per common share</w:t>
            </w:r>
          </w:p>
        </w:tc>
        <w:tc>
          <w:tcPr>
            <w:tcW w:w="2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bl>
    <w:p>
      <w:pPr>
        <w:spacing w:after="0" w:line="35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addition to the above described transactions, the Company consummated five acquisitions accounted for as poolings of interests during the six months ended June 30, 1997, pursuant to which the Company issued 3,047,916 shares of its common stock in exchange for all outstanding shares of the acquired companies. Periods prior to consummation of these mergers were not restated to include the accounts and operations of the acquired companies as the combined results would not be materially different from the results as presented.</w:t>
      </w:r>
    </w:p>
    <w:p>
      <w:pPr>
        <w:spacing w:after="0" w:line="177" w:lineRule="exact"/>
        <w:rPr>
          <w:sz w:val="20"/>
          <w:szCs w:val="20"/>
          <w:color w:val="auto"/>
        </w:rPr>
      </w:pPr>
    </w:p>
    <w:p>
      <w:pPr>
        <w:ind w:left="368" w:hanging="368"/>
        <w:spacing w:after="0"/>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DIVESTITURES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connection with the Company's merger with Sanifill, Inc., consummated on August 30, 1996, the United States Department of Justice ordered the divestiture of certain solid waste collection and disposal assets and operations in Houston, Texas. On January 31, 1997, the Company sold these assets to TransAmerican Waste Industries, Inc. ("TransAmerican") for $13,600,000 in cash plus warrants to purchase 1,500,000 shares of TransAmerican's common stock at an exercise price of $1.50 per share. The warrants are exercisable for a period of five years.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On June 1, 1997, the Company sold eight collection businesses, eight landfills, and six transfer stations to Allied Waste Industries, Inc. for approximately $88,000,000.</w:t>
      </w:r>
    </w:p>
    <w:p>
      <w:pPr>
        <w:spacing w:after="0" w:line="175" w:lineRule="exact"/>
        <w:rPr>
          <w:sz w:val="20"/>
          <w:szCs w:val="20"/>
          <w:color w:val="auto"/>
        </w:rPr>
      </w:pPr>
    </w:p>
    <w:p>
      <w:pPr>
        <w:ind w:left="368" w:hanging="368"/>
        <w:spacing w:after="0"/>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Long-term debt consists of the following (in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47"/>
        </w:trPr>
        <w:tc>
          <w:tcPr>
            <w:tcW w:w="6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June 30,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6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612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637,000</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Senior notes, maturing in varying annual installments through June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2005, interest ranging from 7.29% to 8.44%</w:t>
            </w:r>
          </w:p>
        </w:tc>
        <w:tc>
          <w:tcPr>
            <w:tcW w:w="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107,500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107,500</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Convertible subordinated debentures, interest at 5%</w:t>
            </w:r>
          </w:p>
        </w:tc>
        <w:tc>
          <w:tcPr>
            <w:tcW w:w="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115,000</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interest at 4%</w:t>
            </w:r>
          </w:p>
        </w:tc>
        <w:tc>
          <w:tcPr>
            <w:tcW w:w="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535,275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Note payable to bank, interest at Banker's Acceptance plus 0.45%</w:t>
            </w:r>
          </w:p>
        </w:tc>
        <w:tc>
          <w:tcPr>
            <w:tcW w:w="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Subordinated debt, maturing in varying monthly installments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through January 2008, interest ranging from 7.25% to 10%</w:t>
            </w:r>
          </w:p>
        </w:tc>
        <w:tc>
          <w:tcPr>
            <w:tcW w:w="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5,496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5,589</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Industrial revenue bonds, principal payable in annual installments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maturing in 1997-2021, variable interest rates (3.1% to</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3.4% at June 30, 1997), enhanced by letters of credit</w:t>
            </w:r>
          </w:p>
        </w:tc>
        <w:tc>
          <w:tcPr>
            <w:tcW w:w="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208,514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164,639</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94,693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157,272</w:t>
            </w:r>
          </w:p>
        </w:tc>
      </w:tr>
      <w:tr>
        <w:trPr>
          <w:trHeight w:val="173"/>
        </w:trPr>
        <w:tc>
          <w:tcPr>
            <w:tcW w:w="612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2,046,478</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1,187,000</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3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49,520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28,695</w:t>
            </w:r>
          </w:p>
        </w:tc>
      </w:tr>
      <w:tr>
        <w:trPr>
          <w:trHeight w:val="173"/>
        </w:trPr>
        <w:tc>
          <w:tcPr>
            <w:tcW w:w="612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$ 1,996,958</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$ 1,158,305</w:t>
            </w:r>
          </w:p>
        </w:tc>
      </w:tr>
      <w:tr>
        <w:trPr>
          <w:trHeight w:val="173"/>
        </w:trPr>
        <w:tc>
          <w:tcPr>
            <w:tcW w:w="612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December 31, 1996, the Company had borrowed $637,000,000 and had letters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credit issued of $277,994,000 under its $1,200,000,000 senior revolving credit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facility. The credit facility was used to refinance existing bank loans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letters of credit and to fund additional acquisitions and working capital.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credit facility was available for standby letters of credit of up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$400,000,000. Loans under the credit facility bore interest at a rate based 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Eurodollar rate plus a spread not to exceed 0.75% per annum (spread set at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0.30% per annum, or an applicable interest rate of 5.87% per annum at December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31, 1996). The credit facility required a facility fee not to exceed 0.375% per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annum on the entire available credit facility (facility fee set at 0.15% per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annum at December 31, 1996). The credit facility contained financial covenants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with respect to interest coverage and debt capitalization ratios. The credit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facility also contained limitations on dividends, additional indebtedness,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liens, and asset sales. Principal reductions were not required during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five-year term of the credit facility. On March 5, 1997, the credit facility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 replaced with a $1,600,000,000 senior revolving credit facility with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same general terms, covenants, and</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91" w:right="1440" w:bottom="902" w:gutter="0" w:footer="0" w:header="0"/>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limitations, which is available for standby letters of credit of up to</w:t>
      </w:r>
    </w:p>
    <w:p>
      <w:pPr>
        <w:spacing w:after="0" w:line="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$500,000,000. At June 30, 1997, the Company had borrowed $820,000,000 and had letters of credit of $385,060,000 under its $1,600,000,000 senior revolving credit facility. The applicable interest rate and facility fee at June 30, 1997 was 6.05% per annum (including the spread set at 0.3% per annum) and 0.15% per annum, respectively.</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On February 7, 1997, the Company issued $535,275,000 of 4% convertible subordinated notes, due on February 1, 2002 ("Notes Offering"). Interest is payable semi-annually in February and August. The notes are convertible into shares of the Company's common stock at a conversion price of $43.56 per share. The notes are subordinated in right of payment to all existing and future senior indebtedness, as defined. The notes are redeemable after February 1, 2000 at the option of the Company at 101.6% of the principal amount, declining to 100.8% of the principal amount on February 1, 2001 and thereafter until maturity at which time the notes will be redeemed at 100%, plus accrued interest. Deferred offering costs of approximately $14,000,000 were incurred and are being amortized ratably over the life of the notes. The proceeds were primarily used to repay debt under the Company's credit facility, to fund acquisitions, and for general corporate purposes.</w:t>
      </w:r>
    </w:p>
    <w:p>
      <w:pPr>
        <w:spacing w:after="0" w:line="182"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On February 7, 1997, concurrent with the Notes Offering, the Company completed a public offering of 11,500,000 shares of its common stock, priced at $35.125 per share. The net proceeds of approximately $387,438,000 were primarily used to repay debt under the Company's credit facility and for general corporate purposes.</w:t>
      </w:r>
    </w:p>
    <w:p>
      <w:pPr>
        <w:spacing w:after="0" w:line="177"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On May 23, 1997, the Company borrowed $160,000,000 from a Canadian bank primarily in connection with the acquisition of a majority of the Canadian solid waste businesses of Waste Management, Inc. (see Note 1). The note bore interest at Banker's Acceptance plus 0.45%. On July 7, 1997, the Company retired the $160,000,000 Canadian borrowings with proceeds from its domestic credit facility.</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Other long-term debt at June 30, 1997 and December 31, 1996 consists of miscellaneous notes payable and obligations under capital leases. Other long-term debt at December 31, 1996 also included $83,475,000 payable to the former owners of a landfill and collection operation acquired by the Company in December 1996. This amount was retired in January 1997 through additional borrowings under the credit facility.</w:t>
      </w:r>
    </w:p>
    <w:p>
      <w:pPr>
        <w:spacing w:after="0" w:line="176" w:lineRule="exact"/>
        <w:rPr>
          <w:sz w:val="20"/>
          <w:szCs w:val="20"/>
          <w:color w:val="auto"/>
        </w:rPr>
      </w:pPr>
    </w:p>
    <w:p>
      <w:pPr>
        <w:ind w:left="368" w:hanging="368"/>
        <w:spacing w:after="0"/>
        <w:tabs>
          <w:tab w:leader="none" w:pos="3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difference in federal income taxes at the statutory rate and the provision for income taxes for the three and six months ended June 30, 1997, is primarily due to state and local income taxes. The difference in federal income taxes at the statutory rate and the provision for income taxes for the three and six months ended June 30, 1996, is primarily due to non-deductible merger costs and state and local income taxes.</w:t>
      </w:r>
    </w:p>
    <w:p>
      <w:pPr>
        <w:spacing w:after="0" w:line="176" w:lineRule="exact"/>
        <w:rPr>
          <w:sz w:val="20"/>
          <w:szCs w:val="20"/>
          <w:color w:val="auto"/>
        </w:rPr>
      </w:pPr>
    </w:p>
    <w:p>
      <w:pPr>
        <w:ind w:left="368" w:hanging="368"/>
        <w:spacing w:after="0"/>
        <w:tabs>
          <w:tab w:leader="none" w:pos="36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8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Litigation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Development Company, Inc.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w:t>
      </w:r>
    </w:p>
    <w:p>
      <w:pPr>
        <w:spacing w:after="0" w:line="200" w:lineRule="exact"/>
        <w:rPr>
          <w:sz w:val="20"/>
          <w:szCs w:val="20"/>
          <w:color w:val="auto"/>
        </w:rPr>
      </w:pPr>
    </w:p>
    <w:p>
      <w:pPr>
        <w:spacing w:after="0" w:line="32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settled class action of consolidated suits instituted on similar claims ("Class Action") and Option Resource Group is continuing as a separate lawsuit. In response to discovery on damages, the plaintiffs reduced their damages claim to $433,000 in alleged losses, plus interest and attorneys' fees, for a total damage claim of $658,000 as of August 21, 1995. By order dated April 11, 1997, the Court denied plaintiffs' previously filed motion for summary judgement. Discovery has been completed, and the parties have agreed in principle to resolve the case through an alternative dispute resolution process in the federal court later in 1997. The Company intends to continue to vigorously defend against this action. Management of the Company believes that the ultimate resolution of this case will not have a material adverse effect to the Company's financial position, results of operations or cash flows.</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On August 3, 1995, Frederick A. Moran and certain related persons and entities filed a lawsuit against Chambers, certain former officers and directors of Chambers, and Grant Thornton,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Discovery is ongoing in this case. Management of the Company believes that the ultimate resolution of this case will not have a material adverse effect to the Company's financial position, results of operations or cash flows.</w:t>
      </w:r>
    </w:p>
    <w:p>
      <w:pPr>
        <w:spacing w:after="0" w:line="18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is a party to various other litigation matters arising in the ordinary course of business. Management believes that the ultimate resolution of these matters will not have a material adverse effect to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 or other equipment.</w:t>
      </w:r>
    </w:p>
    <w:p>
      <w:pPr>
        <w:spacing w:after="0" w:line="18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$200,000,000 in umbrella insurance protection. The property policy provides insurance coverage for all of the Company's real and personal property, including California earthquake perils. The Company also carries $200,000,000 in aircraft liability protection.</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This policy provides $5,000,000 of coverage per incident with a $10,000,000 aggregate limit.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to the Company's financial condition or results of operations. Additionally, continued availability of casualty and EIL insurance with sufficient limits at acceptable terms is an important aspect of obtaining revenue-producing waste service contracts.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350" w:lineRule="exact"/>
        <w:rPr>
          <w:sz w:val="20"/>
          <w:szCs w:val="20"/>
          <w:color w:val="auto"/>
        </w:rPr>
      </w:pPr>
    </w:p>
    <w:p>
      <w:pPr>
        <w:ind w:left="368" w:hanging="368"/>
        <w:spacing w:after="0"/>
        <w:tabs>
          <w:tab w:leader="none" w:pos="3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Primary earnings per common share for the three and six months ended June 30, 1997, is computed by dividing net income, after adjusting for the after-tax interest expense of approximately $3,203,000 and $5,033,000, respectively, on the Company's 4% convertible subordinated notes that are considered to be common stock equivalents based upon the yield test at the time of issuance, by the weighted average number of common and dilutive common equivalent shares outstanding of 174,808,000 and 167,861,000, respectively. Fully diluted earnings per common share for the three and six months ended June 30, 1997, is computed by dividing net income, after adjusting for the after-tax interest expense of approximately $3,203,000 and $5,033,000, respectively, on the Company's 4% convertible subordinated notes and $860,000 and $1,710,000, respectively, on the Company's 5% convertible subordinated debentures by the weighted average number of common, dilutive common equivalent, and all other potentially dilutive equivalent shares outstanding of 179,080,000 and 171,995,000, respectively.</w:t>
      </w:r>
    </w:p>
    <w:p>
      <w:pPr>
        <w:spacing w:after="0" w:line="183"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Primary earnings per common share for the three and six months ended June 30, 1996, are computed by dividing net income by the weighted average number of common and dilutive common equivalent shares outstanding of 132,887,000 and 135,790,000, respectively. Fully diluted earnings per common share for the three and six months ended June 30, 1996, are computed by dividing net income by the weighted average number of common and dilutive common equivalent shares outstanding of 132,887,000 and 136,074,000, respectively. For the three months ended June 30, 1996, common stock equivalents from common stock options and warrants of 6,078,000 and 6,252,000 were not included in the primary and fully diluted earnings per share calculation, respectively, due to their antidilutive nature for this period. Adjustments for the Company's 5% convertible subordinated debentures were not included in the fully diluted earnings per share calculation for the three and six months ended June 30, 1996, due to their antidilutive nature for these periods.</w:t>
      </w:r>
    </w:p>
    <w:p>
      <w:pPr>
        <w:spacing w:after="0" w:line="181" w:lineRule="exact"/>
        <w:rPr>
          <w:sz w:val="20"/>
          <w:szCs w:val="20"/>
          <w:color w:val="auto"/>
        </w:rPr>
      </w:pPr>
    </w:p>
    <w:p>
      <w:pPr>
        <w:ind w:left="368" w:hanging="368"/>
        <w:spacing w:after="0"/>
        <w:tabs>
          <w:tab w:leader="none" w:pos="3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8"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In October 1996, the Accounting Standards Executive Committee of the American Institute of Certified Public Accountants issued Statement of Position No.</w:t>
      </w:r>
    </w:p>
    <w:p>
      <w:pPr>
        <w:spacing w:after="0" w:line="3"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96-1, Environmental Remediation Liabilities ("SOP No. 96-1"). SOP No. 96-1 provides authoritative guidance on the recognition, measurement, display, and disclosure of environmental remediation liabilities. The adoption of SOP No. 96-1 did not have a material effect to the Company's financial position, results of operations or cash flows.</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In February 1997, the Financial Accounting Standards Board issued Statement of Financial Accounting Standards No. 128, Earnings Per Share ("SFAS No. 128"). SFAS No. 128 specifies the computation, presentation, and disclosure requirements of earnings per share and supersedes Accounting Principles Board Opinion No. 15, Earnings Per Share. SFAS No. 128 requires a dual presentation of basic and diluted earnings per share. Basic earnings per share, which excludes the impact of common stock equivalents, replaces primary earnings per share. Diluted earnings per share, which utilizes the average market price per share as opposed to the greater of the average market price per share or ending market price per share when applying the treasury stock method in determining common stock equivalents, replaces fully-diluted earnings per share. SFAS No. 128 is effective for both interim and annual periods ending after December 15, 1997. The following pro forma earnings per common share information assumes the Company adopted SFAS No. 128 in 1996 (in thousands, except per share amounts):</w:t>
      </w:r>
    </w:p>
    <w:p>
      <w:pPr>
        <w:spacing w:after="0" w:line="200" w:lineRule="exact"/>
        <w:rPr>
          <w:sz w:val="20"/>
          <w:szCs w:val="20"/>
          <w:color w:val="auto"/>
        </w:rPr>
      </w:pPr>
    </w:p>
    <w:p>
      <w:pPr>
        <w:spacing w:after="0" w:line="32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91" w:right="1440" w:bottom="1440" w:gutter="0" w:footer="0" w:header="0"/>
        </w:sectPr>
      </w:pPr>
    </w:p>
    <w:bookmarkStart w:id="10" w:name="page11"/>
    <w:bookmarkEnd w:id="10"/>
    <w:tbl>
      <w:tblPr>
        <w:tblLayout w:type="fixed"/>
        <w:tblInd w:w="8" w:type="dxa"/>
        <w:tblCellMar>
          <w:top w:w="0" w:type="dxa"/>
          <w:left w:w="0" w:type="dxa"/>
          <w:bottom w:w="0" w:type="dxa"/>
          <w:right w:w="0" w:type="dxa"/>
        </w:tblCellMar>
      </w:tblPr>
      <w:tr>
        <w:trPr>
          <w:trHeight w:val="170"/>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20"/>
        </w:trPr>
        <w:tc>
          <w:tcPr>
            <w:tcW w:w="4280" w:type="dxa"/>
            <w:vAlign w:val="bottom"/>
          </w:tcPr>
          <w:p>
            <w:pPr>
              <w:spacing w:after="0"/>
              <w:rPr>
                <w:sz w:val="24"/>
                <w:szCs w:val="24"/>
                <w:color w:val="auto"/>
              </w:rPr>
            </w:pPr>
          </w:p>
        </w:tc>
        <w:tc>
          <w:tcPr>
            <w:tcW w:w="29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 Ended June 30,</w:t>
            </w:r>
          </w:p>
        </w:tc>
        <w:tc>
          <w:tcPr>
            <w:tcW w:w="2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Six Months Ended June 30,</w:t>
            </w:r>
          </w:p>
        </w:tc>
      </w:tr>
      <w:tr>
        <w:trPr>
          <w:trHeight w:val="173"/>
        </w:trPr>
        <w:tc>
          <w:tcPr>
            <w:tcW w:w="4280" w:type="dxa"/>
            <w:vAlign w:val="bottom"/>
          </w:tcPr>
          <w:p>
            <w:pPr>
              <w:spacing w:after="0"/>
              <w:rPr>
                <w:sz w:val="15"/>
                <w:szCs w:val="15"/>
                <w:color w:val="auto"/>
              </w:rPr>
            </w:pPr>
          </w:p>
        </w:tc>
        <w:tc>
          <w:tcPr>
            <w:tcW w:w="29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280" w:type="dxa"/>
            <w:vAlign w:val="bottom"/>
          </w:tcPr>
          <w:p>
            <w:pPr>
              <w:spacing w:after="0"/>
              <w:rPr>
                <w:sz w:val="15"/>
                <w:szCs w:val="15"/>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1996</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280" w:type="dxa"/>
            <w:vAlign w:val="bottom"/>
          </w:tcPr>
          <w:p>
            <w:pPr>
              <w:spacing w:after="0"/>
              <w:rPr>
                <w:sz w:val="15"/>
                <w:szCs w:val="15"/>
                <w:color w:val="auto"/>
              </w:rPr>
            </w:pP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Reported:</w:t>
            </w:r>
          </w:p>
        </w:tc>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Primary earnings per common share</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$0.43</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$(0.02)</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$0.19</w:t>
            </w:r>
          </w:p>
        </w:tc>
      </w:tr>
      <w:tr>
        <w:trPr>
          <w:trHeight w:val="173"/>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common and</w:t>
            </w:r>
          </w:p>
        </w:tc>
        <w:tc>
          <w:tcPr>
            <w:tcW w:w="1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280" w:type="dxa"/>
            <w:vAlign w:val="bottom"/>
          </w:tcPr>
          <w:p>
            <w:pPr>
              <w:ind w:left="720"/>
              <w:spacing w:after="0"/>
              <w:rPr>
                <w:sz w:val="20"/>
                <w:szCs w:val="20"/>
                <w:color w:val="auto"/>
              </w:rPr>
            </w:pPr>
            <w:r>
              <w:rPr>
                <w:rFonts w:ascii="Courier New" w:cs="Courier New" w:eastAsia="Courier New" w:hAnsi="Courier New"/>
                <w:sz w:val="15"/>
                <w:szCs w:val="15"/>
                <w:color w:val="auto"/>
              </w:rPr>
              <w:t>common equivalent shares outstanding</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174,808</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132,887</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167,861</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135,790</w:t>
            </w:r>
          </w:p>
        </w:tc>
      </w:tr>
      <w:tr>
        <w:trPr>
          <w:trHeight w:val="347"/>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Fully diluted earnings per common share</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$0.43</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$(0.02)</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$0.19</w:t>
            </w:r>
          </w:p>
        </w:tc>
      </w:tr>
      <w:tr>
        <w:trPr>
          <w:trHeight w:val="173"/>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Fully diluted weighted average number of</w:t>
            </w:r>
          </w:p>
        </w:tc>
        <w:tc>
          <w:tcPr>
            <w:tcW w:w="1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280" w:type="dxa"/>
            <w:vAlign w:val="bottom"/>
          </w:tcPr>
          <w:p>
            <w:pPr>
              <w:ind w:left="720"/>
              <w:spacing w:after="0"/>
              <w:rPr>
                <w:sz w:val="20"/>
                <w:szCs w:val="20"/>
                <w:color w:val="auto"/>
              </w:rPr>
            </w:pPr>
            <w:r>
              <w:rPr>
                <w:rFonts w:ascii="Courier New" w:cs="Courier New" w:eastAsia="Courier New" w:hAnsi="Courier New"/>
                <w:sz w:val="15"/>
                <w:szCs w:val="15"/>
                <w:color w:val="auto"/>
              </w:rPr>
              <w:t>common and common equivalent</w:t>
            </w:r>
          </w:p>
        </w:tc>
        <w:tc>
          <w:tcPr>
            <w:tcW w:w="1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4280" w:type="dxa"/>
            <w:vAlign w:val="bottom"/>
          </w:tcPr>
          <w:p>
            <w:pPr>
              <w:ind w:left="720"/>
              <w:spacing w:after="0"/>
              <w:rPr>
                <w:sz w:val="20"/>
                <w:szCs w:val="20"/>
                <w:color w:val="auto"/>
              </w:rPr>
            </w:pPr>
            <w:r>
              <w:rPr>
                <w:rFonts w:ascii="Courier New" w:cs="Courier New" w:eastAsia="Courier New" w:hAnsi="Courier New"/>
                <w:sz w:val="15"/>
                <w:szCs w:val="15"/>
                <w:color w:val="auto"/>
              </w:rPr>
              <w:t>shares outstanding</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179,080</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132,887</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171,995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136,074</w:t>
            </w:r>
          </w:p>
        </w:tc>
      </w:tr>
      <w:tr>
        <w:trPr>
          <w:trHeight w:val="347"/>
        </w:trPr>
        <w:tc>
          <w:tcPr>
            <w:tcW w:w="428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Basic earnings per common share</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$(0.02)</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$0.79</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$0.20</w:t>
            </w:r>
          </w:p>
        </w:tc>
      </w:tr>
      <w:tr>
        <w:trPr>
          <w:trHeight w:val="173"/>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Basic weighted average shares</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157,997</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132,887</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153,645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131,091</w:t>
            </w:r>
          </w:p>
        </w:tc>
      </w:tr>
      <w:tr>
        <w:trPr>
          <w:trHeight w:val="347"/>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Diluted earnings per common share</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$0.43</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$(0.02)</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$0.19</w:t>
            </w:r>
          </w:p>
        </w:tc>
      </w:tr>
      <w:tr>
        <w:trPr>
          <w:trHeight w:val="173"/>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Diluted weighted average shares</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178,870</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132,887</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171,923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135,790</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June 1997, the Financial Accounting Standards Board issued Statement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Financial Accounting Standards No. 130, Reporting Comprehensive Income ("SFAS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 130"). SFAS No. 130 establishes standards for reporting and display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comprehensive income and its components. Comprehensive income is defined as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change in equity of a business enterprise during a period from transactions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events and circumstances from nonowner sources and includes all changes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equity during a period except those resulting from investments by owners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distributions to owners. SFAS No. 130 is effective for both interim and annual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periods beginning after December 15, 1997. Assuming the Company adopted SFAS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 130 in 1996, comprehensive income would have been $72,337,000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$121,394,000 for the three and six months ended June 30, 1997, respectively,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$25,715,000 for the six months ended June 30, 1996. Comprehensive loss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would have been $2,166,000 for the three months ended June 30, 1996.</w:t>
      </w:r>
    </w:p>
    <w:p>
      <w:pPr>
        <w:spacing w:after="0" w:line="177" w:lineRule="exact"/>
        <w:rPr>
          <w:sz w:val="20"/>
          <w:szCs w:val="20"/>
          <w:color w:val="auto"/>
        </w:rPr>
      </w:pPr>
    </w:p>
    <w:p>
      <w:pPr>
        <w:ind w:left="368" w:hanging="368"/>
        <w:spacing w:after="0"/>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From July 1, 1997 through August 5, 1997, the Company acquired 12 collection businesses and one landfill for approximately $17,269,000 in cash, $8,076,000 in liabilities incurred or debt assumed, and 193,198 shares of the Company's common stock. These acquisitions were accounted for as purchases.</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unaudited pro forma information set forth below assumes all 1997 acquisitions through August 5, 1997, accounted for as purchases and all 1996 acquisitions accounted for as purchases occurred at the beginning of 1996. The unaudited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3680" w:type="dxa"/>
            <w:vAlign w:val="bottom"/>
            <w:gridSpan w:val="2"/>
          </w:tcPr>
          <w:p>
            <w:pPr>
              <w:ind w:left="1340"/>
              <w:spacing w:after="0"/>
              <w:rPr>
                <w:sz w:val="20"/>
                <w:szCs w:val="20"/>
                <w:color w:val="auto"/>
              </w:rPr>
            </w:pPr>
            <w:r>
              <w:rPr>
                <w:rFonts w:ascii="Courier New" w:cs="Courier New" w:eastAsia="Courier New" w:hAnsi="Courier New"/>
                <w:sz w:val="15"/>
                <w:szCs w:val="15"/>
                <w:color w:val="auto"/>
              </w:rPr>
              <w:t>Six Months Ended June 30,</w:t>
            </w:r>
          </w:p>
        </w:tc>
      </w:tr>
      <w:tr>
        <w:trPr>
          <w:trHeight w:val="173"/>
        </w:trPr>
        <w:tc>
          <w:tcPr>
            <w:tcW w:w="4600" w:type="dxa"/>
            <w:vAlign w:val="bottom"/>
          </w:tcPr>
          <w:p>
            <w:pPr>
              <w:spacing w:after="0"/>
              <w:rPr>
                <w:sz w:val="15"/>
                <w:szCs w:val="15"/>
                <w:color w:val="auto"/>
              </w:rPr>
            </w:pPr>
          </w:p>
        </w:tc>
        <w:tc>
          <w:tcPr>
            <w:tcW w:w="3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2420" w:type="dxa"/>
            <w:vAlign w:val="bottom"/>
          </w:tcPr>
          <w:p>
            <w:pPr>
              <w:ind w:left="1340"/>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600" w:type="dxa"/>
            <w:vAlign w:val="bottom"/>
          </w:tcPr>
          <w:p>
            <w:pPr>
              <w:spacing w:after="0"/>
              <w:rPr>
                <w:sz w:val="15"/>
                <w:szCs w:val="15"/>
                <w:color w:val="auto"/>
              </w:rPr>
            </w:pPr>
          </w:p>
        </w:tc>
        <w:tc>
          <w:tcPr>
            <w:tcW w:w="2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$1,148,727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$1,139,433</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131,621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52,199</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2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0.37</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Fully diluted earnings per common share</w:t>
            </w:r>
          </w:p>
        </w:tc>
        <w:tc>
          <w:tcPr>
            <w:tcW w:w="2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bl>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April 14, 1997, the Company entered into an Agreement and Plan of Merger (the "Merger Agreement") to acquire United Waste Systems, Inc. ("United") through a merger transaction ("United Merger"). The United Merger is subject to, among other conditions, antitrust clearance and approval of both companies' stockholders. It is anticipated that the United Merger will be completed in August of 1997 and that it will be accounted for as a pooling of interests. The Merger Agreement provides that on the effective date of the United Merger, the Company will issue 1.075 shares of its common stock for each share of United outstanding common stock. Additionally, at the effective date of the United Merger, all United stock options, whether or not such stock options have vested or become exercisable, will be cancelled in exchange for shares of the Company's common stock equal in market value to the fair value of such United stock options, as determined by an independent third party. It is currently estimated that the Company will issue approximately 48,500,000 shares pursuant to the United Merger, however the actual number of shares to be issued will not be determined until immediately prior to consummation. Although actual costs may vary, the Company currently expects to incur approximately $50,000,000 in nonrecurring costs related to the United Merger. These costs will be accrued as of the consummation date and are expected to be incurred within twelve months of consummation. Following the United Merger, the Company's Board of Directors will include two members designated by United.</w:t>
      </w:r>
    </w:p>
    <w:p>
      <w:pPr>
        <w:spacing w:after="0" w:line="18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August 7, 1997, the Company increased its senior revolving credit facility to $2,000,000,000 with the same general terms, covenants and limitations as the $1,600,000,000 senior revolving credit facility that existed at June 30, 1997, discussed in Note 3. The $2,000,000,000 senior revolving credit facility is also available for up to $650,000,000 of standby letters of credit. Usage of the facility will be limited to $1,700,000,000 until the United Merger is consummated. Loans under this facility will bear interest at a rate based on the Eurodollar rate plus a spread not to exceed 0.575% per annum (initially set at 0.2375%) with a facility fee not to exceed 0.30% per annum (initially set at</w:t>
      </w:r>
    </w:p>
    <w:p>
      <w:pPr>
        <w:spacing w:after="0" w:line="6"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0.1125%). The Company will be required to pay an additional fee of 0.05% if average credit facility borrowings and letters of credit for any calendar quarter exceed 50% of total capacity.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24" w:lineRule="exact"/>
        <w:rPr>
          <w:sz w:val="20"/>
          <w:szCs w:val="20"/>
          <w:color w:val="auto"/>
        </w:rPr>
      </w:pPr>
    </w:p>
    <w:p>
      <w:pPr>
        <w:ind w:left="720" w:right="3099" w:hanging="720"/>
        <w:spacing w:after="0" w:line="243"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following discussion reviews the Company's operations for the three and six months ended June 30, 1997 and 1996, and should be read in conjunction with the Company's condensed consolidated financial statements and related notes thereto included elsewhere herein as well as the Company's consolidated financial statements and related notes thereto included in the Company's Annual Report on Form 10-K for the year ended December 31, 1996, as amended on Form 10-K/A filed April 30,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provides nonhazardous solid waste management services, consisting of collection, transfer, disposal, recycling, and other miscellaneous services. Since August 1990, the Company has experienced significant growth principally through the acquisition and integration of solid waste businesses and is now the third largest nonhazardous solid waste management company in North America, as measured by 1996 revenues. The Company conducts operations through subsidiaries in multiple locations throughout the United States, Canada, Puerto Rico, and Mexico. As of June 30, 1997, the Company owned or operated 243 collection businesses, 83 transfer stations, 119 landfills, and 21 recycling businesses serving more than 6,000,000 customers.</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operating revenues consist primarily of fees charged for its collection and disposal services. Operating revenues for collection services include fees from residential, commercial, industrial, and municipal collection customers. A portion of these fees are billed in advance; and upon receipt of payment a liability for future service is recorded and operating revenues are recognized as services are actually provided. Fees for residential services are normally based on the type and frequency of service. Fees for commercial and industrial services are normally based on the type and frequency of service and the volume of solid waste collected.</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operating revenues from its landfill operations consist of disposal fees (known as tipping fees) charged to third parties and are normally billed monthly. Tipping fees are based on the volume or weight of solid waste disposed of at the Company's landfill sites. Fees are charged at transfer stations based on the volume or weight of solid waste deposited, taking into account the Company's cost of loading, transporting, and disposing of the solid waste at a landfill. Intercompany operating revenues between the Company's collection, transfer, and landfill operations have been eliminated in the condensed consolidated financial statements presented elsewhere herein.</w:t>
      </w:r>
    </w:p>
    <w:p>
      <w:pPr>
        <w:spacing w:after="0" w:line="179"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expenditures are capitalized and depreciated over the estimated useful life of a site as capacity is consumed, and include acquisition, engineering, upgrading, construction, capitalized interest, and permitting costs. All indirect development expenses, such as administrative salaries and general corporate overhead, are charged to expense in the period incurred.</w:t>
      </w:r>
    </w:p>
    <w:p>
      <w:pPr>
        <w:spacing w:after="0" w:line="179"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200" w:lineRule="exact"/>
        <w:rPr>
          <w:sz w:val="20"/>
          <w:szCs w:val="20"/>
          <w:color w:val="auto"/>
        </w:rPr>
      </w:pP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14</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 for the various Condensed Consolidated Statement of Operations line items and for certain supplementary data.</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2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Period to Period</w:t>
            </w:r>
          </w:p>
        </w:tc>
        <w:tc>
          <w:tcPr>
            <w:tcW w:w="206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w w:val="99"/>
              </w:rPr>
              <w:t>Period to Period</w:t>
            </w:r>
          </w:p>
        </w:tc>
      </w:tr>
      <w:tr>
        <w:trPr>
          <w:trHeight w:val="173"/>
        </w:trPr>
        <w:tc>
          <w:tcPr>
            <w:tcW w:w="400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Change for the</w:t>
            </w:r>
          </w:p>
        </w:tc>
        <w:tc>
          <w:tcPr>
            <w:tcW w:w="2060" w:type="dxa"/>
            <w:vAlign w:val="bottom"/>
            <w:gridSpan w:val="2"/>
          </w:tcPr>
          <w:p>
            <w:pPr>
              <w:jc w:val="center"/>
              <w:ind w:left="205"/>
              <w:spacing w:after="0"/>
              <w:rPr>
                <w:sz w:val="20"/>
                <w:szCs w:val="20"/>
                <w:color w:val="auto"/>
              </w:rPr>
            </w:pPr>
            <w:r>
              <w:rPr>
                <w:rFonts w:ascii="Courier New" w:cs="Courier New" w:eastAsia="Courier New" w:hAnsi="Courier New"/>
                <w:sz w:val="15"/>
                <w:szCs w:val="15"/>
                <w:color w:val="auto"/>
                <w:w w:val="99"/>
              </w:rPr>
              <w:t>Change for the</w:t>
            </w:r>
          </w:p>
        </w:tc>
      </w:tr>
      <w:tr>
        <w:trPr>
          <w:trHeight w:val="173"/>
        </w:trPr>
        <w:tc>
          <w:tcPr>
            <w:tcW w:w="400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Three Months Ended</w:t>
            </w:r>
          </w:p>
        </w:tc>
        <w:tc>
          <w:tcPr>
            <w:tcW w:w="206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w w:val="99"/>
              </w:rPr>
              <w:t>Six Months Ended</w:t>
            </w:r>
          </w:p>
        </w:tc>
      </w:tr>
      <w:tr>
        <w:trPr>
          <w:trHeight w:val="173"/>
        </w:trPr>
        <w:tc>
          <w:tcPr>
            <w:tcW w:w="4000" w:type="dxa"/>
            <w:vAlign w:val="bottom"/>
          </w:tcPr>
          <w:p>
            <w:pPr>
              <w:spacing w:after="0"/>
              <w:rPr>
                <w:sz w:val="15"/>
                <w:szCs w:val="15"/>
                <w:color w:val="auto"/>
              </w:rPr>
            </w:pPr>
          </w:p>
        </w:tc>
        <w:tc>
          <w:tcPr>
            <w:tcW w:w="1580" w:type="dxa"/>
            <w:vAlign w:val="bottom"/>
          </w:tcPr>
          <w:p>
            <w:pPr>
              <w:jc w:val="center"/>
              <w:ind w:left="785"/>
              <w:spacing w:after="0"/>
              <w:rPr>
                <w:sz w:val="20"/>
                <w:szCs w:val="20"/>
                <w:color w:val="auto"/>
              </w:rPr>
            </w:pPr>
            <w:r>
              <w:rPr>
                <w:rFonts w:ascii="Courier New" w:cs="Courier New" w:eastAsia="Courier New" w:hAnsi="Courier New"/>
                <w:sz w:val="15"/>
                <w:szCs w:val="15"/>
                <w:color w:val="auto"/>
                <w:w w:val="99"/>
              </w:rPr>
              <w:t>June 30,</w:t>
            </w:r>
          </w:p>
        </w:tc>
        <w:tc>
          <w:tcPr>
            <w:tcW w:w="820" w:type="dxa"/>
            <w:vAlign w:val="bottom"/>
          </w:tcPr>
          <w:p>
            <w:pPr>
              <w:spacing w:after="0"/>
              <w:rPr>
                <w:sz w:val="15"/>
                <w:szCs w:val="15"/>
                <w:color w:val="auto"/>
              </w:rPr>
            </w:pPr>
          </w:p>
        </w:tc>
        <w:tc>
          <w:tcPr>
            <w:tcW w:w="206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w w:val="99"/>
              </w:rPr>
              <w:t>June 30,</w:t>
            </w:r>
          </w:p>
        </w:tc>
      </w:tr>
      <w:tr>
        <w:trPr>
          <w:trHeight w:val="173"/>
        </w:trPr>
        <w:tc>
          <w:tcPr>
            <w:tcW w:w="4000" w:type="dxa"/>
            <w:vAlign w:val="bottom"/>
          </w:tcPr>
          <w:p>
            <w:pPr>
              <w:spacing w:after="0"/>
              <w:rPr>
                <w:sz w:val="15"/>
                <w:szCs w:val="15"/>
                <w:color w:val="auto"/>
              </w:rPr>
            </w:pPr>
          </w:p>
        </w:tc>
        <w:tc>
          <w:tcPr>
            <w:tcW w:w="24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1997 and 1996</w:t>
            </w:r>
          </w:p>
        </w:tc>
        <w:tc>
          <w:tcPr>
            <w:tcW w:w="20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1997 and 1996</w:t>
            </w:r>
          </w:p>
        </w:tc>
      </w:tr>
      <w:tr>
        <w:trPr>
          <w:trHeight w:val="173"/>
        </w:trPr>
        <w:tc>
          <w:tcPr>
            <w:tcW w:w="4000" w:type="dxa"/>
            <w:vAlign w:val="bottom"/>
          </w:tcPr>
          <w:p>
            <w:pPr>
              <w:spacing w:after="0"/>
              <w:rPr>
                <w:sz w:val="15"/>
                <w:szCs w:val="15"/>
                <w:color w:val="auto"/>
              </w:rPr>
            </w:pPr>
          </w:p>
        </w:tc>
        <w:tc>
          <w:tcPr>
            <w:tcW w:w="24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00" w:type="dxa"/>
            <w:vAlign w:val="bottom"/>
          </w:tcPr>
          <w:p>
            <w:pPr>
              <w:spacing w:after="0"/>
              <w:rPr>
                <w:sz w:val="15"/>
                <w:szCs w:val="15"/>
                <w:color w:val="auto"/>
              </w:rPr>
            </w:pPr>
          </w:p>
        </w:tc>
        <w:tc>
          <w:tcPr>
            <w:tcW w:w="15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00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0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$ 207,443</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$ 289,823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3"/>
        </w:trPr>
        <w:tc>
          <w:tcPr>
            <w:tcW w:w="400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Operating (exclusive of depreciation</w:t>
            </w:r>
          </w:p>
        </w:tc>
        <w:tc>
          <w:tcPr>
            <w:tcW w:w="1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000" w:type="dxa"/>
            <w:vAlign w:val="bottom"/>
          </w:tcPr>
          <w:p>
            <w:pPr>
              <w:ind w:left="800"/>
              <w:spacing w:after="0"/>
              <w:rPr>
                <w:sz w:val="20"/>
                <w:szCs w:val="20"/>
                <w:color w:val="auto"/>
              </w:rPr>
            </w:pPr>
            <w:r>
              <w:rPr>
                <w:rFonts w:ascii="Courier New" w:cs="Courier New" w:eastAsia="Courier New" w:hAnsi="Courier New"/>
                <w:sz w:val="15"/>
                <w:szCs w:val="15"/>
                <w:color w:val="auto"/>
              </w:rPr>
              <w:t>and amortization shown below)</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98,425</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55.5</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127,192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37.8</w:t>
            </w:r>
          </w:p>
        </w:tc>
      </w:tr>
      <w:tr>
        <w:trPr>
          <w:trHeight w:val="173"/>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General and administrative</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19,671</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25,761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33.5</w:t>
            </w:r>
          </w:p>
        </w:tc>
      </w:tr>
      <w:tr>
        <w:trPr>
          <w:trHeight w:val="173"/>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25,511</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38,399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55.0</w:t>
            </w:r>
          </w:p>
        </w:tc>
      </w:tr>
      <w:tr>
        <w:trPr>
          <w:trHeight w:val="173"/>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Merger costs</w:t>
            </w:r>
          </w:p>
        </w:tc>
        <w:tc>
          <w:tcPr>
            <w:tcW w:w="15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(38,100)</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(38,100)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Unusual items</w:t>
            </w:r>
          </w:p>
        </w:tc>
        <w:tc>
          <w:tcPr>
            <w:tcW w:w="15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(12,952)</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400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173"/>
        </w:trPr>
        <w:tc>
          <w:tcPr>
            <w:tcW w:w="400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92,555</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140,300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w:t>
            </w:r>
          </w:p>
        </w:tc>
      </w:tr>
      <w:tr>
        <w:trPr>
          <w:trHeight w:val="173"/>
        </w:trPr>
        <w:tc>
          <w:tcPr>
            <w:tcW w:w="400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114,888</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517.9</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149,523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195.8</w:t>
            </w:r>
          </w:p>
        </w:tc>
      </w:tr>
      <w:tr>
        <w:trPr>
          <w:trHeight w:val="173"/>
        </w:trPr>
        <w:tc>
          <w:tcPr>
            <w:tcW w:w="400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347"/>
        </w:trPr>
        <w:tc>
          <w:tcPr>
            <w:tcW w:w="40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Interest expense</w:t>
            </w:r>
          </w:p>
        </w:tc>
        <w:tc>
          <w:tcPr>
            <w:tcW w:w="15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(10,186)</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(10,916)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3"/>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Interest and other income, net</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2,420</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(101.0)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4,312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77.8</w:t>
            </w:r>
          </w:p>
        </w:tc>
      </w:tr>
      <w:tr>
        <w:trPr>
          <w:trHeight w:val="173"/>
        </w:trPr>
        <w:tc>
          <w:tcPr>
            <w:tcW w:w="400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173"/>
        </w:trPr>
        <w:tc>
          <w:tcPr>
            <w:tcW w:w="4000" w:type="dxa"/>
            <w:vAlign w:val="bottom"/>
          </w:tcPr>
          <w:p>
            <w:pPr>
              <w:spacing w:after="0"/>
              <w:rPr>
                <w:sz w:val="15"/>
                <w:szCs w:val="15"/>
                <w:color w:val="auto"/>
              </w:rPr>
            </w:pPr>
          </w:p>
        </w:tc>
        <w:tc>
          <w:tcPr>
            <w:tcW w:w="15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(7,766)</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r>
      <w:tr>
        <w:trPr>
          <w:trHeight w:val="173"/>
        </w:trPr>
        <w:tc>
          <w:tcPr>
            <w:tcW w:w="400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347"/>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107,122</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802.5</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142,919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240.5</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32,772</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212.6</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47,094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139.1</w:t>
            </w:r>
          </w:p>
        </w:tc>
      </w:tr>
      <w:tr>
        <w:trPr>
          <w:trHeight w:val="173"/>
        </w:trPr>
        <w:tc>
          <w:tcPr>
            <w:tcW w:w="400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74,350</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3595.3%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95,825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374.6%</w:t>
            </w:r>
          </w:p>
        </w:tc>
      </w:tr>
      <w:tr>
        <w:trPr>
          <w:trHeight w:val="173"/>
        </w:trPr>
        <w:tc>
          <w:tcPr>
            <w:tcW w:w="400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1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EBITDA (1)</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$ 140,399</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$ 187,922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128.6%</w:t>
            </w:r>
          </w:p>
        </w:tc>
      </w:tr>
      <w:tr>
        <w:trPr>
          <w:trHeight w:val="173"/>
        </w:trPr>
        <w:tc>
          <w:tcPr>
            <w:tcW w:w="4000" w:type="dxa"/>
            <w:vAlign w:val="bottom"/>
          </w:tcPr>
          <w:p>
            <w:pPr>
              <w:spacing w:after="0"/>
              <w:rPr>
                <w:sz w:val="20"/>
                <w:szCs w:val="20"/>
                <w:color w:val="auto"/>
              </w:rPr>
            </w:pPr>
            <w:r>
              <w:rPr>
                <w:rFonts w:ascii="Courier New" w:cs="Courier New" w:eastAsia="Courier New" w:hAnsi="Courier New"/>
                <w:sz w:val="15"/>
                <w:szCs w:val="15"/>
                <w:color w:val="auto"/>
              </w:rPr>
              <w:t>EBITDA excluding merger costs</w:t>
            </w:r>
          </w:p>
        </w:tc>
        <w:tc>
          <w:tcPr>
            <w:tcW w:w="1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and unusual items(1)</w:t>
            </w: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89,347</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81.0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136,870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69.4</w:t>
            </w:r>
          </w:p>
        </w:tc>
      </w:tr>
    </w:tbl>
    <w:p>
      <w:pPr>
        <w:spacing w:after="0" w:line="200" w:lineRule="exact"/>
        <w:rPr>
          <w:sz w:val="20"/>
          <w:szCs w:val="20"/>
          <w:color w:val="auto"/>
        </w:rPr>
      </w:pPr>
    </w:p>
    <w:p>
      <w:pPr>
        <w:spacing w:after="0" w:line="324" w:lineRule="exact"/>
        <w:rPr>
          <w:sz w:val="20"/>
          <w:szCs w:val="20"/>
          <w:color w:val="auto"/>
        </w:rPr>
      </w:pPr>
    </w:p>
    <w:p>
      <w:pPr>
        <w:ind w:left="368" w:right="3099" w:hanging="368"/>
        <w:spacing w:after="0" w:line="244"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91" w:right="1440" w:bottom="1440" w:gutter="0" w:footer="0" w:header="0"/>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15</w:t>
      </w:r>
    </w:p>
    <w:p>
      <w:pPr>
        <w:spacing w:after="0" w:line="351"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Condensed Consolidated Statements of Operations line items and certain supplementary data bear to operating revenues:</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7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Three Months Ended</w:t>
            </w:r>
          </w:p>
        </w:tc>
        <w:tc>
          <w:tcPr>
            <w:tcW w:w="17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Six Months Ended</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7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June 30,</w:t>
            </w: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OPERATIONS</w:t>
            </w: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Collection</w:t>
            </w:r>
          </w:p>
        </w:tc>
        <w:tc>
          <w:tcPr>
            <w:tcW w:w="1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61.4%</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53.2%</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Transfer station</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w:t>
            </w: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Disposal</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24.9</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w:t>
            </w: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Other</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Costs and expenses:</w:t>
            </w: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Operating (exclusive of depreciation</w:t>
            </w: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80" w:type="dxa"/>
            <w:vAlign w:val="bottom"/>
          </w:tcPr>
          <w:p>
            <w:pPr>
              <w:spacing w:after="0"/>
              <w:rPr>
                <w:sz w:val="15"/>
                <w:szCs w:val="15"/>
                <w:color w:val="auto"/>
              </w:rPr>
            </w:pPr>
          </w:p>
        </w:tc>
        <w:tc>
          <w:tcPr>
            <w:tcW w:w="3840" w:type="dxa"/>
            <w:vAlign w:val="bottom"/>
          </w:tcPr>
          <w:p>
            <w:pPr>
              <w:ind w:left="40"/>
              <w:spacing w:after="0"/>
              <w:rPr>
                <w:sz w:val="20"/>
                <w:szCs w:val="20"/>
                <w:color w:val="auto"/>
              </w:rPr>
            </w:pPr>
            <w:r>
              <w:rPr>
                <w:rFonts w:ascii="Courier New" w:cs="Courier New" w:eastAsia="Courier New" w:hAnsi="Courier New"/>
                <w:sz w:val="15"/>
                <w:szCs w:val="15"/>
                <w:color w:val="auto"/>
              </w:rPr>
              <w:t>and amortization shown below)</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54.1</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55.1</w:t>
            </w: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General and administrative</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12.2</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w:t>
            </w: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11.7</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w:t>
            </w: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Merger costs</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11.6</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Unusual items</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74.4</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93.2</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87.5</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Interest and other income, net</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1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SUPPLEMENTARY DATA</w:t>
            </w: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384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1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18.1%</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EBITDA excluding merger costs</w:t>
            </w: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unusual items (1)</w:t>
            </w: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33.7</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32.3</w:t>
            </w:r>
          </w:p>
        </w:tc>
      </w:tr>
    </w:tbl>
    <w:p>
      <w:pPr>
        <w:spacing w:after="0" w:line="351" w:lineRule="exact"/>
        <w:rPr>
          <w:sz w:val="20"/>
          <w:szCs w:val="20"/>
          <w:color w:val="auto"/>
        </w:rPr>
      </w:pPr>
    </w:p>
    <w:p>
      <w:pPr>
        <w:ind w:left="368" w:right="3099" w:hanging="368"/>
        <w:spacing w:after="0" w:line="244" w:lineRule="auto"/>
        <w:tabs>
          <w:tab w:leader="none" w:pos="3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RESULTS OF OPERATIONS FOR THE THREE AND SIX MONTHS ENDED JUNE 30, 1997 AND 1996</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Operating Revenues</w:t>
      </w:r>
    </w:p>
    <w:p>
      <w:pPr>
        <w:spacing w:after="0" w:line="178" w:lineRule="exact"/>
        <w:rPr>
          <w:sz w:val="20"/>
          <w:szCs w:val="20"/>
          <w:color w:val="auto"/>
        </w:rPr>
      </w:pPr>
    </w:p>
    <w:p>
      <w:pPr>
        <w:jc w:val="both"/>
        <w:ind w:left="8" w:right="3199"/>
        <w:spacing w:after="0" w:line="244" w:lineRule="auto"/>
        <w:rPr>
          <w:sz w:val="20"/>
          <w:szCs w:val="20"/>
          <w:color w:val="auto"/>
        </w:rPr>
      </w:pPr>
      <w:r>
        <w:rPr>
          <w:rFonts w:ascii="Courier New" w:cs="Courier New" w:eastAsia="Courier New" w:hAnsi="Courier New"/>
          <w:sz w:val="15"/>
          <w:szCs w:val="15"/>
          <w:color w:val="auto"/>
        </w:rPr>
        <w:t>Operating revenues for the three and six months ended June 30, 1997, increased $207,443,000 or 63.3% and $289,823,000 or 47.5%, respectively, compared to the corresponding periods of 1996. The increase in operating</w:t>
      </w:r>
    </w:p>
    <w:p>
      <w:pPr>
        <w:spacing w:after="0" w:line="200" w:lineRule="exact"/>
        <w:rPr>
          <w:sz w:val="20"/>
          <w:szCs w:val="20"/>
          <w:color w:val="auto"/>
        </w:rPr>
      </w:pPr>
    </w:p>
    <w:p>
      <w:pPr>
        <w:spacing w:after="0" w:line="32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revenues is attributable to the effect of acquisitions, less dispositions, and the internal growth of comparable operations. Acquisitions made in Canada during 1997 and the effect of acquisitions made in Canada during 1996 accounted for increases of $83,540,000 and $110,356,000 or 25.5% and 18.1% for the three and six months ended June 30, 1997, respectively. All other acquisitions during 1997 and the effect of all other acquisitions made during 1996 accounted for increases of $115,798,000 and $161,077,000 or 35.3% and 26.4% for the three and six months ended June 30, 1997, respectively. Internal growth for comparable operations resulted in an increase in operating revenues of $31,549,000, consisting of increases of 3.0% due to pricing and 6.6% due to volumes for the three months ended June 30, 1997, and an increase in operating revenues of $60,742,000, consisting of increases of 2.7% due to pricing and 7.3% due to volumes for the six months ended June 30, 1997. The remaining decrease in operating revenues of 7.1% and 7.0% for the three and six months ended June 30, 1997, respectively, was primarily the result of the disposition of certain solid waste collection and disposal operations in Houston, Texas, in January 1997, related to the Company's August 1996 merger with Sanifill, Inc., the disposition of certain nonstrategically located solid waste collection and disposal operations in June 1997, and dispositions of non-core businesses in 1997 and 1996.</w:t>
      </w:r>
    </w:p>
    <w:p>
      <w:pPr>
        <w:spacing w:after="0" w:line="18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Company's one line of business, integrated nonhazardous solid waste management, encompasses the entire waste stream from collection to transfer station to landfill. As indicated in the table above, the Company's mix of operating revenues for the three and six months ended June 30, 1997, reflects an increase in collection revenues as a percentage of total revenues. The change in the Company's mix of operating revenues is primarily the result of acquisition of businesses in the first and second quarters of 1997 with large collection operations. Such acquired businesses include the Canadian solid waste subsidiaries of Allied Waste Industries, Inc., and a majority of the Canadian solid waste businesses of Waste Management, Inc.</w:t>
      </w:r>
    </w:p>
    <w:p>
      <w:pPr>
        <w:spacing w:after="0" w:line="180"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Operating Costs and Expenses (Exclusive of Depreciation and Amortization Shown Below)</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Operating costs and expenses increased $98,425,000 or 55.5% and $127,192,000 or 37.8% for the three and six months ended June 30, 1997, respectively, as compared to respective prior year periods. The increase in operating costs and expenses is primarily attributable to the effect of new acquisitions, net of dispositions, which resulted in an increase of $130,357,000 and $186,400,000 for the three and six months ended June 30, 1997, respectively. The increase was offset by a decrease of $3,853,000 and $10,832,000 for the three and six months ended June 30, 1997, respectively, related to increased utilization of internal disposal capacity from 51.5% and 49.0% for the three and six months ended June 30, 1996, to 54.0% and 53.5% for the corresponding periods in 1997. Additionally, a decrease related to improvements in comparable operations of $28,079,000 and $48,376,000 for the three and six months ended June 30, 1997, respectively, primarily resulted from operating synergies realized from tuck-in acquisitions as well as the Company's mergers with Sanifill, Inc. and Western Waste Industries in August 1996 and May 1996, respectively.</w:t>
      </w:r>
    </w:p>
    <w:p>
      <w:pPr>
        <w:spacing w:after="0" w:line="18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a percentage of operating revenues, operating costs and expenses decreased from 54.1% and 55.1% for the three and six months ended June 30, 1996, respectively, to 51.5% for the three and six months ended June 30, 1997 for the reasons described above. These improvements in operating costs and expenses were slightly offset by the change in revenue mix as discussed above, as collection operations typically have higher operating costs and expenses than disposal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General and administrative expenses have increased $19,671,000 and $25,761,000 or 49.0% and 33.5% for the three and six months ended June 30, 1997, respectively, as compared to the respective prior year periods. However, as a percentage of operating revenues, general and administrative expenses have decreased from 12.2% and 12.6% for the three and six months ended June 30, 1997, respectively, to 11.2% and 11.4% for the three and six months ended June 30, 1997, respectively. The decrease in general and administrative expenses as a percentage of operating revenues is primarily the result of the Company's ability to integrate new business acquisitions without a proportionate increase in general and administrative expenses as well as cost reductions resulting from mergers with Sanifill, Inc. and Western Waste Industries in August 1996 and May 1996, respectively.</w:t>
      </w:r>
    </w:p>
    <w:p>
      <w:pPr>
        <w:spacing w:after="0" w:line="200" w:lineRule="exact"/>
        <w:rPr>
          <w:sz w:val="20"/>
          <w:szCs w:val="20"/>
          <w:color w:val="auto"/>
        </w:rPr>
      </w:pP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78"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4"/>
          <w:szCs w:val="14"/>
          <w:color w:val="auto"/>
        </w:rPr>
        <w:t>Depreciation and amortization increased $25,511,000 or 68.6% and $38,399,000 or 55.0% for the three and six months ended June 30, 1997, respectively, as compared to the respective prior year periods. The increase in depreciation and amortization expense is primarily related to new acquisitions, increased landfill disposal volumes, and upgrades to existing operations. Additionally, as a percentage of operating revenues, depreciation and amortization increased from 11.3% and 11.4% for the three and six months ended June 30, 1996, to 11.7% and</w:t>
      </w:r>
    </w:p>
    <w:p>
      <w:pPr>
        <w:spacing w:after="0" w:line="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12.0% for the corresponding periods in 1997. The increase in depreciation and amortization expense as a percentage of operating revenues is due to increased utilization of internal disposal capacity as discussed above as the resulting increased internal operating revenues are eliminated in consolidation. This increase in depreciation and amortization related to the internalization of landfill disposal volumes is offset by the aforementioned decrease in operating costs and expense.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Costs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second quarter of 1996, the Company incurred $35,000,000, $2,700,000, and $400,000 of merger costs related to the acquisitions of Western Waste Industries, Grand Central Sanitation, Inc., and a collection company, respectively. The $35,000,000 of merger costs related to Western Waste Industries include $6,800,000 of transaction costs, $15,000,000 of severance and other termination benefits, and $13,200,000 of costs related to integrating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Unusual Items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the second quarter of 1996, unusual items include $4,824,000 of retirement benefits associated with Western Waste Industries' pre-merger retirement and severance plans and $8,128,000 of estimated future losses related to municipal solid waste contracts in California as a result of the continuing decline in prices of recyclable materials.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Operations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Income from operations as a percent of operating revenues was 25.6% and 25.1% for the three and six months ended June 30, 1997, respectively, as compared to 6.8% and 12.5% for the prior year corresponding periods. Exclusive of nonrecurring charges, income from operations as a percent of operating revenues was 22.4% and 20.9% for the three and six months ended June 30, 1996. The improvement in recurring operations is the result of economies of scale realized by the Company with respect to recent mergers and acquisitions, increased utilization of internal disposal capacity, and improvements in comparable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Other income and expense consists of interest expense, interest income, and other income. Interest expense, gross of amounts capitalized, increased due to an increase in the Company's outstanding debt balance. Capitalized interest for the three and six months ended June 30, 1997, was $5,260,000 and $10,474,000, respectively, as compared to $4,464,000 and $8,339,000 for the corresponding 1996 periods. The increase in other income for the six months ended June 30, 1997, primarily relates to realization of a portion of the deferred gain recorded in connection with the 1996 sale of certain nonhazardous oil field waste disposal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provision for income taxes increased $32,772,000 and $47,094,000 for the three and six months ended June 30, 1997, respectively, as compared to the corresponding periods of 1996. The difference in federal income taxes at the statutory rate and the provision for income taxes for the three and six months ended June 30, 1997, is primarily due to state and local income taxes. The difference in federal income taxes at the statutory rate and the provision for income taxes for the three and six months ended June 30, 1996, is primarily due to non-deductible merger costs and state and local income taxes.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For reasons discussed above, net income increased $74,350,000 and $95,825,000 for the three and six months ended June 30, 1997, respectively, as compared to the corresponding periods of 1996.</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the issuance of its common stock. It is further part of the Company's strategy to minimize working capital while maintaining available commitments under bank credit agreements to fund any capital needs in excess of internally generated cash flow.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June 30, 1997, the Company had working capital of $134,618,000 (a ratio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 to current liabilities of 1.35:1) and a cash balance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$43,937,000, which compares to working capital of $20,020,000 (a ratio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 to current liabilities of 1.06:1) and a cash balance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$23,511,000 as of December 31, 1996. For the first six months of 1997, net cash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operating activieies was approximately $55,061,000 and net cash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 was approximately $1,157,659,000. These funds were used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to fund investments in other businesses of $1,093,185,000 and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of approximately $180,676,000.</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The Company's capital expenditure and working capital requirements have increased reflecting the Company's business strategy of growth through acquisitions and development projects. The Company intends to finance the remainder of its 1997 capital expenditures through internally generated cash flow and amounts available under its revolving credit facility.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1996, the Company had borrowed $637,000,000 and had letters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issued of $277,994,000 under its $1,200,000,000 senior revolving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The credit facility was used to refinance existing bank loans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letters of credit and to fund additional acquisitions and working capital.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 was available for standby letters of credit of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$400,000,000. Loans under the credit facility bore interest at a rate based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Eurodollar rate plus a spread not to exceed 0.75% per annum (spread set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0.30% per annum, or an applicable interest rate of 5.87% per annum at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1996). The credit facility required a facility fee not to exceed 0.375%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annum on the entire available credit facility (facility fee set at 0.15%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annum at December 31, 1996). The credit facility contained financial covenants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respect to interest coverage and debt capitalization ratios. The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also contained limitations on dividends, additional indebtedness,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liens, and asset sales. Principal reductions were not required during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five-year term of the credit facility. On March 5, 1997, the credit facility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replaced with a $1,600,000,000 senior revolving credit facility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 general terms, covenants, and limitations, which is available for standby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letters of credit of up to $500,000,000. At June 30, 1997, the Company had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borrowed $820,000,000 and had letters of credit issued of $385,060,000 under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$1,600,000,000 senior revolving credit facility. The applicable 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and facility fee at June 30, 1997 were 6.05% per annum (including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spread set at 0.3% per annum) and 0.15% per annum, respectively.</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On February 7, 1997, the Company issued $535,275,000 of 4% convertible subordinated notes, due on February 1, 2002 ("Notes Offering"). Interest is payable semi-annually in February and August. The notes are convertible into shares of the Company's common stock at a conversion price of $43.56 per share. The notes are subordinated in right of payment to all existing and future senior indebtedness, as defined. The notes are redeemable after February 1,</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2000 at the option of the Company at 101.6% of the principal amount, declining to 100.8% of the principal amount on February 1, 2001 and thereafter until maturity at which time the notes will be redeemed at 100%, plus accrued interest. Deferred offering costs of approximately $14,000,000 were incurred and are being amortized ratably over the life of the notes. The proceeds were primarily used to repay debt under the Company's credit facility and for general corporate purposes.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On February 7, 1997, concurrent with the Notes Offering, the Company completed a public offering of 11,500,000 shares of its common stock, priced at $35.125 per share. The net proceeds of approximately $387,438,000 were primarily used to repay debt under the Company's credit facility and for general corporate purposes.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On June 10, 1997, the Company acquired the majority of the Canadian solid waste businesses of Waste Management, Inc. for $124,000,000 in cash and 1,705,757 shares of the Company's common stock. Primarily in</w:t>
      </w:r>
    </w:p>
    <w:p>
      <w:pPr>
        <w:spacing w:after="0" w:line="200" w:lineRule="exact"/>
        <w:rPr>
          <w:sz w:val="20"/>
          <w:szCs w:val="20"/>
          <w:color w:val="auto"/>
        </w:rPr>
      </w:pP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24"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connection with this transaction, the Company borrowed $160,000,000 from a Canadian bank bearing interest at Banker's Acceptance plus 0.45%. On July 7, 1997, the Company retired the $160,000,000 Canadian borrowings with proceeds from its domestic credit facility.</w:t>
      </w:r>
    </w:p>
    <w:p>
      <w:pPr>
        <w:spacing w:after="0" w:line="176"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After considering the July 1997 payment of $160,000,000 related to the Canadian borrowings, the Company would have had approximately $234,940,000 available for additional cash borrowings under its credit facility as of June 30, 1997.</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April 14, 1997, the Company entered into an Agreement and Plan of Merger (the "Merger Agreement") to acquire United Waste Systems, Inc. ("United") through a merger transaction ("United Merger"). The United Merger is subject to, among other conditions, antitrust clearance and approval of both companies' stockholders. It is anticipated that the United Merger will be completed in August of 1997 and that it will be accounted for as a pooling of interests. The Merger Agreement provides that on the effective date of the United Merger, the Company will issue 1.075 shares of its common stock for each share of United outstanding common stock. Additionally, at the effective date of the United Merger, all United stock options, whether or not such stock options have vested or become exercisable, will be cancelled in exchange for shares of the Company's common stock equal in market value to the fair value of such United stock options, as determined by an independent third party. It is currently estimated that the Company will issue approximately 48,500,000 shares pursuant to the United Merger, however the actual number of shares to be issued will not be determined until immediately prior to consummation. Although actual costs may vary, the Company currently expects to incur approximately $50,000,000 in nonrecurring costs related to the United Merger. These costs will be accrued as of the consummation date and are expected to be incurred within twelve months of consummation. Following the United Merger, the Company's Board of Directors will include two members designated by United.</w:t>
      </w:r>
    </w:p>
    <w:p>
      <w:pPr>
        <w:spacing w:after="0" w:line="18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business plan is to grow through acquisitions as well as development projects. The Company has issued equity securities in business acquisitions and expects to do so in the future. Furthermore, the Company's future growth will depend greatly upon its ability to raise additional capital. The Company continually reviews various financing alternatives and depending upon market conditions could pursue the sale of debt and/or equity securities to help effectuate its business strategy. Management believes that it can arrange the necessary financing required to accomplish its business plan; however, to the extent the Company is not successful in its future financing strategies, the Company's growth could be limited.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July 30, 1997, the Company filed a shelf registration statement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 to provide for the issuance of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$1,500,000,000 of debt securities and/or the Company's common stock. The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and/or common stock may be issued at prices and at terms to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determined at or prior to the time of any such issuance.</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On August 4, 1997, the Company filed a shelf registration statement with the Securities and Exchange Commission to provide for the issuance of up to 20,000,000 shares of the Company's common stock that may be offered and issued by the Company from time to time in connection with the acquisition directly or indirectly by the Company of other businesses or properties or interests therein, and which may be reserved for issuance pursuant to, or offered and issued upon exercise or conversion of, warrants, options, to time convertible notes, or other similar instruments issued by the Company from time to time in connection with any such acquisitions.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August 7, 1997, the Company increased its senior revolving credit facility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$2,000,000,000 with the same general terms, covenants and limitations as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$1,600,000,000 senior revolving credit facility that existed at June 30,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$2,000,000,000 senior revolving credit facility is also available for up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$650,000,000 of standby letters of credit. Usage of the facility will be limited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$1,700,000,000 until the United Merger is consummated. Loans under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will bear interest at a rate based on the Eurodollar rate plus a spread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to exceed 0.575% per annum (initially set at 0.2375%) with a facility fee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to exceed 0.30% per annum (initially set at 0.1125%). The Company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pay an additional fee of 0.05% if average credit facility borrowings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letters of credit for any calendar quarter exceed 50% of total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78"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first quarter results of operations and may also be reflected in its fourth quarter results of operations. This is primarily attributable to the fact that (i) the volume of waste relating to construction and demolition activities tends to increase in the spring and summer months and (ii) the volume of industrial and residential waste in certain regions where the Company operates tends to decrease during the winter months.</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200" w:lineRule="exact"/>
        <w:rPr>
          <w:sz w:val="20"/>
          <w:szCs w:val="20"/>
          <w:color w:val="auto"/>
        </w:rPr>
      </w:pP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2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tab/>
        <w:t>LEGAL PROCEEDINGS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is a party to various litigation matters arising in the ordinary course of business. Management believes that the ultimate resolution of these matters will not have a material adverse effect to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 or other equipment.</w:t>
      </w:r>
    </w:p>
    <w:p>
      <w:pPr>
        <w:spacing w:after="0" w:line="18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EXHIBITS:</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The exhibits to this report are listed in the Exhibit Index included elsewhere herein.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REPORTS ON FORM 8-K:</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 report on Form 8-K/A (Amendment No. 1) was filed April 15, 1997. The Company filed this report to amended its Form 8-K dated March 12, 1997, regarding its acquisition of the Canadian solid waste subsidiaries of Allied Waste Industries, Inc. to include the audited financial statements of the business acquired and pro forma condensed consolidated financial statements.</w:t>
      </w:r>
    </w:p>
    <w:p>
      <w:pPr>
        <w:spacing w:after="0" w:line="177"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A report on Form 8-K was filed April 17, 1997. The Company filed information related to its Agreement and Plan of Merger with United Waste Systems, Inc. dated April 13, 1997.</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1"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jc w:val="both"/>
        <w:ind w:right="373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14,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EARL E. DEFRATES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 E. DeFrates,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Officer)</w:t>
      </w:r>
    </w:p>
    <w:p>
      <w:pPr>
        <w:spacing w:after="0" w:line="177" w:lineRule="exact"/>
        <w:rPr>
          <w:sz w:val="20"/>
          <w:szCs w:val="20"/>
          <w:color w:val="auto"/>
        </w:rPr>
      </w:pPr>
    </w:p>
    <w:p>
      <w:pPr>
        <w:sectPr>
          <w:pgSz w:w="11900" w:h="16838" w:orient="portrait"/>
          <w:cols w:equalWidth="0" w:num="2">
            <w:col w:w="3060" w:space="720"/>
            <w:col w:w="643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August 14,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BRUCE E. SNYDER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E. Snyder,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Accounting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ectPr>
          <w:pgSz w:w="11900" w:h="16838" w:orient="portrait"/>
          <w:cols w:equalWidth="0" w:num="2">
            <w:col w:w="3060" w:space="720"/>
            <w:col w:w="6439"/>
          </w:cols>
          <w:pgMar w:left="240" w:top="291" w:right="1440" w:bottom="1440" w:gutter="0" w:footer="0" w:header="0"/>
          <w:type w:val="continuous"/>
        </w:sect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type w:val="continuous"/>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24"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 and Description of Exhibit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1528" w:hanging="536"/>
        <w:spacing w:after="0"/>
        <w:tabs>
          <w:tab w:leader="none" w:pos="15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77" w:lineRule="exact"/>
        <w:rPr>
          <w:sz w:val="20"/>
          <w:szCs w:val="20"/>
          <w:color w:val="auto"/>
        </w:rPr>
      </w:pPr>
    </w:p>
    <w:p>
      <w:pPr>
        <w:ind w:left="1528" w:hanging="536"/>
        <w:spacing w:after="0"/>
        <w:tabs>
          <w:tab w:leader="none" w:pos="152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76"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4None</w:t>
      </w:r>
    </w:p>
    <w:p>
      <w:pPr>
        <w:spacing w:after="0" w:line="176"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10None</w:t>
      </w:r>
    </w:p>
    <w:p>
      <w:pPr>
        <w:spacing w:after="0" w:line="176"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11Computation of Earnings (Loss) Per Common Share</w:t>
      </w:r>
    </w:p>
    <w:p>
      <w:pPr>
        <w:spacing w:after="0" w:line="176"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12Computation of Ratio of Earnings to Fixed Charges</w:t>
      </w:r>
    </w:p>
    <w:p>
      <w:pPr>
        <w:spacing w:after="0" w:line="176"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15None</w:t>
      </w:r>
    </w:p>
    <w:p>
      <w:pPr>
        <w:spacing w:after="0" w:line="176"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18None</w:t>
      </w:r>
    </w:p>
    <w:p>
      <w:pPr>
        <w:spacing w:after="0" w:line="176"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19None</w:t>
      </w:r>
    </w:p>
    <w:p>
      <w:pPr>
        <w:spacing w:after="0" w:line="176"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22None</w:t>
      </w:r>
    </w:p>
    <w:p>
      <w:pPr>
        <w:spacing w:after="0" w:line="176"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23None</w:t>
      </w:r>
    </w:p>
    <w:p>
      <w:pPr>
        <w:spacing w:after="0" w:line="176"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24None</w:t>
      </w:r>
    </w:p>
    <w:p>
      <w:pPr>
        <w:spacing w:after="0" w:line="176"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27Financial Data Schedule</w:t>
      </w:r>
    </w:p>
    <w:p>
      <w:pPr>
        <w:spacing w:after="0" w:line="177" w:lineRule="exact"/>
        <w:rPr>
          <w:sz w:val="20"/>
          <w:szCs w:val="20"/>
          <w:color w:val="auto"/>
        </w:rPr>
      </w:pPr>
    </w:p>
    <w:p>
      <w:pPr>
        <w:ind w:left="1528" w:hanging="536"/>
        <w:spacing w:after="0"/>
        <w:tabs>
          <w:tab w:leader="none" w:pos="152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35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Exhibits not listed are inapplicable.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291" w:right="1440" w:bottom="1440" w:gutter="0" w:footer="0" w:header="0"/>
        </w:sectPr>
      </w:pPr>
    </w:p>
    <w:bookmarkStart w:id="24" w:name="page25"/>
    <w:bookmarkEnd w:id="24"/>
    <w:tbl>
      <w:tblPr>
        <w:tblLayout w:type="fixed"/>
        <w:tblInd w:w="8" w:type="dxa"/>
        <w:tblCellMar>
          <w:top w:w="0" w:type="dxa"/>
          <w:left w:w="0" w:type="dxa"/>
          <w:bottom w:w="0" w:type="dxa"/>
          <w:right w:w="0" w:type="dxa"/>
        </w:tblCellMar>
      </w:tblPr>
      <w:tr>
        <w:trPr>
          <w:trHeight w:val="170"/>
        </w:trPr>
        <w:tc>
          <w:tcPr>
            <w:tcW w:w="5940" w:type="dxa"/>
            <w:vAlign w:val="bottom"/>
          </w:tcPr>
          <w:p>
            <w:pPr>
              <w:ind w:left="260"/>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20"/>
        </w:trPr>
        <w:tc>
          <w:tcPr>
            <w:tcW w:w="5940" w:type="dxa"/>
            <w:vAlign w:val="bottom"/>
          </w:tcPr>
          <w:p>
            <w:pPr>
              <w:spacing w:after="0"/>
              <w:rPr>
                <w:sz w:val="24"/>
                <w:szCs w:val="24"/>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EXHIBIT 11</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7"/>
        </w:trPr>
        <w:tc>
          <w:tcPr>
            <w:tcW w:w="5940" w:type="dxa"/>
            <w:vAlign w:val="bottom"/>
          </w:tcPr>
          <w:p>
            <w:pPr>
              <w:ind w:left="2520"/>
              <w:spacing w:after="0"/>
              <w:rPr>
                <w:sz w:val="20"/>
                <w:szCs w:val="20"/>
                <w:color w:val="auto"/>
              </w:rPr>
            </w:pPr>
            <w:r>
              <w:rPr>
                <w:rFonts w:ascii="Courier New" w:cs="Courier New" w:eastAsia="Courier New" w:hAnsi="Courier New"/>
                <w:sz w:val="15"/>
                <w:szCs w:val="15"/>
                <w:color w:val="auto"/>
              </w:rPr>
              <w:t>USA WASTE SERVICES, INC.</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940" w:type="dxa"/>
            <w:vAlign w:val="bottom"/>
          </w:tcPr>
          <w:p>
            <w:pPr>
              <w:ind w:left="1520"/>
              <w:spacing w:after="0"/>
              <w:rPr>
                <w:sz w:val="20"/>
                <w:szCs w:val="20"/>
                <w:color w:val="auto"/>
              </w:rPr>
            </w:pPr>
            <w:r>
              <w:rPr>
                <w:rFonts w:ascii="Courier New" w:cs="Courier New" w:eastAsia="Courier New" w:hAnsi="Courier New"/>
                <w:sz w:val="15"/>
                <w:szCs w:val="15"/>
                <w:color w:val="auto"/>
              </w:rPr>
              <w:t>COMPUTATION OF EARNINGS (LOSS) PER COMMON SHARE</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940" w:type="dxa"/>
            <w:vAlign w:val="bottom"/>
          </w:tcPr>
          <w:p>
            <w:pPr>
              <w:ind w:left="1800"/>
              <w:spacing w:after="0"/>
              <w:rPr>
                <w:sz w:val="20"/>
                <w:szCs w:val="20"/>
                <w:color w:val="auto"/>
              </w:rPr>
            </w:pPr>
            <w:r>
              <w:rPr>
                <w:rFonts w:ascii="Courier New" w:cs="Courier New" w:eastAsia="Courier New" w:hAnsi="Courier New"/>
                <w:sz w:val="15"/>
                <w:szCs w:val="15"/>
                <w:color w:val="auto"/>
              </w:rPr>
              <w:t>(IN THOUSANDS, EXCEPT PER SHARE AMOUNTS)</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940" w:type="dxa"/>
            <w:vAlign w:val="bottom"/>
          </w:tcPr>
          <w:p>
            <w:pPr>
              <w:ind w:left="3060"/>
              <w:spacing w:after="0"/>
              <w:rPr>
                <w:sz w:val="20"/>
                <w:szCs w:val="20"/>
                <w:color w:val="auto"/>
              </w:rPr>
            </w:pPr>
            <w:r>
              <w:rPr>
                <w:rFonts w:ascii="Courier New" w:cs="Courier New" w:eastAsia="Courier New" w:hAnsi="Courier New"/>
                <w:sz w:val="15"/>
                <w:szCs w:val="15"/>
                <w:color w:val="auto"/>
              </w:rPr>
              <w:t>(UNAUDITED)</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694"/>
        </w:trPr>
        <w:tc>
          <w:tcPr>
            <w:tcW w:w="5940" w:type="dxa"/>
            <w:vAlign w:val="bottom"/>
          </w:tcPr>
          <w:p>
            <w:pPr>
              <w:spacing w:after="0"/>
              <w:rPr>
                <w:sz w:val="24"/>
                <w:szCs w:val="24"/>
                <w:color w:val="auto"/>
              </w:rPr>
            </w:pPr>
          </w:p>
        </w:tc>
        <w:tc>
          <w:tcPr>
            <w:tcW w:w="288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rPr>
              <w:t>Three Months Ended June 30,</w:t>
            </w:r>
          </w:p>
        </w:tc>
        <w:tc>
          <w:tcPr>
            <w:tcW w:w="25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Six Months Ended June 30,</w:t>
            </w:r>
          </w:p>
        </w:tc>
      </w:tr>
      <w:tr>
        <w:trPr>
          <w:trHeight w:val="173"/>
        </w:trPr>
        <w:tc>
          <w:tcPr>
            <w:tcW w:w="594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6"/>
              </w:rPr>
              <w:t>---------------------------</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4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940" w:type="dxa"/>
            <w:vAlign w:val="bottom"/>
          </w:tcPr>
          <w:p>
            <w:pPr>
              <w:spacing w:after="0"/>
              <w:rPr>
                <w:sz w:val="15"/>
                <w:szCs w:val="15"/>
                <w:color w:val="auto"/>
              </w:rPr>
            </w:pPr>
          </w:p>
        </w:tc>
        <w:tc>
          <w:tcPr>
            <w:tcW w:w="14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1997</w:t>
            </w:r>
          </w:p>
        </w:tc>
        <w:tc>
          <w:tcPr>
            <w:tcW w:w="1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1996</w:t>
            </w:r>
          </w:p>
        </w:tc>
        <w:tc>
          <w:tcPr>
            <w:tcW w:w="420" w:type="dxa"/>
            <w:vAlign w:val="bottom"/>
          </w:tcPr>
          <w:p>
            <w:pPr>
              <w:spacing w:after="0"/>
              <w:rPr>
                <w:sz w:val="15"/>
                <w:szCs w:val="15"/>
                <w:color w:val="auto"/>
              </w:rPr>
            </w:pPr>
          </w:p>
        </w:tc>
        <w:tc>
          <w:tcPr>
            <w:tcW w:w="10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5"/>
                <w:szCs w:val="15"/>
                <w:color w:val="auto"/>
              </w:rPr>
            </w:pP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594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(restated)</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(restated)</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Net income (loss)</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72,282</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(2,068)</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$ 121,409</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25,584</w:t>
            </w:r>
          </w:p>
        </w:tc>
      </w:tr>
      <w:tr>
        <w:trPr>
          <w:trHeight w:val="173"/>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Interest on 4% convertible subordinated notes, net of</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940" w:type="dxa"/>
            <w:vAlign w:val="bottom"/>
          </w:tcPr>
          <w:p>
            <w:pPr>
              <w:ind w:left="720"/>
              <w:spacing w:after="0"/>
              <w:rPr>
                <w:sz w:val="20"/>
                <w:szCs w:val="20"/>
                <w:color w:val="auto"/>
              </w:rPr>
            </w:pPr>
            <w:r>
              <w:rPr>
                <w:rFonts w:ascii="Courier New" w:cs="Courier New" w:eastAsia="Courier New" w:hAnsi="Courier New"/>
                <w:sz w:val="15"/>
                <w:szCs w:val="15"/>
                <w:color w:val="auto"/>
              </w:rPr>
              <w:t>taxes (2)</w:t>
            </w:r>
          </w:p>
        </w:tc>
        <w:tc>
          <w:tcPr>
            <w:tcW w:w="6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w:t>
            </w:r>
          </w:p>
        </w:tc>
        <w:tc>
          <w:tcPr>
            <w:tcW w:w="50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5,033</w:t>
            </w:r>
          </w:p>
        </w:tc>
        <w:tc>
          <w:tcPr>
            <w:tcW w:w="30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Net income (loss) - primary</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75,485</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(2,068)</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$ 126,442</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25,584</w:t>
            </w:r>
          </w:p>
        </w:tc>
      </w:tr>
      <w:tr>
        <w:trPr>
          <w:trHeight w:val="173"/>
        </w:trPr>
        <w:tc>
          <w:tcPr>
            <w:tcW w:w="59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Number of common shares outstanding</w:t>
            </w:r>
          </w:p>
        </w:tc>
        <w:tc>
          <w:tcPr>
            <w:tcW w:w="64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160,679</w:t>
            </w:r>
          </w:p>
        </w:tc>
        <w:tc>
          <w:tcPr>
            <w:tcW w:w="500" w:type="dxa"/>
            <w:vAlign w:val="bottom"/>
          </w:tcPr>
          <w:p>
            <w:pPr>
              <w:spacing w:after="0"/>
              <w:rPr>
                <w:sz w:val="24"/>
                <w:szCs w:val="2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134,312</w:t>
            </w:r>
          </w:p>
        </w:tc>
        <w:tc>
          <w:tcPr>
            <w:tcW w:w="420" w:type="dxa"/>
            <w:vAlign w:val="bottom"/>
          </w:tcPr>
          <w:p>
            <w:pPr>
              <w:spacing w:after="0"/>
              <w:rPr>
                <w:sz w:val="24"/>
                <w:szCs w:val="24"/>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160,679</w:t>
            </w:r>
          </w:p>
        </w:tc>
        <w:tc>
          <w:tcPr>
            <w:tcW w:w="30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134,312</w:t>
            </w:r>
          </w:p>
        </w:tc>
      </w:tr>
      <w:tr>
        <w:trPr>
          <w:trHeight w:val="173"/>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Effect of using weighted average common shares outstanding</w:t>
            </w:r>
          </w:p>
        </w:tc>
        <w:tc>
          <w:tcPr>
            <w:tcW w:w="6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(2,682)</w:t>
            </w:r>
          </w:p>
        </w:tc>
        <w:tc>
          <w:tcPr>
            <w:tcW w:w="50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(1,425)</w:t>
            </w:r>
          </w:p>
        </w:tc>
        <w:tc>
          <w:tcPr>
            <w:tcW w:w="4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(7,034)</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(3,221)</w:t>
            </w:r>
          </w:p>
        </w:tc>
      </w:tr>
      <w:tr>
        <w:trPr>
          <w:trHeight w:val="173"/>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Common stock equivalents:</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Common stock options and warrants (1)</w:t>
            </w:r>
          </w:p>
        </w:tc>
        <w:tc>
          <w:tcPr>
            <w:tcW w:w="6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4,523</w:t>
            </w:r>
          </w:p>
        </w:tc>
        <w:tc>
          <w:tcPr>
            <w:tcW w:w="50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4,507</w:t>
            </w:r>
          </w:p>
        </w:tc>
        <w:tc>
          <w:tcPr>
            <w:tcW w:w="30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4,699</w:t>
            </w:r>
          </w:p>
        </w:tc>
      </w:tr>
      <w:tr>
        <w:trPr>
          <w:trHeight w:val="173"/>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4% Convertible subordinated notes (2)</w:t>
            </w:r>
          </w:p>
        </w:tc>
        <w:tc>
          <w:tcPr>
            <w:tcW w:w="6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12,288</w:t>
            </w:r>
          </w:p>
        </w:tc>
        <w:tc>
          <w:tcPr>
            <w:tcW w:w="50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9,709</w:t>
            </w:r>
          </w:p>
        </w:tc>
        <w:tc>
          <w:tcPr>
            <w:tcW w:w="30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ind w:left="980"/>
              <w:spacing w:after="0"/>
              <w:rPr>
                <w:sz w:val="20"/>
                <w:szCs w:val="20"/>
                <w:color w:val="auto"/>
              </w:rPr>
            </w:pPr>
            <w:r>
              <w:rPr>
                <w:rFonts w:ascii="Courier New" w:cs="Courier New" w:eastAsia="Courier New" w:hAnsi="Courier New"/>
                <w:sz w:val="15"/>
                <w:szCs w:val="15"/>
                <w:color w:val="auto"/>
              </w:rPr>
              <w:t>Total</w:t>
            </w:r>
          </w:p>
        </w:tc>
        <w:tc>
          <w:tcPr>
            <w:tcW w:w="6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174,808</w:t>
            </w:r>
          </w:p>
        </w:tc>
        <w:tc>
          <w:tcPr>
            <w:tcW w:w="50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132,887</w:t>
            </w:r>
          </w:p>
        </w:tc>
        <w:tc>
          <w:tcPr>
            <w:tcW w:w="42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167,861</w:t>
            </w:r>
          </w:p>
        </w:tc>
        <w:tc>
          <w:tcPr>
            <w:tcW w:w="30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135,790</w:t>
            </w:r>
          </w:p>
        </w:tc>
      </w:tr>
      <w:tr>
        <w:trPr>
          <w:trHeight w:val="173"/>
        </w:trPr>
        <w:tc>
          <w:tcPr>
            <w:tcW w:w="59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940" w:type="dxa"/>
            <w:vAlign w:val="bottom"/>
          </w:tcPr>
          <w:p>
            <w:pPr>
              <w:ind w:left="980"/>
              <w:spacing w:after="0"/>
              <w:rPr>
                <w:sz w:val="20"/>
                <w:szCs w:val="20"/>
                <w:color w:val="auto"/>
              </w:rPr>
            </w:pPr>
            <w:r>
              <w:rPr>
                <w:rFonts w:ascii="Courier New" w:cs="Courier New" w:eastAsia="Courier New" w:hAnsi="Courier New"/>
                <w:sz w:val="15"/>
                <w:szCs w:val="15"/>
                <w:color w:val="auto"/>
              </w:rPr>
              <w:t>Primary earnings (loss) per common share</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0.43</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0.75</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0.19</w:t>
            </w:r>
          </w:p>
        </w:tc>
      </w:tr>
      <w:tr>
        <w:trPr>
          <w:trHeight w:val="173"/>
        </w:trPr>
        <w:tc>
          <w:tcPr>
            <w:tcW w:w="59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20"/>
        </w:trPr>
        <w:tc>
          <w:tcPr>
            <w:tcW w:w="594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3"/>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Net income (loss)</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72,282</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(2,068)</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$ 121,409</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25,584</w:t>
            </w:r>
          </w:p>
        </w:tc>
      </w:tr>
      <w:tr>
        <w:trPr>
          <w:trHeight w:val="173"/>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Interest on 4% convertible subordinated notes, net of</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940" w:type="dxa"/>
            <w:vAlign w:val="bottom"/>
          </w:tcPr>
          <w:p>
            <w:pPr>
              <w:ind w:left="720"/>
              <w:spacing w:after="0"/>
              <w:rPr>
                <w:sz w:val="20"/>
                <w:szCs w:val="20"/>
                <w:color w:val="auto"/>
              </w:rPr>
            </w:pPr>
            <w:r>
              <w:rPr>
                <w:rFonts w:ascii="Courier New" w:cs="Courier New" w:eastAsia="Courier New" w:hAnsi="Courier New"/>
                <w:sz w:val="15"/>
                <w:szCs w:val="15"/>
                <w:color w:val="auto"/>
              </w:rPr>
              <w:t>taxes (2)</w:t>
            </w:r>
          </w:p>
        </w:tc>
        <w:tc>
          <w:tcPr>
            <w:tcW w:w="6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w:t>
            </w:r>
          </w:p>
        </w:tc>
        <w:tc>
          <w:tcPr>
            <w:tcW w:w="50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5,033</w:t>
            </w:r>
          </w:p>
        </w:tc>
        <w:tc>
          <w:tcPr>
            <w:tcW w:w="30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Interest on 5% convertible subordinated debentures,</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940" w:type="dxa"/>
            <w:vAlign w:val="bottom"/>
          </w:tcPr>
          <w:p>
            <w:pPr>
              <w:ind w:left="720"/>
              <w:spacing w:after="0"/>
              <w:rPr>
                <w:sz w:val="20"/>
                <w:szCs w:val="20"/>
                <w:color w:val="auto"/>
              </w:rPr>
            </w:pPr>
            <w:r>
              <w:rPr>
                <w:rFonts w:ascii="Courier New" w:cs="Courier New" w:eastAsia="Courier New" w:hAnsi="Courier New"/>
                <w:sz w:val="15"/>
                <w:szCs w:val="15"/>
                <w:color w:val="auto"/>
              </w:rPr>
              <w:t>net of taxes (3)</w:t>
            </w:r>
          </w:p>
        </w:tc>
        <w:tc>
          <w:tcPr>
            <w:tcW w:w="6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860</w:t>
            </w:r>
          </w:p>
        </w:tc>
        <w:tc>
          <w:tcPr>
            <w:tcW w:w="50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1,710</w:t>
            </w:r>
          </w:p>
        </w:tc>
        <w:tc>
          <w:tcPr>
            <w:tcW w:w="30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Net income (loss) - fully diluted</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76,345</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(2,068)</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$ 128,152</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25,584</w:t>
            </w:r>
          </w:p>
        </w:tc>
      </w:tr>
      <w:tr>
        <w:trPr>
          <w:trHeight w:val="173"/>
        </w:trPr>
        <w:tc>
          <w:tcPr>
            <w:tcW w:w="59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Number of common shares outstanding</w:t>
            </w:r>
          </w:p>
        </w:tc>
        <w:tc>
          <w:tcPr>
            <w:tcW w:w="64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160,679</w:t>
            </w:r>
          </w:p>
        </w:tc>
        <w:tc>
          <w:tcPr>
            <w:tcW w:w="500" w:type="dxa"/>
            <w:vAlign w:val="bottom"/>
          </w:tcPr>
          <w:p>
            <w:pPr>
              <w:spacing w:after="0"/>
              <w:rPr>
                <w:sz w:val="24"/>
                <w:szCs w:val="2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134,312</w:t>
            </w:r>
          </w:p>
        </w:tc>
        <w:tc>
          <w:tcPr>
            <w:tcW w:w="420" w:type="dxa"/>
            <w:vAlign w:val="bottom"/>
          </w:tcPr>
          <w:p>
            <w:pPr>
              <w:spacing w:after="0"/>
              <w:rPr>
                <w:sz w:val="24"/>
                <w:szCs w:val="24"/>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160,679</w:t>
            </w:r>
          </w:p>
        </w:tc>
        <w:tc>
          <w:tcPr>
            <w:tcW w:w="300" w:type="dxa"/>
            <w:vAlign w:val="bottom"/>
          </w:tcPr>
          <w:p>
            <w:pPr>
              <w:spacing w:after="0"/>
              <w:rPr>
                <w:sz w:val="24"/>
                <w:szCs w:val="24"/>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134,312</w:t>
            </w:r>
          </w:p>
        </w:tc>
      </w:tr>
      <w:tr>
        <w:trPr>
          <w:trHeight w:val="173"/>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Effect of using weighted average common shares outstanding</w:t>
            </w:r>
          </w:p>
        </w:tc>
        <w:tc>
          <w:tcPr>
            <w:tcW w:w="6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(2,682)</w:t>
            </w:r>
          </w:p>
        </w:tc>
        <w:tc>
          <w:tcPr>
            <w:tcW w:w="50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(1,425)</w:t>
            </w:r>
          </w:p>
        </w:tc>
        <w:tc>
          <w:tcPr>
            <w:tcW w:w="4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(7,034)</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(3,221)</w:t>
            </w:r>
          </w:p>
        </w:tc>
      </w:tr>
      <w:tr>
        <w:trPr>
          <w:trHeight w:val="173"/>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Common stock equivalents:</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3"/>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Common stock options and warrants (1)</w:t>
            </w:r>
          </w:p>
        </w:tc>
        <w:tc>
          <w:tcPr>
            <w:tcW w:w="6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4,733</w:t>
            </w:r>
          </w:p>
        </w:tc>
        <w:tc>
          <w:tcPr>
            <w:tcW w:w="50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4,579</w:t>
            </w:r>
          </w:p>
        </w:tc>
        <w:tc>
          <w:tcPr>
            <w:tcW w:w="30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4,983</w:t>
            </w:r>
          </w:p>
        </w:tc>
      </w:tr>
      <w:tr>
        <w:trPr>
          <w:trHeight w:val="173"/>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4% Convertible subordinated notes (2)</w:t>
            </w:r>
          </w:p>
        </w:tc>
        <w:tc>
          <w:tcPr>
            <w:tcW w:w="6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12,288</w:t>
            </w:r>
          </w:p>
        </w:tc>
        <w:tc>
          <w:tcPr>
            <w:tcW w:w="50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9,709</w:t>
            </w:r>
          </w:p>
        </w:tc>
        <w:tc>
          <w:tcPr>
            <w:tcW w:w="30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ind w:left="540"/>
              <w:spacing w:after="0"/>
              <w:rPr>
                <w:sz w:val="20"/>
                <w:szCs w:val="20"/>
                <w:color w:val="auto"/>
              </w:rPr>
            </w:pPr>
            <w:r>
              <w:rPr>
                <w:rFonts w:ascii="Courier New" w:cs="Courier New" w:eastAsia="Courier New" w:hAnsi="Courier New"/>
                <w:sz w:val="15"/>
                <w:szCs w:val="15"/>
                <w:color w:val="auto"/>
              </w:rPr>
              <w:t>5% Convertible subordinated debentures (3)</w:t>
            </w:r>
          </w:p>
        </w:tc>
        <w:tc>
          <w:tcPr>
            <w:tcW w:w="6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4,062</w:t>
            </w:r>
          </w:p>
        </w:tc>
        <w:tc>
          <w:tcPr>
            <w:tcW w:w="50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4,062</w:t>
            </w:r>
          </w:p>
        </w:tc>
        <w:tc>
          <w:tcPr>
            <w:tcW w:w="30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ind w:left="980"/>
              <w:spacing w:after="0"/>
              <w:rPr>
                <w:sz w:val="20"/>
                <w:szCs w:val="20"/>
                <w:color w:val="auto"/>
              </w:rPr>
            </w:pPr>
            <w:r>
              <w:rPr>
                <w:rFonts w:ascii="Courier New" w:cs="Courier New" w:eastAsia="Courier New" w:hAnsi="Courier New"/>
                <w:sz w:val="15"/>
                <w:szCs w:val="15"/>
                <w:color w:val="auto"/>
              </w:rPr>
              <w:t>Total</w:t>
            </w:r>
          </w:p>
        </w:tc>
        <w:tc>
          <w:tcPr>
            <w:tcW w:w="6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179,080</w:t>
            </w:r>
          </w:p>
        </w:tc>
        <w:tc>
          <w:tcPr>
            <w:tcW w:w="50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132,887</w:t>
            </w:r>
          </w:p>
        </w:tc>
        <w:tc>
          <w:tcPr>
            <w:tcW w:w="42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171,995</w:t>
            </w:r>
          </w:p>
        </w:tc>
        <w:tc>
          <w:tcPr>
            <w:tcW w:w="300" w:type="dxa"/>
            <w:vAlign w:val="bottom"/>
          </w:tcPr>
          <w:p>
            <w:pPr>
              <w:spacing w:after="0"/>
              <w:rPr>
                <w:sz w:val="15"/>
                <w:szCs w:val="15"/>
                <w:color w:val="auto"/>
              </w:rPr>
            </w:pP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136,074</w:t>
            </w:r>
          </w:p>
        </w:tc>
      </w:tr>
      <w:tr>
        <w:trPr>
          <w:trHeight w:val="173"/>
        </w:trPr>
        <w:tc>
          <w:tcPr>
            <w:tcW w:w="59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940" w:type="dxa"/>
            <w:vAlign w:val="bottom"/>
          </w:tcPr>
          <w:p>
            <w:pPr>
              <w:ind w:left="980"/>
              <w:spacing w:after="0"/>
              <w:rPr>
                <w:sz w:val="20"/>
                <w:szCs w:val="20"/>
                <w:color w:val="auto"/>
              </w:rPr>
            </w:pPr>
            <w:r>
              <w:rPr>
                <w:rFonts w:ascii="Courier New" w:cs="Courier New" w:eastAsia="Courier New" w:hAnsi="Courier New"/>
                <w:sz w:val="15"/>
                <w:szCs w:val="15"/>
                <w:color w:val="auto"/>
              </w:rPr>
              <w:t>Fully diluted earnings (loss) per common share</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0.43</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0.75</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0.19</w:t>
            </w:r>
          </w:p>
        </w:tc>
      </w:tr>
      <w:tr>
        <w:trPr>
          <w:trHeight w:val="173"/>
        </w:trPr>
        <w:tc>
          <w:tcPr>
            <w:tcW w:w="594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left="448" w:right="4160"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dilutive impact of common stock options and warrants were determined based on the "Treasury Stock Method," as set forth in Accounting Principles Board Opinion No. 15. For the three months ended June 30, 1996, common stock equivalents from common stock options and warrants of 6,078,000 and 6,252,000 were not included in the primary and fully diluted earnings per share calculation, respectively, due to their antidilutive nature for this period.</w:t>
      </w:r>
    </w:p>
    <w:p>
      <w:pPr>
        <w:spacing w:after="0" w:line="177" w:lineRule="exact"/>
        <w:rPr>
          <w:rFonts w:ascii="Courier New" w:cs="Courier New" w:eastAsia="Courier New" w:hAnsi="Courier New"/>
          <w:sz w:val="15"/>
          <w:szCs w:val="15"/>
          <w:color w:val="auto"/>
        </w:rPr>
      </w:pPr>
    </w:p>
    <w:p>
      <w:pPr>
        <w:ind w:left="448" w:right="4240"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Accounting Principles Board Opinion No. 15, convertible subordinated notes that are deemed to be common stock equivalents are considered in computing both primary and fully diluted earnings per common share if inclusion of such convertible subordinated notes is dilutive based on the "If-Converted Method." The Company's 4% convertible subordinated notes, issued February 7, 1997, are considered to be common stock equivalents based upon the yield test at the time of issuance. The 4% convertible subordinated notes are dilutive for both primary and fully diluted earnings per common share for the three and six months ended June 30, 1997.</w:t>
      </w:r>
    </w:p>
    <w:p>
      <w:pPr>
        <w:spacing w:after="0" w:line="179" w:lineRule="exact"/>
        <w:rPr>
          <w:rFonts w:ascii="Courier New" w:cs="Courier New" w:eastAsia="Courier New" w:hAnsi="Courier New"/>
          <w:sz w:val="15"/>
          <w:szCs w:val="15"/>
          <w:color w:val="auto"/>
        </w:rPr>
      </w:pPr>
    </w:p>
    <w:p>
      <w:pPr>
        <w:ind w:left="448" w:right="4240"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Accounting Principles Board Opinion No. 15, convertible subordinated debentures are considered in computing fully diluted earnings per common share if inclusion of such convertible subordinated debentures is dilutive based on the "If-Converted Method." The Company's 5% convertible subordinated debentures, issued March 4, 1996, are dilutive for the three and six months ended June 30, 1997, however are antidilutive for the three and six months ended June 30, 1996.</w:t>
      </w:r>
    </w:p>
    <w:p>
      <w:pPr>
        <w:sectPr>
          <w:pgSz w:w="11900" w:h="16838" w:orient="portrait"/>
          <w:cols w:equalWidth="0" w:num="1">
            <w:col w:w="11368"/>
          </w:cols>
          <w:pgMar w:left="232" w:top="141" w:right="299" w:bottom="359" w:gutter="0" w:footer="0" w:header="0"/>
        </w:sectPr>
      </w:pPr>
    </w:p>
    <w:bookmarkStart w:id="25" w:name="page26"/>
    <w:bookmarkEnd w:id="25"/>
    <w:p>
      <w:pPr>
        <w:ind w:left="22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019"/>
          </w:cols>
          <w:pgMar w:left="1440" w:top="141" w:right="1440" w:bottom="1440" w:gutter="0" w:footer="0" w:header="0"/>
        </w:sectPr>
      </w:pPr>
    </w:p>
    <w:bookmarkStart w:id="26" w:name="page27"/>
    <w:bookmarkEnd w:id="26"/>
    <w:tbl>
      <w:tblPr>
        <w:tblLayout w:type="fixed"/>
        <w:tblInd w:w="8" w:type="dxa"/>
        <w:tblCellMar>
          <w:top w:w="0" w:type="dxa"/>
          <w:left w:w="0" w:type="dxa"/>
          <w:bottom w:w="0" w:type="dxa"/>
          <w:right w:w="0" w:type="dxa"/>
        </w:tblCellMar>
      </w:tblPr>
      <w:tr>
        <w:trPr>
          <w:trHeight w:val="170"/>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694"/>
        </w:trPr>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EXHIBIT 12</w:t>
            </w:r>
          </w:p>
        </w:tc>
      </w:tr>
      <w:tr>
        <w:trPr>
          <w:trHeight w:val="347"/>
        </w:trPr>
        <w:tc>
          <w:tcPr>
            <w:tcW w:w="4720" w:type="dxa"/>
            <w:vAlign w:val="bottom"/>
          </w:tcPr>
          <w:p>
            <w:pPr>
              <w:ind w:left="2520"/>
              <w:spacing w:after="0"/>
              <w:rPr>
                <w:sz w:val="20"/>
                <w:szCs w:val="20"/>
                <w:color w:val="auto"/>
              </w:rPr>
            </w:pPr>
            <w:r>
              <w:rPr>
                <w:rFonts w:ascii="Courier New" w:cs="Courier New" w:eastAsia="Courier New" w:hAnsi="Courier New"/>
                <w:sz w:val="15"/>
                <w:szCs w:val="15"/>
                <w:color w:val="auto"/>
              </w:rPr>
              <w:t>USA WASTE SERVICES, INC.</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3"/>
        </w:trPr>
        <w:tc>
          <w:tcPr>
            <w:tcW w:w="598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COMPUTATION OF RATIO OF EARNINGS TO FIXED CHARGES</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4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RATIOS)</w:t>
            </w: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4720" w:type="dxa"/>
            <w:vAlign w:val="bottom"/>
          </w:tcPr>
          <w:p>
            <w:pPr>
              <w:ind w:left="3060"/>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694"/>
        </w:trPr>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w w:val="99"/>
              </w:rPr>
              <w:t>Six Months Ended June 30,</w:t>
            </w:r>
          </w:p>
        </w:tc>
      </w:tr>
      <w:tr>
        <w:trPr>
          <w:trHeight w:val="173"/>
        </w:trPr>
        <w:tc>
          <w:tcPr>
            <w:tcW w:w="4720" w:type="dxa"/>
            <w:vAlign w:val="bottom"/>
          </w:tcPr>
          <w:p>
            <w:pPr>
              <w:spacing w:after="0"/>
              <w:rPr>
                <w:sz w:val="15"/>
                <w:szCs w:val="15"/>
                <w:color w:val="auto"/>
              </w:rPr>
            </w:pPr>
          </w:p>
        </w:tc>
        <w:tc>
          <w:tcPr>
            <w:tcW w:w="258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202,349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59,430</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Fixed charges deducted from income:</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4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33,373</w:t>
            </w:r>
          </w:p>
        </w:tc>
        <w:tc>
          <w:tcPr>
            <w:tcW w:w="500" w:type="dxa"/>
            <w:vAlign w:val="bottom"/>
          </w:tcPr>
          <w:p>
            <w:pPr>
              <w:spacing w:after="0"/>
              <w:rPr>
                <w:sz w:val="15"/>
                <w:szCs w:val="15"/>
                <w:color w:val="auto"/>
              </w:rPr>
            </w:pP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22,457</w:t>
            </w:r>
          </w:p>
        </w:tc>
      </w:tr>
      <w:tr>
        <w:trPr>
          <w:trHeight w:val="173"/>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Implicit interest in rents</w:t>
            </w:r>
          </w:p>
        </w:tc>
        <w:tc>
          <w:tcPr>
            <w:tcW w:w="14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3,068</w:t>
            </w:r>
          </w:p>
        </w:tc>
        <w:tc>
          <w:tcPr>
            <w:tcW w:w="500" w:type="dxa"/>
            <w:vAlign w:val="bottom"/>
          </w:tcPr>
          <w:p>
            <w:pPr>
              <w:spacing w:after="0"/>
              <w:rPr>
                <w:sz w:val="15"/>
                <w:szCs w:val="15"/>
                <w:color w:val="auto"/>
              </w:rPr>
            </w:pP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3,206</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36,441</w:t>
            </w:r>
          </w:p>
        </w:tc>
        <w:tc>
          <w:tcPr>
            <w:tcW w:w="500" w:type="dxa"/>
            <w:vAlign w:val="bottom"/>
          </w:tcPr>
          <w:p>
            <w:pPr>
              <w:spacing w:after="0"/>
              <w:rPr>
                <w:sz w:val="15"/>
                <w:szCs w:val="15"/>
                <w:color w:val="auto"/>
              </w:rPr>
            </w:pP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25,663</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Earnings available for fixed charges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238,790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85,093</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33,373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22,457</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14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10,474</w:t>
            </w:r>
          </w:p>
        </w:tc>
        <w:tc>
          <w:tcPr>
            <w:tcW w:w="500" w:type="dxa"/>
            <w:vAlign w:val="bottom"/>
          </w:tcPr>
          <w:p>
            <w:pPr>
              <w:spacing w:after="0"/>
              <w:rPr>
                <w:sz w:val="15"/>
                <w:szCs w:val="15"/>
                <w:color w:val="auto"/>
              </w:rPr>
            </w:pP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8,339</w:t>
            </w: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Implicit interest in rents</w:t>
            </w:r>
          </w:p>
        </w:tc>
        <w:tc>
          <w:tcPr>
            <w:tcW w:w="14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3,068</w:t>
            </w:r>
          </w:p>
        </w:tc>
        <w:tc>
          <w:tcPr>
            <w:tcW w:w="500" w:type="dxa"/>
            <w:vAlign w:val="bottom"/>
          </w:tcPr>
          <w:p>
            <w:pPr>
              <w:spacing w:after="0"/>
              <w:rPr>
                <w:sz w:val="15"/>
                <w:szCs w:val="15"/>
                <w:color w:val="auto"/>
              </w:rPr>
            </w:pP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3,206</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Total fixed charges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46,915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34,002</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ind w:left="360"/>
              <w:spacing w:after="0"/>
              <w:rPr>
                <w:sz w:val="20"/>
                <w:szCs w:val="20"/>
                <w:color w:val="auto"/>
              </w:rPr>
            </w:pPr>
            <w:r>
              <w:rPr>
                <w:rFonts w:ascii="Courier New" w:cs="Courier New" w:eastAsia="Courier New" w:hAnsi="Courier New"/>
                <w:sz w:val="15"/>
                <w:szCs w:val="15"/>
                <w:color w:val="auto"/>
              </w:rPr>
              <w:t>Ratio of earnings to fixed charges</w:t>
            </w:r>
          </w:p>
        </w:tc>
        <w:tc>
          <w:tcPr>
            <w:tcW w:w="1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5.09x</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2.50x</w:t>
            </w:r>
          </w:p>
        </w:tc>
      </w:tr>
      <w:tr>
        <w:trPr>
          <w:trHeight w:val="173"/>
        </w:trPr>
        <w:tc>
          <w:tcPr>
            <w:tcW w:w="4720" w:type="dxa"/>
            <w:vAlign w:val="bottom"/>
          </w:tcPr>
          <w:p>
            <w:pPr>
              <w:spacing w:after="0"/>
              <w:rPr>
                <w:sz w:val="15"/>
                <w:szCs w:val="15"/>
                <w:color w:val="auto"/>
              </w:rPr>
            </w:pPr>
          </w:p>
        </w:tc>
        <w:tc>
          <w:tcPr>
            <w:tcW w:w="12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ind w:left="808" w:right="3199" w:hanging="808"/>
        <w:spacing w:after="0" w:line="244" w:lineRule="auto"/>
        <w:tabs>
          <w:tab w:leader="none" w:pos="80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taxes for the six months ended June 30, 1996, includes merger costs and unusual items of $38,100,000 and $12,952,000, respectively. Excluding the effect of these nonrecurring charges, the ratio of earnings to fixed charges would be 4.00x for the six months ended June 30, 1996.</w:t>
      </w:r>
    </w:p>
    <w:p>
      <w:pPr>
        <w:spacing w:after="0" w:line="34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141" w:right="1440" w:bottom="1440" w:gutter="0" w:footer="0" w:header="0"/>
        </w:sectPr>
      </w:pPr>
    </w:p>
    <w:bookmarkStart w:id="27" w:name="page28"/>
    <w:bookmarkEnd w:id="27"/>
    <w:p>
      <w:pPr>
        <w:ind w:left="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179"/>
        <w:spacing w:after="0" w:line="244"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USA WASTE SERVICES, INC. FOR THE SIX MONTHS ENDED JUNE 30, 1997 AND IS QUALIFIED IN ITS ENTIRETY BY REFERENCE TO SUCH FINANCIAL STATEMENTS.</w:t>
      </w:r>
    </w:p>
    <w:p>
      <w:pPr>
        <w:spacing w:after="0" w:line="200" w:lineRule="exact"/>
        <w:rPr>
          <w:sz w:val="20"/>
          <w:szCs w:val="20"/>
          <w:color w:val="auto"/>
        </w:rPr>
      </w:pPr>
    </w:p>
    <w:p>
      <w:pPr>
        <w:spacing w:after="0" w:line="32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6-MOS</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DEC-31-1997</w:t>
      </w:r>
    </w:p>
    <w:p>
      <w:pPr>
        <w:spacing w:after="0" w:line="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JAN-01-1997</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JUN-30-1997</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43,937,000</w:t>
      </w:r>
    </w:p>
    <w:p>
      <w:pPr>
        <w:spacing w:after="0" w:line="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345,461,000</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(17,754,000)</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521,458,000</w:t>
      </w:r>
    </w:p>
    <w:p>
      <w:pPr>
        <w:spacing w:after="0" w:line="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3,578,015,000</w:t>
      </w:r>
    </w:p>
    <w:p>
      <w:pPr>
        <w:spacing w:after="0" w:line="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(660,518,000)</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4,617,842,000</w:t>
      </w:r>
    </w:p>
    <w:p>
      <w:pPr>
        <w:spacing w:after="0" w:line="3"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386,840,000</w:t>
      </w:r>
    </w:p>
    <w:p>
      <w:pPr>
        <w:spacing w:after="0" w:line="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1,996,958,000</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1,607,000</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1,864,530,000</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4,617,842,000</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900,090,000</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900,090,000</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463,403,000</w:t>
      </w:r>
    </w:p>
    <w:p>
      <w:pPr>
        <w:spacing w:after="0" w:line="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674,220,000</w:t>
      </w:r>
    </w:p>
    <w:p>
      <w:pPr>
        <w:spacing w:after="0" w:line="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(9,852,000)</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33,373,000</w:t>
      </w:r>
    </w:p>
    <w:p>
      <w:pPr>
        <w:spacing w:after="0" w:line="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202,349,000</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80,940,000</w:t>
      </w:r>
    </w:p>
    <w:p>
      <w:pPr>
        <w:spacing w:after="0" w:line="3"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121,409,000</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121,409,000</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0.75</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0.75</w:t>
      </w:r>
    </w:p>
    <w:sectPr>
      <w:pgSz w:w="11900" w:h="16838" w:orient="portrait"/>
      <w:cols w:equalWidth="0" w:num="1">
        <w:col w:w="10199"/>
      </w:cols>
      <w:pgMar w:left="26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6"/>
    </w:lvl>
  </w:abstractNum>
  <w:abstractNum w:abstractNumId="8">
    <w:nsid w:val="3352255A"/>
    <w:multiLevelType w:val="hybridMultilevel"/>
    <w:lvl w:ilvl="0">
      <w:lvlJc w:val="left"/>
      <w:lvlText w:val="%1."/>
      <w:numFmt w:val="decimal"/>
      <w:start w:val="7"/>
    </w:lvl>
  </w:abstractNum>
  <w:abstractNum w:abstractNumId="9">
    <w:nsid w:val="109CF92E"/>
    <w:multiLevelType w:val="hybridMultilevel"/>
    <w:lvl w:ilvl="0">
      <w:lvlJc w:val="left"/>
      <w:lvlText w:val="%1."/>
      <w:numFmt w:val="decimal"/>
      <w:start w:val="8"/>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2"/>
      <w:numFmt w:val="bullet"/>
      <w:start w:val="1"/>
    </w:lvl>
  </w:abstractNum>
  <w:abstractNum w:abstractNumId="13">
    <w:nsid w:val="41A7C4C9"/>
    <w:multiLevelType w:val="hybridMultilevel"/>
    <w:lvl w:ilvl="0">
      <w:lvlJc w:val="left"/>
      <w:lvlText w:val="3"/>
      <w:numFmt w:val="bullet"/>
      <w:start w:val="1"/>
    </w:lvl>
  </w:abstractNum>
  <w:abstractNum w:abstractNumId="14">
    <w:nsid w:val="6B68079A"/>
    <w:multiLevelType w:val="hybridMultilevel"/>
    <w:lvl w:ilvl="0">
      <w:lvlJc w:val="left"/>
      <w:lvlText w:val="-"/>
      <w:numFmt w:val="bullet"/>
      <w:start w:val="1"/>
    </w:lvl>
    <w:lvl w:ilvl="1">
      <w:lvlJc w:val="left"/>
      <w:lvlText w:val="%2"/>
      <w:numFmt w:val="decimal"/>
      <w:start w:val="99"/>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2019-12-20T04:14:55Z</dcterms:created>
  <dcterms:modified xsi:type="dcterms:W3CDTF">2019-12-20T04:14:55Z</dcterms:modified>
</cp:coreProperties>
</file>